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9210A" w14:textId="620BE423" w:rsidR="003A3D51" w:rsidRDefault="00D31A2F" w:rsidP="00D31A2F">
      <w:pPr>
        <w:pStyle w:val="Pagedecouverture"/>
        <w:rPr>
          <w:noProof/>
        </w:rPr>
      </w:pPr>
      <w:bookmarkStart w:id="0" w:name="LW_BM_COVERPAGE"/>
      <w:r>
        <w:rPr>
          <w:noProof/>
        </w:rPr>
        <w:pict w14:anchorId="22565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F521207-FA57-4A5D-8FAD-F2B0B4DC871F" style="width:455.25pt;height:438.75pt">
            <v:imagedata r:id="rId11" o:title=""/>
          </v:shape>
        </w:pict>
      </w:r>
    </w:p>
    <w:bookmarkEnd w:id="0"/>
    <w:p w14:paraId="473F9CFE" w14:textId="77777777" w:rsidR="003A3D51" w:rsidRDefault="003A3D51">
      <w:pPr>
        <w:rPr>
          <w:noProof/>
        </w:rPr>
        <w:sectPr w:rsidR="003A3D51" w:rsidSect="00D31A2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89BF4FC" w14:textId="5D6522A5" w:rsidR="003A3D51" w:rsidRDefault="0002775A">
      <w:pPr>
        <w:pStyle w:val="P68B1DB1-Normal1"/>
        <w:spacing w:before="120" w:after="120" w:line="240" w:lineRule="auto"/>
        <w:jc w:val="center"/>
        <w:rPr>
          <w:noProof/>
        </w:rPr>
      </w:pPr>
      <w:bookmarkStart w:id="1" w:name="_GoBack"/>
      <w:bookmarkEnd w:id="1"/>
      <w:r>
        <w:rPr>
          <w:noProof/>
        </w:rPr>
        <w:lastRenderedPageBreak/>
        <w:t>BILAGA</w:t>
      </w:r>
    </w:p>
    <w:p w14:paraId="40830EB9" w14:textId="77777777" w:rsidR="003A3D51" w:rsidRDefault="003A3D51">
      <w:pPr>
        <w:spacing w:before="120" w:after="120" w:line="240" w:lineRule="auto"/>
        <w:jc w:val="both"/>
        <w:rPr>
          <w:rFonts w:ascii="Times New Roman" w:eastAsia="Calibri" w:hAnsi="Times New Roman" w:cs="Times New Roman"/>
          <w:b/>
          <w:noProof/>
          <w:sz w:val="24"/>
        </w:rPr>
      </w:pPr>
    </w:p>
    <w:p w14:paraId="03D566A9" w14:textId="72123B8A" w:rsidR="003A3D51" w:rsidRDefault="0002775A">
      <w:pPr>
        <w:pStyle w:val="P68B1DB1-Normal1"/>
        <w:spacing w:before="120" w:after="120" w:line="240" w:lineRule="auto"/>
        <w:jc w:val="both"/>
        <w:rPr>
          <w:noProof/>
        </w:rPr>
      </w:pPr>
      <w:r>
        <w:rPr>
          <w:noProof/>
        </w:rPr>
        <w:t>AVSNITT 1: REFORMER OCH INVESTERINGAR INOM RAMEN FÖR ÅTERHÄMTNINGS- OCH RESILIENSPLANEN</w:t>
      </w:r>
    </w:p>
    <w:p w14:paraId="2CD015C5" w14:textId="77777777" w:rsidR="003A3D51" w:rsidRDefault="003A3D51">
      <w:pPr>
        <w:spacing w:before="120" w:after="120" w:line="240" w:lineRule="auto"/>
        <w:jc w:val="both"/>
        <w:rPr>
          <w:rFonts w:ascii="Times New Roman" w:eastAsia="Calibri" w:hAnsi="Times New Roman" w:cs="Times New Roman"/>
          <w:noProof/>
          <w:sz w:val="24"/>
        </w:rPr>
      </w:pPr>
    </w:p>
    <w:p w14:paraId="45DFFF22" w14:textId="77777777" w:rsidR="003A3D51" w:rsidRDefault="0002775A">
      <w:pPr>
        <w:pStyle w:val="P68B1DB1-Normal1"/>
        <w:numPr>
          <w:ilvl w:val="0"/>
          <w:numId w:val="2"/>
        </w:numPr>
        <w:spacing w:before="120" w:after="120" w:line="240" w:lineRule="auto"/>
        <w:jc w:val="both"/>
        <w:rPr>
          <w:noProof/>
        </w:rPr>
      </w:pPr>
      <w:r>
        <w:rPr>
          <w:noProof/>
        </w:rPr>
        <w:t xml:space="preserve">Beskrivning av reformer och investeringar </w:t>
      </w:r>
    </w:p>
    <w:p w14:paraId="3D4B89A7"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ab/>
        <w:t>A. KOMPONENT 1.1: RESILIENT, GRÖN OCH DIGITAL EKONOMI</w:t>
      </w:r>
    </w:p>
    <w:p w14:paraId="15EC9E64" w14:textId="77777777" w:rsidR="003A3D51" w:rsidRDefault="0002775A">
      <w:pPr>
        <w:pStyle w:val="P68B1DB1-Normal3"/>
        <w:spacing w:before="120" w:after="120" w:line="240" w:lineRule="auto"/>
        <w:jc w:val="both"/>
        <w:rPr>
          <w:noProof/>
        </w:rPr>
      </w:pPr>
      <w:r>
        <w:rPr>
          <w:noProof/>
        </w:rPr>
        <w:t>Denna del av Kroatiens återhämtnings- och resiliensplan bygger på en bred, övergripande strategi för att ta itu med några av de strukturella svagheterna i den kroatiska ekonomin. Kroatiens ekonomiska tillväxt och konvergens med resten av unionen hämmas av låg produktivitet, relativt låga investeringar från den privata sektorn, begränsad tillgång till finansiering för de mest innovativa företagen och, i allmänhet, ett företagsklimat som kännetecknas av en relativt hög administrativ och skatteliknande börda och överdriven reglering av yrken. Dessutom är andelen industriproduktion den lägsta bland medlemsstaterna i Central- och Östeuropa, och Kroatien ligger också efter jämförbara länder när det gäller investeringar i innovation, produkter på högre teknisk nivå och den gröna och digitala omställningen.</w:t>
      </w:r>
    </w:p>
    <w:p w14:paraId="31852A30" w14:textId="77777777" w:rsidR="003A3D51" w:rsidRDefault="0002775A">
      <w:pPr>
        <w:pStyle w:val="P68B1DB1-Normal3"/>
        <w:spacing w:before="120" w:after="120" w:line="240" w:lineRule="auto"/>
        <w:jc w:val="both"/>
        <w:rPr>
          <w:noProof/>
        </w:rPr>
      </w:pPr>
      <w:r>
        <w:rPr>
          <w:noProof/>
        </w:rPr>
        <w:t xml:space="preserve">Komponenten har tre syften: </w:t>
      </w:r>
    </w:p>
    <w:p w14:paraId="5CB02E54" w14:textId="77777777" w:rsidR="003A3D51" w:rsidRDefault="0002775A">
      <w:pPr>
        <w:pStyle w:val="P68B1DB1-Normal3"/>
        <w:numPr>
          <w:ilvl w:val="0"/>
          <w:numId w:val="8"/>
        </w:numPr>
        <w:spacing w:before="120" w:after="120" w:line="240" w:lineRule="auto"/>
        <w:jc w:val="both"/>
        <w:rPr>
          <w:noProof/>
        </w:rPr>
      </w:pPr>
      <w:r>
        <w:rPr>
          <w:noProof/>
        </w:rPr>
        <w:t xml:space="preserve">Förbättra företagsklimatet genom att fortsätta reformerna för att minska de administrativa och skatteliknande bördorna och ytterligare liberalisera reglerade yrken. </w:t>
      </w:r>
    </w:p>
    <w:p w14:paraId="6DEE43E0" w14:textId="77777777" w:rsidR="003A3D51" w:rsidRDefault="0002775A">
      <w:pPr>
        <w:pStyle w:val="P68B1DB1-Normal3"/>
        <w:numPr>
          <w:ilvl w:val="0"/>
          <w:numId w:val="8"/>
        </w:numPr>
        <w:spacing w:before="120" w:after="120" w:line="240" w:lineRule="auto"/>
        <w:jc w:val="both"/>
        <w:rPr>
          <w:noProof/>
        </w:rPr>
      </w:pPr>
      <w:r>
        <w:rPr>
          <w:noProof/>
        </w:rPr>
        <w:t xml:space="preserve">Uppnå en bättre fördelning av kapitalresurserna inom ekonomin genom att utforma ändringar av regelverket för att stimulera investeringar från den privata sektorn. genom bidrag och subventionerade finansieringsinstrument stödja produktiva investeringar från företag, särskilt för införande av grön teknik. förbättra tillgången till alternativa eller innovativa finansieringssätt. </w:t>
      </w:r>
    </w:p>
    <w:p w14:paraId="68AECFC6" w14:textId="77777777" w:rsidR="003A3D51" w:rsidRDefault="0002775A">
      <w:pPr>
        <w:pStyle w:val="P68B1DB1-Normal3"/>
        <w:numPr>
          <w:ilvl w:val="0"/>
          <w:numId w:val="8"/>
        </w:numPr>
        <w:spacing w:before="120" w:after="120" w:line="240" w:lineRule="auto"/>
        <w:jc w:val="both"/>
        <w:rPr>
          <w:noProof/>
        </w:rPr>
      </w:pPr>
      <w:r>
        <w:rPr>
          <w:noProof/>
        </w:rPr>
        <w:t>Hjälpa företag att anpassa sin verksamhet till den nya digitala miljön, med särskilt fokus på de kulturella och kreativa sektorer som drabbades särskilt hårt av nedstängningsåtgärder som begränsade personliga tjänster.</w:t>
      </w:r>
    </w:p>
    <w:p w14:paraId="1565D23F" w14:textId="77777777" w:rsidR="003A3D51" w:rsidRDefault="0002775A">
      <w:pPr>
        <w:pStyle w:val="P68B1DB1-Normal3"/>
        <w:spacing w:before="120" w:after="120" w:line="240" w:lineRule="auto"/>
        <w:jc w:val="both"/>
        <w:rPr>
          <w:noProof/>
        </w:rPr>
      </w:pPr>
      <w:r>
        <w:rPr>
          <w:noProof/>
        </w:rPr>
        <w:t>Komponenten är inriktad på den landsspecifika rekommendationen genom att tillhandahålla likviditet till små och medelstora företag, minska skatteliknande avgifter och restriktioner i regleringen av marknaden för varor och tjänster, främja privata investeringar och fokusera investeringarna på den gröna och digitala omställningen (landsspecifik rekommendation 3, 2020). Den bidrar också till att följa rekommendationen att minska de mest betungande skatteliknande avgifterna och överdriven reglering av produkt- och tjänstemarknaderna (de landsspecifika rekommendationerna 4 och 2019).</w:t>
      </w:r>
    </w:p>
    <w:p w14:paraId="7E3F8344" w14:textId="77777777" w:rsidR="003A3D51" w:rsidRDefault="0002775A">
      <w:pPr>
        <w:pStyle w:val="P68B1DB1-Normal3"/>
        <w:spacing w:before="120" w:after="120" w:line="240" w:lineRule="auto"/>
        <w:jc w:val="both"/>
        <w:rPr>
          <w:noProof/>
        </w:rPr>
      </w:pPr>
      <w:r>
        <w:rPr>
          <w:noProof/>
        </w:rPr>
        <w:t>Komponenten är uppdelad i två delkomponenter, C1.1.1 (Stärka konkurrenskraften och den gröna omställningen av ekonomin) och C.1.1.2 (Att främja innovation och digitalisering av ekonomin).</w:t>
      </w:r>
    </w:p>
    <w:p w14:paraId="659BB360" w14:textId="77777777" w:rsidR="003A3D51" w:rsidRDefault="0002775A">
      <w:pPr>
        <w:pStyle w:val="P68B1DB1-Normal3"/>
        <w:spacing w:after="200" w:line="276" w:lineRule="auto"/>
        <w:rPr>
          <w:noProof/>
        </w:rPr>
      </w:pPr>
      <w:r>
        <w:rPr>
          <w:noProof/>
        </w:rPr>
        <w:br w:type="page"/>
      </w:r>
    </w:p>
    <w:p w14:paraId="213D4477"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A.1 </w:t>
      </w:r>
      <w:r>
        <w:rPr>
          <w:noProof/>
        </w:rPr>
        <w:tab/>
        <w:t>Beskrivning av reformer och investeringar avseende icke återbetalningspliktigt ekonomiskt stöd</w:t>
      </w:r>
    </w:p>
    <w:p w14:paraId="467853DC" w14:textId="77777777" w:rsidR="003A3D51" w:rsidRDefault="0002775A">
      <w:pPr>
        <w:pStyle w:val="P68B1DB1-Normal5"/>
        <w:keepNext/>
        <w:spacing w:before="120" w:after="120" w:line="240" w:lineRule="auto"/>
        <w:ind w:left="850"/>
        <w:jc w:val="both"/>
        <w:rPr>
          <w:noProof/>
        </w:rPr>
      </w:pPr>
      <w:r>
        <w:rPr>
          <w:noProof/>
        </w:rPr>
        <w:t>Delkomponent C1.1.1 Stärka ekonomins konkurrenskraft och gröna omställning</w:t>
      </w:r>
    </w:p>
    <w:p w14:paraId="1135F578" w14:textId="0043870E" w:rsidR="003A3D51" w:rsidRDefault="0002775A">
      <w:pPr>
        <w:pStyle w:val="P68B1DB1-Normal3"/>
        <w:keepNext/>
        <w:spacing w:before="120" w:after="120" w:line="240" w:lineRule="auto"/>
        <w:jc w:val="both"/>
        <w:rPr>
          <w:noProof/>
        </w:rPr>
      </w:pPr>
      <w:r>
        <w:rPr>
          <w:noProof/>
        </w:rPr>
        <w:t>Syftet med denna delkomponent är att främja ekonomisk verksamhet, konkurrenskraft och investeringar genom att ytterligare minska den administrativa och skatteliknande bördan för företagen, ytterligare liberalisera reglerade yrken, öka tillgången till krediter med hjälp av bidrag, subventionerade lån och eget</w:t>
      </w:r>
      <w:r w:rsidR="00C94222">
        <w:rPr>
          <w:noProof/>
        </w:rPr>
        <w:t xml:space="preserve"> </w:t>
      </w:r>
      <w:r>
        <w:rPr>
          <w:noProof/>
        </w:rPr>
        <w:t>kapitalinstrument, locka utländska direktinvesteringar och stödja de kulturella och kreativa sektorerna i deras digitala omställning.</w:t>
      </w:r>
    </w:p>
    <w:p w14:paraId="5E16A833" w14:textId="77777777" w:rsidR="003A3D51" w:rsidRDefault="0002775A">
      <w:pPr>
        <w:pStyle w:val="P68B1DB1-Normal5"/>
        <w:keepNext/>
        <w:spacing w:before="120" w:after="120" w:line="240" w:lineRule="auto"/>
        <w:ind w:left="720" w:hanging="11"/>
        <w:jc w:val="both"/>
        <w:rPr>
          <w:noProof/>
        </w:rPr>
      </w:pPr>
      <w:r>
        <w:rPr>
          <w:noProof/>
        </w:rPr>
        <w:t xml:space="preserve">Reform C1.1.1 R1 Fortsatt reform av företags- och regleringsmiljön. </w:t>
      </w:r>
    </w:p>
    <w:p w14:paraId="263FA1CB" w14:textId="77777777" w:rsidR="003A3D51" w:rsidRDefault="0002775A">
      <w:pPr>
        <w:pStyle w:val="P68B1DB1-Normal3"/>
        <w:spacing w:before="120" w:after="120" w:line="240" w:lineRule="auto"/>
        <w:jc w:val="both"/>
        <w:rPr>
          <w:noProof/>
        </w:rPr>
      </w:pPr>
      <w:r>
        <w:rPr>
          <w:noProof/>
        </w:rPr>
        <w:t>Syftet med denna reform är att ytterligare förbättra Kroatiens företagsklimat genom att</w:t>
      </w:r>
    </w:p>
    <w:p w14:paraId="722EA67C" w14:textId="77777777" w:rsidR="003A3D51" w:rsidRDefault="0002775A">
      <w:pPr>
        <w:pStyle w:val="P68B1DB1-Normal3"/>
        <w:numPr>
          <w:ilvl w:val="0"/>
          <w:numId w:val="3"/>
        </w:numPr>
        <w:spacing w:before="120" w:after="120" w:line="240" w:lineRule="auto"/>
        <w:jc w:val="both"/>
        <w:rPr>
          <w:noProof/>
        </w:rPr>
      </w:pPr>
      <w:r>
        <w:rPr>
          <w:noProof/>
        </w:rPr>
        <w:t>digitalisering av statliga och offentliga förvaltningars tjänster till företag.</w:t>
      </w:r>
    </w:p>
    <w:p w14:paraId="02B5D6AA" w14:textId="77777777" w:rsidR="003A3D51" w:rsidRDefault="0002775A">
      <w:pPr>
        <w:pStyle w:val="P68B1DB1-Normal3"/>
        <w:numPr>
          <w:ilvl w:val="0"/>
          <w:numId w:val="3"/>
        </w:numPr>
        <w:spacing w:before="120" w:after="120" w:line="240" w:lineRule="auto"/>
        <w:jc w:val="both"/>
        <w:rPr>
          <w:noProof/>
        </w:rPr>
      </w:pPr>
      <w:r>
        <w:rPr>
          <w:noProof/>
        </w:rPr>
        <w:t>förbättra de rättsliga villkoren för företag och fortsätta att lätta på den administrativa bördan och skattebördan.</w:t>
      </w:r>
    </w:p>
    <w:p w14:paraId="14F8F5BA" w14:textId="77777777" w:rsidR="003A3D51" w:rsidRDefault="0002775A">
      <w:pPr>
        <w:pStyle w:val="P68B1DB1-Normal3"/>
        <w:numPr>
          <w:ilvl w:val="0"/>
          <w:numId w:val="3"/>
        </w:numPr>
        <w:suppressAutoHyphens/>
        <w:spacing w:before="120" w:after="120" w:line="240" w:lineRule="auto"/>
        <w:jc w:val="both"/>
        <w:rPr>
          <w:noProof/>
        </w:rPr>
      </w:pPr>
      <w:r>
        <w:rPr>
          <w:noProof/>
        </w:rPr>
        <w:t>antagande av en strategi och handlingsplan för att förbättra bedömningen av de ekonomiska konsekvenserna</w:t>
      </w:r>
    </w:p>
    <w:p w14:paraId="2DF79C5E" w14:textId="77777777" w:rsidR="003A3D51" w:rsidRDefault="0002775A">
      <w:pPr>
        <w:pStyle w:val="P68B1DB1-Normal3"/>
        <w:spacing w:before="120" w:after="120" w:line="240" w:lineRule="auto"/>
        <w:jc w:val="both"/>
        <w:rPr>
          <w:noProof/>
        </w:rPr>
      </w:pPr>
      <w:r>
        <w:rPr>
          <w:noProof/>
        </w:rPr>
        <w:t>Reformen ska omfatta antagandet av den 5:e handlingsplanen för att minska den administrativa bördan och skatteliknande och andra avgifter, inrättandet av ett it-system för att övervaka genomförandet av åtgärderna och för att uppdatera och digitalisera registret över andra avgifter än skatter.</w:t>
      </w:r>
    </w:p>
    <w:p w14:paraId="0F368AAF" w14:textId="77777777" w:rsidR="003A3D51" w:rsidRDefault="0002775A">
      <w:pPr>
        <w:pStyle w:val="P68B1DB1-Normal3"/>
        <w:spacing w:before="120" w:after="120" w:line="240" w:lineRule="auto"/>
        <w:jc w:val="both"/>
        <w:rPr>
          <w:noProof/>
        </w:rPr>
      </w:pPr>
      <w:r>
        <w:rPr>
          <w:noProof/>
        </w:rPr>
        <w:t>Antagande av en strategi och handlingsplan för att förbättra de förfaranden för ekonomisk konsekvensbedömning som används inom den offentliga förvaltningen för att bättre stödja innovation och antagande av nya affärsmodeller. I detta sammanhang ska konsekvensbedömningen för små och medelstora företag överföras till en digital plattform för att underlätta samarbetet mellan offentliga administratörer och stödja utbildning och kommunikation online. Fortbildning av tjänstemän på särskilda områden ska ingå i investeringen. Åtgärder inom ramen för investeringen ska omfatta genomförandet av en regulatorisk sandlåda som möjliggör kontrollerad testning av nya affärsmodeller.</w:t>
      </w:r>
    </w:p>
    <w:p w14:paraId="3A730875" w14:textId="77777777" w:rsidR="003A3D51" w:rsidRDefault="0002775A">
      <w:pPr>
        <w:pStyle w:val="P68B1DB1-Normal3"/>
        <w:spacing w:before="120" w:after="120" w:line="240" w:lineRule="auto"/>
        <w:jc w:val="both"/>
        <w:rPr>
          <w:noProof/>
        </w:rPr>
      </w:pPr>
      <w:r>
        <w:rPr>
          <w:noProof/>
        </w:rPr>
        <w:t>Denna reform ska vara slutförd senast den 31 december 2024.</w:t>
      </w:r>
    </w:p>
    <w:p w14:paraId="6A1842C6" w14:textId="77777777" w:rsidR="003A3D51" w:rsidRDefault="0002775A">
      <w:pPr>
        <w:pStyle w:val="P68B1DB1-Normal5"/>
        <w:keepNext/>
        <w:spacing w:before="120" w:after="120" w:line="240" w:lineRule="auto"/>
        <w:ind w:left="850"/>
        <w:jc w:val="both"/>
        <w:rPr>
          <w:noProof/>
        </w:rPr>
      </w:pPr>
      <w:r>
        <w:rPr>
          <w:noProof/>
        </w:rPr>
        <w:t>Reform C1.1.1 R2 Fortsatt reform av reglerade yrken</w:t>
      </w:r>
    </w:p>
    <w:p w14:paraId="3FC690B4" w14:textId="77777777" w:rsidR="003A3D51" w:rsidRDefault="0002775A">
      <w:pPr>
        <w:pStyle w:val="P68B1DB1-Normal3"/>
        <w:spacing w:before="120" w:after="120" w:line="240" w:lineRule="auto"/>
        <w:jc w:val="both"/>
        <w:rPr>
          <w:noProof/>
        </w:rPr>
      </w:pPr>
      <w:r>
        <w:rPr>
          <w:noProof/>
        </w:rPr>
        <w:t>Syftet med reformen är att öka produktiviteten i Kroatiens ekonomi genom fortsatt liberalisering av tjänstemarknaderna. Reformen ska omfatta en förenkling eller ett fullständigt avskaffande av minst 50 lagstadgade krav för yrkesmässiga tjänster, på grundval av genomförandet av den andra och tredje handlingsplanen för liberalisering av tjänstemarknaderna, inbegripet yrkena advokater, notarier, skatterådgivare, revisorer, farmaceuter och apotek, fysioterapeuter, arkitekter, ingenjörer och turistguider, och med beaktande av Världsbankens rekommendationer om kostnader för registrering och medlemskap i yrkessammanslutningar, de fragmenterade ensamrätterna inom enskilda yrken (t.ex. för arkitekter och ingenjörer), tillhandahållande av yrkesexamina (t.ex. för arkitekter och ingenjörer) samt begränsningar i fråga om ägande och förvaltning av skatterådgivare.</w:t>
      </w:r>
    </w:p>
    <w:p w14:paraId="3FAA1D03" w14:textId="77777777" w:rsidR="003A3D51" w:rsidRDefault="0002775A">
      <w:pPr>
        <w:pStyle w:val="P68B1DB1-Normal3"/>
        <w:spacing w:before="120" w:after="120" w:line="240" w:lineRule="auto"/>
        <w:jc w:val="both"/>
        <w:rPr>
          <w:noProof/>
        </w:rPr>
      </w:pPr>
      <w:r>
        <w:rPr>
          <w:noProof/>
        </w:rPr>
        <w:t>Reformen ska vara genomförd senast den 31 december 2024.</w:t>
      </w:r>
    </w:p>
    <w:p w14:paraId="7C27CAD6" w14:textId="77777777" w:rsidR="003A3D51" w:rsidRDefault="0002775A">
      <w:pPr>
        <w:pStyle w:val="P68B1DB1-Normal5"/>
        <w:keepNext/>
        <w:spacing w:before="120" w:after="120" w:line="240" w:lineRule="auto"/>
        <w:ind w:left="850"/>
        <w:jc w:val="both"/>
        <w:rPr>
          <w:noProof/>
        </w:rPr>
      </w:pPr>
      <w:r>
        <w:rPr>
          <w:noProof/>
        </w:rPr>
        <w:t>Reform C1.1.1 R3 Främjande av den strategiska ramen för främjande av privata investeringar</w:t>
      </w:r>
    </w:p>
    <w:p w14:paraId="1D9D7047" w14:textId="77777777" w:rsidR="003A3D51" w:rsidRDefault="0002775A">
      <w:pPr>
        <w:pStyle w:val="P68B1DB1-Normal3"/>
        <w:spacing w:before="120" w:after="120" w:line="240" w:lineRule="auto"/>
        <w:jc w:val="both"/>
        <w:rPr>
          <w:noProof/>
        </w:rPr>
      </w:pPr>
      <w:r>
        <w:rPr>
          <w:noProof/>
        </w:rPr>
        <w:t xml:space="preserve">Syftet med reformen är att göra Kroatien till en attraktiv destination för investeringar genom utveckling och antagande av en strategisk ram för att främja och underlätta utländska direktinvesteringar. Reformen ska omfatta tre analytiska studier: tillhandahålla i) en översyn av det institutionella landskapet, ii) en bedömning av effekterna av utländska direktinvesteringar och iii) rekommendationer för regleringsmässiga, institutionella förändringar och utformning av skatteincitament. antagandet av den strategiska ramen, inbegripet en handlingsplan och inrättandet av en digital plattform för att underlätta genomförandet. Den strategiska ramen förväntas säkerställa politisk samstämmighet och samordning mellan olika ministerier och institutioner som arbetar med att främja och underlätta investeringar, maximera investeringarnas inverkan på produktivitet, jobbskapande och regional utveckling och stödja Kroatiens digitala omställning och klimatomställning. </w:t>
      </w:r>
    </w:p>
    <w:p w14:paraId="3BE90313" w14:textId="77777777" w:rsidR="003A3D51" w:rsidRDefault="0002775A">
      <w:pPr>
        <w:pStyle w:val="P68B1DB1-Normal3"/>
        <w:keepNext/>
        <w:spacing w:before="120" w:after="120" w:line="240" w:lineRule="auto"/>
        <w:jc w:val="both"/>
        <w:rPr>
          <w:noProof/>
          <w:u w:val="single"/>
        </w:rPr>
      </w:pPr>
      <w:r>
        <w:rPr>
          <w:noProof/>
        </w:rPr>
        <w:t>Reformen ska vara genomförd senast den 31 december 2024.</w:t>
      </w:r>
    </w:p>
    <w:p w14:paraId="7527BAFA" w14:textId="77777777" w:rsidR="003A3D51" w:rsidRDefault="0002775A">
      <w:pPr>
        <w:pStyle w:val="P68B1DB1-Normal5"/>
        <w:keepNext/>
        <w:spacing w:before="120" w:after="120" w:line="240" w:lineRule="auto"/>
        <w:ind w:firstLine="720"/>
        <w:jc w:val="both"/>
        <w:rPr>
          <w:noProof/>
        </w:rPr>
      </w:pPr>
      <w:r>
        <w:rPr>
          <w:noProof/>
        </w:rPr>
        <w:t>Reform C1.1.1 R6 Utveckling av motståndskraftiga kulturella och kreativa sektorer</w:t>
      </w:r>
    </w:p>
    <w:p w14:paraId="103D092D" w14:textId="77777777" w:rsidR="003A3D51" w:rsidRDefault="0002775A">
      <w:pPr>
        <w:pStyle w:val="P68B1DB1-Normal3"/>
        <w:spacing w:before="120" w:after="120" w:line="240" w:lineRule="auto"/>
        <w:jc w:val="both"/>
        <w:rPr>
          <w:noProof/>
        </w:rPr>
      </w:pPr>
      <w:r>
        <w:rPr>
          <w:noProof/>
        </w:rPr>
        <w:t xml:space="preserve">Reformen ska omfatta ikraftträdandet av ändringar av lagen om elektroniska medier och upphovsrätt och närstående rättigheter som fastställer ett effektivt rättsligt skydd för upphovsmän till kreativt, kulturellt och medieinnehåll på internet, med beaktande av behovet av att undanröja hinder för en framgångsrik kommersialisering av skyddat innehåll på internet. Den nya rättsliga ramen förväntas uppmuntra entreprenörer att anpassa sina affärsprocesser till branschstandarderna på den digitala inre marknaden genom att utveckla nya och innovativa affärsmodeller på nätet och nya och innovativa produkter och tjänster. </w:t>
      </w:r>
    </w:p>
    <w:p w14:paraId="1095BCAC" w14:textId="77777777" w:rsidR="003A3D51" w:rsidRDefault="0002775A">
      <w:pPr>
        <w:pStyle w:val="P68B1DB1-Normal3"/>
        <w:spacing w:before="120" w:after="120" w:line="240" w:lineRule="auto"/>
        <w:jc w:val="both"/>
        <w:rPr>
          <w:noProof/>
        </w:rPr>
      </w:pPr>
      <w:r>
        <w:rPr>
          <w:noProof/>
        </w:rPr>
        <w:t>Den reformerade upphovsrättsliga ramen förväntas främja de kulturella och kreativa näringarna genom att tillhandahålla en stabil rättslig ram för skapandet av onlineplattformar och onlineapplikationer, underlätta licensiering online av kreativt, kulturellt och medieinnehåll och därigenom främja kulturell och språklig mångfald samt mediemångfald. Ändringar av den rättsliga ramen för medier och upphovsrätt förväntas underlätta gränsöverskridande distribution av tv- och radioprogram genom att tillhandahålla tydliga regler om så kallad direkt signalcirkulation och underlätta vidareutnyttjande av offentligt innehåll för att skapa nya innovativa produkter och tjänster på den digitala inre marknaden. Lagstiftningsreformen ska dessutom säkerställa insyn i offentliggörandet av ägarstrukturer kopplade till registret över verkliga huvudmän och offentliggörandet av denna information på leverantörens webbplats, och ökad transparens ska också införas när det gäller information om belopp och finansieringskällor.</w:t>
      </w:r>
    </w:p>
    <w:p w14:paraId="5B73C43C" w14:textId="77777777" w:rsidR="003A3D51" w:rsidRDefault="0002775A">
      <w:pPr>
        <w:pStyle w:val="P68B1DB1-Normal3"/>
        <w:spacing w:before="120" w:after="120" w:line="240" w:lineRule="auto"/>
        <w:jc w:val="both"/>
        <w:rPr>
          <w:noProof/>
        </w:rPr>
      </w:pPr>
      <w:r>
        <w:rPr>
          <w:noProof/>
        </w:rPr>
        <w:t>Reformen ska vara genomförd senast den 30 juni 2022.</w:t>
      </w:r>
    </w:p>
    <w:p w14:paraId="033C2304" w14:textId="77777777" w:rsidR="003A3D51" w:rsidRDefault="0002775A">
      <w:pPr>
        <w:pStyle w:val="P68B1DB1-Normal5"/>
        <w:keepNext/>
        <w:spacing w:before="120" w:after="120" w:line="240" w:lineRule="auto"/>
        <w:ind w:left="850"/>
        <w:jc w:val="both"/>
        <w:rPr>
          <w:noProof/>
        </w:rPr>
      </w:pPr>
      <w:r>
        <w:rPr>
          <w:noProof/>
        </w:rPr>
        <w:t>Investering C1.1.1 R1-I1 Digitalisering av offentliga förvaltningstjänster som tillhandahålls företagssektorn (G2B)</w:t>
      </w:r>
    </w:p>
    <w:p w14:paraId="3518158A" w14:textId="77777777" w:rsidR="003A3D51" w:rsidRDefault="0002775A">
      <w:pPr>
        <w:pStyle w:val="P68B1DB1-Normal3"/>
        <w:spacing w:before="120" w:after="120" w:line="240" w:lineRule="auto"/>
        <w:jc w:val="both"/>
        <w:rPr>
          <w:noProof/>
        </w:rPr>
      </w:pPr>
      <w:r>
        <w:rPr>
          <w:noProof/>
        </w:rPr>
        <w:t>Syftet med investeringen är att förbättra tillgängligheten, insynen och effektiviteten i de offentliga tjänster som tillhandahålls företag genom deras digitalisering inom utvalda prioriterade områden såsom företagsregistrering och licensiering. Detta förväntas göra det möjligt att ytterligare integrera information om marknadsinträde och investeringar i Kroatien och därigenom förbättra uppgifternas exakthet och tillgänglighet och följaktligen utformningen och genomförandet av politiken på de olika förvaltningsnivåerna. Slutligen är syftet att förbättra informationsutbytet och konsolideringen av uppgifter i offentliga förvaltningar i syfte att genomföra engångsprincipen.</w:t>
      </w:r>
    </w:p>
    <w:p w14:paraId="77FF14BE" w14:textId="77777777" w:rsidR="003A3D51" w:rsidRDefault="0002775A">
      <w:pPr>
        <w:pStyle w:val="P68B1DB1-Normal3"/>
        <w:spacing w:before="120" w:after="120" w:line="240" w:lineRule="auto"/>
        <w:jc w:val="both"/>
        <w:rPr>
          <w:noProof/>
        </w:rPr>
      </w:pPr>
      <w:r>
        <w:rPr>
          <w:noProof/>
        </w:rPr>
        <w:t>Investeringen ska omfatta följande åtgärder:</w:t>
      </w:r>
    </w:p>
    <w:p w14:paraId="0FCBA40E" w14:textId="77777777" w:rsidR="003A3D51" w:rsidRDefault="0002775A">
      <w:pPr>
        <w:pStyle w:val="P68B1DB1-Normal3"/>
        <w:numPr>
          <w:ilvl w:val="0"/>
          <w:numId w:val="3"/>
        </w:numPr>
        <w:spacing w:before="120" w:after="120" w:line="240" w:lineRule="auto"/>
        <w:jc w:val="both"/>
        <w:rPr>
          <w:noProof/>
        </w:rPr>
      </w:pPr>
      <w:r>
        <w:rPr>
          <w:noProof/>
        </w:rPr>
        <w:t>Den första åtgärden omfattar investeringar som ska bygga på den befintliga digitala plattformen Start för att inrätta aktiebolag och göra det möjligt för användare att registrera nya företag online. Denna åtgärd ska utvidga Start-plattformens funktioner i syfte att öka tjänstevolymen, förbättra systemets tillgänglighet och tillgänglighet och säkerställa att alla nya företagsdata integreras i en databas. Tre investeringsprojekt ska genomföras inom ramen för denna åtgärd. För det första, för att öka användningen av Start-plattformen och bättre integrera de processer som inleddes genom de digitala och fysiska plattformarna, ska 20 nya fysiska åtkomstpunkter till Start-plattformen inrättas, utrustas och tas i drift i olika delar av finansbyrån. För det andra ska nya funktioner införas i Start-plattformen genom att den uppgraderas och kopplas till de olika databaserna i företagsregistret för att möjliggöra tillgång till administrativa förfaranden genom digital autentisering. För det tredje ska en plattform för digital licensiering (Start Plus) inrättas för att öka insynen i villkoren för marknadstillträde samt insynen i företagsregleringar.</w:t>
      </w:r>
    </w:p>
    <w:p w14:paraId="12615746" w14:textId="77777777" w:rsidR="003A3D51" w:rsidRDefault="0002775A">
      <w:pPr>
        <w:pStyle w:val="P68B1DB1-Normal3"/>
        <w:numPr>
          <w:ilvl w:val="0"/>
          <w:numId w:val="3"/>
        </w:numPr>
        <w:spacing w:before="120" w:after="120" w:line="240" w:lineRule="auto"/>
        <w:jc w:val="both"/>
        <w:rPr>
          <w:noProof/>
        </w:rPr>
      </w:pPr>
      <w:r>
        <w:rPr>
          <w:noProof/>
        </w:rPr>
        <w:t>Den andra åtgärden omfattar en konsolidering av företagens obligatoriska avgifter och är ett av villkoren för Kroatiens anslutning till den europeiska växelkursmekanismen II (ERM II) och bankunionen. Åtgärden ska inrätta en gemensam digital avgiftsplattform som ska göra det möjligt att betala de sju mest frekventa och kostnadsintensiva obligatoriska avgifterna för företag och bidra till att optimera den befintliga administrativa processen genom att erbjuda följande funktioner: i) förteckna de avgifter som ska betalas av företagaren, ii) upprätthålla en betalningskalender med tidsfrister för avveckling, iii) ge möjlighet att fylla i och lämna in de erforderliga formulären i elektroniskt format till de behöriga institutionerna, iv) ge möjlighet till direkt onlinebetalning av avgifter och v) ge en översikt över de avgifter som betalats.</w:t>
      </w:r>
    </w:p>
    <w:p w14:paraId="3B5DD605" w14:textId="77777777" w:rsidR="003A3D51" w:rsidRDefault="0002775A">
      <w:pPr>
        <w:pStyle w:val="P68B1DB1-Normal3"/>
        <w:numPr>
          <w:ilvl w:val="0"/>
          <w:numId w:val="3"/>
        </w:numPr>
        <w:spacing w:before="120" w:after="120" w:line="240" w:lineRule="auto"/>
        <w:jc w:val="both"/>
        <w:rPr>
          <w:noProof/>
        </w:rPr>
      </w:pPr>
      <w:r>
        <w:rPr>
          <w:noProof/>
        </w:rPr>
        <w:t>Den tredje åtgärden ska förenkla och digitalisera förfarandena i samband med lagen om strategiska investeringsprojekt, lagen om främjande av investeringar och lagen om statligt stöd till forsknings- och utvecklingsprojekt. samt vidareutveckla och uppgradera den elektroniska företagsdatabas som upprättats enligt lagen om förbättring av företagsinfrastruktur. Digitaliseringen av ovannämnda förfaranden ska innebära att det införs en digital plattform för inlämning av och tillgång till ansökningar.</w:t>
      </w:r>
    </w:p>
    <w:p w14:paraId="19E8637F" w14:textId="77777777" w:rsidR="003A3D51" w:rsidRDefault="0002775A">
      <w:pPr>
        <w:pStyle w:val="P68B1DB1-Normal3"/>
        <w:spacing w:before="120" w:after="120" w:line="240" w:lineRule="auto"/>
        <w:jc w:val="both"/>
        <w:rPr>
          <w:noProof/>
        </w:rPr>
      </w:pPr>
      <w:r>
        <w:rPr>
          <w:noProof/>
        </w:rPr>
        <w:t>De första och tredje åtgärderna ska vara avslutade senast den 31 december 2024 och den andra åtgärden ska vara slutförd senast den 30 juni 2022.</w:t>
      </w:r>
    </w:p>
    <w:p w14:paraId="033DC546" w14:textId="77777777" w:rsidR="003A3D51" w:rsidRDefault="0002775A">
      <w:pPr>
        <w:pStyle w:val="P68B1DB1-Normal5"/>
        <w:keepNext/>
        <w:spacing w:before="120" w:after="120" w:line="240" w:lineRule="auto"/>
        <w:ind w:left="850"/>
        <w:jc w:val="both"/>
        <w:rPr>
          <w:noProof/>
        </w:rPr>
      </w:pPr>
      <w:r>
        <w:rPr>
          <w:noProof/>
        </w:rPr>
        <w:t>Investeringar C1.1.1 R1 – I2 Fortsatt administrativ och skattemässig lättnad</w:t>
      </w:r>
    </w:p>
    <w:p w14:paraId="73C5C281" w14:textId="77777777" w:rsidR="003A3D51" w:rsidRDefault="0002775A">
      <w:pPr>
        <w:pStyle w:val="P68B1DB1-Normal3"/>
        <w:spacing w:before="120" w:after="120" w:line="240" w:lineRule="auto"/>
        <w:jc w:val="both"/>
        <w:rPr>
          <w:noProof/>
        </w:rPr>
      </w:pPr>
      <w:r>
        <w:rPr>
          <w:noProof/>
        </w:rPr>
        <w:t xml:space="preserve">Denna investering utgör en integrerad del av den pågående reformen av företagsklimatet som syftar till att ytterligare minska företagens administrativa och skattemässiga börda och ska omfatta åtgärder för att genomföra fyra handlingsplaner som förväntas avsevärt förbättra företagsklimatet i Kroatien. </w:t>
      </w:r>
    </w:p>
    <w:p w14:paraId="04C3B1ED" w14:textId="77777777" w:rsidR="003A3D51" w:rsidRDefault="0002775A">
      <w:pPr>
        <w:pStyle w:val="P68B1DB1-Normal3"/>
        <w:spacing w:before="120" w:after="120" w:line="240" w:lineRule="auto"/>
        <w:jc w:val="both"/>
        <w:rPr>
          <w:noProof/>
        </w:rPr>
      </w:pPr>
      <w:r>
        <w:rPr>
          <w:noProof/>
        </w:rPr>
        <w:t>Denna investering är uppdelad i två undergrupper av åtgärder som ska omfatta följande:</w:t>
      </w:r>
    </w:p>
    <w:p w14:paraId="628D7A3B" w14:textId="77777777" w:rsidR="003A3D51" w:rsidRDefault="0002775A">
      <w:pPr>
        <w:pStyle w:val="P68B1DB1-Normal3"/>
        <w:numPr>
          <w:ilvl w:val="0"/>
          <w:numId w:val="3"/>
        </w:numPr>
        <w:spacing w:before="120" w:after="120" w:line="240" w:lineRule="auto"/>
        <w:jc w:val="both"/>
        <w:rPr>
          <w:noProof/>
        </w:rPr>
      </w:pPr>
      <w:r>
        <w:rPr>
          <w:noProof/>
        </w:rPr>
        <w:t>Genomförandet av handlingsplanerna för 2017, 2018, 2019 och 2020 för att minska den administrativa bördan på områdena fiske, fytosanitär och veterinärkontroll, turism och hotell- och restaurangnäringen, avfallshantering, social välfärd, vetenskaplig verksamhet och rättsliga förfaranden genom optimering och digitalisering av de mest betungande administrativa förfarandena. Denna delinvestering ska också stödja ett fullständigt genomförande av handlingsplanen för att minska skatteliknande avgifter på områdena energiverksamhet, jordbruk och fastighetsregistret.</w:t>
      </w:r>
    </w:p>
    <w:p w14:paraId="68971EEB" w14:textId="77777777" w:rsidR="003A3D51" w:rsidRDefault="0002775A">
      <w:pPr>
        <w:pStyle w:val="P68B1DB1-Normal3"/>
        <w:numPr>
          <w:ilvl w:val="0"/>
          <w:numId w:val="3"/>
        </w:numPr>
        <w:spacing w:before="120" w:after="120" w:line="240" w:lineRule="auto"/>
        <w:jc w:val="both"/>
        <w:rPr>
          <w:noProof/>
        </w:rPr>
      </w:pPr>
      <w:r>
        <w:rPr>
          <w:noProof/>
        </w:rPr>
        <w:t>Genomförandet av den 5:e handlingsplanen för minskning av den administrativa bördan med ytterligare 265 445 617 EUR (2 000 000 000 kroatiska kuna), minskning av skatteliknande och andra avgifter med 132 722 808 EUR (1 000 000 000 kroatiska kuna) och inrättande av ett it-system för att övervaka genomförandet av åtgärderna och uppdatera och digitalisera registret över andra avgifter än skatter.</w:t>
      </w:r>
    </w:p>
    <w:p w14:paraId="088A1662" w14:textId="77777777" w:rsidR="003A3D51" w:rsidRDefault="0002775A">
      <w:pPr>
        <w:pStyle w:val="P68B1DB1-Normal3"/>
        <w:spacing w:before="120" w:after="120" w:line="240" w:lineRule="auto"/>
        <w:jc w:val="both"/>
        <w:rPr>
          <w:noProof/>
        </w:rPr>
      </w:pPr>
      <w:r>
        <w:rPr>
          <w:noProof/>
        </w:rPr>
        <w:t xml:space="preserve">Den första deluppsättningen åtgärder ska vara slutförd senast den 31 december 2022. Den andra deluppsättningen åtgärder ska vara slutförd senast den 31 december 2025. </w:t>
      </w:r>
    </w:p>
    <w:p w14:paraId="34896E7E" w14:textId="77777777" w:rsidR="003A3D51" w:rsidRDefault="0002775A">
      <w:pPr>
        <w:pStyle w:val="P68B1DB1-Normal5"/>
        <w:keepNext/>
        <w:spacing w:before="120" w:after="120" w:line="240" w:lineRule="auto"/>
        <w:ind w:left="850"/>
        <w:jc w:val="both"/>
        <w:rPr>
          <w:noProof/>
        </w:rPr>
      </w:pPr>
      <w:r>
        <w:rPr>
          <w:noProof/>
        </w:rPr>
        <w:t>Investering C1.1.1 R4 – I1 Stöd till företag för övergången till en energi- och resurseffektiv ekonomi</w:t>
      </w:r>
    </w:p>
    <w:p w14:paraId="176096CA" w14:textId="77777777" w:rsidR="003A3D51" w:rsidRDefault="0002775A">
      <w:pPr>
        <w:pStyle w:val="P68B1DB1-Normal3"/>
        <w:spacing w:before="120" w:after="120" w:line="240" w:lineRule="auto"/>
        <w:jc w:val="both"/>
        <w:rPr>
          <w:noProof/>
        </w:rPr>
      </w:pPr>
      <w:r>
        <w:rPr>
          <w:noProof/>
        </w:rPr>
        <w:t>Investeringen ska genom bidrag finansiera produktiva investeringar av små och medelstora företag samt medelstora börsnoterade företag i grön teknik som bidrar till en energi- och resurseffektiv ekonomi i energiintensiva industrier, inbegripet metall-, textil-, livsmedels-, kemi-, bygg- och träbearbetningsindustrin. Dessa energiintensiva industrier sysselsätter ett stort antal människor och utfasningen av fossila bränslen kräver betydande investeringar. Bidrag får endast beviljas ekonomiskt bärkraftiga företag från ovannämnda stödberättigade sektorer om de kan visa att de planerade investeringarna bidrar till ett eller flera av följande mål:</w:t>
      </w:r>
    </w:p>
    <w:p w14:paraId="6F859401" w14:textId="77777777" w:rsidR="003A3D51" w:rsidRDefault="0002775A">
      <w:pPr>
        <w:pStyle w:val="P68B1DB1-Normal3"/>
        <w:numPr>
          <w:ilvl w:val="0"/>
          <w:numId w:val="3"/>
        </w:numPr>
        <w:spacing w:before="120" w:after="120" w:line="240" w:lineRule="auto"/>
        <w:jc w:val="both"/>
        <w:rPr>
          <w:noProof/>
        </w:rPr>
      </w:pPr>
      <w:r>
        <w:rPr>
          <w:noProof/>
        </w:rPr>
        <w:t>främja en cirkulär ekonomi genom att införa resurseffektivitet i produkternas produktionscykel och livscykel, inbegripet hållbar försörjning av primära och sekundära råvaror.</w:t>
      </w:r>
    </w:p>
    <w:p w14:paraId="728BD548" w14:textId="77777777" w:rsidR="003A3D51" w:rsidRDefault="0002775A">
      <w:pPr>
        <w:pStyle w:val="P68B1DB1-Normal3"/>
        <w:numPr>
          <w:ilvl w:val="0"/>
          <w:numId w:val="3"/>
        </w:numPr>
        <w:spacing w:before="120" w:after="120" w:line="240" w:lineRule="auto"/>
        <w:jc w:val="both"/>
        <w:rPr>
          <w:noProof/>
        </w:rPr>
      </w:pPr>
      <w:r>
        <w:rPr>
          <w:noProof/>
        </w:rPr>
        <w:t>utfasning av fossila bränslen och utsläppsminskningar i energiintensiva industrier, inbegripet demonstration och användning av innovativ utsläppssnål teknik.</w:t>
      </w:r>
    </w:p>
    <w:p w14:paraId="79823326" w14:textId="77777777" w:rsidR="003A3D51" w:rsidRDefault="0002775A">
      <w:pPr>
        <w:pStyle w:val="P68B1DB1-Normal3"/>
        <w:spacing w:before="120" w:after="120" w:line="240" w:lineRule="auto"/>
        <w:jc w:val="both"/>
        <w:rPr>
          <w:noProof/>
        </w:rPr>
      </w:pPr>
      <w:r>
        <w:rPr>
          <w:noProof/>
        </w:rPr>
        <w:t>Bidraget till ovanstående mål ska visas med hänvisning till interventionsområdena i bilagorna VI och VII till förordning (EU) 2021/241. Den förväntade effekten av de investeringar som finansieras genom denna åtgärd är en minskning av skadliga utsläpp med minst 20 % jämfört med investeringar som inte syftar till energieffektivitet och användning av förnybara energikällor, användningen av återvunnet material och återvinningsbara material i den totala materialvolymen i produktionen ska vara minst 20 %.</w:t>
      </w:r>
    </w:p>
    <w:p w14:paraId="12F12CB9" w14:textId="77777777" w:rsidR="003A3D51" w:rsidRDefault="0002775A">
      <w:pPr>
        <w:pStyle w:val="P68B1DB1-Normal3"/>
        <w:spacing w:before="120" w:after="120" w:line="240" w:lineRule="auto"/>
        <w:jc w:val="both"/>
        <w:rPr>
          <w:noProof/>
        </w:rPr>
      </w:pPr>
      <w:r>
        <w:rPr>
          <w:noProof/>
        </w:rPr>
        <w:t xml:space="preserve">För att säkerställa att åtgärden är förenlig med den tekniska vägledningen om att inte orsaka betydande skada (2021/C58/01) ska de kriterier för stödberättigande som ingår i kravspecifikationen för kommande ansökningsomgångar för projekt </w:t>
      </w:r>
    </w:p>
    <w:p w14:paraId="494D68AF" w14:textId="77777777" w:rsidR="003A3D51" w:rsidRDefault="0002775A">
      <w:pPr>
        <w:pStyle w:val="P68B1DB1-Normal3"/>
        <w:numPr>
          <w:ilvl w:val="0"/>
          <w:numId w:val="5"/>
        </w:numPr>
        <w:spacing w:before="120" w:after="120" w:line="240" w:lineRule="auto"/>
        <w:jc w:val="both"/>
        <w:rPr>
          <w:noProof/>
        </w:rPr>
      </w:pPr>
      <w:r>
        <w:rPr>
          <w:noProof/>
        </w:rPr>
        <w:t>kräva tillämpning av kommissionens tekniska vägledning om hållbarhetssäkring för InvestEU-fonden</w:t>
      </w:r>
      <w:r>
        <w:rPr>
          <w:noProof/>
        </w:rPr>
        <w:footnoteReference w:id="2"/>
      </w:r>
      <w:r>
        <w:rPr>
          <w:noProof/>
        </w:rPr>
        <w:t>. och</w:t>
      </w:r>
    </w:p>
    <w:p w14:paraId="39B5D33F" w14:textId="77777777" w:rsidR="003A3D51" w:rsidRDefault="0002775A">
      <w:pPr>
        <w:pStyle w:val="P68B1DB1-Normal3"/>
        <w:numPr>
          <w:ilvl w:val="0"/>
          <w:numId w:val="5"/>
        </w:numPr>
        <w:spacing w:before="120" w:after="120" w:line="240" w:lineRule="auto"/>
        <w:jc w:val="both"/>
        <w:rPr>
          <w:noProof/>
        </w:rPr>
      </w:pPr>
      <w:r>
        <w:rPr>
          <w:noProof/>
        </w:rPr>
        <w:t>undanta följande verksamheter och tillgångar från stödberättigande: (i) Verksamhet och tillgångar med anknytning till fossila bränslen, inbegripet användning i senare led</w:t>
      </w:r>
      <w:r>
        <w:rPr>
          <w:noProof/>
        </w:rPr>
        <w:footnoteReference w:id="3"/>
      </w:r>
      <w:r>
        <w:rPr>
          <w:noProof/>
        </w:rPr>
        <w:t>. II) Verksamhet och tillgångar inom ramen för EU:s utsläppshandelssystem som uppnår beräknade växthusgasutsläpp som inte är lägre än de relevanta riktmärkena</w:t>
      </w:r>
      <w:r>
        <w:rPr>
          <w:noProof/>
        </w:rPr>
        <w:footnoteReference w:id="4"/>
      </w:r>
      <w:r>
        <w:rPr>
          <w:noProof/>
        </w:rPr>
        <w:t>. III) Verksamhet och tillgångar i samband med avfallsdeponier, förbränningsanläggningar</w:t>
      </w:r>
      <w:r>
        <w:rPr>
          <w:noProof/>
        </w:rPr>
        <w:footnoteReference w:id="5"/>
      </w:r>
      <w:r>
        <w:rPr>
          <w:noProof/>
        </w:rPr>
        <w:t xml:space="preserve"> och anläggningar för mekanisk biologisk behandling</w:t>
      </w:r>
      <w:r>
        <w:rPr>
          <w:noProof/>
        </w:rPr>
        <w:footnoteReference w:id="6"/>
      </w:r>
      <w:r>
        <w:rPr>
          <w:noProof/>
        </w:rPr>
        <w:t>. och iv) verksamheter och tillgångar där det långsiktiga bortskaffandet av avfall kan skada miljön. och</w:t>
      </w:r>
    </w:p>
    <w:p w14:paraId="0F75F148" w14:textId="77777777" w:rsidR="003A3D51" w:rsidRDefault="0002775A">
      <w:pPr>
        <w:pStyle w:val="P68B1DB1-Normal3"/>
        <w:numPr>
          <w:ilvl w:val="0"/>
          <w:numId w:val="5"/>
        </w:numPr>
        <w:spacing w:before="120" w:after="120" w:line="240" w:lineRule="auto"/>
        <w:jc w:val="both"/>
        <w:rPr>
          <w:noProof/>
        </w:rPr>
      </w:pPr>
      <w:r>
        <w:rPr>
          <w:noProof/>
        </w:rPr>
        <w:t>kräva kontroll av projektens rättsliga efterlevnad av relevant EU-lagstiftning och nationell miljölagstiftning för alla transaktioner, även de som är undantagna från hållbarhetssäkring.</w:t>
      </w:r>
    </w:p>
    <w:p w14:paraId="3AB5FF05" w14:textId="2563B451" w:rsidR="003A3D51" w:rsidRDefault="0002775A">
      <w:pPr>
        <w:pStyle w:val="P68B1DB1-Normal3"/>
        <w:spacing w:before="120" w:after="120" w:line="240" w:lineRule="auto"/>
        <w:jc w:val="both"/>
        <w:rPr>
          <w:noProof/>
        </w:rPr>
      </w:pPr>
      <w:r>
        <w:rPr>
          <w:noProof/>
        </w:rPr>
        <w:t>Investeringen ska vara slutförd senast den 30 september 2025.</w:t>
      </w:r>
    </w:p>
    <w:p w14:paraId="73052E91" w14:textId="77777777" w:rsidR="003A3D51" w:rsidRDefault="0002775A">
      <w:pPr>
        <w:pStyle w:val="P68B1DB1-Normal5"/>
        <w:keepNext/>
        <w:spacing w:before="120" w:after="120" w:line="240" w:lineRule="auto"/>
        <w:ind w:left="850"/>
        <w:jc w:val="both"/>
        <w:rPr>
          <w:noProof/>
        </w:rPr>
      </w:pPr>
      <w:r>
        <w:rPr>
          <w:noProof/>
        </w:rPr>
        <w:t>Investering C1.1.1 R4 – I2 Finansieringsinstrument för mikroföretag samt små och medelstora företag</w:t>
      </w:r>
    </w:p>
    <w:p w14:paraId="28D86305" w14:textId="77777777" w:rsidR="003A3D51" w:rsidRDefault="0002775A">
      <w:pPr>
        <w:pStyle w:val="P68B1DB1-Normal3"/>
        <w:spacing w:before="120" w:after="120" w:line="240" w:lineRule="auto"/>
        <w:jc w:val="both"/>
        <w:rPr>
          <w:noProof/>
        </w:rPr>
      </w:pPr>
      <w:r>
        <w:rPr>
          <w:noProof/>
        </w:rPr>
        <w:t>Syftet med investeringen är att ytterligare uppmuntra investeringsverksamheten på den kroatiska marknaden genom att tillhandahålla gynnsammare finansieringsvillkor för små och medelstora företag i tillväxt- och utvecklingsfasen (enheter med tillgång till finansiering) och stödja tillgången till finansiering för särskilda målgrupper som vanligtvis inte har sådan tillgång (t.ex. mikroföretag, nystartade företag, unga företagare, investeringar i forskning, utveckling och innovation, ekonomiska aktörer som investerar i mindre utvecklade områden). De finansieringsinstrument som förväntas användas inom ramen för denna investering är i) direkta lån från den kroatiska byrån för små och medelstora företag, innovation och investeringar (HAMAG BICRO) och den kroatiska banken för återuppbyggnad och utveckling (HBOR) till mikroföretag och små och medelstora företag som på grund av sin storlek, brist på affärshistorik och i allmänhet högre finansieringsrisker vanligtvis har svårt att få tillgång eller inte har tillgång till banklån, och ii) räntesubventioner till mikroföretag och små och medelstora företag i tillväxt- och utvecklingsfasen som beviljats av HAMAG BICRO och HBOR genom deras regelbundna garanti- och låneprogram och som genomförs i samarbete med finansiella intermediärer eller genom direkt utlåning från HBOR.</w:t>
      </w:r>
    </w:p>
    <w:p w14:paraId="105B717D" w14:textId="77777777" w:rsidR="003A3D51" w:rsidRDefault="0002775A">
      <w:pPr>
        <w:pStyle w:val="P68B1DB1-Normal3"/>
        <w:spacing w:before="120" w:after="120" w:line="240" w:lineRule="auto"/>
        <w:jc w:val="both"/>
        <w:rPr>
          <w:noProof/>
        </w:rPr>
      </w:pPr>
      <w:r>
        <w:rPr>
          <w:noProof/>
        </w:rPr>
        <w:t>Investeringen ska omfatta följande finansiella instrument:</w:t>
      </w:r>
    </w:p>
    <w:p w14:paraId="1F1D8481" w14:textId="77777777" w:rsidR="003A3D51" w:rsidRDefault="0002775A">
      <w:pPr>
        <w:pStyle w:val="P68B1DB1-Normal3"/>
        <w:numPr>
          <w:ilvl w:val="0"/>
          <w:numId w:val="3"/>
        </w:numPr>
        <w:spacing w:before="120" w:after="120" w:line="240" w:lineRule="auto"/>
        <w:jc w:val="both"/>
        <w:rPr>
          <w:noProof/>
        </w:rPr>
      </w:pPr>
      <w:r>
        <w:rPr>
          <w:noProof/>
        </w:rPr>
        <w:t>HAMAG BICRO ska direkt tillhandahålla mikrokrediter på upp till 100 000 EUR till mikroföretag samt små och medelstora företag, som på grund av sin storlek och kreditens storlek vanligtvis har svårare att få tillgång till finansiering under en period på upp till tio år, med förmånliga räntor och lägre krav på säkerhet för lån. Detta finansieringsinstrument förväntas tillhandahålla 39 816 843 EUR (300 000 000 kroatiska kuna) i finansiering. Minst 7 608 756 EUR (57 328 173 HRK) ska avsättas för att stödja miljövänliga produktionsprocesser och förbättra resurseffektiviteten i små och medelstora företag, 6 327 139 EUR (47 671 827 HRK) ska användas för att hjälpa små och medelstora företag att digitalisera sin verksamhet, och återstående 25 880 948 EUR (195 000 000 HRK) ska avsättas för investeringar som syftar till att stärka konkurrenskraften och motståndskraften. Detta finansieringsinstrument ska förvaltas separat från andra HAMAG-BICRO-instrument för att säkerställa att outnyttjade medel eller återbetalningar från detta instrument, genom återbetalning av kapitalet, används för liknande ändamål och med samma stödberättigandevillkor när det gäller miljöpåverkan.</w:t>
      </w:r>
    </w:p>
    <w:p w14:paraId="4A711644" w14:textId="77777777" w:rsidR="003A3D51" w:rsidRDefault="0002775A">
      <w:pPr>
        <w:pStyle w:val="P68B1DB1-Normal3"/>
        <w:numPr>
          <w:ilvl w:val="0"/>
          <w:numId w:val="3"/>
        </w:numPr>
        <w:spacing w:before="120" w:after="120" w:line="240" w:lineRule="auto"/>
        <w:jc w:val="both"/>
        <w:rPr>
          <w:noProof/>
        </w:rPr>
      </w:pPr>
      <w:r>
        <w:rPr>
          <w:noProof/>
        </w:rPr>
        <w:t>HBOR ska direkt tillhandahålla lån på mer än 100 000 EUR till mikroföretag samt små och medelstora företag, som på grund av en högre risknivå tenderar att ha svårare att få tillgång till finansiering, med förmånliga räntor och lägre krav på säkerhet för lån. Åtgärden förväntas främst inriktas på finansiering av projekt som genomförs av nystartade företag, unga företagare, kvinnliga företagare, investeringar i forskning, utveckling och innovation samt investeringar i ekonomiskt mindre utvecklade områden. Detta finansieringsinstrument förväntas tillhandahålla 66 361 404 EUR (500 000 000 kroatiska kuna) i finansiering. Minst 12 681 260 EUR (95 546 955 HRK) ska avsättas för att stödja miljövänliga produktionsprocesser och förbättra resurseffektiviteten i små och medelstora företag, 10 545 231 EUR (79 453 045 HRK) ska användas för att hjälpa små och medelstora företag att digitalisera sin verksamhet, och återstående 43 134 913 EUR (325 000 000 HRK) ska avsättas för investeringar som syftar till att stärka konkurrenskraften och motståndskraften. Detta finansieringsinstrument ska förvaltas separat från andra HBOR-instrument för att säkerställa att outnyttjade medel eller återbetalningar från detta instrument, genom återbetalning av kapitalet, används för liknande ändamål och med samma stödberättigandevillkor med avseende på miljöpåverkan och miljöpåverkan.</w:t>
      </w:r>
    </w:p>
    <w:p w14:paraId="6F6FFA87" w14:textId="77777777" w:rsidR="003A3D51" w:rsidRDefault="0002775A">
      <w:pPr>
        <w:pStyle w:val="P68B1DB1-Normal3"/>
        <w:numPr>
          <w:ilvl w:val="0"/>
          <w:numId w:val="3"/>
        </w:numPr>
        <w:spacing w:before="120" w:after="120" w:line="240" w:lineRule="auto"/>
        <w:jc w:val="both"/>
        <w:rPr>
          <w:noProof/>
        </w:rPr>
      </w:pPr>
      <w:r>
        <w:rPr>
          <w:noProof/>
        </w:rPr>
        <w:t>Inrättande av en fond för räntesubventioner för att underlätta lånevillkoren för banklån som beviljats inom ramen för de befintliga garantisystemen HAMAG BICRO till mikroföretag samt små och medelstora företag. Detta finansieringsinstrument förväntas tillhandahålla 13 272 281 EUR (100 000 000 kroatiska kuna) i finansiering. Minst 2 536 252 EUR (19 109 391 HRK) ska avsättas för att stödja miljövänliga produktionsprocesser och förbättra resurseffektiviteten i små och medelstora företag, 2 109 046 EUR (15 890 609 HRK) ska användas för att hjälpa små och medelstora företag att digitalisera sin verksamhet, och återstående 8 626 983 EUR (65 000 000 HRK) ska avsättas för investeringar som syftar till att stärka konkurrenskraften och motståndskraften.</w:t>
      </w:r>
    </w:p>
    <w:p w14:paraId="35EB065A" w14:textId="77777777" w:rsidR="003A3D51" w:rsidRDefault="0002775A">
      <w:pPr>
        <w:pStyle w:val="P68B1DB1-Normal3"/>
        <w:numPr>
          <w:ilvl w:val="0"/>
          <w:numId w:val="3"/>
        </w:numPr>
        <w:spacing w:before="120" w:after="120" w:line="240" w:lineRule="auto"/>
        <w:jc w:val="both"/>
        <w:rPr>
          <w:noProof/>
        </w:rPr>
      </w:pPr>
      <w:r>
        <w:rPr>
          <w:noProof/>
        </w:rPr>
        <w:t>Inrättande av en fond för räntesubventioner för att underlätta lånevillkoren för banklån som beviljats inom ramen för HBOR:s befintliga kreditinstrument till mikroföretag samt små och medelstora företag. Detta finansieringsinstrument förväntas tillhandahålla 26 544 562 miljoner euro (200 000 000 kroatiska kuna) i finansiering. Minst 5 072 504 EUR (38 218 782 HRK) ska avsättas för att stödja miljövänliga produktionsprocesser och förbättra resurseffektiviteten i små och medelstora företag, 4 218 093 miljoner EUR (31 781 218 HRK) ska användas för att hjälpa små och medelstora företag att digitalisera sin verksamhet, och återstående 17 253 965 miljoner EUR (130 000 000 kroatiska kuna) ska avsättas för investeringar som syftar till att stärka konkurrenskraften och motståndskraften.</w:t>
      </w:r>
    </w:p>
    <w:p w14:paraId="145F8789" w14:textId="77777777" w:rsidR="003A3D51" w:rsidRDefault="0002775A">
      <w:pPr>
        <w:pStyle w:val="P68B1DB1-Normal3"/>
        <w:spacing w:before="120" w:after="120" w:line="240" w:lineRule="auto"/>
        <w:jc w:val="both"/>
        <w:rPr>
          <w:noProof/>
        </w:rPr>
      </w:pPr>
      <w:r>
        <w:rPr>
          <w:noProof/>
        </w:rPr>
        <w:t xml:space="preserve">För att säkerställa att åtgärden är förenlig med den tekniska vägledningen om att inte orsaka betydande skada (2021/C58/01) ska det rättsliga avtalet mellan ministeriet för ekonomi och hållbar utveckling och Kroatiens byrå för små och medelstora företag, innovation och investeringar (HAMAG BICRO) eller den kroatiska banken för återuppbyggnad och utveckling (HBOR) och finansieringsinstrumentets efterföljande investeringspolitik </w:t>
      </w:r>
    </w:p>
    <w:p w14:paraId="2FDF4845" w14:textId="77777777" w:rsidR="003A3D51" w:rsidRDefault="0002775A">
      <w:pPr>
        <w:pStyle w:val="P68B1DB1-Normal3"/>
        <w:numPr>
          <w:ilvl w:val="0"/>
          <w:numId w:val="4"/>
        </w:numPr>
        <w:spacing w:before="120" w:after="120" w:line="240" w:lineRule="auto"/>
        <w:jc w:val="both"/>
        <w:rPr>
          <w:noProof/>
        </w:rPr>
      </w:pPr>
      <w:r>
        <w:rPr>
          <w:noProof/>
        </w:rPr>
        <w:t>kräva tillämpning av kommissionens tekniska vägledning om hållbarhetssäkring för InvestEU-fonden. och</w:t>
      </w:r>
    </w:p>
    <w:p w14:paraId="23E44D12" w14:textId="77777777" w:rsidR="003A3D51" w:rsidRDefault="0002775A">
      <w:pPr>
        <w:pStyle w:val="P68B1DB1-Normal3"/>
        <w:numPr>
          <w:ilvl w:val="0"/>
          <w:numId w:val="4"/>
        </w:numPr>
        <w:spacing w:before="120" w:after="120" w:line="240" w:lineRule="auto"/>
        <w:jc w:val="both"/>
        <w:rPr>
          <w:noProof/>
        </w:rPr>
      </w:pPr>
      <w:r>
        <w:rPr>
          <w:noProof/>
        </w:rPr>
        <w:t>undanta följande verksamheter och tillgångar från stödberättigande: (i) Verksamhet och tillgångar med anknytning till fossila bränslen, inbegripet användning i senare led</w:t>
      </w:r>
      <w:r>
        <w:rPr>
          <w:noProof/>
        </w:rPr>
        <w:footnoteReference w:id="7"/>
      </w:r>
      <w:r>
        <w:rPr>
          <w:noProof/>
        </w:rPr>
        <w:t>. II) Verksamhet och tillgångar inom ramen för EU:s utsläppshandelssystem som uppnår beräknade växthusgasutsläpp som inte är lägre än de relevanta riktmärkena</w:t>
      </w:r>
      <w:r>
        <w:rPr>
          <w:noProof/>
        </w:rPr>
        <w:footnoteReference w:id="8"/>
      </w:r>
      <w:r>
        <w:rPr>
          <w:noProof/>
        </w:rPr>
        <w:t>. III) Verksamhet och tillgångar i samband med avfallsdeponier, förbränningsanläggningar</w:t>
      </w:r>
      <w:r>
        <w:rPr>
          <w:noProof/>
        </w:rPr>
        <w:footnoteReference w:id="9"/>
      </w:r>
      <w:r>
        <w:rPr>
          <w:noProof/>
        </w:rPr>
        <w:t xml:space="preserve"> och anläggningar för mekanisk biologisk behandling</w:t>
      </w:r>
      <w:r>
        <w:rPr>
          <w:noProof/>
        </w:rPr>
        <w:footnoteReference w:id="10"/>
      </w:r>
      <w:r>
        <w:rPr>
          <w:noProof/>
        </w:rPr>
        <w:t>. och iv) verksamheter och tillgångar där det långsiktiga bortskaffandet av avfall kan skada miljön. och</w:t>
      </w:r>
    </w:p>
    <w:p w14:paraId="086D6264" w14:textId="77777777" w:rsidR="003A3D51" w:rsidRDefault="0002775A">
      <w:pPr>
        <w:pStyle w:val="P68B1DB1-Normal3"/>
        <w:numPr>
          <w:ilvl w:val="0"/>
          <w:numId w:val="4"/>
        </w:numPr>
        <w:spacing w:before="120" w:after="120" w:line="240" w:lineRule="auto"/>
        <w:jc w:val="both"/>
        <w:rPr>
          <w:noProof/>
        </w:rPr>
      </w:pPr>
      <w:r>
        <w:rPr>
          <w:noProof/>
        </w:rPr>
        <w:t>kräva att HAMAG BICRO, HBOR eller de finansiella intermediärerna kontrollerar att projekten uppfyller gällande EU-lagstiftning och nationell miljölagstiftning för alla transaktioner, även de som är undantagna från hållbarhetssäkring.</w:t>
      </w:r>
    </w:p>
    <w:p w14:paraId="6764484E"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0D36B819" w14:textId="77777777" w:rsidR="003A3D51" w:rsidRDefault="0002775A">
      <w:pPr>
        <w:pStyle w:val="P68B1DB1-Normal5"/>
        <w:keepNext/>
        <w:spacing w:before="120" w:after="120" w:line="240" w:lineRule="auto"/>
        <w:ind w:left="850"/>
        <w:jc w:val="both"/>
        <w:rPr>
          <w:noProof/>
        </w:rPr>
      </w:pPr>
      <w:r>
        <w:rPr>
          <w:noProof/>
        </w:rPr>
        <w:t>Investering C1.1.1 R4 – I3 Finansieringsinstrument för medelstora börsnoterade företag och stora företag</w:t>
      </w:r>
    </w:p>
    <w:p w14:paraId="07414FCE" w14:textId="77777777" w:rsidR="003A3D51" w:rsidRDefault="0002775A">
      <w:pPr>
        <w:pStyle w:val="P68B1DB1-Normal3"/>
        <w:spacing w:before="120" w:after="120" w:line="240" w:lineRule="auto"/>
        <w:jc w:val="both"/>
        <w:rPr>
          <w:noProof/>
        </w:rPr>
      </w:pPr>
      <w:r>
        <w:rPr>
          <w:noProof/>
        </w:rPr>
        <w:t xml:space="preserve">Syftet med investeringen är att främja konkurrenskraften och den gröna och digitala omställningen för medelstora börsnoterade företag och stora företag genom att tillhandahålla gynnsammare finansieringskällor som en viktig förutsättning för investeringstillväxt på kort och medellång sikt. De finansieringsinstrument som förväntas användas inom ramen för denna investering är följande: </w:t>
      </w:r>
    </w:p>
    <w:p w14:paraId="6F9F5891" w14:textId="77777777" w:rsidR="003A3D51" w:rsidRDefault="0002775A">
      <w:pPr>
        <w:pStyle w:val="P68B1DB1-Normal3"/>
        <w:numPr>
          <w:ilvl w:val="0"/>
          <w:numId w:val="3"/>
        </w:numPr>
        <w:spacing w:before="120" w:after="120" w:line="240" w:lineRule="auto"/>
        <w:jc w:val="both"/>
        <w:rPr>
          <w:noProof/>
        </w:rPr>
      </w:pPr>
      <w:r>
        <w:rPr>
          <w:noProof/>
        </w:rPr>
        <w:t xml:space="preserve">En ny paraplygarantifond som syftar till att utfärda individuella garantier eller portföljgarantier för investeringslån och rörelsekapitallån till medelstora börsnoterade företag och stora företag med ett planerat anslag på 79 633 685 EUR (600 000 000 kroatiska kuna). Eventuella outnyttjade medel eller återföringar från detta instrument, genom återbetalning av kapitalet, ska användas för liknande ändamål och med samma stödberättigandevillkor när det gäller miljöpåverkan. </w:t>
      </w:r>
    </w:p>
    <w:p w14:paraId="4F159E7F" w14:textId="77777777" w:rsidR="003A3D51" w:rsidRDefault="0002775A">
      <w:pPr>
        <w:pStyle w:val="P68B1DB1-Normal3"/>
        <w:numPr>
          <w:ilvl w:val="0"/>
          <w:numId w:val="3"/>
        </w:numPr>
        <w:spacing w:before="120" w:after="120" w:line="240" w:lineRule="auto"/>
        <w:jc w:val="both"/>
        <w:rPr>
          <w:noProof/>
        </w:rPr>
      </w:pPr>
      <w:r>
        <w:rPr>
          <w:noProof/>
        </w:rPr>
        <w:t>Samt en fond för räntesubventioner för att minska finansieringskostnaderna (t.ex. räntebetalningar, avgifter och premier) för lån till medelstora börsnoterade företag och stora enheter med ett planerat anslag på 26 544 562 EUR (200 000 000 kroatiska kuna).</w:t>
      </w:r>
    </w:p>
    <w:p w14:paraId="0B6E56AA" w14:textId="77777777" w:rsidR="003A3D51" w:rsidRDefault="0002775A">
      <w:pPr>
        <w:pStyle w:val="P68B1DB1-Normal3"/>
        <w:spacing w:before="120" w:after="120" w:line="240" w:lineRule="auto"/>
        <w:jc w:val="both"/>
        <w:rPr>
          <w:noProof/>
        </w:rPr>
      </w:pPr>
      <w:r>
        <w:rPr>
          <w:noProof/>
        </w:rPr>
        <w:t xml:space="preserve">Finansieringsinstrumenten ska användas för investeringar i ny, modern och avancerad teknik (maskiner och utrustning), utvidgning och förstärkning av affärskapaciteten (utbyggnad av anläggningar och kapacitet för tillverkning och tjänster), med företräde för projekt inom förnybar energi, energieffektivitet, cirkulär ekonomi, miljöskydd, digitalisering av produktion, upphandling och försäljningsprocesser. </w:t>
      </w:r>
    </w:p>
    <w:p w14:paraId="22FF7A25" w14:textId="77777777" w:rsidR="003A3D51" w:rsidRDefault="0002775A">
      <w:pPr>
        <w:pStyle w:val="P68B1DB1-Normal3"/>
        <w:spacing w:before="120" w:after="120" w:line="240" w:lineRule="auto"/>
        <w:jc w:val="both"/>
        <w:rPr>
          <w:noProof/>
        </w:rPr>
      </w:pPr>
      <w:r>
        <w:rPr>
          <w:noProof/>
        </w:rPr>
        <w:t xml:space="preserve">För att säkerställa att åtgärden är förenlig med den tekniska vägledningen om att inte orsaka betydande skada (2021/C58/01) ska det rättsliga avtalet mellan ministeriet för ekonomi och hållbar utveckling och den kroatiska banken för återuppbyggnad och utveckling (HBOR) och finansieringsinstrumentets investeringspolitik </w:t>
      </w:r>
    </w:p>
    <w:p w14:paraId="3DFDB4BC" w14:textId="77777777" w:rsidR="003A3D51" w:rsidRDefault="0002775A">
      <w:pPr>
        <w:pStyle w:val="P68B1DB1-Normal3"/>
        <w:numPr>
          <w:ilvl w:val="0"/>
          <w:numId w:val="7"/>
        </w:numPr>
        <w:spacing w:before="120" w:after="120" w:line="240" w:lineRule="auto"/>
        <w:jc w:val="both"/>
        <w:rPr>
          <w:noProof/>
        </w:rPr>
      </w:pPr>
      <w:r>
        <w:rPr>
          <w:noProof/>
        </w:rPr>
        <w:t>kräva tillämpning av kommissionens tekniska vägledning om hållbarhetssäkring för InvestEU-fonden. och</w:t>
      </w:r>
    </w:p>
    <w:p w14:paraId="490B5B3A" w14:textId="77777777" w:rsidR="003A3D51" w:rsidRDefault="0002775A">
      <w:pPr>
        <w:pStyle w:val="P68B1DB1-Normal3"/>
        <w:numPr>
          <w:ilvl w:val="0"/>
          <w:numId w:val="7"/>
        </w:numPr>
        <w:spacing w:before="120" w:after="120" w:line="240" w:lineRule="auto"/>
        <w:jc w:val="both"/>
        <w:rPr>
          <w:noProof/>
        </w:rPr>
      </w:pPr>
      <w:r>
        <w:rPr>
          <w:noProof/>
        </w:rPr>
        <w:t>undanta följande verksamheter och tillgångar från stödberättigande: (i) Verksamhet och tillgångar med anknytning till fossila bränslen, inbegripet användning i senare led</w:t>
      </w:r>
      <w:r>
        <w:rPr>
          <w:noProof/>
        </w:rPr>
        <w:footnoteReference w:id="11"/>
      </w:r>
      <w:r>
        <w:rPr>
          <w:noProof/>
        </w:rPr>
        <w:t>. II) Verksamhet och tillgångar inom ramen för EU:s utsläppshandelssystem som uppnår beräknade växthusgasutsläpp som inte är lägre än de relevanta riktmärkena</w:t>
      </w:r>
      <w:r>
        <w:rPr>
          <w:noProof/>
        </w:rPr>
        <w:footnoteReference w:id="12"/>
      </w:r>
      <w:r>
        <w:rPr>
          <w:noProof/>
        </w:rPr>
        <w:t>. III) Verksamhet och tillgångar i samband med avfallsdeponier, förbränningsanläggningar</w:t>
      </w:r>
      <w:r>
        <w:rPr>
          <w:noProof/>
        </w:rPr>
        <w:footnoteReference w:id="13"/>
      </w:r>
      <w:r>
        <w:rPr>
          <w:noProof/>
        </w:rPr>
        <w:t xml:space="preserve"> och anläggningar för mekanisk biologisk behandling</w:t>
      </w:r>
      <w:r>
        <w:rPr>
          <w:noProof/>
        </w:rPr>
        <w:footnoteReference w:id="14"/>
      </w:r>
      <w:r>
        <w:rPr>
          <w:noProof/>
        </w:rPr>
        <w:t>. och iv) verksamheter och tillgångar där det långsiktiga bortskaffandet av avfall kan skada miljön. och</w:t>
      </w:r>
    </w:p>
    <w:p w14:paraId="53B78C1F" w14:textId="77777777" w:rsidR="003A3D51" w:rsidRDefault="0002775A">
      <w:pPr>
        <w:pStyle w:val="P68B1DB1-Normal3"/>
        <w:numPr>
          <w:ilvl w:val="0"/>
          <w:numId w:val="7"/>
        </w:numPr>
        <w:spacing w:before="120" w:after="120" w:line="240" w:lineRule="auto"/>
        <w:jc w:val="both"/>
        <w:rPr>
          <w:noProof/>
        </w:rPr>
      </w:pPr>
      <w:r>
        <w:rPr>
          <w:noProof/>
        </w:rPr>
        <w:t>kräva att HBOR eller de finansiella intermediärerna kontrollerar att HBOR eller de finansiella intermediärerna följer relevant EU-lagstiftning och nationell miljölagstiftning för alla transaktioner, även de som är undantagna från hållbarhetssäkring.</w:t>
      </w:r>
    </w:p>
    <w:p w14:paraId="4387691D"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3CD84DEF" w14:textId="77777777" w:rsidR="003A3D51" w:rsidRDefault="0002775A">
      <w:pPr>
        <w:pStyle w:val="P68B1DB1-Normal5"/>
        <w:keepNext/>
        <w:spacing w:before="120" w:after="120" w:line="240" w:lineRule="auto"/>
        <w:ind w:left="850"/>
        <w:jc w:val="both"/>
        <w:rPr>
          <w:noProof/>
        </w:rPr>
      </w:pPr>
      <w:r>
        <w:rPr>
          <w:noProof/>
        </w:rPr>
        <w:t>Investering C1.1.1 R4 – I4 Finansieringsinstrument för offentliga organ</w:t>
      </w:r>
    </w:p>
    <w:p w14:paraId="51329FD7" w14:textId="77777777" w:rsidR="003A3D51" w:rsidRDefault="0002775A">
      <w:pPr>
        <w:pStyle w:val="P68B1DB1-Normal3"/>
        <w:spacing w:before="120" w:after="120" w:line="240" w:lineRule="auto"/>
        <w:jc w:val="both"/>
        <w:rPr>
          <w:noProof/>
        </w:rPr>
      </w:pPr>
      <w:r>
        <w:rPr>
          <w:noProof/>
        </w:rPr>
        <w:t>Syftet med investeringen är att tillhandahålla subventionerade medel till offentliga enheter för projekt inom ekonomisk, kommunal, transportrelaterad och social infrastruktur samt projekt inom teknik som bidrar till den gröna och digitala omställningen inom den offentliga sektorn, med ett planerat anslag på 26 544 562 EUR (200 000 000 kroatiska kuna). Minst 30 % av budgeten eller 7 963 368 EUR (60 000 000 kroatiska kuna) inom ramen för denna investering förväntas stödja miljövänliga produktionsprocesser och resurseffektivitet i den offentliga sektorn.</w:t>
      </w:r>
    </w:p>
    <w:p w14:paraId="1E2AE907" w14:textId="77777777" w:rsidR="003A3D51" w:rsidRDefault="0002775A">
      <w:pPr>
        <w:pStyle w:val="P68B1DB1-Normal3"/>
        <w:spacing w:before="120" w:after="120" w:line="240" w:lineRule="auto"/>
        <w:jc w:val="both"/>
        <w:rPr>
          <w:noProof/>
        </w:rPr>
      </w:pPr>
      <w:r>
        <w:rPr>
          <w:noProof/>
        </w:rPr>
        <w:t xml:space="preserve">För att säkerställa att åtgärden är förenlig med den tekniska vägledningen om att inte orsaka betydande skada (2021/C58/01) ska det rättsliga avtalet mellan ministeriet för ekonomi och hållbar utveckling och den kroatiska banken för återuppbyggnad och utveckling (HBOR) och finansieringsinstrumentets efterföljande investeringspolicy </w:t>
      </w:r>
    </w:p>
    <w:p w14:paraId="6F3A76ED" w14:textId="77777777" w:rsidR="003A3D51" w:rsidRDefault="0002775A">
      <w:pPr>
        <w:pStyle w:val="P68B1DB1-Normal3"/>
        <w:numPr>
          <w:ilvl w:val="0"/>
          <w:numId w:val="6"/>
        </w:numPr>
        <w:spacing w:before="120" w:after="120" w:line="240" w:lineRule="auto"/>
        <w:jc w:val="both"/>
        <w:rPr>
          <w:noProof/>
        </w:rPr>
      </w:pPr>
      <w:r>
        <w:rPr>
          <w:noProof/>
        </w:rPr>
        <w:t>kräva tillämpning av kommissionens tekniska vägledning om hållbarhetssäkring för InvestEU-fonden. och</w:t>
      </w:r>
    </w:p>
    <w:p w14:paraId="30F14395" w14:textId="77777777" w:rsidR="003A3D51" w:rsidRDefault="0002775A">
      <w:pPr>
        <w:pStyle w:val="P68B1DB1-Normal3"/>
        <w:numPr>
          <w:ilvl w:val="0"/>
          <w:numId w:val="6"/>
        </w:numPr>
        <w:spacing w:before="120" w:after="120" w:line="240" w:lineRule="auto"/>
        <w:jc w:val="both"/>
        <w:rPr>
          <w:noProof/>
        </w:rPr>
      </w:pPr>
      <w:r>
        <w:rPr>
          <w:noProof/>
        </w:rPr>
        <w:t>undanta följande verksamheter och tillgångar från stödberättigande: (i) Verksamhet och tillgångar med anknytning till fossila bränslen, inbegripet användning i senare led</w:t>
      </w:r>
      <w:r>
        <w:rPr>
          <w:noProof/>
        </w:rPr>
        <w:footnoteReference w:id="15"/>
      </w:r>
      <w:r>
        <w:rPr>
          <w:noProof/>
        </w:rPr>
        <w:t>. II) Verksamhet och tillgångar inom ramen för EU:s utsläppshandelssystem som uppnår beräknade växthusgasutsläpp som inte är lägre än de relevanta riktmärkena</w:t>
      </w:r>
      <w:r>
        <w:rPr>
          <w:noProof/>
        </w:rPr>
        <w:footnoteReference w:id="16"/>
      </w:r>
      <w:r>
        <w:rPr>
          <w:noProof/>
        </w:rPr>
        <w:t>. III) Verksamhet och tillgångar i samband med avfallsdeponier, förbränningsanläggningar</w:t>
      </w:r>
      <w:r>
        <w:rPr>
          <w:noProof/>
        </w:rPr>
        <w:footnoteReference w:id="17"/>
      </w:r>
      <w:r>
        <w:rPr>
          <w:noProof/>
        </w:rPr>
        <w:t xml:space="preserve"> och anläggningar för mekanisk biologisk behandling</w:t>
      </w:r>
      <w:r>
        <w:rPr>
          <w:noProof/>
        </w:rPr>
        <w:footnoteReference w:id="18"/>
      </w:r>
      <w:r>
        <w:rPr>
          <w:noProof/>
        </w:rPr>
        <w:t>. och iv) verksamheter och tillgångar där det långsiktiga bortskaffandet av avfall kan skada miljön. och</w:t>
      </w:r>
    </w:p>
    <w:p w14:paraId="32BA6ABF" w14:textId="77777777" w:rsidR="003A3D51" w:rsidRDefault="0002775A">
      <w:pPr>
        <w:pStyle w:val="P68B1DB1-Normal3"/>
        <w:numPr>
          <w:ilvl w:val="0"/>
          <w:numId w:val="6"/>
        </w:numPr>
        <w:spacing w:before="120" w:after="120" w:line="240" w:lineRule="auto"/>
        <w:jc w:val="both"/>
        <w:rPr>
          <w:noProof/>
        </w:rPr>
      </w:pPr>
      <w:r>
        <w:rPr>
          <w:noProof/>
        </w:rPr>
        <w:t>kräva att HBOR eller de finansiella intermediärerna kontrollerar att HBOR eller de finansiella intermediärerna följer relevant EU-lagstiftning och nationell miljölagstiftning för alla transaktioner, även de som är undantagna från hållbarhetssäkring.</w:t>
      </w:r>
    </w:p>
    <w:p w14:paraId="349DDD08"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73545DD" w14:textId="77777777" w:rsidR="003A3D51" w:rsidRDefault="0002775A">
      <w:pPr>
        <w:pStyle w:val="P68B1DB1-Normal5"/>
        <w:keepNext/>
        <w:spacing w:before="120" w:after="120" w:line="240" w:lineRule="auto"/>
        <w:ind w:left="850"/>
        <w:jc w:val="both"/>
        <w:rPr>
          <w:noProof/>
        </w:rPr>
      </w:pPr>
      <w:r>
        <w:rPr>
          <w:noProof/>
        </w:rPr>
        <w:t>Investering C1.1.1 R5 – I1 Investeringar i eget kapital och finansiella instrument likställt med eget kapital</w:t>
      </w:r>
    </w:p>
    <w:p w14:paraId="41C5ED7A" w14:textId="77777777" w:rsidR="003A3D51" w:rsidRDefault="0002775A">
      <w:pPr>
        <w:pStyle w:val="P68B1DB1-Normal3"/>
        <w:spacing w:before="120" w:after="120" w:line="240" w:lineRule="auto"/>
        <w:jc w:val="both"/>
        <w:rPr>
          <w:noProof/>
        </w:rPr>
      </w:pPr>
      <w:r>
        <w:rPr>
          <w:noProof/>
        </w:rPr>
        <w:t>Syftet med investeringen är att säkerställa en snabbare utveckling av privata företag som inte kan få finansiering från traditionella finansinstitut med ett planerat anslag på 29 862 632 EUR (225 000 000 kroatiska kuna). Investeringen ska omfatta investeringar eller saminvesteringar i i) aktiva eller kommande riskkapitalfonder och ii) riskkapitalfonder med särskilt fokus på finansiering av start- och tillväxtfaserna för innovativa och expanderande små och medelstora företag. Fonderna inom ramen för denna investering ska inbegripa deltagande av professionella privata investerare på minst 30 % av den förväntade storleken på varje fond och förväntas utvecklas i samarbete med Europeiska investeringsfonden. Fonderna ska tillämpa ett miljöledningssystem och ett socialt ledningssystem för att säkerställa att de endast används för projekt som uppfyller principen om att inte orsaka betydande skada. Eventuella outnyttjade medel eller återföringar från detta instrument, genom återbetalning av kapitalet, ska användas för liknande ändamål och med samma villkor för stödberättigande när det gäller miljöpåverkan.</w:t>
      </w:r>
    </w:p>
    <w:p w14:paraId="61343204"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A6FB559" w14:textId="77777777" w:rsidR="003A3D51" w:rsidRDefault="0002775A">
      <w:pPr>
        <w:pStyle w:val="P68B1DB1-Normal5"/>
        <w:keepNext/>
        <w:spacing w:before="120" w:after="120" w:line="240" w:lineRule="auto"/>
        <w:ind w:left="850"/>
        <w:jc w:val="both"/>
        <w:rPr>
          <w:noProof/>
        </w:rPr>
      </w:pPr>
      <w:r>
        <w:rPr>
          <w:noProof/>
        </w:rPr>
        <w:t>Investering C1.1.1 R6-I1 Att förändra och stärka den kulturella och den kreativa sektorns konkurrenskraft</w:t>
      </w:r>
    </w:p>
    <w:p w14:paraId="1A8CCE68" w14:textId="77777777" w:rsidR="003A3D51" w:rsidRDefault="0002775A">
      <w:pPr>
        <w:pStyle w:val="P68B1DB1-Normal3"/>
        <w:spacing w:before="120" w:after="120" w:line="240" w:lineRule="auto"/>
        <w:jc w:val="both"/>
        <w:rPr>
          <w:noProof/>
        </w:rPr>
      </w:pPr>
      <w:r>
        <w:rPr>
          <w:noProof/>
        </w:rPr>
        <w:t>Investeringen ska tillhandahålla finansiering, genom bidrag, för att bygga upp kapaciteten hos mikroföretag, små och medelstora företag och andra juridiska och fysiska personer som är verksamma inom de kulturella och kreativa sektorerna (såsom arkitektur, audiovisuell verksamhet, medier, kulturarv, design, scenkonst, böcker och förlagsverksamhet, tillämpad konst och bildkonst) för anpassning till den nya rättsliga ramen för den digitala inre marknaden.</w:t>
      </w:r>
    </w:p>
    <w:p w14:paraId="26D732AA"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8BF7728" w14:textId="77777777" w:rsidR="003A3D51" w:rsidRDefault="0002775A">
      <w:pPr>
        <w:pStyle w:val="P68B1DB1-Normal5"/>
        <w:keepNext/>
        <w:spacing w:before="120" w:after="120" w:line="240" w:lineRule="auto"/>
        <w:ind w:left="850"/>
        <w:jc w:val="both"/>
        <w:rPr>
          <w:noProof/>
        </w:rPr>
      </w:pPr>
      <w:r>
        <w:rPr>
          <w:noProof/>
        </w:rPr>
        <w:t>Investering C1.1.1 R6 – I2 Inrättande av system för faktagranskning och offentliggörande i medierna</w:t>
      </w:r>
    </w:p>
    <w:p w14:paraId="544AF360" w14:textId="77777777" w:rsidR="003A3D51" w:rsidRDefault="0002775A">
      <w:pPr>
        <w:pStyle w:val="P68B1DB1-Normal3"/>
        <w:spacing w:before="120" w:after="120" w:line="240" w:lineRule="auto"/>
        <w:jc w:val="both"/>
        <w:rPr>
          <w:noProof/>
        </w:rPr>
      </w:pPr>
      <w:r>
        <w:rPr>
          <w:noProof/>
        </w:rPr>
        <w:t>Investeringen ska stödja inrättandet av ett system för faktagranskning av medier som utförs av byrån för elektroniska medier, inbegripet utveckling av förfaranden och regler, inrättandet av registret över verkliga huvudmän och förstärkning av faktagranskarnas digitala kompetens samt utveckling av tekniska program, plattformar och mediekommunikationssystem samt inrättandet av en databas. Investeringen ska omfatta följande:</w:t>
      </w:r>
    </w:p>
    <w:p w14:paraId="5A678C68" w14:textId="77777777" w:rsidR="003A3D51" w:rsidRDefault="0002775A">
      <w:pPr>
        <w:pStyle w:val="P68B1DB1-Normal3"/>
        <w:numPr>
          <w:ilvl w:val="0"/>
          <w:numId w:val="3"/>
        </w:numPr>
        <w:spacing w:before="120" w:after="120" w:line="240" w:lineRule="auto"/>
        <w:jc w:val="both"/>
        <w:rPr>
          <w:noProof/>
        </w:rPr>
      </w:pPr>
      <w:r>
        <w:rPr>
          <w:noProof/>
        </w:rPr>
        <w:t>Bidrag till byrån för elektroniska medier för inrättandet av ett system för uppbyggnad av faktagranskningskapacitet, inbegripet utveckling av förfaranden och regler, register och databaser för faktagranskning och utveckling av tekniska program och plattformar och mediekommunikationssystem, vilket stärker faktagranskarnas digitala kompetens.</w:t>
      </w:r>
    </w:p>
    <w:p w14:paraId="51824626" w14:textId="77777777" w:rsidR="003A3D51" w:rsidRDefault="0002775A">
      <w:pPr>
        <w:pStyle w:val="P68B1DB1-Normal3"/>
        <w:numPr>
          <w:ilvl w:val="0"/>
          <w:numId w:val="3"/>
        </w:numPr>
        <w:spacing w:before="120" w:after="120" w:line="240" w:lineRule="auto"/>
        <w:jc w:val="both"/>
        <w:rPr>
          <w:noProof/>
        </w:rPr>
      </w:pPr>
      <w:r>
        <w:rPr>
          <w:noProof/>
        </w:rPr>
        <w:t>Bidrag för att skapa en databas och inrätta ett system för offentliggörande av äganderättsligt skyddade data och finansieringskällor.</w:t>
      </w:r>
    </w:p>
    <w:p w14:paraId="0DCA0DE1"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1B831DB3" w14:textId="77777777" w:rsidR="003A3D51" w:rsidRDefault="0002775A">
      <w:pPr>
        <w:pStyle w:val="P68B1DB1-Normal5"/>
        <w:keepNext/>
        <w:spacing w:before="120" w:after="120" w:line="240" w:lineRule="auto"/>
        <w:ind w:left="850"/>
        <w:jc w:val="both"/>
        <w:rPr>
          <w:noProof/>
        </w:rPr>
      </w:pPr>
      <w:r>
        <w:rPr>
          <w:noProof/>
        </w:rPr>
        <w:t>Delkomponent C.1.1.2 Främja innovation och digitalisering av ekonomin</w:t>
      </w:r>
    </w:p>
    <w:p w14:paraId="10170EE8" w14:textId="77777777" w:rsidR="003A3D51" w:rsidRDefault="0002775A">
      <w:pPr>
        <w:pStyle w:val="P68B1DB1-Normal3"/>
        <w:keepNext/>
        <w:spacing w:before="120" w:after="120" w:line="240" w:lineRule="auto"/>
        <w:jc w:val="both"/>
        <w:rPr>
          <w:noProof/>
        </w:rPr>
      </w:pPr>
      <w:r>
        <w:rPr>
          <w:noProof/>
        </w:rPr>
        <w:t>Syftet med denna delkomponent är att förbättra den kroatiska ekonomins ställning i värdekedjan genom att främja innovation och digitalisering inom den privata sektorn. Åtgärderna inom denna delkomponent ska omfatta antagande av en mer investeringsvänlig rättslig ram, tillhandahållande av administrativt och ekonomiskt stöd till unga och innovativa företag för att främja utveckling och kommersialisering av innovativa produkter och stöd till företag för deras digitala omställning.</w:t>
      </w:r>
    </w:p>
    <w:p w14:paraId="5FA39A91" w14:textId="77777777" w:rsidR="003A3D51" w:rsidRDefault="0002775A">
      <w:pPr>
        <w:pStyle w:val="P68B1DB1-Normal5"/>
        <w:keepNext/>
        <w:spacing w:before="120" w:after="120" w:line="240" w:lineRule="auto"/>
        <w:ind w:left="850"/>
        <w:jc w:val="both"/>
        <w:rPr>
          <w:noProof/>
        </w:rPr>
      </w:pPr>
      <w:r>
        <w:rPr>
          <w:noProof/>
        </w:rPr>
        <w:t>Reform C1.1.2 R1 Reform av incitamentssystemet för FoU</w:t>
      </w:r>
    </w:p>
    <w:p w14:paraId="226DA709" w14:textId="77777777" w:rsidR="003A3D51" w:rsidRDefault="0002775A">
      <w:pPr>
        <w:pStyle w:val="P68B1DB1-Normal3"/>
        <w:spacing w:before="120" w:after="120" w:line="240" w:lineRule="auto"/>
        <w:jc w:val="both"/>
        <w:rPr>
          <w:noProof/>
        </w:rPr>
      </w:pPr>
      <w:r>
        <w:rPr>
          <w:noProof/>
        </w:rPr>
        <w:t xml:space="preserve">Syftet med reformen är att öka antalet företag som investerar och storleken på investeringarna i FoU. Reformen ska bestå av en analys av det befintliga systemet med skatteincitament på FoU-området och ändring och komplettering av den rättsliga ramen för skatteincitament på FoU-området för att uppmuntra den privata sektorn att öka intensiteten i sina FoU-investeringar, öka antalet mottagare av skattelättnader på FoU-området, förenkla förfarandena och minska de administrativa bördorna, samtidigt som insynen och tillgängligheten förbättras. Ändringar av lagen om statligt stöd till forsknings- och utvecklingsprojekt ska grundas på en analys av det nuvarande skattesystemets lämplighet och effektivitet. </w:t>
      </w:r>
    </w:p>
    <w:p w14:paraId="63ADCF7F" w14:textId="77777777" w:rsidR="003A3D51" w:rsidRDefault="0002775A">
      <w:pPr>
        <w:pStyle w:val="P68B1DB1-Normal3"/>
        <w:spacing w:before="120" w:after="120" w:line="240" w:lineRule="auto"/>
        <w:jc w:val="both"/>
        <w:rPr>
          <w:noProof/>
        </w:rPr>
      </w:pPr>
      <w:r>
        <w:rPr>
          <w:noProof/>
        </w:rPr>
        <w:t>Reformen ska vara genomförd senast den 31 december 2024.</w:t>
      </w:r>
    </w:p>
    <w:p w14:paraId="1DFE2311" w14:textId="77777777" w:rsidR="003A3D51" w:rsidRDefault="0002775A">
      <w:pPr>
        <w:pStyle w:val="P68B1DB1-Normal5"/>
        <w:keepNext/>
        <w:spacing w:before="120" w:after="120" w:line="240" w:lineRule="auto"/>
        <w:ind w:left="850"/>
        <w:jc w:val="both"/>
        <w:rPr>
          <w:noProof/>
        </w:rPr>
      </w:pPr>
      <w:r>
        <w:rPr>
          <w:noProof/>
        </w:rPr>
        <w:t>Investering C1.1.2 R2 – I2 Investering i små och medelstora företags förvaltningskapacitet</w:t>
      </w:r>
    </w:p>
    <w:p w14:paraId="3993F42E" w14:textId="77777777" w:rsidR="003A3D51" w:rsidRDefault="0002775A">
      <w:pPr>
        <w:pStyle w:val="P68B1DB1-Normal3"/>
        <w:spacing w:before="120" w:after="120" w:line="240" w:lineRule="auto"/>
        <w:jc w:val="both"/>
        <w:rPr>
          <w:noProof/>
        </w:rPr>
      </w:pPr>
      <w:r>
        <w:rPr>
          <w:noProof/>
        </w:rPr>
        <w:t>Syftet med investeringen är att hjälpa företag att utvidga sin verksamhet, öka sin produktivitet och skapa arbetstillfällen genom att tillhandahålla företagsrådgivning till små och medelstora företag för att öka deras ledningskapacitet. Stödet förväntas omfatta i) utvärdering av affärsmodellen och utarbetande av en handlingsplan, ii) grupputbildning för anställda och chefer, iii) särskilt rådgivningsstöd och iv) resultatinriktad coachning och mentorskap.</w:t>
      </w:r>
    </w:p>
    <w:p w14:paraId="7C0B5A9B" w14:textId="77777777" w:rsidR="003A3D51" w:rsidRDefault="0002775A">
      <w:pPr>
        <w:pStyle w:val="P68B1DB1-Normal3"/>
        <w:spacing w:before="120" w:after="120" w:line="240" w:lineRule="auto"/>
        <w:jc w:val="both"/>
        <w:rPr>
          <w:noProof/>
        </w:rPr>
      </w:pPr>
      <w:r>
        <w:rPr>
          <w:noProof/>
        </w:rPr>
        <w:t>Investeringen ska vara slutförd senast den 31 december 2025.</w:t>
      </w:r>
    </w:p>
    <w:p w14:paraId="5A9FDA9A" w14:textId="77777777" w:rsidR="003A3D51" w:rsidRDefault="0002775A">
      <w:pPr>
        <w:pStyle w:val="P68B1DB1-Normal5"/>
        <w:keepNext/>
        <w:spacing w:before="120" w:after="120" w:line="240" w:lineRule="auto"/>
        <w:ind w:left="850"/>
        <w:jc w:val="both"/>
        <w:rPr>
          <w:noProof/>
        </w:rPr>
      </w:pPr>
      <w:r>
        <w:rPr>
          <w:noProof/>
        </w:rPr>
        <w:t>Investering C1.1.2 R2 – I3 Stödfinansiering för nystartade företag</w:t>
      </w:r>
    </w:p>
    <w:p w14:paraId="41922E2C" w14:textId="77777777" w:rsidR="003A3D51" w:rsidRDefault="0002775A">
      <w:pPr>
        <w:pStyle w:val="P68B1DB1-Normal3"/>
        <w:spacing w:before="120" w:after="120" w:line="240" w:lineRule="auto"/>
        <w:jc w:val="both"/>
        <w:rPr>
          <w:noProof/>
        </w:rPr>
      </w:pPr>
      <w:r>
        <w:rPr>
          <w:noProof/>
        </w:rPr>
        <w:t>Syftet med denna investering är att stimulera tillväxten av nystartade företag inom högteknologiska och kunskapsbaserade sektorer under den förkommersiella fasen genom stöd till produktutveckling, ökad produktionskapacitet och investeringsberedskap.</w:t>
      </w:r>
    </w:p>
    <w:p w14:paraId="20021ADD" w14:textId="77777777" w:rsidR="003A3D51" w:rsidRDefault="0002775A">
      <w:pPr>
        <w:pStyle w:val="P68B1DB1-Normal3"/>
        <w:spacing w:before="120" w:after="120" w:line="240" w:lineRule="auto"/>
        <w:jc w:val="both"/>
        <w:rPr>
          <w:noProof/>
        </w:rPr>
      </w:pPr>
      <w:r>
        <w:rPr>
          <w:noProof/>
        </w:rPr>
        <w:t>Investeringen ska ge bidrag för investeringsberedskap för nystartade företag för projekt som är mogna utanför konceptfasen men som ännu inte är marknadsfärdiga. Detta inbegriper uppgradering, utformning, resultatvalidering, marknadsvalidering, testning, utveckling av pilotlinjer, skydd av immateriella rättigheter och externa tjänster som syftar till att utveckla en innovativ idé samt utbildning i begränsning och riskbedömning av finansieringsbehov. Finansierad verksamhet kan också omfatta en del av kostnaderna för tillgång till globala företagsnätverk eller företagskluster, införande av nya marknadsföringsverktyg och tillträde till nya marknader.</w:t>
      </w:r>
    </w:p>
    <w:p w14:paraId="0BCD51B3" w14:textId="77777777" w:rsidR="003A3D51" w:rsidRDefault="0002775A">
      <w:pPr>
        <w:pStyle w:val="P68B1DB1-Normal3"/>
        <w:spacing w:before="120" w:after="120" w:line="240" w:lineRule="auto"/>
        <w:jc w:val="both"/>
        <w:rPr>
          <w:noProof/>
        </w:rPr>
      </w:pPr>
      <w:r>
        <w:rPr>
          <w:noProof/>
        </w:rPr>
        <w:t>Stödberättigade stödmottagare ska omfatta innovativa små och medelstora företag, upp till fem år efter registreringen, som inte genereras av en sammanslagning och som omfattas av definitionen av innovativa små och medelstora företag enligt den allmänna gruppundantagsförordningen.</w:t>
      </w:r>
    </w:p>
    <w:p w14:paraId="5EC40975" w14:textId="77777777" w:rsidR="003A3D51" w:rsidRDefault="0002775A">
      <w:pPr>
        <w:pStyle w:val="P68B1DB1-Normal3"/>
        <w:spacing w:before="120" w:after="120" w:line="240" w:lineRule="auto"/>
        <w:jc w:val="both"/>
        <w:rPr>
          <w:noProof/>
        </w:rPr>
      </w:pPr>
      <w:r>
        <w:rPr>
          <w:noProof/>
        </w:rPr>
        <w:t>Investeringen ska vara slutförd senast den 30 juni 2025.</w:t>
      </w:r>
    </w:p>
    <w:p w14:paraId="21ABA7A5" w14:textId="77777777" w:rsidR="003A3D51" w:rsidRDefault="0002775A">
      <w:pPr>
        <w:pStyle w:val="P68B1DB1-Normal5"/>
        <w:keepNext/>
        <w:spacing w:before="120" w:after="120" w:line="240" w:lineRule="auto"/>
        <w:ind w:left="850"/>
        <w:jc w:val="both"/>
        <w:rPr>
          <w:noProof/>
        </w:rPr>
      </w:pPr>
      <w:r>
        <w:rPr>
          <w:noProof/>
        </w:rPr>
        <w:t>Investering C1.1.2 R2-I4 Förstärkning av snabbare verksamhet</w:t>
      </w:r>
    </w:p>
    <w:p w14:paraId="514B2C1F" w14:textId="77777777" w:rsidR="003A3D51" w:rsidRDefault="0002775A">
      <w:pPr>
        <w:pStyle w:val="P68B1DB1-Normal3"/>
        <w:spacing w:before="120" w:after="120" w:line="240" w:lineRule="auto"/>
        <w:jc w:val="both"/>
        <w:rPr>
          <w:noProof/>
        </w:rPr>
      </w:pPr>
      <w:r>
        <w:rPr>
          <w:noProof/>
        </w:rPr>
        <w:t>Investeringen ska ge ekonomiskt stöd under en fyraårsperiod för att inrätta ett accelerationsprogram i Kroatien. Accelerationsprogrammet ska tillhandahålla mentorskap, stöd för investeringsberedskap och tillgång till investerarnätverk för grupper med upp till 120 nystartade företag under en period på minst tre månader. Stöd till investeringsberedskap förväntas omfatta tillgång till mentorskap och rådgivning för företagsledare och företagare, rådgivning om affärs- och produktutvecklingsstrategier, tillgång till yrkesverksamma inom teknik, yrkesverksamma inom immateriella rättigheter, teknikleverantörer, tillgång till potentiella kunder och vägledning om inledande investeringsverksamhet.</w:t>
      </w:r>
    </w:p>
    <w:p w14:paraId="4BE89088" w14:textId="77777777" w:rsidR="003A3D51" w:rsidRDefault="0002775A">
      <w:pPr>
        <w:pStyle w:val="P68B1DB1-Normal3"/>
        <w:spacing w:before="120" w:after="120" w:line="240" w:lineRule="auto"/>
        <w:jc w:val="both"/>
        <w:rPr>
          <w:noProof/>
        </w:rPr>
      </w:pPr>
      <w:r>
        <w:rPr>
          <w:noProof/>
        </w:rPr>
        <w:t>Mottagarna av investeringen förväntas omfatta i) nystartade företag i ett tidigt skede som behöver stöd för produktutveckling och ii) mer mogna nystartade företag som är bättre förberedda för investeringar. Stödmottagarna i den första gruppen ska få grundläggande utbildning i investeringsberedskap, med fokus på den första presentationen och förståelse för kundernas behov. medan stödmottagare i den andra gruppen ska få mer avancerad utbildning som är inriktad på t.ex. förhandling och kundsökning.</w:t>
      </w:r>
    </w:p>
    <w:p w14:paraId="33FD8122"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1F4FB305" w14:textId="77777777" w:rsidR="003A3D51" w:rsidRDefault="0002775A">
      <w:pPr>
        <w:pStyle w:val="P68B1DB1-Normal5"/>
        <w:keepNext/>
        <w:spacing w:before="120" w:after="120" w:line="240" w:lineRule="auto"/>
        <w:ind w:left="850"/>
        <w:jc w:val="both"/>
        <w:rPr>
          <w:noProof/>
        </w:rPr>
      </w:pPr>
      <w:r>
        <w:rPr>
          <w:noProof/>
        </w:rPr>
        <w:t>Investering C1.1.2 R2 – I5 Kommersialisering av innovationsprojekt</w:t>
      </w:r>
    </w:p>
    <w:p w14:paraId="4F938D19" w14:textId="77777777" w:rsidR="003A3D51" w:rsidRDefault="0002775A">
      <w:pPr>
        <w:pStyle w:val="P68B1DB1-Normal3"/>
        <w:spacing w:before="120" w:after="120" w:line="240" w:lineRule="auto"/>
        <w:jc w:val="both"/>
        <w:rPr>
          <w:noProof/>
        </w:rPr>
      </w:pPr>
      <w:r>
        <w:rPr>
          <w:noProof/>
        </w:rPr>
        <w:t xml:space="preserve">Syftet med investeringen är att uppmuntra kommersialisering av innovationsprojekt för mogna projekt som är nära marknadsinträde och öka små och medelstora företags export av innovativa produkter, tjänster eller tekniker genom att stödja inrättandet av försäljnings- och distributionskanaler på utländska marknader och genom att stärka banden mellan vetenskapliga institutioner och industrin samt mellan små och medelstora företag och större företag. Investeringen förväntas ge små och medelstora företag möjlighet att komma in i värdekedjan i större skala. </w:t>
      </w:r>
    </w:p>
    <w:p w14:paraId="6A98E074" w14:textId="77777777" w:rsidR="003A3D51" w:rsidRDefault="0002775A">
      <w:pPr>
        <w:pStyle w:val="P68B1DB1-Normal3"/>
        <w:spacing w:before="120" w:after="120" w:line="240" w:lineRule="auto"/>
        <w:jc w:val="both"/>
        <w:rPr>
          <w:noProof/>
        </w:rPr>
      </w:pPr>
      <w:r>
        <w:rPr>
          <w:noProof/>
        </w:rPr>
        <w:t>Investeringen ska stödja anpassningen av en utvecklad produkt eller tjänst och förberedelserna för deras lansering på marknaden. Stödberättigande verksamhet för anpassning av en utvecklad produkt omfattar ytterligare testning och integrering av testresultat i slutprodukten, rådgivningstjänster, kapacitetsuppbyggnad, granskningar av genomförbarhetsstudier, produktutformning och skydd av immateriella rättigheter. Stödberättigande verksamhet för förberedelse av produktlanseringar omfattar utarbetande eller översyn av en affärsplan eller marknadsföringsplan, marknadsundersökning och -provning, produktprovning med potentiella kunder, förberedelse av produktion och investering i nollserieprodukter samt operativ marknadsföringsverksamhet.</w:t>
      </w:r>
    </w:p>
    <w:p w14:paraId="05E7C352" w14:textId="77777777" w:rsidR="003A3D51" w:rsidRDefault="0002775A">
      <w:pPr>
        <w:pStyle w:val="P68B1DB1-Normal3"/>
        <w:spacing w:before="120" w:after="120" w:line="240" w:lineRule="auto"/>
        <w:jc w:val="both"/>
        <w:rPr>
          <w:noProof/>
        </w:rPr>
      </w:pPr>
      <w:r>
        <w:rPr>
          <w:noProof/>
        </w:rPr>
        <w:t>Investeringen ska stödja små och medelstora företag med mogna innovationsprojekt som är nära marknadsintroduktion och som förväntas prioritera förslag som bidrar till den gröna omställningen.</w:t>
      </w:r>
    </w:p>
    <w:p w14:paraId="273CD9F6" w14:textId="77777777" w:rsidR="003A3D51" w:rsidRDefault="0002775A">
      <w:pPr>
        <w:pStyle w:val="P68B1DB1-Normal3"/>
        <w:spacing w:before="120" w:after="120" w:line="240" w:lineRule="auto"/>
        <w:jc w:val="both"/>
        <w:rPr>
          <w:noProof/>
        </w:rPr>
      </w:pPr>
      <w:r>
        <w:rPr>
          <w:noProof/>
        </w:rPr>
        <w:t>Investeringen ska vara slutförd senast den 31 december 2024.</w:t>
      </w:r>
    </w:p>
    <w:p w14:paraId="24A4E642" w14:textId="77777777" w:rsidR="003A3D51" w:rsidRDefault="0002775A">
      <w:pPr>
        <w:pStyle w:val="P68B1DB1-Normal5"/>
        <w:keepNext/>
        <w:spacing w:before="120" w:after="120" w:line="240" w:lineRule="auto"/>
        <w:ind w:left="850"/>
        <w:jc w:val="both"/>
        <w:rPr>
          <w:noProof/>
        </w:rPr>
      </w:pPr>
      <w:r>
        <w:rPr>
          <w:noProof/>
        </w:rPr>
        <w:t>Investering C1.1.2 R3 – I2 Digitaliseringsvouchrar</w:t>
      </w:r>
    </w:p>
    <w:p w14:paraId="652244D8" w14:textId="77777777" w:rsidR="003A3D51" w:rsidRDefault="0002775A">
      <w:pPr>
        <w:pStyle w:val="P68B1DB1-Normal3"/>
        <w:spacing w:before="120" w:after="120" w:line="240" w:lineRule="auto"/>
        <w:jc w:val="both"/>
        <w:rPr>
          <w:noProof/>
        </w:rPr>
      </w:pPr>
      <w:r>
        <w:rPr>
          <w:noProof/>
        </w:rPr>
        <w:t>Syftet med investeringen är att hjälpa små och medelstora företag att utveckla en digital affärsmodell, stärka deras förmåga att digitalisera eller förbättra sin cybersäkerhet genom att införa ett vouchersystem. Vouchersystemet förväntas omfatta utbildning och tjänster för att förbättra digitala färdigheter, inbegripet färdigheter som rör molnteknik, anpassning av affärsmodeller till den digitala omvandlingen, digital marknadsföring, cyberresiliens och införande av komplexa digitala produkter och tjänster.</w:t>
      </w:r>
    </w:p>
    <w:p w14:paraId="6EB80E9F"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615E924" w14:textId="77777777" w:rsidR="003A3D51" w:rsidRDefault="0002775A">
      <w:pPr>
        <w:pStyle w:val="P68B1DB1-Normal5"/>
        <w:keepNext/>
        <w:spacing w:before="120" w:after="120" w:line="240" w:lineRule="auto"/>
        <w:ind w:left="850"/>
        <w:jc w:val="both"/>
        <w:rPr>
          <w:noProof/>
        </w:rPr>
      </w:pPr>
      <w:r>
        <w:rPr>
          <w:noProof/>
        </w:rPr>
        <w:t>Investering C1.1.2 R3 – I3 Bidrag för digitalisering</w:t>
      </w:r>
    </w:p>
    <w:p w14:paraId="319DDBD3" w14:textId="77777777" w:rsidR="003A3D51" w:rsidRDefault="0002775A">
      <w:pPr>
        <w:pStyle w:val="P68B1DB1-Normal3"/>
        <w:spacing w:before="120" w:after="120" w:line="240" w:lineRule="auto"/>
        <w:jc w:val="both"/>
        <w:rPr>
          <w:noProof/>
        </w:rPr>
      </w:pPr>
      <w:r>
        <w:rPr>
          <w:noProof/>
        </w:rPr>
        <w:t xml:space="preserve">Syftet med investeringen är att stödja den digitala omvandlingen av kroatiska företag genom att ge ekonomiskt stöd till införandet av digitala lösningar i deras affärsverksamhet. Denna investering ska ge bidrag för inköp av digitala verktyg och digital utrustning och för att stärka digitala färdigheter, inbegripet färdigheter som rör molnteknik, för att utveckla och införa nya produkter, tjänster och processer. </w:t>
      </w:r>
    </w:p>
    <w:p w14:paraId="10070E03" w14:textId="77777777" w:rsidR="003A3D51" w:rsidRDefault="0002775A">
      <w:pPr>
        <w:pStyle w:val="P68B1DB1-Normal3"/>
        <w:spacing w:before="120" w:after="120" w:line="240" w:lineRule="auto"/>
        <w:jc w:val="both"/>
        <w:rPr>
          <w:noProof/>
        </w:rPr>
      </w:pPr>
      <w:r>
        <w:rPr>
          <w:noProof/>
        </w:rPr>
        <w:t>Stödberättigande verksamhet inom ramen för investeringen ska omfatta införande av en ny affärsmodell eller en synlig förbättring i form av ny produktionskapacitet, leveransalternativ eller affärspraxis. Bidrag ska endast beviljas ekonomiskt bärkraftiga företag som visar att de planerade investeringarna är förenliga med principen om att inte orsaka betydande skada.</w:t>
      </w:r>
    </w:p>
    <w:p w14:paraId="79B15331"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2D1714B" w14:textId="77777777" w:rsidR="003A3D51" w:rsidRDefault="0002775A">
      <w:pPr>
        <w:pStyle w:val="P68B1DB1-Normal5"/>
        <w:keepNext/>
        <w:spacing w:before="120" w:after="120" w:line="240" w:lineRule="auto"/>
        <w:ind w:left="850"/>
        <w:jc w:val="both"/>
        <w:rPr>
          <w:noProof/>
        </w:rPr>
      </w:pPr>
      <w:r>
        <w:rPr>
          <w:noProof/>
        </w:rPr>
        <w:t>Investering C1.1.2 R4 – I1 Stöd till digitala innovationsknutpunkter</w:t>
      </w:r>
    </w:p>
    <w:p w14:paraId="57F412B3" w14:textId="77777777" w:rsidR="003A3D51" w:rsidRDefault="0002775A">
      <w:pPr>
        <w:pStyle w:val="P68B1DB1-Normal3"/>
        <w:spacing w:before="120" w:after="120" w:line="240" w:lineRule="auto"/>
        <w:jc w:val="both"/>
        <w:rPr>
          <w:noProof/>
        </w:rPr>
      </w:pPr>
      <w:r>
        <w:rPr>
          <w:noProof/>
        </w:rPr>
        <w:t>Investeringen ska ge ekonomiskt stöd till inrättande och drift av europeiska digitala innovationsknutpunkter. Investeringen ska omfatta följande:</w:t>
      </w:r>
    </w:p>
    <w:p w14:paraId="497E4FAB" w14:textId="77777777" w:rsidR="003A3D51" w:rsidRDefault="0002775A">
      <w:pPr>
        <w:pStyle w:val="P68B1DB1-Normal3"/>
        <w:numPr>
          <w:ilvl w:val="0"/>
          <w:numId w:val="3"/>
        </w:numPr>
        <w:spacing w:before="120" w:after="120" w:line="240" w:lineRule="auto"/>
        <w:jc w:val="both"/>
        <w:rPr>
          <w:noProof/>
        </w:rPr>
      </w:pPr>
      <w:r>
        <w:rPr>
          <w:noProof/>
        </w:rPr>
        <w:t xml:space="preserve">Finansiering av tekniskt bistånd för utveckling av den nationella ramen för inrättande och övervakning av system för digitala innovationsknutpunkter i Kroatien, </w:t>
      </w:r>
    </w:p>
    <w:p w14:paraId="0DC32984" w14:textId="77777777" w:rsidR="003A3D51" w:rsidRDefault="0002775A">
      <w:pPr>
        <w:pStyle w:val="P68B1DB1-Normal3"/>
        <w:numPr>
          <w:ilvl w:val="0"/>
          <w:numId w:val="3"/>
        </w:numPr>
        <w:spacing w:before="120" w:after="120" w:line="240" w:lineRule="auto"/>
        <w:jc w:val="both"/>
        <w:rPr>
          <w:noProof/>
        </w:rPr>
      </w:pPr>
      <w:r>
        <w:rPr>
          <w:noProof/>
        </w:rPr>
        <w:t xml:space="preserve">Den nationella medfinansieringen för inrättande och drift under tre år av minst tre nationella europeiska digitala innovationsknutpunkter, och </w:t>
      </w:r>
    </w:p>
    <w:p w14:paraId="131C70FE" w14:textId="77777777" w:rsidR="003A3D51" w:rsidRDefault="0002775A">
      <w:pPr>
        <w:pStyle w:val="P68B1DB1-Normal3"/>
        <w:numPr>
          <w:ilvl w:val="0"/>
          <w:numId w:val="3"/>
        </w:numPr>
        <w:spacing w:before="120" w:after="120" w:line="240" w:lineRule="auto"/>
        <w:jc w:val="both"/>
        <w:rPr>
          <w:noProof/>
        </w:rPr>
      </w:pPr>
      <w:r>
        <w:rPr>
          <w:noProof/>
        </w:rPr>
        <w:t>Inrättande av en nationell kontaktpunkt inom Europeiskt centrum för innovation, avancerad teknik och kompetensutveckling och inrättande av en mekanism för utveckling och övervakning av det nationella ekosystemet för digitala innovationsknutpunkter.</w:t>
      </w:r>
    </w:p>
    <w:p w14:paraId="4527710D" w14:textId="77777777" w:rsidR="003A3D51" w:rsidRDefault="0002775A">
      <w:pPr>
        <w:pStyle w:val="P68B1DB1-Normal3"/>
        <w:spacing w:before="120" w:after="120" w:line="240" w:lineRule="auto"/>
        <w:jc w:val="both"/>
        <w:rPr>
          <w:noProof/>
        </w:rPr>
      </w:pPr>
      <w:r>
        <w:rPr>
          <w:noProof/>
        </w:rPr>
        <w:t xml:space="preserve">De europeiska digitala innovationsknutpunkternas verksamhet förväntas omfatta testning före investering, kompetensutveckling och utbildning, tillgång till finansiering och utveckling av ett innovationsnätverk. </w:t>
      </w:r>
    </w:p>
    <w:p w14:paraId="1528E315" w14:textId="77777777" w:rsidR="003A3D51" w:rsidRDefault="0002775A">
      <w:pPr>
        <w:pStyle w:val="P68B1DB1-Normal3"/>
        <w:spacing w:before="120" w:after="120" w:line="240" w:lineRule="auto"/>
        <w:jc w:val="both"/>
        <w:rPr>
          <w:noProof/>
        </w:rPr>
      </w:pPr>
      <w:r>
        <w:rPr>
          <w:noProof/>
        </w:rPr>
        <w:t>Investeringen ska vara slutförd senast den 31 december 2025.</w:t>
      </w:r>
    </w:p>
    <w:p w14:paraId="72E5370C" w14:textId="624A4A47" w:rsidR="003A3D51" w:rsidRDefault="0002775A">
      <w:pPr>
        <w:pStyle w:val="P68B1DB1-Normal3"/>
        <w:spacing w:before="120" w:after="120" w:line="240" w:lineRule="auto"/>
        <w:jc w:val="both"/>
        <w:rPr>
          <w:noProof/>
        </w:rPr>
        <w:sectPr w:rsidR="003A3D51" w:rsidSect="0098211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pPr>
      <w:r>
        <w:rPr>
          <w:noProof/>
        </w:rPr>
        <w:br w:type="page"/>
      </w:r>
    </w:p>
    <w:p w14:paraId="5E7DC52A"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A.2 </w:t>
      </w:r>
      <w:r>
        <w:rPr>
          <w:noProof/>
        </w:rPr>
        <w:tab/>
        <w:t>Delmål, mål, indikatorer och tidsplan för övervakning och genomförande avseende icke återbetalningspliktigt ekonomiskt stöd</w:t>
      </w:r>
    </w:p>
    <w:tbl>
      <w:tblPr>
        <w:tblW w:w="16380" w:type="dxa"/>
        <w:jc w:val="center"/>
        <w:tblCellMar>
          <w:top w:w="28" w:type="dxa"/>
          <w:left w:w="28" w:type="dxa"/>
          <w:bottom w:w="28" w:type="dxa"/>
          <w:right w:w="28" w:type="dxa"/>
        </w:tblCellMar>
        <w:tblLook w:val="04A0" w:firstRow="1" w:lastRow="0" w:firstColumn="1" w:lastColumn="0" w:noHBand="0" w:noVBand="1"/>
      </w:tblPr>
      <w:tblGrid>
        <w:gridCol w:w="1129"/>
        <w:gridCol w:w="833"/>
        <w:gridCol w:w="946"/>
        <w:gridCol w:w="2129"/>
        <w:gridCol w:w="1615"/>
        <w:gridCol w:w="1096"/>
        <w:gridCol w:w="1059"/>
        <w:gridCol w:w="1458"/>
        <w:gridCol w:w="868"/>
        <w:gridCol w:w="966"/>
        <w:gridCol w:w="4710"/>
      </w:tblGrid>
      <w:tr w:rsidR="003A3D51" w14:paraId="6C1C7C71" w14:textId="77777777">
        <w:trPr>
          <w:trHeight w:val="300"/>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A01B533" w14:textId="77777777" w:rsidR="003A3D51" w:rsidRDefault="0002775A">
            <w:pPr>
              <w:pStyle w:val="P68B1DB1-Normal6"/>
              <w:spacing w:after="0" w:line="276" w:lineRule="auto"/>
              <w:jc w:val="center"/>
              <w:rPr>
                <w:noProof/>
              </w:rPr>
            </w:pPr>
            <w:r>
              <w:rPr>
                <w:noProof/>
              </w:rPr>
              <w:t>Antal</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E91304E" w14:textId="77777777" w:rsidR="003A3D51" w:rsidRDefault="0002775A">
            <w:pPr>
              <w:pStyle w:val="P68B1DB1-Normal6"/>
              <w:spacing w:after="0" w:line="276" w:lineRule="auto"/>
              <w:jc w:val="center"/>
              <w:rPr>
                <w:noProof/>
              </w:rPr>
            </w:pPr>
            <w:r>
              <w:rPr>
                <w:noProof/>
              </w:rPr>
              <w:t>Åtgärd</w:t>
            </w:r>
          </w:p>
        </w:tc>
        <w:tc>
          <w:tcPr>
            <w:tcW w:w="806"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32F704D1" w14:textId="77777777" w:rsidR="003A3D51" w:rsidRDefault="0002775A">
            <w:pPr>
              <w:pStyle w:val="P68B1DB1-Normal6"/>
              <w:spacing w:after="0" w:line="276" w:lineRule="auto"/>
              <w:jc w:val="center"/>
              <w:rPr>
                <w:noProof/>
              </w:rPr>
            </w:pPr>
            <w:r>
              <w:rPr>
                <w:noProof/>
              </w:rPr>
              <w:t>Delmål/mål</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9808FA8" w14:textId="77777777" w:rsidR="003A3D51" w:rsidRDefault="0002775A">
            <w:pPr>
              <w:pStyle w:val="P68B1DB1-Normal6"/>
              <w:spacing w:after="0" w:line="276" w:lineRule="auto"/>
              <w:jc w:val="center"/>
              <w:rPr>
                <w:noProof/>
              </w:rPr>
            </w:pPr>
            <w:r>
              <w:rPr>
                <w:noProof/>
              </w:rPr>
              <w:t>Namn</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6413EFAE"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3613"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BDEC345"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1834" w:type="dxa"/>
            <w:gridSpan w:val="2"/>
            <w:tcBorders>
              <w:top w:val="single" w:sz="4" w:space="0" w:color="auto"/>
              <w:left w:val="nil"/>
              <w:bottom w:val="single" w:sz="4" w:space="0" w:color="auto"/>
              <w:right w:val="single" w:sz="4" w:space="0" w:color="auto"/>
            </w:tcBorders>
            <w:shd w:val="clear" w:color="auto" w:fill="BDD7EE"/>
            <w:hideMark/>
          </w:tcPr>
          <w:p w14:paraId="5BF61ED5" w14:textId="77777777" w:rsidR="003A3D51" w:rsidRDefault="0002775A">
            <w:pPr>
              <w:pStyle w:val="P68B1DB1-Normal6"/>
              <w:spacing w:after="0" w:line="276" w:lineRule="auto"/>
              <w:jc w:val="center"/>
              <w:rPr>
                <w:noProof/>
              </w:rPr>
            </w:pPr>
            <w:r>
              <w:rPr>
                <w:noProof/>
              </w:rPr>
              <w:t>Tid</w:t>
            </w:r>
          </w:p>
        </w:tc>
        <w:tc>
          <w:tcPr>
            <w:tcW w:w="471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C09B975" w14:textId="77777777" w:rsidR="003A3D51" w:rsidRDefault="0002775A">
            <w:pPr>
              <w:pStyle w:val="P68B1DB1-Normal6"/>
              <w:spacing w:after="0" w:line="276" w:lineRule="auto"/>
              <w:jc w:val="center"/>
              <w:rPr>
                <w:noProof/>
              </w:rPr>
            </w:pPr>
            <w:r>
              <w:rPr>
                <w:noProof/>
              </w:rPr>
              <w:t>Beskrivning av varje delmål och mål</w:t>
            </w:r>
          </w:p>
        </w:tc>
      </w:tr>
      <w:tr w:rsidR="003A3D51" w14:paraId="0919A33A" w14:textId="77777777">
        <w:trPr>
          <w:trHeight w:val="300"/>
          <w:tblHeader/>
          <w:jc w:val="center"/>
        </w:trPr>
        <w:tc>
          <w:tcPr>
            <w:tcW w:w="1129" w:type="dxa"/>
            <w:vMerge/>
            <w:tcBorders>
              <w:top w:val="single" w:sz="4" w:space="0" w:color="auto"/>
              <w:left w:val="single" w:sz="4" w:space="0" w:color="auto"/>
              <w:bottom w:val="single" w:sz="4" w:space="0" w:color="auto"/>
              <w:right w:val="single" w:sz="4" w:space="0" w:color="auto"/>
            </w:tcBorders>
            <w:hideMark/>
          </w:tcPr>
          <w:p w14:paraId="1BDEEB12" w14:textId="77777777" w:rsidR="003A3D51" w:rsidRDefault="003A3D51">
            <w:pPr>
              <w:spacing w:after="0" w:line="276" w:lineRule="auto"/>
              <w:jc w:val="center"/>
              <w:rPr>
                <w:rFonts w:ascii="Times New Roman" w:eastAsia="Times New Roman" w:hAnsi="Times New Roman" w:cs="Times New Roman"/>
                <w:b/>
                <w:noProof/>
                <w:sz w:val="24"/>
              </w:rPr>
            </w:pPr>
          </w:p>
        </w:tc>
        <w:tc>
          <w:tcPr>
            <w:tcW w:w="833" w:type="dxa"/>
            <w:vMerge/>
            <w:tcBorders>
              <w:top w:val="single" w:sz="4" w:space="0" w:color="auto"/>
              <w:left w:val="single" w:sz="4" w:space="0" w:color="auto"/>
              <w:bottom w:val="single" w:sz="4" w:space="0" w:color="auto"/>
              <w:right w:val="single" w:sz="4" w:space="0" w:color="auto"/>
            </w:tcBorders>
            <w:hideMark/>
          </w:tcPr>
          <w:p w14:paraId="51ECDA4B" w14:textId="77777777" w:rsidR="003A3D51" w:rsidRDefault="003A3D51">
            <w:pPr>
              <w:spacing w:after="0" w:line="276" w:lineRule="auto"/>
              <w:rPr>
                <w:rFonts w:ascii="Times New Roman" w:eastAsia="Times New Roman" w:hAnsi="Times New Roman" w:cs="Times New Roman"/>
                <w:b/>
                <w:noProof/>
                <w:sz w:val="24"/>
              </w:rPr>
            </w:pPr>
          </w:p>
        </w:tc>
        <w:tc>
          <w:tcPr>
            <w:tcW w:w="806" w:type="dxa"/>
            <w:vMerge/>
            <w:tcBorders>
              <w:top w:val="single" w:sz="4" w:space="0" w:color="auto"/>
              <w:left w:val="single" w:sz="4" w:space="0" w:color="auto"/>
              <w:bottom w:val="single" w:sz="4" w:space="0" w:color="auto"/>
              <w:right w:val="single" w:sz="4" w:space="0" w:color="auto"/>
            </w:tcBorders>
            <w:hideMark/>
          </w:tcPr>
          <w:p w14:paraId="067F5766" w14:textId="77777777" w:rsidR="003A3D51" w:rsidRDefault="003A3D51">
            <w:pPr>
              <w:spacing w:after="0" w:line="276" w:lineRule="auto"/>
              <w:jc w:val="center"/>
              <w:rPr>
                <w:rFonts w:ascii="Times New Roman" w:eastAsia="Times New Roman" w:hAnsi="Times New Roman" w:cs="Times New Roman"/>
                <w:b/>
                <w:noProof/>
                <w:sz w:val="24"/>
              </w:rPr>
            </w:pPr>
          </w:p>
        </w:tc>
        <w:tc>
          <w:tcPr>
            <w:tcW w:w="1900" w:type="dxa"/>
            <w:vMerge/>
            <w:tcBorders>
              <w:top w:val="single" w:sz="4" w:space="0" w:color="auto"/>
              <w:left w:val="single" w:sz="4" w:space="0" w:color="auto"/>
              <w:bottom w:val="single" w:sz="4" w:space="0" w:color="auto"/>
              <w:right w:val="single" w:sz="4" w:space="0" w:color="auto"/>
            </w:tcBorders>
            <w:hideMark/>
          </w:tcPr>
          <w:p w14:paraId="5E48A9F6" w14:textId="77777777" w:rsidR="003A3D51" w:rsidRDefault="003A3D51">
            <w:pPr>
              <w:spacing w:after="0" w:line="276" w:lineRule="auto"/>
              <w:rPr>
                <w:rFonts w:ascii="Times New Roman" w:eastAsia="Times New Roman" w:hAnsi="Times New Roman" w:cs="Times New Roman"/>
                <w:b/>
                <w:noProof/>
                <w:sz w:val="24"/>
              </w:rPr>
            </w:pPr>
          </w:p>
        </w:tc>
        <w:tc>
          <w:tcPr>
            <w:tcW w:w="1555" w:type="dxa"/>
            <w:vMerge/>
            <w:tcBorders>
              <w:top w:val="single" w:sz="4" w:space="0" w:color="auto"/>
              <w:left w:val="single" w:sz="4" w:space="0" w:color="auto"/>
              <w:bottom w:val="single" w:sz="4" w:space="0" w:color="auto"/>
              <w:right w:val="single" w:sz="4" w:space="0" w:color="auto"/>
            </w:tcBorders>
            <w:hideMark/>
          </w:tcPr>
          <w:p w14:paraId="24AD2E44" w14:textId="77777777" w:rsidR="003A3D51" w:rsidRDefault="003A3D51">
            <w:pPr>
              <w:spacing w:after="0" w:line="276" w:lineRule="auto"/>
              <w:jc w:val="center"/>
              <w:rPr>
                <w:rFonts w:ascii="Times New Roman" w:eastAsia="Times New Roman" w:hAnsi="Times New Roman" w:cs="Times New Roman"/>
                <w:b/>
                <w:noProof/>
                <w:sz w:val="24"/>
              </w:rPr>
            </w:pPr>
          </w:p>
        </w:tc>
        <w:tc>
          <w:tcPr>
            <w:tcW w:w="1096" w:type="dxa"/>
            <w:tcBorders>
              <w:top w:val="nil"/>
              <w:left w:val="single" w:sz="4" w:space="0" w:color="auto"/>
              <w:bottom w:val="single" w:sz="4" w:space="0" w:color="auto"/>
              <w:right w:val="single" w:sz="4" w:space="0" w:color="auto"/>
            </w:tcBorders>
            <w:shd w:val="clear" w:color="auto" w:fill="BDD7EE"/>
            <w:hideMark/>
          </w:tcPr>
          <w:p w14:paraId="22D4AFC3" w14:textId="77777777" w:rsidR="003A3D51" w:rsidRDefault="0002775A">
            <w:pPr>
              <w:pStyle w:val="P68B1DB1-Normal6"/>
              <w:spacing w:after="0" w:line="276" w:lineRule="auto"/>
              <w:jc w:val="center"/>
              <w:rPr>
                <w:noProof/>
              </w:rPr>
            </w:pPr>
            <w:r>
              <w:rPr>
                <w:noProof/>
              </w:rPr>
              <w:t>Enhet</w:t>
            </w:r>
          </w:p>
        </w:tc>
        <w:tc>
          <w:tcPr>
            <w:tcW w:w="1059" w:type="dxa"/>
            <w:tcBorders>
              <w:top w:val="nil"/>
              <w:left w:val="nil"/>
              <w:bottom w:val="single" w:sz="4" w:space="0" w:color="auto"/>
              <w:right w:val="single" w:sz="4" w:space="0" w:color="auto"/>
            </w:tcBorders>
            <w:shd w:val="clear" w:color="auto" w:fill="BDD7EE"/>
            <w:hideMark/>
          </w:tcPr>
          <w:p w14:paraId="54678323" w14:textId="77777777" w:rsidR="003A3D51" w:rsidRDefault="0002775A">
            <w:pPr>
              <w:pStyle w:val="P68B1DB1-Normal6"/>
              <w:spacing w:after="0" w:line="276" w:lineRule="auto"/>
              <w:jc w:val="center"/>
              <w:rPr>
                <w:noProof/>
              </w:rPr>
            </w:pPr>
            <w:r>
              <w:rPr>
                <w:noProof/>
              </w:rPr>
              <w:t>Baslinjen</w:t>
            </w:r>
          </w:p>
        </w:tc>
        <w:tc>
          <w:tcPr>
            <w:tcW w:w="1458" w:type="dxa"/>
            <w:tcBorders>
              <w:top w:val="nil"/>
              <w:left w:val="nil"/>
              <w:bottom w:val="single" w:sz="4" w:space="0" w:color="auto"/>
              <w:right w:val="single" w:sz="4" w:space="0" w:color="auto"/>
            </w:tcBorders>
            <w:shd w:val="clear" w:color="auto" w:fill="BDD7EE"/>
            <w:hideMark/>
          </w:tcPr>
          <w:p w14:paraId="221EB181" w14:textId="77777777" w:rsidR="003A3D51" w:rsidRDefault="0002775A">
            <w:pPr>
              <w:pStyle w:val="P68B1DB1-Normal6"/>
              <w:spacing w:after="0" w:line="276" w:lineRule="auto"/>
              <w:jc w:val="center"/>
              <w:rPr>
                <w:noProof/>
              </w:rPr>
            </w:pPr>
            <w:r>
              <w:rPr>
                <w:noProof/>
              </w:rPr>
              <w:t>Mål</w:t>
            </w:r>
          </w:p>
        </w:tc>
        <w:tc>
          <w:tcPr>
            <w:tcW w:w="868" w:type="dxa"/>
            <w:tcBorders>
              <w:top w:val="nil"/>
              <w:left w:val="nil"/>
              <w:bottom w:val="single" w:sz="4" w:space="0" w:color="auto"/>
              <w:right w:val="single" w:sz="4" w:space="0" w:color="auto"/>
            </w:tcBorders>
            <w:shd w:val="clear" w:color="auto" w:fill="BDD7EE"/>
            <w:hideMark/>
          </w:tcPr>
          <w:p w14:paraId="0E8C68E6" w14:textId="77777777" w:rsidR="003A3D51" w:rsidRDefault="0002775A">
            <w:pPr>
              <w:pStyle w:val="P68B1DB1-Normal6"/>
              <w:spacing w:after="0" w:line="276" w:lineRule="auto"/>
              <w:jc w:val="center"/>
              <w:rPr>
                <w:noProof/>
              </w:rPr>
            </w:pPr>
            <w:r>
              <w:rPr>
                <w:noProof/>
              </w:rPr>
              <w:t>Q</w:t>
            </w:r>
          </w:p>
        </w:tc>
        <w:tc>
          <w:tcPr>
            <w:tcW w:w="966" w:type="dxa"/>
            <w:tcBorders>
              <w:top w:val="nil"/>
              <w:left w:val="nil"/>
              <w:bottom w:val="single" w:sz="4" w:space="0" w:color="auto"/>
              <w:right w:val="single" w:sz="4" w:space="0" w:color="auto"/>
            </w:tcBorders>
            <w:shd w:val="clear" w:color="auto" w:fill="BDD7EE"/>
            <w:hideMark/>
          </w:tcPr>
          <w:p w14:paraId="3BA0FA86" w14:textId="77777777" w:rsidR="003A3D51" w:rsidRDefault="0002775A">
            <w:pPr>
              <w:pStyle w:val="P68B1DB1-Normal6"/>
              <w:spacing w:after="0" w:line="276" w:lineRule="auto"/>
              <w:jc w:val="center"/>
              <w:rPr>
                <w:noProof/>
              </w:rPr>
            </w:pPr>
            <w:r>
              <w:rPr>
                <w:noProof/>
              </w:rPr>
              <w:t>Året</w:t>
            </w:r>
          </w:p>
        </w:tc>
        <w:tc>
          <w:tcPr>
            <w:tcW w:w="4710" w:type="dxa"/>
            <w:vMerge/>
            <w:tcBorders>
              <w:top w:val="single" w:sz="4" w:space="0" w:color="auto"/>
              <w:bottom w:val="single" w:sz="4" w:space="0" w:color="auto"/>
              <w:right w:val="single" w:sz="4" w:space="0" w:color="auto"/>
            </w:tcBorders>
            <w:hideMark/>
          </w:tcPr>
          <w:p w14:paraId="29B7BEA6" w14:textId="77777777" w:rsidR="003A3D51" w:rsidRDefault="003A3D51">
            <w:pPr>
              <w:spacing w:after="0" w:line="276" w:lineRule="auto"/>
              <w:rPr>
                <w:rFonts w:ascii="Times New Roman" w:eastAsia="Times New Roman" w:hAnsi="Times New Roman" w:cs="Times New Roman"/>
                <w:b/>
                <w:noProof/>
                <w:sz w:val="24"/>
              </w:rPr>
            </w:pPr>
          </w:p>
        </w:tc>
      </w:tr>
      <w:tr w:rsidR="003A3D51" w14:paraId="2A08068C"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7978F09" w14:textId="77777777" w:rsidR="003A3D51" w:rsidRDefault="0002775A">
            <w:pPr>
              <w:pStyle w:val="P68B1DB1-Normal7"/>
              <w:spacing w:after="0" w:line="240" w:lineRule="auto"/>
              <w:jc w:val="center"/>
              <w:rPr>
                <w:rFonts w:ascii="Times New Roman" w:hAnsi="Times New Roman" w:cs="Times New Roman"/>
                <w:noProof/>
              </w:rPr>
            </w:pPr>
            <w:r>
              <w:rPr>
                <w:noProof/>
              </w:rPr>
              <w:t>1</w:t>
            </w:r>
          </w:p>
        </w:tc>
        <w:tc>
          <w:tcPr>
            <w:tcW w:w="833" w:type="dxa"/>
            <w:tcBorders>
              <w:top w:val="single" w:sz="4" w:space="0" w:color="auto"/>
              <w:left w:val="nil"/>
              <w:bottom w:val="single" w:sz="4" w:space="0" w:color="auto"/>
              <w:right w:val="single" w:sz="4" w:space="0" w:color="auto"/>
            </w:tcBorders>
            <w:shd w:val="clear" w:color="auto" w:fill="C6EFCE"/>
            <w:noWrap/>
          </w:tcPr>
          <w:p w14:paraId="4C571121" w14:textId="77777777" w:rsidR="003A3D51" w:rsidRDefault="0002775A">
            <w:pPr>
              <w:pStyle w:val="P68B1DB1-Normal7"/>
              <w:spacing w:before="120" w:after="120" w:line="240" w:lineRule="auto"/>
              <w:rPr>
                <w:rFonts w:ascii="Times New Roman" w:hAnsi="Times New Roman" w:cs="Times New Roman"/>
                <w:noProof/>
              </w:rPr>
            </w:pPr>
            <w:r>
              <w:rPr>
                <w:noProof/>
              </w:rPr>
              <w:t>C1.1.1 R1</w:t>
            </w:r>
          </w:p>
        </w:tc>
        <w:tc>
          <w:tcPr>
            <w:tcW w:w="806" w:type="dxa"/>
            <w:tcBorders>
              <w:top w:val="single" w:sz="4" w:space="0" w:color="auto"/>
              <w:left w:val="nil"/>
              <w:bottom w:val="single" w:sz="4" w:space="0" w:color="auto"/>
              <w:right w:val="single" w:sz="4" w:space="0" w:color="auto"/>
            </w:tcBorders>
            <w:shd w:val="clear" w:color="auto" w:fill="C6EFCE"/>
            <w:noWrap/>
          </w:tcPr>
          <w:p w14:paraId="4338F60E"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7B445378" w14:textId="77777777" w:rsidR="003A3D51" w:rsidRDefault="0002775A">
            <w:pPr>
              <w:pStyle w:val="P68B1DB1-Normal7"/>
              <w:spacing w:before="120" w:after="120" w:line="240" w:lineRule="auto"/>
              <w:rPr>
                <w:rFonts w:ascii="Times New Roman" w:hAnsi="Times New Roman" w:cs="Times New Roman"/>
                <w:noProof/>
              </w:rPr>
            </w:pPr>
            <w:r>
              <w:rPr>
                <w:noProof/>
              </w:rPr>
              <w:t xml:space="preserve">Den kroatiska regeringens antagande av strategin för utvärdering av de ekonomiska effekterna av förordningen om små och medelstora företag och den åtföljande handlingsplanen </w:t>
            </w:r>
          </w:p>
        </w:tc>
        <w:tc>
          <w:tcPr>
            <w:tcW w:w="1555" w:type="dxa"/>
            <w:tcBorders>
              <w:top w:val="single" w:sz="4" w:space="0" w:color="auto"/>
              <w:left w:val="nil"/>
              <w:bottom w:val="single" w:sz="4" w:space="0" w:color="auto"/>
              <w:right w:val="single" w:sz="4" w:space="0" w:color="auto"/>
            </w:tcBorders>
            <w:shd w:val="clear" w:color="auto" w:fill="C6EFCE"/>
            <w:noWrap/>
          </w:tcPr>
          <w:p w14:paraId="07432160" w14:textId="77777777" w:rsidR="003A3D51" w:rsidRDefault="0002775A">
            <w:pPr>
              <w:pStyle w:val="P68B1DB1-Normal7"/>
              <w:spacing w:before="120" w:after="120" w:line="240" w:lineRule="auto"/>
              <w:rPr>
                <w:rFonts w:ascii="Times New Roman" w:hAnsi="Times New Roman" w:cs="Times New Roman"/>
                <w:noProof/>
              </w:rPr>
            </w:pPr>
            <w:r>
              <w:rPr>
                <w:noProof/>
              </w:rPr>
              <w:t xml:space="preserve">Antagande av strategin och handlingsplanen  </w:t>
            </w:r>
          </w:p>
        </w:tc>
        <w:tc>
          <w:tcPr>
            <w:tcW w:w="1096" w:type="dxa"/>
            <w:tcBorders>
              <w:top w:val="single" w:sz="4" w:space="0" w:color="auto"/>
              <w:left w:val="nil"/>
              <w:bottom w:val="single" w:sz="4" w:space="0" w:color="auto"/>
              <w:right w:val="single" w:sz="4" w:space="0" w:color="auto"/>
            </w:tcBorders>
            <w:shd w:val="clear" w:color="auto" w:fill="C6EFCE"/>
            <w:noWrap/>
          </w:tcPr>
          <w:p w14:paraId="3564203D"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nil"/>
              <w:left w:val="nil"/>
              <w:bottom w:val="single" w:sz="4" w:space="0" w:color="auto"/>
              <w:right w:val="single" w:sz="4" w:space="0" w:color="auto"/>
            </w:tcBorders>
            <w:shd w:val="clear" w:color="auto" w:fill="C6EFCE"/>
            <w:noWrap/>
          </w:tcPr>
          <w:p w14:paraId="5D359F1F"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nil"/>
              <w:left w:val="nil"/>
              <w:bottom w:val="single" w:sz="4" w:space="0" w:color="auto"/>
              <w:right w:val="single" w:sz="4" w:space="0" w:color="auto"/>
            </w:tcBorders>
            <w:shd w:val="clear" w:color="auto" w:fill="C6EFCE"/>
            <w:noWrap/>
          </w:tcPr>
          <w:p w14:paraId="6D2655B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nil"/>
              <w:left w:val="nil"/>
              <w:bottom w:val="single" w:sz="4" w:space="0" w:color="auto"/>
              <w:right w:val="single" w:sz="4" w:space="0" w:color="auto"/>
            </w:tcBorders>
            <w:shd w:val="clear" w:color="auto" w:fill="C6EFCE"/>
            <w:noWrap/>
          </w:tcPr>
          <w:p w14:paraId="72B3CF3B"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nil"/>
              <w:left w:val="nil"/>
              <w:bottom w:val="single" w:sz="4" w:space="0" w:color="auto"/>
              <w:right w:val="single" w:sz="4" w:space="0" w:color="auto"/>
            </w:tcBorders>
            <w:shd w:val="clear" w:color="auto" w:fill="C6EFCE"/>
            <w:noWrap/>
          </w:tcPr>
          <w:p w14:paraId="772204A3"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6F18EB4E" w14:textId="77777777" w:rsidR="003A3D51" w:rsidRDefault="0002775A">
            <w:pPr>
              <w:pStyle w:val="P68B1DB1-Normal7"/>
              <w:spacing w:before="120" w:after="120" w:line="240" w:lineRule="auto"/>
              <w:rPr>
                <w:rFonts w:ascii="Times New Roman" w:hAnsi="Times New Roman" w:cs="Times New Roman"/>
                <w:noProof/>
              </w:rPr>
            </w:pPr>
            <w:r>
              <w:rPr>
                <w:noProof/>
              </w:rPr>
              <w:t>MINGOR fokuserar främst på de ekonomiska konsekvenserna av regleringen av sektorn för små och medelstora företag och ska anta en bindande strategi för regleringspolitiken för ministerierna, som tydligt tilldelar ledningsansvar och operativt ansvar under genomförandet av obligatoriska tester för små och medelstora företag under regleringsprocessen. På grundval av strategin för regleringspolitiken ska en handlingsplan antas för att organisera, planera, samordna och övervaka fackministeriernas genomförande av relevanta verktyg och metoder (främst för test av små och medelstora företag och andra ekonomiska analyser av reglering, om betydande ekonomiska konsekvenser upptäcks).</w:t>
            </w:r>
          </w:p>
        </w:tc>
      </w:tr>
      <w:tr w:rsidR="003A3D51" w14:paraId="0B203287" w14:textId="77777777">
        <w:trPr>
          <w:trHeight w:val="300"/>
          <w:jc w:val="center"/>
        </w:trPr>
        <w:tc>
          <w:tcPr>
            <w:tcW w:w="1129" w:type="dxa"/>
            <w:tcBorders>
              <w:top w:val="nil"/>
              <w:left w:val="single" w:sz="4" w:space="0" w:color="auto"/>
              <w:bottom w:val="single" w:sz="4" w:space="0" w:color="auto"/>
              <w:right w:val="single" w:sz="4" w:space="0" w:color="auto"/>
            </w:tcBorders>
            <w:shd w:val="clear" w:color="auto" w:fill="C6EFCE"/>
            <w:noWrap/>
          </w:tcPr>
          <w:p w14:paraId="10F00267" w14:textId="77777777" w:rsidR="003A3D51" w:rsidRDefault="0002775A">
            <w:pPr>
              <w:pStyle w:val="P68B1DB1-Normal7"/>
              <w:spacing w:after="0" w:line="240" w:lineRule="auto"/>
              <w:jc w:val="center"/>
              <w:rPr>
                <w:rFonts w:ascii="Times New Roman" w:hAnsi="Times New Roman" w:cs="Times New Roman"/>
                <w:noProof/>
              </w:rPr>
            </w:pPr>
            <w:r>
              <w:rPr>
                <w:noProof/>
              </w:rPr>
              <w:t>2</w:t>
            </w:r>
          </w:p>
        </w:tc>
        <w:tc>
          <w:tcPr>
            <w:tcW w:w="833" w:type="dxa"/>
            <w:tcBorders>
              <w:top w:val="nil"/>
              <w:left w:val="nil"/>
              <w:bottom w:val="single" w:sz="4" w:space="0" w:color="auto"/>
              <w:right w:val="single" w:sz="4" w:space="0" w:color="auto"/>
            </w:tcBorders>
            <w:shd w:val="clear" w:color="auto" w:fill="C6EFCE"/>
            <w:noWrap/>
          </w:tcPr>
          <w:p w14:paraId="6298DF37" w14:textId="77777777" w:rsidR="003A3D51" w:rsidRDefault="0002775A">
            <w:pPr>
              <w:pStyle w:val="P68B1DB1-Normal7"/>
              <w:spacing w:before="120" w:after="120" w:line="240" w:lineRule="auto"/>
              <w:rPr>
                <w:rFonts w:ascii="Times New Roman" w:hAnsi="Times New Roman" w:cs="Times New Roman"/>
                <w:noProof/>
              </w:rPr>
            </w:pPr>
            <w:r>
              <w:rPr>
                <w:noProof/>
              </w:rPr>
              <w:t>C1.1.1 R1-I1</w:t>
            </w:r>
          </w:p>
        </w:tc>
        <w:tc>
          <w:tcPr>
            <w:tcW w:w="806" w:type="dxa"/>
            <w:tcBorders>
              <w:top w:val="nil"/>
              <w:left w:val="nil"/>
              <w:bottom w:val="single" w:sz="4" w:space="0" w:color="auto"/>
              <w:right w:val="single" w:sz="4" w:space="0" w:color="auto"/>
            </w:tcBorders>
            <w:shd w:val="clear" w:color="auto" w:fill="C6EFCE"/>
            <w:noWrap/>
          </w:tcPr>
          <w:p w14:paraId="1DB82ADB"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nil"/>
              <w:left w:val="nil"/>
              <w:bottom w:val="single" w:sz="4" w:space="0" w:color="auto"/>
              <w:right w:val="single" w:sz="4" w:space="0" w:color="auto"/>
            </w:tcBorders>
            <w:shd w:val="clear" w:color="auto" w:fill="C6EFCE"/>
            <w:noWrap/>
          </w:tcPr>
          <w:p w14:paraId="3D50E049" w14:textId="77777777" w:rsidR="003A3D51" w:rsidRDefault="0002775A">
            <w:pPr>
              <w:pStyle w:val="P68B1DB1-Normal7"/>
              <w:spacing w:before="120" w:after="120" w:line="240" w:lineRule="auto"/>
              <w:rPr>
                <w:rFonts w:ascii="Times New Roman" w:hAnsi="Times New Roman" w:cs="Times New Roman"/>
                <w:noProof/>
              </w:rPr>
            </w:pPr>
            <w:r>
              <w:rPr>
                <w:noProof/>
              </w:rPr>
              <w:t xml:space="preserve">Digital operativ plattform för betalning av avgifter </w:t>
            </w:r>
          </w:p>
        </w:tc>
        <w:tc>
          <w:tcPr>
            <w:tcW w:w="1555" w:type="dxa"/>
            <w:tcBorders>
              <w:top w:val="nil"/>
              <w:left w:val="nil"/>
              <w:bottom w:val="single" w:sz="4" w:space="0" w:color="auto"/>
              <w:right w:val="single" w:sz="4" w:space="0" w:color="auto"/>
            </w:tcBorders>
            <w:shd w:val="clear" w:color="auto" w:fill="C6EFCE"/>
            <w:noWrap/>
          </w:tcPr>
          <w:p w14:paraId="62B92A5B" w14:textId="77777777" w:rsidR="003A3D51" w:rsidRDefault="0002775A">
            <w:pPr>
              <w:pStyle w:val="P68B1DB1-Normal7"/>
              <w:spacing w:before="120" w:after="120" w:line="240" w:lineRule="auto"/>
              <w:rPr>
                <w:rFonts w:ascii="Times New Roman" w:hAnsi="Times New Roman" w:cs="Times New Roman"/>
                <w:noProof/>
              </w:rPr>
            </w:pPr>
            <w:r>
              <w:rPr>
                <w:noProof/>
              </w:rPr>
              <w:t>Digital plattform för att betala avgifter i drift</w:t>
            </w:r>
          </w:p>
        </w:tc>
        <w:tc>
          <w:tcPr>
            <w:tcW w:w="1096" w:type="dxa"/>
            <w:tcBorders>
              <w:top w:val="nil"/>
              <w:left w:val="nil"/>
              <w:bottom w:val="single" w:sz="4" w:space="0" w:color="auto"/>
              <w:right w:val="single" w:sz="4" w:space="0" w:color="auto"/>
            </w:tcBorders>
            <w:shd w:val="clear" w:color="auto" w:fill="C6EFCE"/>
            <w:noWrap/>
          </w:tcPr>
          <w:p w14:paraId="749ADD1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nil"/>
              <w:left w:val="nil"/>
              <w:bottom w:val="single" w:sz="4" w:space="0" w:color="auto"/>
              <w:right w:val="single" w:sz="4" w:space="0" w:color="auto"/>
            </w:tcBorders>
            <w:shd w:val="clear" w:color="auto" w:fill="C6EFCE"/>
            <w:noWrap/>
          </w:tcPr>
          <w:p w14:paraId="7420BB1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nil"/>
              <w:left w:val="nil"/>
              <w:bottom w:val="single" w:sz="4" w:space="0" w:color="auto"/>
              <w:right w:val="single" w:sz="4" w:space="0" w:color="auto"/>
            </w:tcBorders>
            <w:shd w:val="clear" w:color="auto" w:fill="C6EFCE"/>
            <w:noWrap/>
          </w:tcPr>
          <w:p w14:paraId="26B6EF79"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nil"/>
              <w:left w:val="nil"/>
              <w:bottom w:val="single" w:sz="4" w:space="0" w:color="auto"/>
              <w:right w:val="single" w:sz="4" w:space="0" w:color="auto"/>
            </w:tcBorders>
            <w:shd w:val="clear" w:color="auto" w:fill="C6EFCE"/>
            <w:noWrap/>
          </w:tcPr>
          <w:p w14:paraId="530DC7C1"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nil"/>
              <w:left w:val="nil"/>
              <w:bottom w:val="single" w:sz="4" w:space="0" w:color="auto"/>
              <w:right w:val="single" w:sz="4" w:space="0" w:color="auto"/>
            </w:tcBorders>
            <w:shd w:val="clear" w:color="auto" w:fill="C6EFCE"/>
            <w:noWrap/>
          </w:tcPr>
          <w:p w14:paraId="52B505F0"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nil"/>
              <w:left w:val="nil"/>
              <w:bottom w:val="single" w:sz="4" w:space="0" w:color="auto"/>
              <w:right w:val="single" w:sz="4" w:space="0" w:color="auto"/>
            </w:tcBorders>
            <w:shd w:val="clear" w:color="auto" w:fill="C6EFCE"/>
            <w:noWrap/>
          </w:tcPr>
          <w:p w14:paraId="05B1A554" w14:textId="77777777" w:rsidR="003A3D51" w:rsidRDefault="0002775A">
            <w:pPr>
              <w:pStyle w:val="P68B1DB1-Normal7"/>
              <w:spacing w:before="120" w:after="120" w:line="240" w:lineRule="auto"/>
              <w:rPr>
                <w:rFonts w:ascii="Times New Roman" w:hAnsi="Times New Roman" w:cs="Times New Roman"/>
                <w:noProof/>
              </w:rPr>
            </w:pPr>
            <w:r>
              <w:rPr>
                <w:noProof/>
              </w:rPr>
              <w:t>En gemensam betalningsplattform för obligatoriska avgifter som en ny digital offentlig tjänst ska inrättas för att optimera den befintliga administrativa processen och erbjuda följande funktioner:</w:t>
            </w:r>
            <w:r>
              <w:rPr>
                <w:noProof/>
              </w:rPr>
              <w:br/>
              <w:t xml:space="preserve">(1) förteckning över avgifter som ska betalas av företagaren </w:t>
            </w:r>
            <w:r>
              <w:rPr>
                <w:noProof/>
              </w:rPr>
              <w:br/>
              <w:t xml:space="preserve">(2) betalningskalender med tidsfrister för betalning </w:t>
            </w:r>
            <w:r>
              <w:rPr>
                <w:noProof/>
              </w:rPr>
              <w:br/>
              <w:t xml:space="preserve">(3) möjlighet till direkt betalning av avgifter online </w:t>
            </w:r>
            <w:r>
              <w:rPr>
                <w:noProof/>
              </w:rPr>
              <w:br/>
              <w:t>(4) översikt över utbetalda åtaganden.</w:t>
            </w:r>
          </w:p>
        </w:tc>
      </w:tr>
      <w:tr w:rsidR="003A3D51" w14:paraId="70D20125" w14:textId="77777777">
        <w:trPr>
          <w:trHeight w:val="300"/>
          <w:jc w:val="center"/>
        </w:trPr>
        <w:tc>
          <w:tcPr>
            <w:tcW w:w="1129" w:type="dxa"/>
            <w:tcBorders>
              <w:top w:val="nil"/>
              <w:left w:val="single" w:sz="4" w:space="0" w:color="auto"/>
              <w:bottom w:val="single" w:sz="4" w:space="0" w:color="auto"/>
              <w:right w:val="single" w:sz="4" w:space="0" w:color="auto"/>
            </w:tcBorders>
            <w:shd w:val="clear" w:color="auto" w:fill="C6EFCE"/>
            <w:noWrap/>
          </w:tcPr>
          <w:p w14:paraId="6D3F228F" w14:textId="77777777" w:rsidR="003A3D51" w:rsidRDefault="0002775A">
            <w:pPr>
              <w:pStyle w:val="P68B1DB1-Normal7"/>
              <w:spacing w:before="120" w:after="120" w:line="240" w:lineRule="auto"/>
              <w:jc w:val="center"/>
              <w:rPr>
                <w:rFonts w:ascii="Times New Roman" w:hAnsi="Times New Roman" w:cs="Times New Roman"/>
                <w:noProof/>
              </w:rPr>
            </w:pPr>
            <w:r>
              <w:rPr>
                <w:noProof/>
              </w:rPr>
              <w:t>3</w:t>
            </w:r>
          </w:p>
        </w:tc>
        <w:tc>
          <w:tcPr>
            <w:tcW w:w="833" w:type="dxa"/>
            <w:tcBorders>
              <w:top w:val="nil"/>
              <w:left w:val="nil"/>
              <w:bottom w:val="single" w:sz="4" w:space="0" w:color="auto"/>
              <w:right w:val="single" w:sz="4" w:space="0" w:color="auto"/>
            </w:tcBorders>
            <w:shd w:val="clear" w:color="auto" w:fill="C6EFCE"/>
            <w:noWrap/>
          </w:tcPr>
          <w:p w14:paraId="2A1DA6A9" w14:textId="77777777" w:rsidR="003A3D51" w:rsidRDefault="0002775A">
            <w:pPr>
              <w:pStyle w:val="P68B1DB1-Normal7"/>
              <w:spacing w:before="120" w:after="120" w:line="240" w:lineRule="auto"/>
              <w:rPr>
                <w:rFonts w:ascii="Times New Roman" w:hAnsi="Times New Roman" w:cs="Times New Roman"/>
                <w:noProof/>
              </w:rPr>
            </w:pPr>
            <w:r>
              <w:rPr>
                <w:noProof/>
              </w:rPr>
              <w:t>C1.1.1 R1-I1</w:t>
            </w:r>
          </w:p>
        </w:tc>
        <w:tc>
          <w:tcPr>
            <w:tcW w:w="806" w:type="dxa"/>
            <w:tcBorders>
              <w:top w:val="nil"/>
              <w:left w:val="nil"/>
              <w:bottom w:val="single" w:sz="4" w:space="0" w:color="auto"/>
              <w:right w:val="single" w:sz="4" w:space="0" w:color="auto"/>
            </w:tcBorders>
            <w:shd w:val="clear" w:color="auto" w:fill="C6EFCE"/>
            <w:noWrap/>
          </w:tcPr>
          <w:p w14:paraId="4E8F6BA6"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nil"/>
              <w:left w:val="nil"/>
              <w:bottom w:val="single" w:sz="4" w:space="0" w:color="auto"/>
              <w:right w:val="single" w:sz="4" w:space="0" w:color="auto"/>
            </w:tcBorders>
            <w:shd w:val="clear" w:color="auto" w:fill="C6EFCE"/>
            <w:noWrap/>
          </w:tcPr>
          <w:p w14:paraId="6F21995E" w14:textId="77777777" w:rsidR="003A3D51" w:rsidRDefault="0002775A">
            <w:pPr>
              <w:pStyle w:val="P68B1DB1-Normal7"/>
              <w:spacing w:before="120" w:after="120" w:line="240" w:lineRule="auto"/>
              <w:rPr>
                <w:rFonts w:ascii="Times New Roman" w:hAnsi="Times New Roman" w:cs="Times New Roman"/>
                <w:noProof/>
              </w:rPr>
            </w:pPr>
            <w:r>
              <w:rPr>
                <w:noProof/>
              </w:rPr>
              <w:t xml:space="preserve">Uppgradering av Start-system </w:t>
            </w:r>
          </w:p>
        </w:tc>
        <w:tc>
          <w:tcPr>
            <w:tcW w:w="1555" w:type="dxa"/>
            <w:tcBorders>
              <w:top w:val="nil"/>
              <w:left w:val="nil"/>
              <w:bottom w:val="single" w:sz="4" w:space="0" w:color="auto"/>
              <w:right w:val="single" w:sz="4" w:space="0" w:color="auto"/>
            </w:tcBorders>
            <w:shd w:val="clear" w:color="auto" w:fill="C6EFCE"/>
            <w:noWrap/>
          </w:tcPr>
          <w:p w14:paraId="770591B9" w14:textId="77777777" w:rsidR="003A3D51" w:rsidRDefault="0002775A">
            <w:pPr>
              <w:pStyle w:val="P68B1DB1-Normal7"/>
              <w:spacing w:before="120" w:after="120" w:line="240" w:lineRule="auto"/>
              <w:rPr>
                <w:rFonts w:ascii="Times New Roman" w:hAnsi="Times New Roman" w:cs="Times New Roman"/>
                <w:noProof/>
              </w:rPr>
            </w:pPr>
            <w:r>
              <w:rPr>
                <w:noProof/>
              </w:rPr>
              <w:t xml:space="preserve"> Startplattform med uppgraderade ytterligare tjänster</w:t>
            </w:r>
          </w:p>
        </w:tc>
        <w:tc>
          <w:tcPr>
            <w:tcW w:w="1096" w:type="dxa"/>
            <w:tcBorders>
              <w:top w:val="nil"/>
              <w:left w:val="nil"/>
              <w:bottom w:val="single" w:sz="4" w:space="0" w:color="auto"/>
              <w:right w:val="single" w:sz="4" w:space="0" w:color="auto"/>
            </w:tcBorders>
            <w:shd w:val="clear" w:color="auto" w:fill="C6EFCE"/>
            <w:noWrap/>
          </w:tcPr>
          <w:p w14:paraId="2BB459AC"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nil"/>
              <w:left w:val="nil"/>
              <w:bottom w:val="single" w:sz="4" w:space="0" w:color="auto"/>
              <w:right w:val="single" w:sz="4" w:space="0" w:color="auto"/>
            </w:tcBorders>
            <w:shd w:val="clear" w:color="auto" w:fill="C6EFCE"/>
            <w:noWrap/>
          </w:tcPr>
          <w:p w14:paraId="40E0F1E1"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nil"/>
              <w:left w:val="nil"/>
              <w:bottom w:val="single" w:sz="4" w:space="0" w:color="auto"/>
              <w:right w:val="single" w:sz="4" w:space="0" w:color="auto"/>
            </w:tcBorders>
            <w:shd w:val="clear" w:color="auto" w:fill="C6EFCE"/>
            <w:noWrap/>
          </w:tcPr>
          <w:p w14:paraId="10AC08C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nil"/>
              <w:left w:val="nil"/>
              <w:bottom w:val="single" w:sz="4" w:space="0" w:color="auto"/>
              <w:right w:val="single" w:sz="4" w:space="0" w:color="auto"/>
            </w:tcBorders>
            <w:shd w:val="clear" w:color="auto" w:fill="C6EFCE"/>
            <w:noWrap/>
          </w:tcPr>
          <w:p w14:paraId="32D96B13"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nil"/>
              <w:left w:val="nil"/>
              <w:bottom w:val="single" w:sz="4" w:space="0" w:color="auto"/>
              <w:right w:val="single" w:sz="4" w:space="0" w:color="auto"/>
            </w:tcBorders>
            <w:shd w:val="clear" w:color="auto" w:fill="C6EFCE"/>
            <w:noWrap/>
          </w:tcPr>
          <w:p w14:paraId="59ED74E5"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nil"/>
              <w:left w:val="nil"/>
              <w:bottom w:val="single" w:sz="4" w:space="0" w:color="auto"/>
              <w:right w:val="single" w:sz="4" w:space="0" w:color="auto"/>
            </w:tcBorders>
            <w:shd w:val="clear" w:color="auto" w:fill="C6EFCE"/>
            <w:noWrap/>
          </w:tcPr>
          <w:p w14:paraId="05AA497D" w14:textId="77777777" w:rsidR="003A3D51" w:rsidRDefault="0002775A">
            <w:pPr>
              <w:pStyle w:val="P68B1DB1-Normal7"/>
              <w:spacing w:before="120" w:after="120" w:line="240" w:lineRule="auto"/>
              <w:rPr>
                <w:rFonts w:ascii="Times New Roman" w:hAnsi="Times New Roman" w:cs="Times New Roman"/>
                <w:noProof/>
              </w:rPr>
            </w:pPr>
            <w:r>
              <w:rPr>
                <w:noProof/>
              </w:rPr>
              <w:t>Den digitala plattformen för bildande av aktiebolag, kallad Start-plattformen, ska uppgraderas genom digitalisering av ytterligare tjänster för registrering och rapportering och integrering av befintliga uppstartssystem.</w:t>
            </w:r>
          </w:p>
        </w:tc>
      </w:tr>
      <w:tr w:rsidR="003A3D51" w14:paraId="2FDE431D" w14:textId="77777777">
        <w:trPr>
          <w:trHeight w:val="300"/>
          <w:jc w:val="center"/>
        </w:trPr>
        <w:tc>
          <w:tcPr>
            <w:tcW w:w="1129" w:type="dxa"/>
            <w:tcBorders>
              <w:top w:val="nil"/>
              <w:left w:val="single" w:sz="4" w:space="0" w:color="auto"/>
              <w:bottom w:val="single" w:sz="4" w:space="0" w:color="auto"/>
              <w:right w:val="single" w:sz="4" w:space="0" w:color="auto"/>
            </w:tcBorders>
            <w:shd w:val="clear" w:color="auto" w:fill="C6EFCE"/>
            <w:noWrap/>
          </w:tcPr>
          <w:p w14:paraId="4382E63F" w14:textId="77777777" w:rsidR="003A3D51" w:rsidRDefault="0002775A">
            <w:pPr>
              <w:pStyle w:val="P68B1DB1-Normal7"/>
              <w:spacing w:before="120" w:after="120" w:line="240" w:lineRule="auto"/>
              <w:jc w:val="center"/>
              <w:rPr>
                <w:rFonts w:ascii="Times New Roman" w:hAnsi="Times New Roman" w:cs="Times New Roman"/>
                <w:noProof/>
              </w:rPr>
            </w:pPr>
            <w:r>
              <w:rPr>
                <w:noProof/>
              </w:rPr>
              <w:t>4</w:t>
            </w:r>
          </w:p>
        </w:tc>
        <w:tc>
          <w:tcPr>
            <w:tcW w:w="833" w:type="dxa"/>
            <w:tcBorders>
              <w:top w:val="nil"/>
              <w:left w:val="nil"/>
              <w:bottom w:val="single" w:sz="4" w:space="0" w:color="auto"/>
              <w:right w:val="single" w:sz="4" w:space="0" w:color="auto"/>
            </w:tcBorders>
            <w:shd w:val="clear" w:color="auto" w:fill="C6EFCE"/>
            <w:noWrap/>
          </w:tcPr>
          <w:p w14:paraId="0FC7D7D4" w14:textId="77777777" w:rsidR="003A3D51" w:rsidRDefault="0002775A">
            <w:pPr>
              <w:pStyle w:val="P68B1DB1-Normal7"/>
              <w:spacing w:before="120" w:after="120" w:line="240" w:lineRule="auto"/>
              <w:rPr>
                <w:rFonts w:ascii="Times New Roman" w:hAnsi="Times New Roman" w:cs="Times New Roman"/>
                <w:noProof/>
              </w:rPr>
            </w:pPr>
            <w:r>
              <w:rPr>
                <w:noProof/>
              </w:rPr>
              <w:t>C1.1.1 R1-I1</w:t>
            </w:r>
          </w:p>
        </w:tc>
        <w:tc>
          <w:tcPr>
            <w:tcW w:w="806" w:type="dxa"/>
            <w:tcBorders>
              <w:top w:val="nil"/>
              <w:left w:val="nil"/>
              <w:bottom w:val="single" w:sz="4" w:space="0" w:color="auto"/>
              <w:right w:val="single" w:sz="4" w:space="0" w:color="auto"/>
            </w:tcBorders>
            <w:shd w:val="clear" w:color="auto" w:fill="C6EFCE"/>
            <w:noWrap/>
          </w:tcPr>
          <w:p w14:paraId="00AFAACC"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nil"/>
              <w:left w:val="nil"/>
              <w:bottom w:val="single" w:sz="4" w:space="0" w:color="auto"/>
              <w:right w:val="single" w:sz="4" w:space="0" w:color="auto"/>
            </w:tcBorders>
            <w:shd w:val="clear" w:color="auto" w:fill="C6EFCE"/>
            <w:noWrap/>
          </w:tcPr>
          <w:p w14:paraId="6E381239" w14:textId="77777777" w:rsidR="003A3D51" w:rsidRDefault="0002775A">
            <w:pPr>
              <w:pStyle w:val="P68B1DB1-Normal7"/>
              <w:spacing w:before="120" w:after="120" w:line="240" w:lineRule="auto"/>
              <w:rPr>
                <w:rFonts w:ascii="Times New Roman" w:hAnsi="Times New Roman" w:cs="Times New Roman"/>
                <w:noProof/>
              </w:rPr>
            </w:pPr>
            <w:r>
              <w:rPr>
                <w:noProof/>
              </w:rPr>
              <w:t>Inrättande av fysiska åtkomstpunkter till Start-plattformen</w:t>
            </w:r>
          </w:p>
        </w:tc>
        <w:tc>
          <w:tcPr>
            <w:tcW w:w="1555" w:type="dxa"/>
            <w:tcBorders>
              <w:top w:val="nil"/>
              <w:left w:val="nil"/>
              <w:bottom w:val="single" w:sz="4" w:space="0" w:color="auto"/>
              <w:right w:val="single" w:sz="4" w:space="0" w:color="auto"/>
            </w:tcBorders>
            <w:shd w:val="clear" w:color="auto" w:fill="C6EFCE"/>
            <w:noWrap/>
          </w:tcPr>
          <w:p w14:paraId="782004CC" w14:textId="77777777" w:rsidR="003A3D51" w:rsidRDefault="0002775A">
            <w:pPr>
              <w:pStyle w:val="P68B1DB1-Normal7"/>
              <w:spacing w:before="120" w:after="120" w:line="240" w:lineRule="auto"/>
              <w:rPr>
                <w:rFonts w:ascii="Times New Roman" w:hAnsi="Times New Roman" w:cs="Times New Roman"/>
                <w:noProof/>
              </w:rPr>
            </w:pPr>
            <w:r>
              <w:rPr>
                <w:noProof/>
              </w:rPr>
              <w:t> </w:t>
            </w:r>
          </w:p>
        </w:tc>
        <w:tc>
          <w:tcPr>
            <w:tcW w:w="1096" w:type="dxa"/>
            <w:tcBorders>
              <w:top w:val="nil"/>
              <w:left w:val="nil"/>
              <w:bottom w:val="single" w:sz="4" w:space="0" w:color="auto"/>
              <w:right w:val="single" w:sz="4" w:space="0" w:color="auto"/>
            </w:tcBorders>
            <w:shd w:val="clear" w:color="auto" w:fill="C6EFCE"/>
            <w:noWrap/>
          </w:tcPr>
          <w:p w14:paraId="7F6507A8"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nil"/>
              <w:left w:val="nil"/>
              <w:bottom w:val="single" w:sz="4" w:space="0" w:color="auto"/>
              <w:right w:val="single" w:sz="4" w:space="0" w:color="auto"/>
            </w:tcBorders>
            <w:shd w:val="clear" w:color="auto" w:fill="C6EFCE"/>
            <w:noWrap/>
          </w:tcPr>
          <w:p w14:paraId="61E3BA7B"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nil"/>
              <w:left w:val="nil"/>
              <w:bottom w:val="single" w:sz="4" w:space="0" w:color="auto"/>
              <w:right w:val="single" w:sz="4" w:space="0" w:color="auto"/>
            </w:tcBorders>
            <w:shd w:val="clear" w:color="auto" w:fill="C6EFCE"/>
            <w:noWrap/>
          </w:tcPr>
          <w:p w14:paraId="7875E3A9" w14:textId="77777777" w:rsidR="003A3D51" w:rsidRDefault="0002775A">
            <w:pPr>
              <w:pStyle w:val="P68B1DB1-Normal7"/>
              <w:spacing w:before="120" w:after="120" w:line="240" w:lineRule="auto"/>
              <w:jc w:val="center"/>
              <w:rPr>
                <w:rFonts w:ascii="Times New Roman" w:hAnsi="Times New Roman" w:cs="Times New Roman"/>
                <w:noProof/>
              </w:rPr>
            </w:pPr>
            <w:r>
              <w:rPr>
                <w:noProof/>
              </w:rPr>
              <w:t>20</w:t>
            </w:r>
          </w:p>
        </w:tc>
        <w:tc>
          <w:tcPr>
            <w:tcW w:w="868" w:type="dxa"/>
            <w:tcBorders>
              <w:top w:val="nil"/>
              <w:left w:val="nil"/>
              <w:bottom w:val="single" w:sz="4" w:space="0" w:color="auto"/>
              <w:right w:val="single" w:sz="4" w:space="0" w:color="auto"/>
            </w:tcBorders>
            <w:shd w:val="clear" w:color="auto" w:fill="C6EFCE"/>
            <w:noWrap/>
          </w:tcPr>
          <w:p w14:paraId="5DABC893"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nil"/>
              <w:left w:val="nil"/>
              <w:bottom w:val="single" w:sz="4" w:space="0" w:color="auto"/>
              <w:right w:val="single" w:sz="4" w:space="0" w:color="auto"/>
            </w:tcBorders>
            <w:shd w:val="clear" w:color="auto" w:fill="C6EFCE"/>
            <w:noWrap/>
          </w:tcPr>
          <w:p w14:paraId="223A84BF"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nil"/>
              <w:left w:val="nil"/>
              <w:bottom w:val="single" w:sz="4" w:space="0" w:color="auto"/>
              <w:right w:val="single" w:sz="4" w:space="0" w:color="auto"/>
            </w:tcBorders>
            <w:shd w:val="clear" w:color="auto" w:fill="C6EFCE"/>
            <w:noWrap/>
          </w:tcPr>
          <w:p w14:paraId="3A0368F5" w14:textId="77777777" w:rsidR="003A3D51" w:rsidRDefault="0002775A">
            <w:pPr>
              <w:pStyle w:val="P68B1DB1-Normal7"/>
              <w:spacing w:before="120" w:after="120" w:line="240" w:lineRule="auto"/>
              <w:rPr>
                <w:rFonts w:ascii="Times New Roman" w:hAnsi="Times New Roman" w:cs="Times New Roman"/>
                <w:noProof/>
              </w:rPr>
            </w:pPr>
            <w:r>
              <w:rPr>
                <w:noProof/>
              </w:rPr>
              <w:t>Fysiska åtkomstpunkter till Start-plattformen ska inrättas.</w:t>
            </w:r>
          </w:p>
        </w:tc>
      </w:tr>
      <w:tr w:rsidR="003A3D51" w14:paraId="5D1895CF"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CC18DA4" w14:textId="77777777" w:rsidR="003A3D51" w:rsidRDefault="0002775A">
            <w:pPr>
              <w:pStyle w:val="P68B1DB1-Normal7"/>
              <w:spacing w:before="120" w:after="120" w:line="240" w:lineRule="auto"/>
              <w:jc w:val="center"/>
              <w:rPr>
                <w:rFonts w:ascii="Times New Roman" w:hAnsi="Times New Roman" w:cs="Times New Roman"/>
                <w:noProof/>
              </w:rPr>
            </w:pPr>
            <w:r>
              <w:rPr>
                <w:noProof/>
              </w:rPr>
              <w:t>5</w:t>
            </w:r>
          </w:p>
        </w:tc>
        <w:tc>
          <w:tcPr>
            <w:tcW w:w="833" w:type="dxa"/>
            <w:tcBorders>
              <w:top w:val="single" w:sz="4" w:space="0" w:color="auto"/>
              <w:left w:val="nil"/>
              <w:bottom w:val="single" w:sz="4" w:space="0" w:color="auto"/>
              <w:right w:val="single" w:sz="4" w:space="0" w:color="auto"/>
            </w:tcBorders>
            <w:shd w:val="clear" w:color="auto" w:fill="C6EFCE"/>
            <w:noWrap/>
          </w:tcPr>
          <w:p w14:paraId="2863D22D" w14:textId="77777777" w:rsidR="003A3D51" w:rsidRDefault="0002775A">
            <w:pPr>
              <w:pStyle w:val="P68B1DB1-Normal7"/>
              <w:spacing w:before="120" w:after="120" w:line="240" w:lineRule="auto"/>
              <w:rPr>
                <w:rFonts w:ascii="Times New Roman" w:hAnsi="Times New Roman" w:cs="Times New Roman"/>
                <w:noProof/>
              </w:rPr>
            </w:pPr>
            <w:r>
              <w:rPr>
                <w:noProof/>
              </w:rPr>
              <w:t>C1.1.1 R1-I1</w:t>
            </w:r>
          </w:p>
        </w:tc>
        <w:tc>
          <w:tcPr>
            <w:tcW w:w="806" w:type="dxa"/>
            <w:tcBorders>
              <w:top w:val="single" w:sz="4" w:space="0" w:color="auto"/>
              <w:left w:val="nil"/>
              <w:bottom w:val="single" w:sz="4" w:space="0" w:color="auto"/>
              <w:right w:val="single" w:sz="4" w:space="0" w:color="auto"/>
            </w:tcBorders>
            <w:shd w:val="clear" w:color="auto" w:fill="C6EFCE"/>
            <w:noWrap/>
          </w:tcPr>
          <w:p w14:paraId="1882DD18"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6F68A5E7" w14:textId="77777777" w:rsidR="003A3D51" w:rsidRDefault="0002775A">
            <w:pPr>
              <w:pStyle w:val="P68B1DB1-Normal7"/>
              <w:spacing w:before="120" w:after="120" w:line="240" w:lineRule="auto"/>
              <w:rPr>
                <w:rFonts w:ascii="Times New Roman" w:hAnsi="Times New Roman" w:cs="Times New Roman"/>
                <w:noProof/>
              </w:rPr>
            </w:pPr>
            <w:r>
              <w:rPr>
                <w:noProof/>
              </w:rPr>
              <w:t>Digitalisering av MINGOR:s riktade processer enligt Republiken Kroatiens lag om strategiska investeringsprojekt, lagen om främjande av investeringar och lagen om statligt stöd till forsknings- och utvecklingsprojekt samt ytterligare digitalisering och nätverksbyggande av systemet för gemensam forskning och innovation</w:t>
            </w:r>
          </w:p>
        </w:tc>
        <w:tc>
          <w:tcPr>
            <w:tcW w:w="1555" w:type="dxa"/>
            <w:tcBorders>
              <w:top w:val="single" w:sz="4" w:space="0" w:color="auto"/>
              <w:left w:val="nil"/>
              <w:bottom w:val="single" w:sz="4" w:space="0" w:color="auto"/>
              <w:right w:val="single" w:sz="4" w:space="0" w:color="auto"/>
            </w:tcBorders>
            <w:shd w:val="clear" w:color="auto" w:fill="C6EFCE"/>
            <w:noWrap/>
          </w:tcPr>
          <w:p w14:paraId="1CB17400" w14:textId="77777777" w:rsidR="003A3D51" w:rsidRDefault="0002775A">
            <w:pPr>
              <w:pStyle w:val="P68B1DB1-Normal7"/>
              <w:spacing w:before="120" w:after="120" w:line="240" w:lineRule="auto"/>
              <w:rPr>
                <w:rFonts w:ascii="Times New Roman" w:hAnsi="Times New Roman" w:cs="Times New Roman"/>
                <w:noProof/>
              </w:rPr>
            </w:pPr>
            <w:r>
              <w:rPr>
                <w:noProof/>
              </w:rPr>
              <w:t xml:space="preserve">Digitalisering av MINGOR:s riktade processer </w:t>
            </w:r>
          </w:p>
        </w:tc>
        <w:tc>
          <w:tcPr>
            <w:tcW w:w="1096" w:type="dxa"/>
            <w:tcBorders>
              <w:top w:val="single" w:sz="4" w:space="0" w:color="auto"/>
              <w:left w:val="nil"/>
              <w:bottom w:val="single" w:sz="4" w:space="0" w:color="auto"/>
              <w:right w:val="single" w:sz="4" w:space="0" w:color="auto"/>
            </w:tcBorders>
            <w:shd w:val="clear" w:color="auto" w:fill="C6EFCE"/>
            <w:noWrap/>
          </w:tcPr>
          <w:p w14:paraId="5EBBD8D3"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6779F2AA"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4C5F3FB2"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7D1B64A1"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1EF073F2"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099CBD58" w14:textId="77777777" w:rsidR="003A3D51" w:rsidRDefault="0002775A">
            <w:pPr>
              <w:pStyle w:val="P68B1DB1-Normal7"/>
              <w:spacing w:before="120" w:after="120" w:line="240" w:lineRule="auto"/>
              <w:rPr>
                <w:rFonts w:ascii="Times New Roman" w:hAnsi="Times New Roman" w:cs="Times New Roman"/>
                <w:noProof/>
              </w:rPr>
            </w:pPr>
            <w:r>
              <w:rPr>
                <w:noProof/>
              </w:rPr>
              <w:t xml:space="preserve">Digitalisering av processerna för genomförande av den kroatiska lagen om strategiska investeringsprojekt, lagen om främjande av investeringar och lagen om statligt stöd till forsknings- och utvecklingsprojekt samt ytterligare digitalisering och nätverksbyggande av det gemensamma registret över företagsinfrastruktur  </w:t>
            </w:r>
          </w:p>
        </w:tc>
      </w:tr>
      <w:tr w:rsidR="003A3D51" w14:paraId="5BA7BE7D"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33812EC" w14:textId="77777777" w:rsidR="003A3D51" w:rsidRDefault="0002775A">
            <w:pPr>
              <w:pStyle w:val="P68B1DB1-Normal7"/>
              <w:spacing w:before="120" w:after="120" w:line="240" w:lineRule="auto"/>
              <w:jc w:val="center"/>
              <w:rPr>
                <w:rFonts w:ascii="Times New Roman" w:hAnsi="Times New Roman" w:cs="Times New Roman"/>
                <w:noProof/>
              </w:rPr>
            </w:pPr>
            <w:r>
              <w:rPr>
                <w:noProof/>
              </w:rPr>
              <w:t>6</w:t>
            </w:r>
          </w:p>
        </w:tc>
        <w:tc>
          <w:tcPr>
            <w:tcW w:w="833" w:type="dxa"/>
            <w:tcBorders>
              <w:top w:val="single" w:sz="4" w:space="0" w:color="auto"/>
              <w:left w:val="nil"/>
              <w:bottom w:val="single" w:sz="4" w:space="0" w:color="auto"/>
              <w:right w:val="single" w:sz="4" w:space="0" w:color="auto"/>
            </w:tcBorders>
            <w:shd w:val="clear" w:color="auto" w:fill="C6EFCE"/>
            <w:noWrap/>
          </w:tcPr>
          <w:p w14:paraId="693AB0B6" w14:textId="77777777" w:rsidR="003A3D51" w:rsidRDefault="0002775A">
            <w:pPr>
              <w:pStyle w:val="P68B1DB1-Normal7"/>
              <w:spacing w:before="120" w:after="120" w:line="240" w:lineRule="auto"/>
              <w:rPr>
                <w:rFonts w:ascii="Times New Roman" w:hAnsi="Times New Roman" w:cs="Times New Roman"/>
                <w:noProof/>
              </w:rPr>
            </w:pPr>
            <w:r>
              <w:rPr>
                <w:noProof/>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0B9A332D"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35A9FEE5" w14:textId="77777777" w:rsidR="003A3D51" w:rsidRDefault="0002775A">
            <w:pPr>
              <w:pStyle w:val="P68B1DB1-Normal7"/>
              <w:spacing w:before="120" w:after="120" w:line="240" w:lineRule="auto"/>
              <w:rPr>
                <w:rFonts w:ascii="Times New Roman" w:hAnsi="Times New Roman" w:cs="Times New Roman"/>
                <w:noProof/>
              </w:rPr>
            </w:pPr>
            <w:r>
              <w:rPr>
                <w:noProof/>
              </w:rPr>
              <w:t>Genomförande av handlingsplanen för att minska icke-skattemässiga och skatteliknande avgifter 2020</w:t>
            </w:r>
          </w:p>
        </w:tc>
        <w:tc>
          <w:tcPr>
            <w:tcW w:w="1555" w:type="dxa"/>
            <w:tcBorders>
              <w:top w:val="single" w:sz="4" w:space="0" w:color="auto"/>
              <w:left w:val="nil"/>
              <w:bottom w:val="single" w:sz="4" w:space="0" w:color="auto"/>
              <w:right w:val="single" w:sz="4" w:space="0" w:color="auto"/>
            </w:tcBorders>
            <w:shd w:val="clear" w:color="auto" w:fill="C6EFCE"/>
            <w:noWrap/>
          </w:tcPr>
          <w:p w14:paraId="55A45DD9"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DB132B0" w14:textId="77777777" w:rsidR="003A3D51" w:rsidRDefault="0002775A">
            <w:pPr>
              <w:pStyle w:val="P68B1DB1-Normal7"/>
              <w:spacing w:before="120" w:after="120" w:line="240" w:lineRule="auto"/>
              <w:jc w:val="center"/>
              <w:rPr>
                <w:rFonts w:ascii="Times New Roman" w:hAnsi="Times New Roman" w:cs="Times New Roman"/>
                <w:noProof/>
              </w:rPr>
            </w:pPr>
            <w:r>
              <w:rPr>
                <w:noProof/>
              </w:rPr>
              <w:t>% (i procent)</w:t>
            </w:r>
          </w:p>
        </w:tc>
        <w:tc>
          <w:tcPr>
            <w:tcW w:w="1059" w:type="dxa"/>
            <w:tcBorders>
              <w:top w:val="single" w:sz="4" w:space="0" w:color="auto"/>
              <w:left w:val="nil"/>
              <w:bottom w:val="single" w:sz="4" w:space="0" w:color="auto"/>
              <w:right w:val="single" w:sz="4" w:space="0" w:color="auto"/>
            </w:tcBorders>
            <w:shd w:val="clear" w:color="auto" w:fill="C6EFCE"/>
            <w:noWrap/>
          </w:tcPr>
          <w:p w14:paraId="31F25026"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37F97CD9" w14:textId="77777777" w:rsidR="003A3D51" w:rsidRDefault="0002775A">
            <w:pPr>
              <w:pStyle w:val="P68B1DB1-Normal7"/>
              <w:spacing w:before="120" w:after="120" w:line="240" w:lineRule="auto"/>
              <w:jc w:val="center"/>
              <w:rPr>
                <w:rFonts w:ascii="Times New Roman" w:hAnsi="Times New Roman" w:cs="Times New Roman"/>
                <w:noProof/>
              </w:rPr>
            </w:pPr>
            <w:r>
              <w:rPr>
                <w:noProof/>
              </w:rPr>
              <w:t>100</w:t>
            </w:r>
          </w:p>
        </w:tc>
        <w:tc>
          <w:tcPr>
            <w:tcW w:w="868" w:type="dxa"/>
            <w:tcBorders>
              <w:top w:val="single" w:sz="4" w:space="0" w:color="auto"/>
              <w:left w:val="nil"/>
              <w:bottom w:val="single" w:sz="4" w:space="0" w:color="auto"/>
              <w:right w:val="single" w:sz="4" w:space="0" w:color="auto"/>
            </w:tcBorders>
            <w:shd w:val="clear" w:color="auto" w:fill="C6EFCE"/>
            <w:noWrap/>
          </w:tcPr>
          <w:p w14:paraId="79376FC3"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1</w:t>
            </w:r>
          </w:p>
        </w:tc>
        <w:tc>
          <w:tcPr>
            <w:tcW w:w="966" w:type="dxa"/>
            <w:tcBorders>
              <w:top w:val="single" w:sz="4" w:space="0" w:color="auto"/>
              <w:left w:val="nil"/>
              <w:bottom w:val="single" w:sz="4" w:space="0" w:color="auto"/>
              <w:right w:val="single" w:sz="4" w:space="0" w:color="auto"/>
            </w:tcBorders>
            <w:shd w:val="clear" w:color="auto" w:fill="C6EFCE"/>
            <w:noWrap/>
          </w:tcPr>
          <w:p w14:paraId="5EC7915C"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29206AA3" w14:textId="77777777" w:rsidR="003A3D51" w:rsidRDefault="0002775A">
            <w:pPr>
              <w:pStyle w:val="P68B1DB1-Normal7"/>
              <w:spacing w:before="120" w:after="120" w:line="240" w:lineRule="auto"/>
              <w:rPr>
                <w:rFonts w:ascii="Times New Roman" w:hAnsi="Times New Roman" w:cs="Times New Roman"/>
                <w:noProof/>
              </w:rPr>
            </w:pPr>
            <w:r>
              <w:rPr>
                <w:noProof/>
              </w:rPr>
              <w:t xml:space="preserve">Genomförandet av handlingsplanen för att minska icke-skattemässiga och skatteliknande avgifter 2020, som antogs av den kroatiska regeringen i maj 2020 och som innehåller 33 åtgärder för att minska icke-skattemässiga och skatteliknande avgifter och 17 åtgärder för att sänka avgifterna för yrkesexamina, ska medföra direkta kostnadslättnader för den privata sektorn. </w:t>
            </w:r>
          </w:p>
        </w:tc>
      </w:tr>
      <w:tr w:rsidR="003A3D51" w14:paraId="0D771A29"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D43A1FE" w14:textId="77777777" w:rsidR="003A3D51" w:rsidRDefault="0002775A">
            <w:pPr>
              <w:pStyle w:val="P68B1DB1-Normal7"/>
              <w:spacing w:before="120" w:after="120" w:line="240" w:lineRule="auto"/>
              <w:jc w:val="center"/>
              <w:rPr>
                <w:rFonts w:ascii="Times New Roman" w:hAnsi="Times New Roman" w:cs="Times New Roman"/>
                <w:noProof/>
              </w:rPr>
            </w:pPr>
            <w:r>
              <w:rPr>
                <w:noProof/>
              </w:rPr>
              <w:t>7</w:t>
            </w:r>
          </w:p>
        </w:tc>
        <w:tc>
          <w:tcPr>
            <w:tcW w:w="833" w:type="dxa"/>
            <w:tcBorders>
              <w:top w:val="single" w:sz="4" w:space="0" w:color="auto"/>
              <w:left w:val="nil"/>
              <w:bottom w:val="single" w:sz="4" w:space="0" w:color="auto"/>
              <w:right w:val="single" w:sz="4" w:space="0" w:color="auto"/>
            </w:tcBorders>
            <w:shd w:val="clear" w:color="auto" w:fill="C6EFCE"/>
            <w:noWrap/>
          </w:tcPr>
          <w:p w14:paraId="36AA6C49" w14:textId="77777777" w:rsidR="003A3D51" w:rsidRDefault="0002775A">
            <w:pPr>
              <w:pStyle w:val="P68B1DB1-Normal7"/>
              <w:spacing w:before="120" w:after="120" w:line="240" w:lineRule="auto"/>
              <w:rPr>
                <w:rFonts w:ascii="Times New Roman" w:hAnsi="Times New Roman" w:cs="Times New Roman"/>
                <w:noProof/>
              </w:rPr>
            </w:pPr>
            <w:r>
              <w:rPr>
                <w:noProof/>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4308EC49"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485D7619" w14:textId="77777777" w:rsidR="003A3D51" w:rsidRDefault="0002775A">
            <w:pPr>
              <w:pStyle w:val="P68B1DB1-Normal7"/>
              <w:spacing w:before="120" w:after="120" w:line="240" w:lineRule="auto"/>
              <w:rPr>
                <w:rFonts w:ascii="Times New Roman" w:hAnsi="Times New Roman" w:cs="Times New Roman"/>
                <w:noProof/>
              </w:rPr>
            </w:pPr>
            <w:r>
              <w:rPr>
                <w:noProof/>
              </w:rPr>
              <w:t>Genomförande av åtgärder i handlingsplanerna för att minska den administrativa bördan för ekonomin 2018, 2019, 2020</w:t>
            </w:r>
          </w:p>
        </w:tc>
        <w:tc>
          <w:tcPr>
            <w:tcW w:w="1555" w:type="dxa"/>
            <w:tcBorders>
              <w:top w:val="single" w:sz="4" w:space="0" w:color="auto"/>
              <w:left w:val="nil"/>
              <w:bottom w:val="single" w:sz="4" w:space="0" w:color="auto"/>
              <w:right w:val="single" w:sz="4" w:space="0" w:color="auto"/>
            </w:tcBorders>
            <w:shd w:val="clear" w:color="auto" w:fill="C6EFCE"/>
            <w:noWrap/>
          </w:tcPr>
          <w:p w14:paraId="44888528"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446934D6" w14:textId="77777777" w:rsidR="003A3D51" w:rsidRDefault="0002775A">
            <w:pPr>
              <w:pStyle w:val="P68B1DB1-Normal7"/>
              <w:spacing w:before="120" w:after="120" w:line="240" w:lineRule="auto"/>
              <w:jc w:val="center"/>
              <w:rPr>
                <w:rFonts w:ascii="Times New Roman" w:hAnsi="Times New Roman" w:cs="Times New Roman"/>
                <w:noProof/>
              </w:rPr>
            </w:pPr>
            <w:r>
              <w:rPr>
                <w:noProof/>
              </w:rPr>
              <w:t>% (i procent)</w:t>
            </w:r>
          </w:p>
        </w:tc>
        <w:tc>
          <w:tcPr>
            <w:tcW w:w="1059" w:type="dxa"/>
            <w:tcBorders>
              <w:top w:val="single" w:sz="4" w:space="0" w:color="auto"/>
              <w:left w:val="nil"/>
              <w:bottom w:val="single" w:sz="4" w:space="0" w:color="auto"/>
              <w:right w:val="single" w:sz="4" w:space="0" w:color="auto"/>
            </w:tcBorders>
            <w:shd w:val="clear" w:color="auto" w:fill="C6EFCE"/>
            <w:noWrap/>
          </w:tcPr>
          <w:p w14:paraId="131CBF66" w14:textId="77777777" w:rsidR="003A3D51" w:rsidRDefault="0002775A">
            <w:pPr>
              <w:pStyle w:val="P68B1DB1-Normal7"/>
              <w:spacing w:before="120" w:after="120" w:line="240" w:lineRule="auto"/>
              <w:jc w:val="center"/>
              <w:rPr>
                <w:rFonts w:ascii="Times New Roman" w:hAnsi="Times New Roman" w:cs="Times New Roman"/>
                <w:noProof/>
              </w:rPr>
            </w:pPr>
            <w:r>
              <w:rPr>
                <w:noProof/>
              </w:rPr>
              <w:t>61,02</w:t>
            </w:r>
          </w:p>
        </w:tc>
        <w:tc>
          <w:tcPr>
            <w:tcW w:w="1458" w:type="dxa"/>
            <w:tcBorders>
              <w:top w:val="single" w:sz="4" w:space="0" w:color="auto"/>
              <w:left w:val="nil"/>
              <w:bottom w:val="single" w:sz="4" w:space="0" w:color="auto"/>
              <w:right w:val="single" w:sz="4" w:space="0" w:color="auto"/>
            </w:tcBorders>
            <w:shd w:val="clear" w:color="auto" w:fill="C6EFCE"/>
            <w:noWrap/>
          </w:tcPr>
          <w:p w14:paraId="50E774BC" w14:textId="77777777" w:rsidR="003A3D51" w:rsidRDefault="0002775A">
            <w:pPr>
              <w:pStyle w:val="P68B1DB1-Normal7"/>
              <w:spacing w:before="120" w:after="120" w:line="240" w:lineRule="auto"/>
              <w:jc w:val="center"/>
              <w:rPr>
                <w:rFonts w:ascii="Times New Roman" w:hAnsi="Times New Roman" w:cs="Times New Roman"/>
                <w:noProof/>
              </w:rPr>
            </w:pPr>
            <w:r>
              <w:rPr>
                <w:noProof/>
              </w:rPr>
              <w:t>95</w:t>
            </w:r>
          </w:p>
        </w:tc>
        <w:tc>
          <w:tcPr>
            <w:tcW w:w="868" w:type="dxa"/>
            <w:tcBorders>
              <w:top w:val="single" w:sz="4" w:space="0" w:color="auto"/>
              <w:left w:val="nil"/>
              <w:bottom w:val="single" w:sz="4" w:space="0" w:color="auto"/>
              <w:right w:val="single" w:sz="4" w:space="0" w:color="auto"/>
            </w:tcBorders>
            <w:shd w:val="clear" w:color="auto" w:fill="C6EFCE"/>
            <w:noWrap/>
          </w:tcPr>
          <w:p w14:paraId="5A76317A"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035505B7"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6FC902A3" w14:textId="77777777" w:rsidR="003A3D51" w:rsidRDefault="0002775A">
            <w:pPr>
              <w:pStyle w:val="P68B1DB1-Normal7"/>
              <w:spacing w:before="120" w:after="120" w:line="240" w:lineRule="auto"/>
              <w:rPr>
                <w:rFonts w:ascii="Times New Roman" w:hAnsi="Times New Roman" w:cs="Times New Roman"/>
                <w:noProof/>
              </w:rPr>
            </w:pPr>
            <w:r>
              <w:rPr>
                <w:noProof/>
              </w:rPr>
              <w:t xml:space="preserve">Genomförande av de åtgärder för att minska den administrativa bördan som fastställs i handlingsplanerna för 2018, 2019 och 2020, motsvarande minst 95 % av den planerade kostnadsminskningen. Handlingsplanerna för minskning av den administrativa bördan ska optimera och digitalisera de administrativa processer som identifierats som de mest betungande för den privata sektorn. Alla åtgärder för att minska bördan ska fastställas i samarbete med företrädare för näringslivet, handelskammare och branschorganisationer. </w:t>
            </w:r>
          </w:p>
        </w:tc>
      </w:tr>
      <w:tr w:rsidR="003A3D51" w14:paraId="7368F0DC"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D335383" w14:textId="77777777" w:rsidR="003A3D51" w:rsidRDefault="0002775A">
            <w:pPr>
              <w:pStyle w:val="P68B1DB1-Normal7"/>
              <w:spacing w:before="120" w:after="120" w:line="240" w:lineRule="auto"/>
              <w:jc w:val="center"/>
              <w:rPr>
                <w:rFonts w:ascii="Times New Roman" w:hAnsi="Times New Roman" w:cs="Times New Roman"/>
                <w:noProof/>
              </w:rPr>
            </w:pPr>
            <w:r>
              <w:rPr>
                <w:noProof/>
              </w:rPr>
              <w:t>8</w:t>
            </w:r>
          </w:p>
        </w:tc>
        <w:tc>
          <w:tcPr>
            <w:tcW w:w="833" w:type="dxa"/>
            <w:tcBorders>
              <w:top w:val="single" w:sz="4" w:space="0" w:color="auto"/>
              <w:left w:val="nil"/>
              <w:bottom w:val="single" w:sz="4" w:space="0" w:color="auto"/>
              <w:right w:val="single" w:sz="4" w:space="0" w:color="auto"/>
            </w:tcBorders>
            <w:shd w:val="clear" w:color="auto" w:fill="C6EFCE"/>
            <w:noWrap/>
          </w:tcPr>
          <w:p w14:paraId="2517A068" w14:textId="77777777" w:rsidR="003A3D51" w:rsidRDefault="0002775A">
            <w:pPr>
              <w:pStyle w:val="P68B1DB1-Normal7"/>
              <w:spacing w:before="120" w:after="120" w:line="240" w:lineRule="auto"/>
              <w:rPr>
                <w:rFonts w:ascii="Times New Roman" w:hAnsi="Times New Roman" w:cs="Times New Roman"/>
                <w:noProof/>
              </w:rPr>
            </w:pPr>
            <w:r>
              <w:rPr>
                <w:noProof/>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16718B21"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1CF32032" w14:textId="77777777" w:rsidR="003A3D51" w:rsidRDefault="0002775A">
            <w:pPr>
              <w:pStyle w:val="P68B1DB1-Normal7"/>
              <w:spacing w:before="120" w:after="120" w:line="240" w:lineRule="auto"/>
              <w:rPr>
                <w:rFonts w:ascii="Times New Roman" w:hAnsi="Times New Roman" w:cs="Times New Roman"/>
                <w:noProof/>
              </w:rPr>
            </w:pPr>
            <w:r>
              <w:rPr>
                <w:noProof/>
              </w:rPr>
              <w:t>Digitalisering av konsekvensbedömningen för små och medelstora företag genom utveckling av en digital plattform för samordnarnas samarbete, onlineutbildning och ömsesidig kommunikation</w:t>
            </w:r>
          </w:p>
        </w:tc>
        <w:tc>
          <w:tcPr>
            <w:tcW w:w="1555" w:type="dxa"/>
            <w:tcBorders>
              <w:top w:val="single" w:sz="4" w:space="0" w:color="auto"/>
              <w:left w:val="nil"/>
              <w:bottom w:val="single" w:sz="4" w:space="0" w:color="auto"/>
              <w:right w:val="single" w:sz="4" w:space="0" w:color="auto"/>
            </w:tcBorders>
            <w:shd w:val="clear" w:color="auto" w:fill="C6EFCE"/>
            <w:noWrap/>
          </w:tcPr>
          <w:p w14:paraId="3626E246" w14:textId="77777777" w:rsidR="003A3D51" w:rsidRDefault="0002775A">
            <w:pPr>
              <w:pStyle w:val="P68B1DB1-Normal7"/>
              <w:spacing w:before="120" w:after="120" w:line="240" w:lineRule="auto"/>
              <w:rPr>
                <w:rFonts w:ascii="Times New Roman" w:hAnsi="Times New Roman" w:cs="Times New Roman"/>
                <w:noProof/>
              </w:rPr>
            </w:pPr>
            <w:r>
              <w:rPr>
                <w:noProof/>
              </w:rPr>
              <w:t>Digital plattform i drift</w:t>
            </w:r>
          </w:p>
        </w:tc>
        <w:tc>
          <w:tcPr>
            <w:tcW w:w="1096" w:type="dxa"/>
            <w:tcBorders>
              <w:top w:val="single" w:sz="4" w:space="0" w:color="auto"/>
              <w:left w:val="nil"/>
              <w:bottom w:val="single" w:sz="4" w:space="0" w:color="auto"/>
              <w:right w:val="single" w:sz="4" w:space="0" w:color="auto"/>
            </w:tcBorders>
            <w:shd w:val="clear" w:color="auto" w:fill="C6EFCE"/>
            <w:noWrap/>
          </w:tcPr>
          <w:p w14:paraId="0CC3758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41810E5E"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0F1100D2"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1A593582"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6B667F0F" w14:textId="77777777" w:rsidR="003A3D51" w:rsidRDefault="0002775A">
            <w:pPr>
              <w:pStyle w:val="P68B1DB1-Normal7"/>
              <w:spacing w:before="120" w:after="120" w:line="240" w:lineRule="auto"/>
              <w:jc w:val="center"/>
              <w:rPr>
                <w:rFonts w:ascii="Times New Roman" w:hAnsi="Times New Roman" w:cs="Times New Roman"/>
                <w:noProof/>
              </w:rPr>
            </w:pPr>
            <w:r>
              <w:rPr>
                <w:noProof/>
              </w:rPr>
              <w:t>2023</w:t>
            </w:r>
          </w:p>
        </w:tc>
        <w:tc>
          <w:tcPr>
            <w:tcW w:w="4710" w:type="dxa"/>
            <w:tcBorders>
              <w:top w:val="single" w:sz="4" w:space="0" w:color="auto"/>
              <w:left w:val="nil"/>
              <w:bottom w:val="single" w:sz="4" w:space="0" w:color="auto"/>
              <w:right w:val="single" w:sz="4" w:space="0" w:color="auto"/>
            </w:tcBorders>
            <w:shd w:val="clear" w:color="auto" w:fill="C6EFCE"/>
            <w:noWrap/>
          </w:tcPr>
          <w:p w14:paraId="5625638D" w14:textId="77777777" w:rsidR="003A3D51" w:rsidRDefault="0002775A">
            <w:pPr>
              <w:pStyle w:val="P68B1DB1-Normal7"/>
              <w:spacing w:before="120" w:after="120" w:line="240" w:lineRule="auto"/>
              <w:rPr>
                <w:rFonts w:ascii="Times New Roman" w:hAnsi="Times New Roman" w:cs="Times New Roman"/>
                <w:noProof/>
              </w:rPr>
            </w:pPr>
            <w:r>
              <w:rPr>
                <w:noProof/>
              </w:rPr>
              <w:t xml:space="preserve">Användningen av it-konsulttjänster ska utveckla och inrätta en digital plattform för genomförandet av testet för små och medelstora företag. Plattformen ska bestå av en it-databas över tester för små och medelstora företag, en databas med standardiserade värden som används för att beräkna konsekvensbedömningen och ska möjliggöra systematisk övervakning och övervakning av beräknade effekter, analytiska rapporter och konsekvenssimuleringar.  En integrerad del av plattformen, utöver databasen, ska utgöra en portal för ömsesidig kommunikation och utbyte av erfarenheter mellan nationella experter som ingår i nätverket för bättre lagstiftning. </w:t>
            </w:r>
            <w:r>
              <w:rPr>
                <w:noProof/>
              </w:rPr>
              <w:br/>
              <w:t>All verksamhet ska genomföras genom projekt för tekniskt stöd.</w:t>
            </w:r>
          </w:p>
        </w:tc>
      </w:tr>
      <w:tr w:rsidR="003A3D51" w14:paraId="54CEDD3B"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BED238E" w14:textId="77777777" w:rsidR="003A3D51" w:rsidRDefault="0002775A">
            <w:pPr>
              <w:pStyle w:val="P68B1DB1-Normal7"/>
              <w:spacing w:before="120" w:after="120" w:line="240" w:lineRule="auto"/>
              <w:jc w:val="center"/>
              <w:rPr>
                <w:rFonts w:ascii="Times New Roman" w:hAnsi="Times New Roman" w:cs="Times New Roman"/>
                <w:noProof/>
              </w:rPr>
            </w:pPr>
            <w:r>
              <w:rPr>
                <w:noProof/>
              </w:rPr>
              <w:t>9</w:t>
            </w:r>
          </w:p>
        </w:tc>
        <w:tc>
          <w:tcPr>
            <w:tcW w:w="833" w:type="dxa"/>
            <w:tcBorders>
              <w:top w:val="single" w:sz="4" w:space="0" w:color="auto"/>
              <w:left w:val="nil"/>
              <w:bottom w:val="single" w:sz="4" w:space="0" w:color="auto"/>
              <w:right w:val="single" w:sz="4" w:space="0" w:color="auto"/>
            </w:tcBorders>
            <w:shd w:val="clear" w:color="auto" w:fill="C6EFCE"/>
            <w:noWrap/>
          </w:tcPr>
          <w:p w14:paraId="7379CD55" w14:textId="77777777" w:rsidR="003A3D51" w:rsidRDefault="0002775A">
            <w:pPr>
              <w:pStyle w:val="P68B1DB1-Normal7"/>
              <w:spacing w:before="120" w:after="120" w:line="240" w:lineRule="auto"/>
              <w:rPr>
                <w:rFonts w:ascii="Times New Roman" w:hAnsi="Times New Roman" w:cs="Times New Roman"/>
                <w:noProof/>
              </w:rPr>
            </w:pPr>
            <w:r>
              <w:rPr>
                <w:noProof/>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22C73269"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4EE5BBC9" w14:textId="77777777" w:rsidR="003A3D51" w:rsidRDefault="0002775A">
            <w:pPr>
              <w:pStyle w:val="P68B1DB1-Normal7"/>
              <w:spacing w:before="120" w:after="120" w:line="240" w:lineRule="auto"/>
              <w:rPr>
                <w:rFonts w:ascii="Times New Roman" w:hAnsi="Times New Roman" w:cs="Times New Roman"/>
                <w:noProof/>
              </w:rPr>
            </w:pPr>
            <w:r>
              <w:rPr>
                <w:noProof/>
              </w:rPr>
              <w:t xml:space="preserve">Genomförande av åtgärderna i den nya handlingsplanen för att minska icke-skattemässiga och skatteliknande avgifter </w:t>
            </w:r>
          </w:p>
        </w:tc>
        <w:tc>
          <w:tcPr>
            <w:tcW w:w="1555" w:type="dxa"/>
            <w:tcBorders>
              <w:top w:val="single" w:sz="4" w:space="0" w:color="auto"/>
              <w:left w:val="nil"/>
              <w:bottom w:val="single" w:sz="4" w:space="0" w:color="auto"/>
              <w:right w:val="single" w:sz="4" w:space="0" w:color="auto"/>
            </w:tcBorders>
            <w:shd w:val="clear" w:color="auto" w:fill="C6EFCE"/>
            <w:noWrap/>
          </w:tcPr>
          <w:p w14:paraId="5E61FF76"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0922BDA"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 (euro)</w:t>
            </w:r>
          </w:p>
        </w:tc>
        <w:tc>
          <w:tcPr>
            <w:tcW w:w="1059" w:type="dxa"/>
            <w:tcBorders>
              <w:top w:val="single" w:sz="4" w:space="0" w:color="auto"/>
              <w:left w:val="nil"/>
              <w:bottom w:val="single" w:sz="4" w:space="0" w:color="auto"/>
              <w:right w:val="single" w:sz="4" w:space="0" w:color="auto"/>
            </w:tcBorders>
            <w:shd w:val="clear" w:color="auto" w:fill="C6EFCE"/>
            <w:noWrap/>
          </w:tcPr>
          <w:p w14:paraId="32A9502B"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247552C5" w14:textId="77777777" w:rsidR="003A3D51" w:rsidRDefault="0002775A">
            <w:pPr>
              <w:pStyle w:val="P68B1DB1-Normal7"/>
              <w:spacing w:before="120" w:after="120" w:line="240" w:lineRule="auto"/>
              <w:jc w:val="center"/>
              <w:rPr>
                <w:rFonts w:ascii="Times New Roman" w:hAnsi="Times New Roman" w:cs="Times New Roman"/>
                <w:noProof/>
              </w:rPr>
            </w:pPr>
            <w:r>
              <w:rPr>
                <w:noProof/>
              </w:rPr>
              <w:t xml:space="preserve">132 722 808 </w:t>
            </w:r>
          </w:p>
        </w:tc>
        <w:tc>
          <w:tcPr>
            <w:tcW w:w="868" w:type="dxa"/>
            <w:tcBorders>
              <w:top w:val="single" w:sz="4" w:space="0" w:color="auto"/>
              <w:left w:val="nil"/>
              <w:bottom w:val="single" w:sz="4" w:space="0" w:color="auto"/>
              <w:right w:val="single" w:sz="4" w:space="0" w:color="auto"/>
            </w:tcBorders>
            <w:shd w:val="clear" w:color="auto" w:fill="C6EFCE"/>
            <w:noWrap/>
          </w:tcPr>
          <w:p w14:paraId="43F51E8A"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2DA17F35" w14:textId="77777777" w:rsidR="003A3D51" w:rsidRDefault="0002775A">
            <w:pPr>
              <w:pStyle w:val="P68B1DB1-Normal7"/>
              <w:spacing w:before="120" w:after="120" w:line="240" w:lineRule="auto"/>
              <w:jc w:val="center"/>
              <w:rPr>
                <w:rFonts w:ascii="Times New Roman" w:hAnsi="Times New Roman" w:cs="Times New Roman"/>
                <w:noProof/>
              </w:rPr>
            </w:pPr>
            <w:r>
              <w:rPr>
                <w:noProof/>
              </w:rPr>
              <w:t>2023</w:t>
            </w:r>
          </w:p>
        </w:tc>
        <w:tc>
          <w:tcPr>
            <w:tcW w:w="4710" w:type="dxa"/>
            <w:tcBorders>
              <w:top w:val="single" w:sz="4" w:space="0" w:color="auto"/>
              <w:left w:val="nil"/>
              <w:bottom w:val="single" w:sz="4" w:space="0" w:color="auto"/>
              <w:right w:val="single" w:sz="4" w:space="0" w:color="auto"/>
            </w:tcBorders>
            <w:shd w:val="clear" w:color="auto" w:fill="C6EFCE"/>
            <w:noWrap/>
          </w:tcPr>
          <w:p w14:paraId="2799DD63" w14:textId="77777777" w:rsidR="003A3D51" w:rsidRDefault="0002775A">
            <w:pPr>
              <w:pStyle w:val="P68B1DB1-Normal7"/>
              <w:spacing w:before="120" w:after="120" w:line="240" w:lineRule="auto"/>
              <w:rPr>
                <w:rFonts w:ascii="Times New Roman" w:hAnsi="Times New Roman" w:cs="Times New Roman"/>
                <w:noProof/>
              </w:rPr>
            </w:pPr>
            <w:r>
              <w:rPr>
                <w:noProof/>
              </w:rPr>
              <w:t>En viktig faktor vid bedömningen av företagsklimatet är de olika avgifterna i form av skatteliknande avgifter och administrativa avgifter. Alla avgifter till följd av bestämmelser om offentlig reglering som företag betalar till centrala statliga organ, lokala och regionala myndigheter eller andra organ med offentliga befogenheter ska analyseras och beaktas.</w:t>
            </w:r>
            <w:r>
              <w:rPr>
                <w:noProof/>
              </w:rPr>
              <w:br/>
              <w:t xml:space="preserve">Genomförandet av åtgärder för att minska bördan för företagen från skatteliknande och andra avgifter i den nya/andra handlingsplanen för att minska skatteliknande och skatteliknande avgifter ska leda till en direkt kostnadsminskning på minst 132 722 808 EUR. </w:t>
            </w:r>
          </w:p>
        </w:tc>
      </w:tr>
      <w:tr w:rsidR="003A3D51" w14:paraId="7396DB93"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F09F81A" w14:textId="77777777" w:rsidR="003A3D51" w:rsidRDefault="0002775A">
            <w:pPr>
              <w:pStyle w:val="P68B1DB1-Normal7"/>
              <w:spacing w:before="120" w:after="120" w:line="240" w:lineRule="auto"/>
              <w:jc w:val="center"/>
              <w:rPr>
                <w:rFonts w:ascii="Times New Roman" w:hAnsi="Times New Roman" w:cs="Times New Roman"/>
                <w:noProof/>
              </w:rPr>
            </w:pPr>
            <w:r>
              <w:rPr>
                <w:noProof/>
              </w:rPr>
              <w:t>10</w:t>
            </w:r>
          </w:p>
        </w:tc>
        <w:tc>
          <w:tcPr>
            <w:tcW w:w="833" w:type="dxa"/>
            <w:tcBorders>
              <w:top w:val="single" w:sz="4" w:space="0" w:color="auto"/>
              <w:left w:val="nil"/>
              <w:bottom w:val="single" w:sz="4" w:space="0" w:color="auto"/>
              <w:right w:val="single" w:sz="4" w:space="0" w:color="auto"/>
            </w:tcBorders>
            <w:shd w:val="clear" w:color="auto" w:fill="C6EFCE"/>
            <w:noWrap/>
          </w:tcPr>
          <w:p w14:paraId="5C7FC4DA" w14:textId="77777777" w:rsidR="003A3D51" w:rsidRDefault="0002775A">
            <w:pPr>
              <w:pStyle w:val="P68B1DB1-Normal7"/>
              <w:spacing w:before="120" w:after="120" w:line="240" w:lineRule="auto"/>
              <w:rPr>
                <w:rFonts w:ascii="Times New Roman" w:hAnsi="Times New Roman" w:cs="Times New Roman"/>
                <w:noProof/>
              </w:rPr>
            </w:pPr>
            <w:r>
              <w:rPr>
                <w:noProof/>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2CAFBD02"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6CF2B916" w14:textId="77777777" w:rsidR="003A3D51" w:rsidRDefault="0002775A">
            <w:pPr>
              <w:pStyle w:val="P68B1DB1-Normal7"/>
              <w:spacing w:before="120" w:after="120" w:line="240" w:lineRule="auto"/>
              <w:rPr>
                <w:rFonts w:ascii="Times New Roman" w:hAnsi="Times New Roman" w:cs="Times New Roman"/>
                <w:noProof/>
              </w:rPr>
            </w:pPr>
            <w:r>
              <w:rPr>
                <w:noProof/>
              </w:rPr>
              <w:t>Genomförande av den första uppsättningen åtgärder i den nya/femte handlingsplanen för minskning av den administrativa bördan för entreprenörer</w:t>
            </w:r>
          </w:p>
        </w:tc>
        <w:tc>
          <w:tcPr>
            <w:tcW w:w="1555" w:type="dxa"/>
            <w:tcBorders>
              <w:top w:val="single" w:sz="4" w:space="0" w:color="auto"/>
              <w:left w:val="nil"/>
              <w:bottom w:val="single" w:sz="4" w:space="0" w:color="auto"/>
              <w:right w:val="single" w:sz="4" w:space="0" w:color="auto"/>
            </w:tcBorders>
            <w:shd w:val="clear" w:color="auto" w:fill="C6EFCE"/>
            <w:noWrap/>
          </w:tcPr>
          <w:p w14:paraId="36B36625"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B627BAD"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 (euro)</w:t>
            </w:r>
          </w:p>
        </w:tc>
        <w:tc>
          <w:tcPr>
            <w:tcW w:w="1059" w:type="dxa"/>
            <w:tcBorders>
              <w:top w:val="single" w:sz="4" w:space="0" w:color="auto"/>
              <w:left w:val="nil"/>
              <w:bottom w:val="single" w:sz="4" w:space="0" w:color="auto"/>
              <w:right w:val="single" w:sz="4" w:space="0" w:color="auto"/>
            </w:tcBorders>
            <w:shd w:val="clear" w:color="auto" w:fill="C6EFCE"/>
            <w:noWrap/>
          </w:tcPr>
          <w:p w14:paraId="2C2F5458"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2EC38C29" w14:textId="77777777" w:rsidR="003A3D51" w:rsidRDefault="0002775A">
            <w:pPr>
              <w:pStyle w:val="P68B1DB1-Normal7"/>
              <w:spacing w:before="120" w:after="120" w:line="240" w:lineRule="auto"/>
              <w:jc w:val="center"/>
              <w:rPr>
                <w:rFonts w:ascii="Times New Roman" w:hAnsi="Times New Roman" w:cs="Times New Roman"/>
                <w:noProof/>
              </w:rPr>
            </w:pPr>
            <w:r>
              <w:rPr>
                <w:noProof/>
              </w:rPr>
              <w:t xml:space="preserve"> 132 722 808 </w:t>
            </w:r>
          </w:p>
        </w:tc>
        <w:tc>
          <w:tcPr>
            <w:tcW w:w="868" w:type="dxa"/>
            <w:tcBorders>
              <w:top w:val="single" w:sz="4" w:space="0" w:color="auto"/>
              <w:left w:val="nil"/>
              <w:bottom w:val="single" w:sz="4" w:space="0" w:color="auto"/>
              <w:right w:val="single" w:sz="4" w:space="0" w:color="auto"/>
            </w:tcBorders>
            <w:shd w:val="clear" w:color="auto" w:fill="C6EFCE"/>
            <w:noWrap/>
          </w:tcPr>
          <w:p w14:paraId="1EE4D2B8"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4B749DC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53D6D42E" w14:textId="77777777" w:rsidR="003A3D51" w:rsidRDefault="0002775A">
            <w:pPr>
              <w:pStyle w:val="P68B1DB1-Normal7"/>
              <w:spacing w:before="120" w:after="120" w:line="240" w:lineRule="auto"/>
              <w:rPr>
                <w:rFonts w:ascii="Times New Roman" w:hAnsi="Times New Roman" w:cs="Times New Roman"/>
                <w:noProof/>
              </w:rPr>
            </w:pPr>
            <w:r>
              <w:rPr>
                <w:noProof/>
              </w:rPr>
              <w:t xml:space="preserve">Utarbetandet av en ny/femte handlingsplan för minskning av den administrativa bördan ska fortsätta att optimera och digitalisera de administrativa processer som identifierats som de mest betungande för den privata sektorn. Det ska skapa ett gynnsammare rättsligt och administrativt klimat för företagen genom att fortsätta att genomföra åtgärder för att minska bördorna, förenkla och göra företagen billigare. </w:t>
            </w:r>
            <w:r>
              <w:rPr>
                <w:noProof/>
              </w:rPr>
              <w:br/>
            </w:r>
            <w:r>
              <w:rPr>
                <w:noProof/>
              </w:rPr>
              <w:br/>
              <w:t xml:space="preserve">Genomförandet av åtgärderna i den nya/femte handlingsplanen för minskning av den administrativa bördan i ekonomin ska minska bördan för företagare med minst 132 722 808 EUR. Genomförandet av åtgärderna ska säkerställas genom samarbete mellan ministeriet för ekonomi och hållbar utveckling och det centrala statliga kontoret för utveckling av det digitala samhället.   </w:t>
            </w:r>
          </w:p>
        </w:tc>
      </w:tr>
      <w:tr w:rsidR="003A3D51" w14:paraId="53D91BFE"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D7281B2" w14:textId="77777777" w:rsidR="003A3D51" w:rsidRDefault="0002775A">
            <w:pPr>
              <w:pStyle w:val="P68B1DB1-Normal7"/>
              <w:spacing w:before="120" w:after="120" w:line="240" w:lineRule="auto"/>
              <w:jc w:val="center"/>
              <w:rPr>
                <w:rFonts w:ascii="Times New Roman" w:hAnsi="Times New Roman" w:cs="Times New Roman"/>
                <w:noProof/>
              </w:rPr>
            </w:pPr>
            <w:r>
              <w:rPr>
                <w:noProof/>
              </w:rPr>
              <w:t>11</w:t>
            </w:r>
          </w:p>
        </w:tc>
        <w:tc>
          <w:tcPr>
            <w:tcW w:w="833" w:type="dxa"/>
            <w:tcBorders>
              <w:top w:val="single" w:sz="4" w:space="0" w:color="auto"/>
              <w:left w:val="nil"/>
              <w:bottom w:val="single" w:sz="4" w:space="0" w:color="auto"/>
              <w:right w:val="single" w:sz="4" w:space="0" w:color="auto"/>
            </w:tcBorders>
            <w:shd w:val="clear" w:color="auto" w:fill="C6EFCE"/>
            <w:noWrap/>
          </w:tcPr>
          <w:p w14:paraId="2CE68E10" w14:textId="77777777" w:rsidR="003A3D51" w:rsidRDefault="0002775A">
            <w:pPr>
              <w:pStyle w:val="P68B1DB1-Normal7"/>
              <w:spacing w:before="120" w:after="120" w:line="240" w:lineRule="auto"/>
              <w:rPr>
                <w:rFonts w:ascii="Times New Roman" w:hAnsi="Times New Roman" w:cs="Times New Roman"/>
                <w:noProof/>
              </w:rPr>
            </w:pPr>
            <w:r>
              <w:rPr>
                <w:noProof/>
              </w:rPr>
              <w:t>C1.1.1 R1-I2</w:t>
            </w:r>
          </w:p>
        </w:tc>
        <w:tc>
          <w:tcPr>
            <w:tcW w:w="806" w:type="dxa"/>
            <w:tcBorders>
              <w:top w:val="single" w:sz="4" w:space="0" w:color="auto"/>
              <w:left w:val="nil"/>
              <w:bottom w:val="single" w:sz="4" w:space="0" w:color="auto"/>
              <w:right w:val="single" w:sz="4" w:space="0" w:color="auto"/>
            </w:tcBorders>
            <w:shd w:val="clear" w:color="auto" w:fill="C6EFCE"/>
            <w:noWrap/>
          </w:tcPr>
          <w:p w14:paraId="23E4D428"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1CABBBEE" w14:textId="77777777" w:rsidR="003A3D51" w:rsidRDefault="0002775A">
            <w:pPr>
              <w:pStyle w:val="P68B1DB1-Normal7"/>
              <w:spacing w:before="120" w:after="120" w:line="240" w:lineRule="auto"/>
              <w:rPr>
                <w:rFonts w:ascii="Times New Roman" w:hAnsi="Times New Roman" w:cs="Times New Roman"/>
                <w:noProof/>
              </w:rPr>
            </w:pPr>
            <w:r>
              <w:rPr>
                <w:noProof/>
              </w:rPr>
              <w:t>Genomförande av den andra uppsättningen åtgärder i den nya/femte handlingsplanen för att ytterligare minska den administrativa bördan för företagare</w:t>
            </w:r>
          </w:p>
        </w:tc>
        <w:tc>
          <w:tcPr>
            <w:tcW w:w="1555" w:type="dxa"/>
            <w:tcBorders>
              <w:top w:val="single" w:sz="4" w:space="0" w:color="auto"/>
              <w:left w:val="nil"/>
              <w:bottom w:val="single" w:sz="4" w:space="0" w:color="auto"/>
              <w:right w:val="single" w:sz="4" w:space="0" w:color="auto"/>
            </w:tcBorders>
            <w:shd w:val="clear" w:color="auto" w:fill="C6EFCE"/>
            <w:noWrap/>
          </w:tcPr>
          <w:p w14:paraId="03555230"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B3E9BCE"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 (euro)</w:t>
            </w:r>
          </w:p>
        </w:tc>
        <w:tc>
          <w:tcPr>
            <w:tcW w:w="1059" w:type="dxa"/>
            <w:tcBorders>
              <w:top w:val="single" w:sz="4" w:space="0" w:color="auto"/>
              <w:left w:val="nil"/>
              <w:bottom w:val="single" w:sz="4" w:space="0" w:color="auto"/>
              <w:right w:val="single" w:sz="4" w:space="0" w:color="auto"/>
            </w:tcBorders>
            <w:shd w:val="clear" w:color="auto" w:fill="C6EFCE"/>
            <w:noWrap/>
          </w:tcPr>
          <w:p w14:paraId="2BEC19A9" w14:textId="0E668FDB" w:rsidR="003A3D51" w:rsidRDefault="0002775A">
            <w:pPr>
              <w:pStyle w:val="P68B1DB1-Normal7"/>
              <w:spacing w:before="120" w:after="120" w:line="240" w:lineRule="auto"/>
              <w:rPr>
                <w:rFonts w:ascii="Times New Roman" w:hAnsi="Times New Roman" w:cs="Times New Roman"/>
                <w:noProof/>
              </w:rPr>
            </w:pPr>
            <w:r>
              <w:rPr>
                <w:noProof/>
              </w:rPr>
              <w:t>132 722 808</w:t>
            </w:r>
          </w:p>
        </w:tc>
        <w:tc>
          <w:tcPr>
            <w:tcW w:w="1458" w:type="dxa"/>
            <w:tcBorders>
              <w:top w:val="single" w:sz="4" w:space="0" w:color="auto"/>
              <w:left w:val="nil"/>
              <w:bottom w:val="single" w:sz="4" w:space="0" w:color="auto"/>
              <w:right w:val="single" w:sz="4" w:space="0" w:color="auto"/>
            </w:tcBorders>
            <w:shd w:val="clear" w:color="auto" w:fill="C6EFCE"/>
            <w:noWrap/>
          </w:tcPr>
          <w:p w14:paraId="1BA1417D" w14:textId="77777777" w:rsidR="003A3D51" w:rsidRDefault="0002775A">
            <w:pPr>
              <w:pStyle w:val="P68B1DB1-Normal7"/>
              <w:spacing w:before="120" w:after="120" w:line="240" w:lineRule="auto"/>
              <w:jc w:val="center"/>
              <w:rPr>
                <w:rFonts w:ascii="Times New Roman" w:hAnsi="Times New Roman" w:cs="Times New Roman"/>
                <w:noProof/>
              </w:rPr>
            </w:pPr>
            <w:r>
              <w:rPr>
                <w:noProof/>
              </w:rPr>
              <w:t xml:space="preserve"> 265 445 617 </w:t>
            </w:r>
          </w:p>
        </w:tc>
        <w:tc>
          <w:tcPr>
            <w:tcW w:w="868" w:type="dxa"/>
            <w:tcBorders>
              <w:top w:val="single" w:sz="4" w:space="0" w:color="auto"/>
              <w:left w:val="nil"/>
              <w:bottom w:val="single" w:sz="4" w:space="0" w:color="auto"/>
              <w:right w:val="single" w:sz="4" w:space="0" w:color="auto"/>
            </w:tcBorders>
            <w:shd w:val="clear" w:color="auto" w:fill="C6EFCE"/>
            <w:noWrap/>
          </w:tcPr>
          <w:p w14:paraId="145A0AC4"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5D5BB713" w14:textId="77777777" w:rsidR="003A3D51" w:rsidRDefault="0002775A">
            <w:pPr>
              <w:pStyle w:val="P68B1DB1-Normal7"/>
              <w:spacing w:before="120" w:after="120" w:line="240" w:lineRule="auto"/>
              <w:jc w:val="center"/>
              <w:rPr>
                <w:rFonts w:ascii="Times New Roman" w:hAnsi="Times New Roman" w:cs="Times New Roman"/>
                <w:noProof/>
              </w:rPr>
            </w:pPr>
            <w:r>
              <w:rPr>
                <w:noProof/>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228B44BF" w14:textId="77777777" w:rsidR="003A3D51" w:rsidRDefault="0002775A">
            <w:pPr>
              <w:pStyle w:val="P68B1DB1-Normal7"/>
              <w:spacing w:before="120" w:after="120" w:line="240" w:lineRule="auto"/>
              <w:rPr>
                <w:rFonts w:ascii="Times New Roman" w:hAnsi="Times New Roman" w:cs="Times New Roman"/>
                <w:noProof/>
              </w:rPr>
            </w:pPr>
            <w:r>
              <w:rPr>
                <w:noProof/>
              </w:rPr>
              <w:t>Genomförandet av de åtgärder som anges i den nya/femte handlingsplanen för minskning av den administrativa bördan i ekonomin ska minska bördan för företagare med minst 132 722 808 EUR jämfört med det mål som fastställts till 4Q/2024.</w:t>
            </w:r>
            <w:r>
              <w:rPr>
                <w:noProof/>
              </w:rPr>
              <w:br/>
              <w:t xml:space="preserve">Denna minskning av bördan ska uppnås genom optimering och digitalisering av de administrativa processer som genom mätnings- och analysprocessen identifierats som de mest betungande för den privata sektorn. Genomförandet av åtgärderna ska säkerställas genom samarbete mellan ministeriet för ekonomi och hållbar utveckling och det centrala statliga kontoret för utveckling av det digitala samhället.  </w:t>
            </w:r>
          </w:p>
        </w:tc>
      </w:tr>
      <w:tr w:rsidR="003A3D51" w14:paraId="363F70DE"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B13B97D" w14:textId="77777777" w:rsidR="003A3D51" w:rsidRDefault="0002775A">
            <w:pPr>
              <w:pStyle w:val="P68B1DB1-Normal7"/>
              <w:spacing w:before="120" w:after="120" w:line="240" w:lineRule="auto"/>
              <w:jc w:val="center"/>
              <w:rPr>
                <w:rFonts w:ascii="Times New Roman" w:hAnsi="Times New Roman" w:cs="Times New Roman"/>
                <w:noProof/>
              </w:rPr>
            </w:pPr>
            <w:r>
              <w:rPr>
                <w:noProof/>
              </w:rPr>
              <w:t>12</w:t>
            </w:r>
          </w:p>
        </w:tc>
        <w:tc>
          <w:tcPr>
            <w:tcW w:w="833" w:type="dxa"/>
            <w:tcBorders>
              <w:top w:val="single" w:sz="4" w:space="0" w:color="auto"/>
              <w:left w:val="nil"/>
              <w:bottom w:val="single" w:sz="4" w:space="0" w:color="auto"/>
              <w:right w:val="single" w:sz="4" w:space="0" w:color="auto"/>
            </w:tcBorders>
            <w:shd w:val="clear" w:color="auto" w:fill="C6EFCE"/>
            <w:noWrap/>
          </w:tcPr>
          <w:p w14:paraId="4EBFBE8F" w14:textId="77777777" w:rsidR="003A3D51" w:rsidRDefault="0002775A">
            <w:pPr>
              <w:pStyle w:val="P68B1DB1-Normal7"/>
              <w:spacing w:before="120" w:after="120" w:line="240" w:lineRule="auto"/>
              <w:rPr>
                <w:rFonts w:ascii="Times New Roman" w:hAnsi="Times New Roman" w:cs="Times New Roman"/>
                <w:noProof/>
              </w:rPr>
            </w:pPr>
            <w:r>
              <w:rPr>
                <w:noProof/>
              </w:rPr>
              <w:t>C1.1.1 R2</w:t>
            </w:r>
          </w:p>
        </w:tc>
        <w:tc>
          <w:tcPr>
            <w:tcW w:w="806" w:type="dxa"/>
            <w:tcBorders>
              <w:top w:val="single" w:sz="4" w:space="0" w:color="auto"/>
              <w:left w:val="nil"/>
              <w:bottom w:val="single" w:sz="4" w:space="0" w:color="auto"/>
              <w:right w:val="single" w:sz="4" w:space="0" w:color="auto"/>
            </w:tcBorders>
            <w:shd w:val="clear" w:color="auto" w:fill="C6EFCE"/>
            <w:noWrap/>
          </w:tcPr>
          <w:p w14:paraId="2CFE5F19"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3593122E" w14:textId="77777777" w:rsidR="003A3D51" w:rsidRDefault="0002775A">
            <w:pPr>
              <w:pStyle w:val="P68B1DB1-Normal7"/>
              <w:spacing w:before="120" w:after="120" w:line="240" w:lineRule="auto"/>
              <w:rPr>
                <w:rFonts w:ascii="Times New Roman" w:hAnsi="Times New Roman" w:cs="Times New Roman"/>
                <w:noProof/>
              </w:rPr>
            </w:pPr>
            <w:r>
              <w:rPr>
                <w:noProof/>
              </w:rPr>
              <w:t>Förenkling eller avskaffande av minst 50 lagstadgade krav för yrkesmässiga tjänster</w:t>
            </w:r>
          </w:p>
        </w:tc>
        <w:tc>
          <w:tcPr>
            <w:tcW w:w="1555" w:type="dxa"/>
            <w:tcBorders>
              <w:top w:val="single" w:sz="4" w:space="0" w:color="auto"/>
              <w:left w:val="nil"/>
              <w:bottom w:val="single" w:sz="4" w:space="0" w:color="auto"/>
              <w:right w:val="single" w:sz="4" w:space="0" w:color="auto"/>
            </w:tcBorders>
            <w:shd w:val="clear" w:color="auto" w:fill="C6EFCE"/>
            <w:noWrap/>
          </w:tcPr>
          <w:p w14:paraId="662D4F37"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344EF62"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36A06CDA" w14:textId="77777777" w:rsidR="003A3D51" w:rsidRDefault="0002775A">
            <w:pPr>
              <w:pStyle w:val="P68B1DB1-Normal7"/>
              <w:spacing w:before="120" w:after="120" w:line="240" w:lineRule="auto"/>
              <w:jc w:val="center"/>
              <w:rPr>
                <w:rFonts w:ascii="Times New Roman" w:hAnsi="Times New Roman" w:cs="Times New Roman"/>
                <w:noProof/>
              </w:rPr>
            </w:pPr>
            <w:r>
              <w:rPr>
                <w:noProof/>
              </w:rPr>
              <w:t>250</w:t>
            </w:r>
          </w:p>
        </w:tc>
        <w:tc>
          <w:tcPr>
            <w:tcW w:w="1458" w:type="dxa"/>
            <w:tcBorders>
              <w:top w:val="single" w:sz="4" w:space="0" w:color="auto"/>
              <w:left w:val="nil"/>
              <w:bottom w:val="single" w:sz="4" w:space="0" w:color="auto"/>
              <w:right w:val="single" w:sz="4" w:space="0" w:color="auto"/>
            </w:tcBorders>
            <w:shd w:val="clear" w:color="auto" w:fill="C6EFCE"/>
            <w:noWrap/>
          </w:tcPr>
          <w:p w14:paraId="437CB08D" w14:textId="77777777" w:rsidR="003A3D51" w:rsidRDefault="0002775A">
            <w:pPr>
              <w:pStyle w:val="P68B1DB1-Normal7"/>
              <w:spacing w:before="120" w:after="120" w:line="240" w:lineRule="auto"/>
              <w:jc w:val="center"/>
              <w:rPr>
                <w:rFonts w:ascii="Times New Roman" w:hAnsi="Times New Roman" w:cs="Times New Roman"/>
                <w:noProof/>
              </w:rPr>
            </w:pPr>
            <w:r>
              <w:rPr>
                <w:noProof/>
              </w:rPr>
              <w:t>300</w:t>
            </w:r>
          </w:p>
        </w:tc>
        <w:tc>
          <w:tcPr>
            <w:tcW w:w="868" w:type="dxa"/>
            <w:tcBorders>
              <w:top w:val="single" w:sz="4" w:space="0" w:color="auto"/>
              <w:left w:val="nil"/>
              <w:bottom w:val="single" w:sz="4" w:space="0" w:color="auto"/>
              <w:right w:val="single" w:sz="4" w:space="0" w:color="auto"/>
            </w:tcBorders>
            <w:shd w:val="clear" w:color="auto" w:fill="C6EFCE"/>
            <w:noWrap/>
          </w:tcPr>
          <w:p w14:paraId="218DE465"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5B7FC1F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4F421C2B" w14:textId="77777777" w:rsidR="003A3D51" w:rsidRDefault="0002775A">
            <w:pPr>
              <w:pStyle w:val="P68B1DB1-Normal7"/>
              <w:spacing w:before="120" w:after="120" w:line="240" w:lineRule="auto"/>
              <w:rPr>
                <w:rFonts w:ascii="Times New Roman" w:hAnsi="Times New Roman" w:cs="Times New Roman"/>
                <w:noProof/>
              </w:rPr>
            </w:pPr>
            <w:r>
              <w:rPr>
                <w:noProof/>
              </w:rPr>
              <w:t>Genomförande av 2019 och 2020 års handlingsplaner för liberalisering av tjänstemarknaderna, med beaktande av rekommendationerna från projektet för tekniskt bistånd i samarbete med Världsbanken, samt rekommendationer om</w:t>
            </w:r>
            <w:r>
              <w:rPr>
                <w:noProof/>
              </w:rPr>
              <w:br/>
              <w:t>— Kostnader för registrering och medlemskap i yrkessammanslutningar.</w:t>
            </w:r>
            <w:r>
              <w:rPr>
                <w:noProof/>
              </w:rPr>
              <w:br/>
              <w:t>Fragmenterade exklusiva rättigheter inom enskilda yrken (t.ex. arkitekter och ingenjörer).</w:t>
            </w:r>
            <w:r>
              <w:rPr>
                <w:noProof/>
              </w:rPr>
              <w:br/>
              <w:t>— Tillhandahållande av yrkesexamen efter examen (t.ex. arkitekter och ingenjörer).</w:t>
            </w:r>
            <w:r>
              <w:rPr>
                <w:noProof/>
              </w:rPr>
              <w:br/>
              <w:t>— Begränsningar för skatterådgivare i fråga om ägande- och ledningsintressen eller rösträtt.</w:t>
            </w:r>
          </w:p>
        </w:tc>
      </w:tr>
      <w:tr w:rsidR="003A3D51" w14:paraId="144CD006"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AD9C6EC" w14:textId="77777777" w:rsidR="003A3D51" w:rsidRDefault="0002775A">
            <w:pPr>
              <w:pStyle w:val="P68B1DB1-Normal7"/>
              <w:spacing w:before="120" w:after="120" w:line="240" w:lineRule="auto"/>
              <w:jc w:val="center"/>
              <w:rPr>
                <w:rFonts w:ascii="Times New Roman" w:hAnsi="Times New Roman" w:cs="Times New Roman"/>
                <w:noProof/>
              </w:rPr>
            </w:pPr>
            <w:r>
              <w:rPr>
                <w:noProof/>
              </w:rPr>
              <w:t>13</w:t>
            </w:r>
          </w:p>
        </w:tc>
        <w:tc>
          <w:tcPr>
            <w:tcW w:w="833" w:type="dxa"/>
            <w:tcBorders>
              <w:top w:val="single" w:sz="4" w:space="0" w:color="auto"/>
              <w:left w:val="nil"/>
              <w:bottom w:val="single" w:sz="4" w:space="0" w:color="auto"/>
              <w:right w:val="single" w:sz="4" w:space="0" w:color="auto"/>
            </w:tcBorders>
            <w:shd w:val="clear" w:color="auto" w:fill="C6EFCE"/>
            <w:noWrap/>
          </w:tcPr>
          <w:p w14:paraId="4FB11025" w14:textId="77777777" w:rsidR="003A3D51" w:rsidRDefault="0002775A">
            <w:pPr>
              <w:pStyle w:val="P68B1DB1-Normal7"/>
              <w:spacing w:before="120" w:after="120" w:line="240" w:lineRule="auto"/>
              <w:rPr>
                <w:rFonts w:ascii="Times New Roman" w:hAnsi="Times New Roman" w:cs="Times New Roman"/>
                <w:noProof/>
              </w:rPr>
            </w:pPr>
            <w:r>
              <w:rPr>
                <w:noProof/>
              </w:rPr>
              <w:t>C1.1.1 R3</w:t>
            </w:r>
          </w:p>
        </w:tc>
        <w:tc>
          <w:tcPr>
            <w:tcW w:w="806" w:type="dxa"/>
            <w:tcBorders>
              <w:top w:val="single" w:sz="4" w:space="0" w:color="auto"/>
              <w:left w:val="nil"/>
              <w:bottom w:val="single" w:sz="4" w:space="0" w:color="auto"/>
              <w:right w:val="single" w:sz="4" w:space="0" w:color="auto"/>
            </w:tcBorders>
            <w:shd w:val="clear" w:color="auto" w:fill="C6EFCE"/>
            <w:noWrap/>
          </w:tcPr>
          <w:p w14:paraId="56C52F0F"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65AB478F" w14:textId="77777777" w:rsidR="003A3D51" w:rsidRDefault="0002775A">
            <w:pPr>
              <w:pStyle w:val="P68B1DB1-Normal7"/>
              <w:spacing w:before="120" w:after="120" w:line="240" w:lineRule="auto"/>
              <w:rPr>
                <w:rFonts w:ascii="Times New Roman" w:hAnsi="Times New Roman" w:cs="Times New Roman"/>
                <w:noProof/>
              </w:rPr>
            </w:pPr>
            <w:r>
              <w:rPr>
                <w:noProof/>
              </w:rPr>
              <w:br/>
              <w:t>Om upprättande av en strategisk ram för främjande av privata investeringar</w:t>
            </w:r>
          </w:p>
        </w:tc>
        <w:tc>
          <w:tcPr>
            <w:tcW w:w="1555" w:type="dxa"/>
            <w:tcBorders>
              <w:top w:val="single" w:sz="4" w:space="0" w:color="auto"/>
              <w:left w:val="nil"/>
              <w:bottom w:val="single" w:sz="4" w:space="0" w:color="auto"/>
              <w:right w:val="single" w:sz="4" w:space="0" w:color="auto"/>
            </w:tcBorders>
            <w:shd w:val="clear" w:color="auto" w:fill="C6EFCE"/>
            <w:noWrap/>
          </w:tcPr>
          <w:p w14:paraId="76E5357A" w14:textId="77777777" w:rsidR="003A3D51" w:rsidRDefault="0002775A">
            <w:pPr>
              <w:pStyle w:val="P68B1DB1-Normal7"/>
              <w:spacing w:before="120" w:after="120" w:line="240" w:lineRule="auto"/>
              <w:rPr>
                <w:rFonts w:ascii="Times New Roman" w:hAnsi="Times New Roman" w:cs="Times New Roman"/>
                <w:noProof/>
              </w:rPr>
            </w:pPr>
            <w:r>
              <w:rPr>
                <w:noProof/>
              </w:rPr>
              <w:t>Antagande av en handlingsplan för att främja investeringar i och ibruktagande av en digital plattform för att samordna och säkerställa ett effektivt främjande och stöd av investeringar på internationell, nationell och regional nivå.</w:t>
            </w:r>
          </w:p>
        </w:tc>
        <w:tc>
          <w:tcPr>
            <w:tcW w:w="1096" w:type="dxa"/>
            <w:tcBorders>
              <w:top w:val="single" w:sz="4" w:space="0" w:color="auto"/>
              <w:left w:val="nil"/>
              <w:bottom w:val="single" w:sz="4" w:space="0" w:color="auto"/>
              <w:right w:val="single" w:sz="4" w:space="0" w:color="auto"/>
            </w:tcBorders>
            <w:shd w:val="clear" w:color="auto" w:fill="C6EFCE"/>
            <w:noWrap/>
          </w:tcPr>
          <w:p w14:paraId="5241852D"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369EF2EE"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0ADA574D"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7553D958"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2CC603E6"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43905D01" w14:textId="77777777" w:rsidR="003A3D51" w:rsidRDefault="0002775A">
            <w:pPr>
              <w:pStyle w:val="P68B1DB1-Normal7"/>
              <w:spacing w:before="120" w:after="120" w:line="240" w:lineRule="auto"/>
              <w:rPr>
                <w:rFonts w:ascii="Times New Roman" w:hAnsi="Times New Roman" w:cs="Times New Roman"/>
                <w:noProof/>
              </w:rPr>
            </w:pPr>
            <w:r>
              <w:rPr>
                <w:noProof/>
              </w:rPr>
              <w:t>En strategisk ram för främjande av privata investeringar ska upprättas, på grundval av analyser och rekommendationer, bestående av antagandet och offentliggörandet av den nationella planen för främjande av investeringar 2023–2030, handlingsplanen för att främja investeringar 2023–2028, ikraftträdandet av en ny lag om främjande av investeringar samt idrifttagande av en fungerande digital plattform för samordning och effektivt främjande och stöd till investeringar på internationell, nationell och regional nivå.</w:t>
            </w:r>
            <w:r>
              <w:rPr>
                <w:noProof/>
              </w:rPr>
              <w:br/>
            </w:r>
            <w:r>
              <w:rPr>
                <w:noProof/>
              </w:rPr>
              <w:br/>
            </w:r>
            <w:r>
              <w:rPr>
                <w:noProof/>
              </w:rPr>
              <w:br/>
              <w:t xml:space="preserve"> </w:t>
            </w:r>
          </w:p>
        </w:tc>
      </w:tr>
      <w:tr w:rsidR="003A3D51" w14:paraId="4DCCC607"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1D535CB" w14:textId="77777777" w:rsidR="003A3D51" w:rsidRDefault="0002775A">
            <w:pPr>
              <w:pStyle w:val="P68B1DB1-Normal7"/>
              <w:spacing w:before="120" w:after="120" w:line="240" w:lineRule="auto"/>
              <w:jc w:val="center"/>
              <w:rPr>
                <w:rFonts w:ascii="Times New Roman" w:hAnsi="Times New Roman" w:cs="Times New Roman"/>
                <w:noProof/>
              </w:rPr>
            </w:pPr>
            <w:r>
              <w:rPr>
                <w:noProof/>
              </w:rPr>
              <w:t>14</w:t>
            </w:r>
          </w:p>
        </w:tc>
        <w:tc>
          <w:tcPr>
            <w:tcW w:w="833" w:type="dxa"/>
            <w:tcBorders>
              <w:top w:val="single" w:sz="4" w:space="0" w:color="auto"/>
              <w:left w:val="nil"/>
              <w:bottom w:val="single" w:sz="4" w:space="0" w:color="auto"/>
              <w:right w:val="single" w:sz="4" w:space="0" w:color="auto"/>
            </w:tcBorders>
            <w:shd w:val="clear" w:color="auto" w:fill="C6EFCE"/>
            <w:noWrap/>
          </w:tcPr>
          <w:p w14:paraId="4B7D8EC0" w14:textId="77777777" w:rsidR="003A3D51" w:rsidRDefault="0002775A">
            <w:pPr>
              <w:pStyle w:val="P68B1DB1-Normal7"/>
              <w:spacing w:before="120" w:after="120" w:line="240" w:lineRule="auto"/>
              <w:rPr>
                <w:rFonts w:ascii="Times New Roman" w:hAnsi="Times New Roman" w:cs="Times New Roman"/>
                <w:noProof/>
              </w:rPr>
            </w:pPr>
            <w:r>
              <w:rPr>
                <w:noProof/>
              </w:rPr>
              <w:t>C1.1.1 R4-I1</w:t>
            </w:r>
          </w:p>
        </w:tc>
        <w:tc>
          <w:tcPr>
            <w:tcW w:w="806" w:type="dxa"/>
            <w:tcBorders>
              <w:top w:val="single" w:sz="4" w:space="0" w:color="auto"/>
              <w:left w:val="nil"/>
              <w:bottom w:val="single" w:sz="4" w:space="0" w:color="auto"/>
              <w:right w:val="single" w:sz="4" w:space="0" w:color="auto"/>
            </w:tcBorders>
            <w:shd w:val="clear" w:color="auto" w:fill="C6EFCE"/>
            <w:noWrap/>
          </w:tcPr>
          <w:p w14:paraId="2ADA4C12"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13A50CBC" w14:textId="77777777" w:rsidR="003A3D51" w:rsidRDefault="0002775A">
            <w:pPr>
              <w:pStyle w:val="P68B1DB1-Normal7"/>
              <w:spacing w:before="120" w:after="120" w:line="240" w:lineRule="auto"/>
              <w:rPr>
                <w:rFonts w:ascii="Times New Roman" w:hAnsi="Times New Roman" w:cs="Times New Roman"/>
                <w:noProof/>
              </w:rPr>
            </w:pPr>
            <w:r>
              <w:rPr>
                <w:noProof/>
              </w:rPr>
              <w:t>Offentliggörande av ansökningsomgångar för investeringar som är inriktade på miljövänlig verksamhet med fastställda kriterier för stödberättigande för sökande och projekt (inklusive efterlevnadskriterier för att inte orsaka betydande skada)</w:t>
            </w:r>
          </w:p>
        </w:tc>
        <w:tc>
          <w:tcPr>
            <w:tcW w:w="1555" w:type="dxa"/>
            <w:tcBorders>
              <w:top w:val="single" w:sz="4" w:space="0" w:color="auto"/>
              <w:left w:val="nil"/>
              <w:bottom w:val="single" w:sz="4" w:space="0" w:color="auto"/>
              <w:right w:val="single" w:sz="4" w:space="0" w:color="auto"/>
            </w:tcBorders>
            <w:shd w:val="clear" w:color="auto" w:fill="C6EFCE"/>
            <w:noWrap/>
          </w:tcPr>
          <w:p w14:paraId="3DE632A2" w14:textId="77777777" w:rsidR="003A3D51" w:rsidRDefault="0002775A">
            <w:pPr>
              <w:pStyle w:val="P68B1DB1-Normal7"/>
              <w:spacing w:before="120" w:after="120" w:line="240" w:lineRule="auto"/>
              <w:rPr>
                <w:rFonts w:ascii="Times New Roman" w:hAnsi="Times New Roman" w:cs="Times New Roman"/>
                <w:noProof/>
              </w:rPr>
            </w:pPr>
            <w:r>
              <w:rPr>
                <w:noProof/>
              </w:rPr>
              <w:t xml:space="preserve">Offentliggörande av meddelande om ansökningsomgång för bidrag </w:t>
            </w:r>
          </w:p>
        </w:tc>
        <w:tc>
          <w:tcPr>
            <w:tcW w:w="1096" w:type="dxa"/>
            <w:tcBorders>
              <w:top w:val="single" w:sz="4" w:space="0" w:color="auto"/>
              <w:left w:val="nil"/>
              <w:bottom w:val="single" w:sz="4" w:space="0" w:color="auto"/>
              <w:right w:val="single" w:sz="4" w:space="0" w:color="auto"/>
            </w:tcBorders>
            <w:shd w:val="clear" w:color="auto" w:fill="C6EFCE"/>
            <w:noWrap/>
          </w:tcPr>
          <w:p w14:paraId="43313C61"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52E632AC"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6432DDBA"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0E712255"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253ED0BA"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75DA2BBC" w14:textId="77777777" w:rsidR="003A3D51" w:rsidRDefault="0002775A">
            <w:pPr>
              <w:pStyle w:val="P68B1DB1-Normal7"/>
              <w:spacing w:before="120" w:after="120" w:line="240" w:lineRule="auto"/>
              <w:rPr>
                <w:rFonts w:ascii="Times New Roman" w:hAnsi="Times New Roman" w:cs="Times New Roman"/>
                <w:noProof/>
              </w:rPr>
            </w:pPr>
            <w:r>
              <w:rPr>
                <w:noProof/>
              </w:rPr>
              <w:t xml:space="preserve">Utlysa ansökningsomgångar för bidrag för att stödja den gröna omställningen av små och medelstora företag och medelstora börsnoterade företag till en energieffektiv ekonomi. Bidragen ska stödja utvecklingen och tillämpningen av grön teknik i företagens affärsprocesser för att minska negativ klimat- och miljöpåverkan, främja hållbar produktion, öka sysselsättningen i mer hållbara arbetstillfällen och stärka den lokala och regionala konkurrenskraften (i linje med EU:s taxonomi). </w:t>
            </w:r>
            <w:r>
              <w:rPr>
                <w:noProof/>
              </w:rPr>
              <w:br/>
              <w:t>Urvals- och stödkriterierna ska återspegla kraven för de tillämpliga insatsområdena i bilagorna VI och VII till förordningen om faciliteten för återhämtning och resiliens och säkerställa att de projekt som får stöd uppfyller kraven i den tekniska vägledningen om att inte orsaka betydande skada (2021/C58/01), genom användning av en uteslutningsförteckning och kravet på överensstämmelse med relevant EU-lagstiftning och nationell miljölagstiftning.</w:t>
            </w:r>
            <w:r>
              <w:rPr>
                <w:noProof/>
              </w:rPr>
              <w:br/>
              <w:t>Denna åtgärd ska inte stödja investeringar i anläggningar som omfattas av EU:s utsläppshandelssystem.</w:t>
            </w:r>
            <w:r>
              <w:rPr>
                <w:noProof/>
              </w:rPr>
              <w:br/>
              <w:t>Bidragen ska stödja investeringar som görs av företag i den privata sektorn i syfte att</w:t>
            </w:r>
            <w:r>
              <w:rPr>
                <w:noProof/>
              </w:rPr>
              <w:br/>
              <w:t xml:space="preserve">— Projekt som är inriktade på den cirkulära ekonomin genom att integrera resurseffektivitetsaspekter i produkternas produktion och livscykel, inbegripet hållbar försörjning av primära och sekundära råvaror, och/eller </w:t>
            </w:r>
            <w:r>
              <w:rPr>
                <w:noProof/>
              </w:rPr>
              <w:br/>
              <w:t>— Att fasa ut fossila bränslen i energiintensiva industrier och avsevärt minska utsläppen från dessa industrier, bland annat genom demonstration av innovativ teknik med låga utsläpp.</w:t>
            </w:r>
          </w:p>
        </w:tc>
      </w:tr>
      <w:tr w:rsidR="003A3D51" w14:paraId="603F049B"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3D5E8C3" w14:textId="77777777" w:rsidR="003A3D51" w:rsidRDefault="0002775A">
            <w:pPr>
              <w:pStyle w:val="P68B1DB1-Normal7"/>
              <w:spacing w:before="120" w:after="120" w:line="240" w:lineRule="auto"/>
              <w:jc w:val="center"/>
              <w:rPr>
                <w:rFonts w:ascii="Times New Roman" w:hAnsi="Times New Roman" w:cs="Times New Roman"/>
                <w:noProof/>
              </w:rPr>
            </w:pPr>
            <w:r>
              <w:rPr>
                <w:noProof/>
              </w:rPr>
              <w:t>15</w:t>
            </w:r>
          </w:p>
        </w:tc>
        <w:tc>
          <w:tcPr>
            <w:tcW w:w="833" w:type="dxa"/>
            <w:tcBorders>
              <w:top w:val="single" w:sz="4" w:space="0" w:color="auto"/>
              <w:left w:val="nil"/>
              <w:bottom w:val="single" w:sz="4" w:space="0" w:color="auto"/>
              <w:right w:val="single" w:sz="4" w:space="0" w:color="auto"/>
            </w:tcBorders>
            <w:shd w:val="clear" w:color="auto" w:fill="C6EFCE"/>
            <w:noWrap/>
          </w:tcPr>
          <w:p w14:paraId="004F621A" w14:textId="77777777" w:rsidR="003A3D51" w:rsidRDefault="0002775A">
            <w:pPr>
              <w:pStyle w:val="P68B1DB1-Normal7"/>
              <w:spacing w:before="120" w:after="120" w:line="240" w:lineRule="auto"/>
              <w:rPr>
                <w:rFonts w:ascii="Times New Roman" w:hAnsi="Times New Roman" w:cs="Times New Roman"/>
                <w:noProof/>
              </w:rPr>
            </w:pPr>
            <w:r>
              <w:rPr>
                <w:noProof/>
              </w:rPr>
              <w:t>C1.1.1 R4-I1</w:t>
            </w:r>
          </w:p>
        </w:tc>
        <w:tc>
          <w:tcPr>
            <w:tcW w:w="806" w:type="dxa"/>
            <w:tcBorders>
              <w:top w:val="single" w:sz="4" w:space="0" w:color="auto"/>
              <w:left w:val="nil"/>
              <w:bottom w:val="single" w:sz="4" w:space="0" w:color="auto"/>
              <w:right w:val="single" w:sz="4" w:space="0" w:color="auto"/>
            </w:tcBorders>
            <w:shd w:val="clear" w:color="auto" w:fill="C6EFCE"/>
            <w:noWrap/>
          </w:tcPr>
          <w:p w14:paraId="00732A15"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5D2228AB" w14:textId="3042DF5A" w:rsidR="003A3D51" w:rsidRDefault="0002775A">
            <w:pPr>
              <w:pStyle w:val="P68B1DB1-Normal7"/>
              <w:spacing w:before="120" w:after="120" w:line="240" w:lineRule="auto"/>
              <w:rPr>
                <w:rFonts w:ascii="Times New Roman" w:hAnsi="Times New Roman" w:cs="Times New Roman"/>
                <w:noProof/>
              </w:rPr>
            </w:pPr>
            <w:r>
              <w:rPr>
                <w:noProof/>
              </w:rPr>
              <w:t xml:space="preserve">Beviljande av medel till små och medelstora företag och medelstora börsnoterade företag för investeringar inriktade på miljövänlig verksamhet </w:t>
            </w:r>
          </w:p>
        </w:tc>
        <w:tc>
          <w:tcPr>
            <w:tcW w:w="1555" w:type="dxa"/>
            <w:tcBorders>
              <w:top w:val="single" w:sz="4" w:space="0" w:color="auto"/>
              <w:left w:val="nil"/>
              <w:bottom w:val="single" w:sz="4" w:space="0" w:color="auto"/>
              <w:right w:val="single" w:sz="4" w:space="0" w:color="auto"/>
            </w:tcBorders>
            <w:shd w:val="clear" w:color="auto" w:fill="C6EFCE"/>
            <w:noWrap/>
          </w:tcPr>
          <w:p w14:paraId="027F0373"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5DB40AF9"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5F15D523"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639E9906" w14:textId="77777777" w:rsidR="003A3D51" w:rsidRDefault="0002775A">
            <w:pPr>
              <w:pStyle w:val="P68B1DB1-Normal7"/>
              <w:spacing w:before="120" w:after="120" w:line="240" w:lineRule="auto"/>
              <w:jc w:val="center"/>
              <w:rPr>
                <w:rFonts w:ascii="Times New Roman" w:hAnsi="Times New Roman" w:cs="Times New Roman"/>
                <w:noProof/>
              </w:rPr>
            </w:pPr>
            <w:r>
              <w:rPr>
                <w:noProof/>
              </w:rPr>
              <w:t>290</w:t>
            </w:r>
          </w:p>
        </w:tc>
        <w:tc>
          <w:tcPr>
            <w:tcW w:w="868" w:type="dxa"/>
            <w:tcBorders>
              <w:top w:val="single" w:sz="4" w:space="0" w:color="auto"/>
              <w:left w:val="nil"/>
              <w:bottom w:val="single" w:sz="4" w:space="0" w:color="auto"/>
              <w:right w:val="single" w:sz="4" w:space="0" w:color="auto"/>
            </w:tcBorders>
            <w:shd w:val="clear" w:color="auto" w:fill="C6EFCE"/>
            <w:noWrap/>
          </w:tcPr>
          <w:p w14:paraId="566157F1" w14:textId="107F424F" w:rsidR="003A3D51" w:rsidRDefault="0002775A">
            <w:pPr>
              <w:pStyle w:val="P68B1DB1-Normal7"/>
              <w:spacing w:before="120" w:after="120" w:line="240" w:lineRule="auto"/>
              <w:jc w:val="center"/>
              <w:rPr>
                <w:rFonts w:ascii="Times New Roman" w:hAnsi="Times New Roman" w:cs="Times New Roman"/>
                <w:noProof/>
              </w:rPr>
            </w:pPr>
            <w:r>
              <w:rPr>
                <w:noProof/>
              </w:rPr>
              <w:t>KVARTAL 3</w:t>
            </w:r>
          </w:p>
        </w:tc>
        <w:tc>
          <w:tcPr>
            <w:tcW w:w="966" w:type="dxa"/>
            <w:tcBorders>
              <w:top w:val="single" w:sz="4" w:space="0" w:color="auto"/>
              <w:left w:val="nil"/>
              <w:bottom w:val="single" w:sz="4" w:space="0" w:color="auto"/>
              <w:right w:val="single" w:sz="4" w:space="0" w:color="auto"/>
            </w:tcBorders>
            <w:shd w:val="clear" w:color="auto" w:fill="C6EFCE"/>
            <w:noWrap/>
          </w:tcPr>
          <w:p w14:paraId="6F778D71" w14:textId="1F5D81D7" w:rsidR="003A3D51" w:rsidRDefault="0002775A">
            <w:pPr>
              <w:pStyle w:val="P68B1DB1-Normal7"/>
              <w:spacing w:before="120" w:after="120" w:line="240" w:lineRule="auto"/>
              <w:jc w:val="center"/>
              <w:rPr>
                <w:rFonts w:ascii="Times New Roman" w:hAnsi="Times New Roman" w:cs="Times New Roman"/>
                <w:noProof/>
              </w:rPr>
            </w:pPr>
            <w:r>
              <w:rPr>
                <w:noProof/>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587A2089" w14:textId="77777777" w:rsidR="003A3D51" w:rsidRDefault="0002775A">
            <w:pPr>
              <w:spacing w:before="120" w:after="120" w:line="240" w:lineRule="auto"/>
              <w:rPr>
                <w:rFonts w:ascii="Times New Roman" w:eastAsia="Calibri" w:hAnsi="Times New Roman" w:cs="Times New Roman"/>
                <w:noProof/>
                <w:sz w:val="20"/>
              </w:rPr>
            </w:pPr>
            <w:r>
              <w:rPr>
                <w:rFonts w:ascii="Calibri" w:eastAsia="Calibri" w:hAnsi="Calibri" w:cs="Arial"/>
                <w:noProof/>
                <w:color w:val="000000" w:themeColor="text1"/>
                <w:sz w:val="20"/>
              </w:rPr>
              <w:t>Minst 250 små och medelstora företag och minst 40 midcap-bolag fick stöd, i enlighet med de kriterier för stödberättigande/urval som anges i Milestone #14.</w:t>
            </w:r>
            <w:r>
              <w:rPr>
                <w:noProof/>
              </w:rPr>
              <w:br/>
            </w:r>
            <w:r>
              <w:rPr>
                <w:rFonts w:ascii="Calibri" w:eastAsia="Calibri" w:hAnsi="Calibri" w:cs="Arial"/>
                <w:noProof/>
                <w:color w:val="000000" w:themeColor="text1"/>
                <w:sz w:val="20"/>
              </w:rPr>
              <w:t>Preliminär fördelning av bidragen:</w:t>
            </w:r>
            <w:r>
              <w:rPr>
                <w:noProof/>
              </w:rPr>
              <w:br/>
            </w:r>
            <w:r>
              <w:rPr>
                <w:rFonts w:ascii="Calibri" w:eastAsia="Calibri" w:hAnsi="Calibri" w:cs="Arial"/>
                <w:noProof/>
                <w:color w:val="000000" w:themeColor="text1"/>
                <w:sz w:val="20"/>
              </w:rPr>
              <w:t>40 % för små och medelstora företag och 60 % för medelstora börsnoterade företag.</w:t>
            </w:r>
            <w:r>
              <w:rPr>
                <w:noProof/>
              </w:rPr>
              <w:br/>
            </w:r>
            <w:r>
              <w:rPr>
                <w:rFonts w:ascii="Calibri" w:eastAsia="Calibri" w:hAnsi="Calibri" w:cs="Arial"/>
                <w:noProof/>
                <w:color w:val="000000" w:themeColor="text1"/>
                <w:sz w:val="20"/>
              </w:rPr>
              <w:t xml:space="preserve">Det högsta beloppet för EU-bidrag till enskilda små och medelstora företag ska vara upp till 1 000 000 EUR, och för enskilda midcap-bolag upp till 4 700 000 EUR. Högsta stödnivåer ska fastställas på grundval av erfarenheterna från genomförandet av sammanhållningspolitiken.  </w:t>
            </w:r>
          </w:p>
        </w:tc>
      </w:tr>
      <w:tr w:rsidR="003A3D51" w14:paraId="51ED12E2"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CA08A2B" w14:textId="77777777" w:rsidR="003A3D51" w:rsidRDefault="0002775A">
            <w:pPr>
              <w:pStyle w:val="P68B1DB1-Normal7"/>
              <w:spacing w:before="120" w:after="120" w:line="240" w:lineRule="auto"/>
              <w:jc w:val="center"/>
              <w:rPr>
                <w:rFonts w:ascii="Times New Roman" w:hAnsi="Times New Roman" w:cs="Times New Roman"/>
                <w:noProof/>
              </w:rPr>
            </w:pPr>
            <w:r>
              <w:rPr>
                <w:noProof/>
              </w:rPr>
              <w:t>16</w:t>
            </w:r>
          </w:p>
        </w:tc>
        <w:tc>
          <w:tcPr>
            <w:tcW w:w="833" w:type="dxa"/>
            <w:tcBorders>
              <w:top w:val="single" w:sz="4" w:space="0" w:color="auto"/>
              <w:left w:val="nil"/>
              <w:bottom w:val="single" w:sz="4" w:space="0" w:color="auto"/>
              <w:right w:val="single" w:sz="4" w:space="0" w:color="auto"/>
            </w:tcBorders>
            <w:shd w:val="clear" w:color="auto" w:fill="C6EFCE"/>
            <w:noWrap/>
          </w:tcPr>
          <w:p w14:paraId="65E187FC" w14:textId="77777777" w:rsidR="003A3D51" w:rsidRDefault="0002775A">
            <w:pPr>
              <w:pStyle w:val="P68B1DB1-Normal7"/>
              <w:spacing w:before="120" w:after="120" w:line="240" w:lineRule="auto"/>
              <w:rPr>
                <w:rFonts w:ascii="Times New Roman" w:hAnsi="Times New Roman" w:cs="Times New Roman"/>
                <w:noProof/>
              </w:rPr>
            </w:pPr>
            <w:r>
              <w:rPr>
                <w:noProof/>
              </w:rPr>
              <w:t>C1.1.1 R4-I2</w:t>
            </w:r>
          </w:p>
        </w:tc>
        <w:tc>
          <w:tcPr>
            <w:tcW w:w="806" w:type="dxa"/>
            <w:tcBorders>
              <w:top w:val="single" w:sz="4" w:space="0" w:color="auto"/>
              <w:left w:val="nil"/>
              <w:bottom w:val="single" w:sz="4" w:space="0" w:color="auto"/>
              <w:right w:val="single" w:sz="4" w:space="0" w:color="auto"/>
            </w:tcBorders>
            <w:shd w:val="clear" w:color="auto" w:fill="C6EFCE"/>
            <w:noWrap/>
          </w:tcPr>
          <w:p w14:paraId="182AABD6"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380EE9B0" w14:textId="77777777" w:rsidR="003A3D51" w:rsidRDefault="0002775A">
            <w:pPr>
              <w:pStyle w:val="P68B1DB1-Normal7"/>
              <w:spacing w:before="120" w:after="120" w:line="240" w:lineRule="auto"/>
              <w:rPr>
                <w:rFonts w:ascii="Times New Roman" w:hAnsi="Times New Roman" w:cs="Times New Roman"/>
                <w:noProof/>
              </w:rPr>
            </w:pPr>
            <w:r>
              <w:rPr>
                <w:noProof/>
              </w:rPr>
              <w:t>Inrättande av ett finansieringsinstrument för att stödja investeringar av mikroföretag samt små och medelstora företag</w:t>
            </w:r>
          </w:p>
        </w:tc>
        <w:tc>
          <w:tcPr>
            <w:tcW w:w="1555" w:type="dxa"/>
            <w:tcBorders>
              <w:top w:val="single" w:sz="4" w:space="0" w:color="auto"/>
              <w:left w:val="nil"/>
              <w:bottom w:val="single" w:sz="4" w:space="0" w:color="auto"/>
              <w:right w:val="single" w:sz="4" w:space="0" w:color="auto"/>
            </w:tcBorders>
            <w:shd w:val="clear" w:color="auto" w:fill="C6EFCE"/>
            <w:noWrap/>
          </w:tcPr>
          <w:p w14:paraId="2F27E093" w14:textId="77777777" w:rsidR="003A3D51" w:rsidRDefault="0002775A">
            <w:pPr>
              <w:pStyle w:val="P68B1DB1-Normal7"/>
              <w:spacing w:before="120" w:after="120" w:line="240" w:lineRule="auto"/>
              <w:rPr>
                <w:rFonts w:ascii="Times New Roman" w:hAnsi="Times New Roman" w:cs="Times New Roman"/>
                <w:noProof/>
              </w:rPr>
            </w:pPr>
            <w:r>
              <w:rPr>
                <w:noProof/>
              </w:rPr>
              <w:t xml:space="preserve">Avtal som offentliggörs mellan i) det berörda ministeriet (MINGOR eller MINFIN) och HAMAG BICRO, och mellan ii) det berörda ministeriet (MINGOR eller MINFIN) och HBOR om att tillhandahålla gynnsamma finansieringsvillkor för investeringar och rörelsekapital som krävs för att genomföra de ekonomiska aktörernas investeringar och/eller öka omfattningen av de ekonomiska aktörernas verksamhet. </w:t>
            </w:r>
          </w:p>
        </w:tc>
        <w:tc>
          <w:tcPr>
            <w:tcW w:w="1096" w:type="dxa"/>
            <w:tcBorders>
              <w:top w:val="single" w:sz="4" w:space="0" w:color="auto"/>
              <w:left w:val="nil"/>
              <w:bottom w:val="single" w:sz="4" w:space="0" w:color="auto"/>
              <w:right w:val="single" w:sz="4" w:space="0" w:color="auto"/>
            </w:tcBorders>
            <w:shd w:val="clear" w:color="auto" w:fill="C6EFCE"/>
            <w:noWrap/>
          </w:tcPr>
          <w:p w14:paraId="27DF46DD"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3BAE4F7F"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292C925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2DF77105"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1</w:t>
            </w:r>
          </w:p>
        </w:tc>
        <w:tc>
          <w:tcPr>
            <w:tcW w:w="966" w:type="dxa"/>
            <w:tcBorders>
              <w:top w:val="single" w:sz="4" w:space="0" w:color="auto"/>
              <w:left w:val="nil"/>
              <w:bottom w:val="single" w:sz="4" w:space="0" w:color="auto"/>
              <w:right w:val="single" w:sz="4" w:space="0" w:color="auto"/>
            </w:tcBorders>
            <w:shd w:val="clear" w:color="auto" w:fill="C6EFCE"/>
            <w:noWrap/>
          </w:tcPr>
          <w:p w14:paraId="08B79CF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070E7D64" w14:textId="77777777" w:rsidR="003A3D51" w:rsidRDefault="0002775A">
            <w:pPr>
              <w:pStyle w:val="P68B1DB1-Normal7"/>
              <w:spacing w:before="120" w:after="120" w:line="240" w:lineRule="auto"/>
              <w:rPr>
                <w:rFonts w:ascii="Times New Roman" w:hAnsi="Times New Roman" w:cs="Times New Roman"/>
                <w:noProof/>
              </w:rPr>
            </w:pPr>
            <w:r>
              <w:rPr>
                <w:noProof/>
              </w:rPr>
              <w:t>Åtgärden ska uppmuntra mikroföretag samt små och medelstora företag att investera i ny teknik, inköp av moderna maskiner, modern utrustning och ökad produktions- och tjänstekapacitet samt åtgärder för grön omställning (såsom införande av grön teknik, införande av affärsmodeller som bygger på den cirkulära ekonomin, förnybara energikällor och energieffektivitet).</w:t>
            </w:r>
            <w:r>
              <w:rPr>
                <w:noProof/>
              </w:rPr>
              <w:br/>
              <w:t xml:space="preserve">Denna åtgärd ska inte stödja investeringar i anläggningar som omfattas av EU:s utsläppshandelssystem. </w:t>
            </w:r>
            <w:r>
              <w:rPr>
                <w:noProof/>
              </w:rPr>
              <w:br/>
              <w:t>Åtgärden ska omfatta 4 finansieringsinstrument:</w:t>
            </w:r>
            <w:r>
              <w:rPr>
                <w:noProof/>
              </w:rPr>
              <w:br/>
              <w:t>1) direkta mikrokrediter från den kroatiska byrån för små och medelstora företag, innovation och investeringar (HAMAG BICRO) på upp till 100 000 EUR för företag som har svårt att få lån från affärsbanker.  Detta finansieringsinstrument ska förvaltas separat från andra HAMAG-BICRO-instrument för att säkerställa att outnyttjade medel eller återbetalningar från detta instrument, genom återbetalning av kapitalet, används för liknande ändamål och med samma stödberättigandevillkor när det gäller miljöpåverkan.</w:t>
            </w:r>
            <w:r>
              <w:rPr>
                <w:noProof/>
              </w:rPr>
              <w:br/>
              <w:t>2) direkta lån från den kroatiska banken för återuppbyggnad och utveckling (HBOR) på över 100 000 EUR till särskilda målgrupper såsom nystartade företag, unga företagare, kvinnliga företagare, investeringar i missgynnade områden och forskning, utveckling och innovation, som på grund av en högre risknivå inte har tillgång till bankfinansiering. Detta finansieringsinstrument ska förvaltas separat från andra HBOR-instrument för att säkerställa att outnyttjade medel eller återbetalningar från detta instrument, genom återbetalning av kapitalet, används för liknande ändamål och med samma stödberättigandevillkor när det gäller miljöpåverkan.</w:t>
            </w:r>
            <w:r>
              <w:rPr>
                <w:noProof/>
              </w:rPr>
              <w:br/>
            </w:r>
            <w:r>
              <w:rPr>
                <w:noProof/>
              </w:rPr>
              <w:br/>
              <w:t xml:space="preserve">3) räntesubventioner från HAMAG BICRO för utlåning till mikroföretag samt små och medelstora företag som använder befintliga HAMAG BICRO-garantiinstrument </w:t>
            </w:r>
            <w:r>
              <w:rPr>
                <w:noProof/>
              </w:rPr>
              <w:br/>
              <w:t xml:space="preserve">4) räntesubventioner från HBOR för utlåning till mikroföretag samt små och medelstora företag som använder de befintliga HBOR-låneprogrammen </w:t>
            </w:r>
            <w:r>
              <w:rPr>
                <w:noProof/>
              </w:rPr>
              <w:br/>
            </w:r>
            <w:r>
              <w:rPr>
                <w:noProof/>
              </w:rPr>
              <w:br/>
              <w:t>För projekt som bidrar till den gröna omställningen planeras gynnsammare lånevillkor än för projekt som inte är inriktade på den gröna omställningen.</w:t>
            </w:r>
            <w:r>
              <w:rPr>
                <w:noProof/>
              </w:rPr>
              <w:br/>
              <w:t>Det ska vara tillåtet att kombinera dessa finansieringsinstrument med finansiering från andra EU-källor eller nationella källor på villkor att det inte förekommer någon dubbelfinansiering av investeringen.</w:t>
            </w:r>
            <w:r>
              <w:rPr>
                <w:noProof/>
              </w:rPr>
              <w:br/>
              <w:t xml:space="preserve">Investeringspolicyn för alla fyra finansieringsinstrumenten ska säkerställa överensstämmelse med den tekniska vägledningen om att inte orsaka betydande skada (2021/C58/01) för transaktioner som får stöd inom ramen för denna åtgärd genom användning av hållbarhetssäkring, en uteslutningsförteckning och kravet på efterlevnad av relevant EU-lagstiftning och nationell miljölagstiftning. </w:t>
            </w:r>
            <w:r>
              <w:rPr>
                <w:noProof/>
              </w:rPr>
              <w:br/>
              <w:t xml:space="preserve">Av det totala beloppet för åtgärden: </w:t>
            </w:r>
            <w:r>
              <w:rPr>
                <w:noProof/>
              </w:rPr>
              <w:br/>
              <w:t xml:space="preserve">i) minst 27 898 772 EUR ska anslås för att stödja miljövänliga produktionsprocesser och resurseffektivitet i små och medelstora företag, med förväntan att minst 11 128 934 EUR ska gå till att minska utsläppen av växthusgaser. </w:t>
            </w:r>
            <w:r>
              <w:rPr>
                <w:noProof/>
              </w:rPr>
              <w:br/>
              <w:t xml:space="preserve">II) 23 199 509 EUR ska avsättas för att hjälpa små och medelstora företag att digitalisera verksamheten. </w:t>
            </w:r>
            <w:r>
              <w:rPr>
                <w:noProof/>
              </w:rPr>
              <w:br/>
              <w:t xml:space="preserve">III) 94 896 808 EUR ska avsättas för investeringar som syftar till att stärka konkurrenskraften och motståndskraften. </w:t>
            </w:r>
          </w:p>
        </w:tc>
      </w:tr>
      <w:tr w:rsidR="003A3D51" w14:paraId="39E314FE"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0EFA52BA" w14:textId="77777777" w:rsidR="003A3D51" w:rsidRDefault="0002775A">
            <w:pPr>
              <w:pStyle w:val="P68B1DB1-Normal7"/>
              <w:spacing w:before="120" w:after="120" w:line="240" w:lineRule="auto"/>
              <w:jc w:val="center"/>
              <w:rPr>
                <w:rFonts w:ascii="Times New Roman" w:hAnsi="Times New Roman" w:cs="Times New Roman"/>
                <w:noProof/>
              </w:rPr>
            </w:pPr>
            <w:r>
              <w:rPr>
                <w:noProof/>
              </w:rPr>
              <w:t>17</w:t>
            </w:r>
          </w:p>
        </w:tc>
        <w:tc>
          <w:tcPr>
            <w:tcW w:w="833" w:type="dxa"/>
            <w:tcBorders>
              <w:top w:val="single" w:sz="4" w:space="0" w:color="auto"/>
              <w:left w:val="nil"/>
              <w:bottom w:val="single" w:sz="4" w:space="0" w:color="auto"/>
              <w:right w:val="single" w:sz="4" w:space="0" w:color="auto"/>
            </w:tcBorders>
            <w:shd w:val="clear" w:color="auto" w:fill="C6EFCE"/>
            <w:noWrap/>
          </w:tcPr>
          <w:p w14:paraId="34446F41" w14:textId="77777777" w:rsidR="003A3D51" w:rsidRDefault="0002775A">
            <w:pPr>
              <w:pStyle w:val="P68B1DB1-Normal7"/>
              <w:spacing w:before="120" w:after="120" w:line="240" w:lineRule="auto"/>
              <w:rPr>
                <w:rFonts w:ascii="Times New Roman" w:hAnsi="Times New Roman" w:cs="Times New Roman"/>
                <w:noProof/>
              </w:rPr>
            </w:pPr>
            <w:r>
              <w:rPr>
                <w:noProof/>
              </w:rPr>
              <w:t>C1.1.1 R4-I2</w:t>
            </w:r>
          </w:p>
        </w:tc>
        <w:tc>
          <w:tcPr>
            <w:tcW w:w="806" w:type="dxa"/>
            <w:tcBorders>
              <w:top w:val="single" w:sz="4" w:space="0" w:color="auto"/>
              <w:left w:val="nil"/>
              <w:bottom w:val="single" w:sz="4" w:space="0" w:color="auto"/>
              <w:right w:val="single" w:sz="4" w:space="0" w:color="auto"/>
            </w:tcBorders>
            <w:shd w:val="clear" w:color="auto" w:fill="C6EFCE"/>
            <w:noWrap/>
          </w:tcPr>
          <w:p w14:paraId="406CE79B"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2CFDFABA" w14:textId="77777777" w:rsidR="003A3D51" w:rsidRDefault="0002775A">
            <w:pPr>
              <w:pStyle w:val="P68B1DB1-Normal7"/>
              <w:spacing w:before="120" w:after="120" w:line="240" w:lineRule="auto"/>
              <w:rPr>
                <w:rFonts w:ascii="Times New Roman" w:hAnsi="Times New Roman" w:cs="Times New Roman"/>
                <w:noProof/>
              </w:rPr>
            </w:pPr>
            <w:r>
              <w:rPr>
                <w:noProof/>
              </w:rPr>
              <w:t>Lån/räntesubventioner till mikroföretag samt små och medelstora företag</w:t>
            </w:r>
          </w:p>
        </w:tc>
        <w:tc>
          <w:tcPr>
            <w:tcW w:w="1555" w:type="dxa"/>
            <w:tcBorders>
              <w:top w:val="single" w:sz="4" w:space="0" w:color="auto"/>
              <w:left w:val="nil"/>
              <w:bottom w:val="single" w:sz="4" w:space="0" w:color="auto"/>
              <w:right w:val="single" w:sz="4" w:space="0" w:color="auto"/>
            </w:tcBorders>
            <w:shd w:val="clear" w:color="auto" w:fill="C6EFCE"/>
            <w:noWrap/>
          </w:tcPr>
          <w:p w14:paraId="26888E1C"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5FC08829"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78346B60"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0E0843F4" w14:textId="77777777" w:rsidR="003A3D51" w:rsidRDefault="0002775A">
            <w:pPr>
              <w:pStyle w:val="P68B1DB1-Normal7"/>
              <w:spacing w:before="120" w:after="120" w:line="240" w:lineRule="auto"/>
              <w:jc w:val="center"/>
              <w:rPr>
                <w:rFonts w:ascii="Times New Roman" w:hAnsi="Times New Roman" w:cs="Times New Roman"/>
                <w:noProof/>
              </w:rPr>
            </w:pPr>
            <w:r>
              <w:rPr>
                <w:noProof/>
              </w:rPr>
              <w:t>800</w:t>
            </w:r>
          </w:p>
        </w:tc>
        <w:tc>
          <w:tcPr>
            <w:tcW w:w="868" w:type="dxa"/>
            <w:tcBorders>
              <w:top w:val="single" w:sz="4" w:space="0" w:color="auto"/>
              <w:left w:val="nil"/>
              <w:bottom w:val="single" w:sz="4" w:space="0" w:color="auto"/>
              <w:right w:val="single" w:sz="4" w:space="0" w:color="auto"/>
            </w:tcBorders>
            <w:shd w:val="clear" w:color="auto" w:fill="C6EFCE"/>
            <w:noWrap/>
          </w:tcPr>
          <w:p w14:paraId="6E23A7B4"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68E589D7"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48E5FB36" w14:textId="77777777" w:rsidR="003A3D51" w:rsidRDefault="0002775A">
            <w:pPr>
              <w:pStyle w:val="P68B1DB1-Normal7"/>
              <w:spacing w:before="120" w:after="120" w:line="240" w:lineRule="auto"/>
              <w:rPr>
                <w:rFonts w:ascii="Times New Roman" w:hAnsi="Times New Roman" w:cs="Times New Roman"/>
                <w:noProof/>
              </w:rPr>
            </w:pPr>
            <w:r>
              <w:rPr>
                <w:noProof/>
              </w:rPr>
              <w:t xml:space="preserve">Tillhandahållande av 800 lån/räntesubventioner från HAMAG BICRO till mikroföretag samt små och medelstora företag i enlighet med investeringspolicyn och kriterierna för stödberättigande i delmål #16.   </w:t>
            </w:r>
            <w:r>
              <w:rPr>
                <w:noProof/>
              </w:rPr>
              <w:br/>
            </w:r>
            <w:r>
              <w:rPr>
                <w:noProof/>
              </w:rPr>
              <w:br/>
              <w:t xml:space="preserve"> </w:t>
            </w:r>
          </w:p>
        </w:tc>
      </w:tr>
      <w:tr w:rsidR="003A3D51" w14:paraId="0AE7B1E9"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57A92DF6" w14:textId="77777777" w:rsidR="003A3D51" w:rsidRDefault="0002775A">
            <w:pPr>
              <w:pStyle w:val="P68B1DB1-Normal7"/>
              <w:spacing w:before="120" w:after="120" w:line="240" w:lineRule="auto"/>
              <w:jc w:val="center"/>
              <w:rPr>
                <w:rFonts w:ascii="Times New Roman" w:hAnsi="Times New Roman" w:cs="Times New Roman"/>
                <w:noProof/>
              </w:rPr>
            </w:pPr>
            <w:r>
              <w:rPr>
                <w:noProof/>
              </w:rPr>
              <w:t>18</w:t>
            </w:r>
          </w:p>
        </w:tc>
        <w:tc>
          <w:tcPr>
            <w:tcW w:w="833" w:type="dxa"/>
            <w:tcBorders>
              <w:top w:val="single" w:sz="4" w:space="0" w:color="auto"/>
              <w:left w:val="nil"/>
              <w:bottom w:val="single" w:sz="4" w:space="0" w:color="auto"/>
              <w:right w:val="single" w:sz="4" w:space="0" w:color="auto"/>
            </w:tcBorders>
            <w:shd w:val="clear" w:color="auto" w:fill="C6EFCE"/>
            <w:noWrap/>
          </w:tcPr>
          <w:p w14:paraId="10552078" w14:textId="77777777" w:rsidR="003A3D51" w:rsidRDefault="0002775A">
            <w:pPr>
              <w:pStyle w:val="P68B1DB1-Normal7"/>
              <w:spacing w:before="120" w:after="120" w:line="240" w:lineRule="auto"/>
              <w:rPr>
                <w:rFonts w:ascii="Times New Roman" w:hAnsi="Times New Roman" w:cs="Times New Roman"/>
                <w:noProof/>
              </w:rPr>
            </w:pPr>
            <w:r>
              <w:rPr>
                <w:noProof/>
              </w:rPr>
              <w:t>C1.1.1 R4-I2</w:t>
            </w:r>
          </w:p>
        </w:tc>
        <w:tc>
          <w:tcPr>
            <w:tcW w:w="806" w:type="dxa"/>
            <w:tcBorders>
              <w:top w:val="single" w:sz="4" w:space="0" w:color="auto"/>
              <w:left w:val="nil"/>
              <w:bottom w:val="single" w:sz="4" w:space="0" w:color="auto"/>
              <w:right w:val="single" w:sz="4" w:space="0" w:color="auto"/>
            </w:tcBorders>
            <w:shd w:val="clear" w:color="auto" w:fill="C6EFCE"/>
            <w:noWrap/>
          </w:tcPr>
          <w:p w14:paraId="2CCB56DD"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0FD029C4" w14:textId="77777777" w:rsidR="003A3D51" w:rsidRDefault="0002775A">
            <w:pPr>
              <w:pStyle w:val="P68B1DB1-Normal7"/>
              <w:spacing w:before="120" w:after="120" w:line="240" w:lineRule="auto"/>
              <w:rPr>
                <w:rFonts w:ascii="Times New Roman" w:hAnsi="Times New Roman" w:cs="Times New Roman"/>
                <w:noProof/>
              </w:rPr>
            </w:pPr>
            <w:r>
              <w:rPr>
                <w:noProof/>
              </w:rPr>
              <w:t>Lån/räntesubventioner till mikroföretag samt små och medelstora företag</w:t>
            </w:r>
          </w:p>
        </w:tc>
        <w:tc>
          <w:tcPr>
            <w:tcW w:w="1555" w:type="dxa"/>
            <w:tcBorders>
              <w:top w:val="single" w:sz="4" w:space="0" w:color="auto"/>
              <w:left w:val="nil"/>
              <w:bottom w:val="single" w:sz="4" w:space="0" w:color="auto"/>
              <w:right w:val="single" w:sz="4" w:space="0" w:color="auto"/>
            </w:tcBorders>
            <w:shd w:val="clear" w:color="auto" w:fill="C6EFCE"/>
            <w:noWrap/>
          </w:tcPr>
          <w:p w14:paraId="3FDEF0A3"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66C26C0A"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4BB798C5"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5D6C8EF0" w14:textId="77777777" w:rsidR="003A3D51" w:rsidRDefault="0002775A">
            <w:pPr>
              <w:pStyle w:val="P68B1DB1-Normal7"/>
              <w:spacing w:before="120" w:after="120" w:line="240" w:lineRule="auto"/>
              <w:jc w:val="center"/>
              <w:rPr>
                <w:rFonts w:ascii="Times New Roman" w:hAnsi="Times New Roman" w:cs="Times New Roman"/>
                <w:noProof/>
              </w:rPr>
            </w:pPr>
            <w:r>
              <w:rPr>
                <w:noProof/>
              </w:rPr>
              <w:t>500</w:t>
            </w:r>
          </w:p>
        </w:tc>
        <w:tc>
          <w:tcPr>
            <w:tcW w:w="868" w:type="dxa"/>
            <w:tcBorders>
              <w:top w:val="single" w:sz="4" w:space="0" w:color="auto"/>
              <w:left w:val="nil"/>
              <w:bottom w:val="single" w:sz="4" w:space="0" w:color="auto"/>
              <w:right w:val="single" w:sz="4" w:space="0" w:color="auto"/>
            </w:tcBorders>
            <w:shd w:val="clear" w:color="auto" w:fill="C6EFCE"/>
            <w:noWrap/>
          </w:tcPr>
          <w:p w14:paraId="28B47112"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2D6277E3"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359E09B8" w14:textId="77777777" w:rsidR="003A3D51" w:rsidRDefault="0002775A">
            <w:pPr>
              <w:pStyle w:val="P68B1DB1-Normal7"/>
              <w:spacing w:before="120" w:after="120" w:line="240" w:lineRule="auto"/>
              <w:rPr>
                <w:rFonts w:ascii="Times New Roman" w:hAnsi="Times New Roman" w:cs="Times New Roman"/>
                <w:noProof/>
              </w:rPr>
            </w:pPr>
            <w:r>
              <w:rPr>
                <w:noProof/>
              </w:rPr>
              <w:t xml:space="preserve">Tillhandahållande av 500 lån/räntesubventioner från HBOR till mikroföretag samt små och medelstora företag i enlighet med investeringspolicyn och stödberättigandekriterierna i delmål #16.   </w:t>
            </w:r>
          </w:p>
        </w:tc>
      </w:tr>
      <w:tr w:rsidR="003A3D51" w14:paraId="69C74C2C"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5A0F7DB" w14:textId="77777777" w:rsidR="003A3D51" w:rsidRDefault="0002775A">
            <w:pPr>
              <w:pStyle w:val="P68B1DB1-Normal7"/>
              <w:spacing w:before="120" w:after="120" w:line="240" w:lineRule="auto"/>
              <w:jc w:val="center"/>
              <w:rPr>
                <w:rFonts w:ascii="Times New Roman" w:hAnsi="Times New Roman" w:cs="Times New Roman"/>
                <w:noProof/>
              </w:rPr>
            </w:pPr>
            <w:r>
              <w:rPr>
                <w:noProof/>
              </w:rPr>
              <w:t>19</w:t>
            </w:r>
          </w:p>
        </w:tc>
        <w:tc>
          <w:tcPr>
            <w:tcW w:w="833" w:type="dxa"/>
            <w:tcBorders>
              <w:top w:val="single" w:sz="4" w:space="0" w:color="auto"/>
              <w:left w:val="nil"/>
              <w:bottom w:val="single" w:sz="4" w:space="0" w:color="auto"/>
              <w:right w:val="single" w:sz="4" w:space="0" w:color="auto"/>
            </w:tcBorders>
            <w:shd w:val="clear" w:color="auto" w:fill="C6EFCE"/>
            <w:noWrap/>
          </w:tcPr>
          <w:p w14:paraId="3B517FF3" w14:textId="77777777" w:rsidR="003A3D51" w:rsidRDefault="0002775A">
            <w:pPr>
              <w:pStyle w:val="P68B1DB1-Normal7"/>
              <w:spacing w:before="120" w:after="120" w:line="240" w:lineRule="auto"/>
              <w:rPr>
                <w:rFonts w:ascii="Times New Roman" w:hAnsi="Times New Roman" w:cs="Times New Roman"/>
                <w:noProof/>
              </w:rPr>
            </w:pPr>
            <w:r>
              <w:rPr>
                <w:noProof/>
              </w:rPr>
              <w:t>C1.1.1 R4-I3</w:t>
            </w:r>
          </w:p>
        </w:tc>
        <w:tc>
          <w:tcPr>
            <w:tcW w:w="806" w:type="dxa"/>
            <w:tcBorders>
              <w:top w:val="single" w:sz="4" w:space="0" w:color="auto"/>
              <w:left w:val="nil"/>
              <w:bottom w:val="single" w:sz="4" w:space="0" w:color="auto"/>
              <w:right w:val="single" w:sz="4" w:space="0" w:color="auto"/>
            </w:tcBorders>
            <w:shd w:val="clear" w:color="auto" w:fill="C6EFCE"/>
            <w:noWrap/>
          </w:tcPr>
          <w:p w14:paraId="40A65CA0"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493C4DAD" w14:textId="77777777" w:rsidR="003A3D51" w:rsidRDefault="0002775A">
            <w:pPr>
              <w:pStyle w:val="P68B1DB1-Normal7"/>
              <w:spacing w:before="120" w:after="120" w:line="240" w:lineRule="auto"/>
              <w:rPr>
                <w:rFonts w:ascii="Times New Roman" w:hAnsi="Times New Roman" w:cs="Times New Roman"/>
                <w:noProof/>
              </w:rPr>
            </w:pPr>
            <w:r>
              <w:rPr>
                <w:noProof/>
              </w:rPr>
              <w:t>Inrättande av finansieringsinstrument för att stödja investeringar av medelstora börsnoterade företag och stora företag</w:t>
            </w:r>
          </w:p>
        </w:tc>
        <w:tc>
          <w:tcPr>
            <w:tcW w:w="1555" w:type="dxa"/>
            <w:tcBorders>
              <w:top w:val="single" w:sz="4" w:space="0" w:color="auto"/>
              <w:left w:val="nil"/>
              <w:bottom w:val="single" w:sz="4" w:space="0" w:color="auto"/>
              <w:right w:val="single" w:sz="4" w:space="0" w:color="auto"/>
            </w:tcBorders>
            <w:shd w:val="clear" w:color="auto" w:fill="C6EFCE"/>
            <w:noWrap/>
          </w:tcPr>
          <w:p w14:paraId="297CC0BD" w14:textId="77777777" w:rsidR="003A3D51" w:rsidRDefault="0002775A">
            <w:pPr>
              <w:pStyle w:val="P68B1DB1-Normal7"/>
              <w:spacing w:before="120" w:after="120" w:line="240" w:lineRule="auto"/>
              <w:rPr>
                <w:rFonts w:ascii="Times New Roman" w:hAnsi="Times New Roman" w:cs="Times New Roman"/>
                <w:noProof/>
              </w:rPr>
            </w:pPr>
            <w:r>
              <w:rPr>
                <w:noProof/>
              </w:rPr>
              <w:t xml:space="preserve">Överenskommelse mellan det behöriga ministeriet (MINGOR eller MINFIN) och HBOR om att tillhandahålla gynnsamma (stimulerande) finansieringsvillkor och garantier för investeringar och rörelsekapital som krävs för att göra investeringarna och/eller öka omfattningen av den ekonomiska verksamhet som offentliggörs. </w:t>
            </w:r>
          </w:p>
        </w:tc>
        <w:tc>
          <w:tcPr>
            <w:tcW w:w="1096" w:type="dxa"/>
            <w:tcBorders>
              <w:top w:val="single" w:sz="4" w:space="0" w:color="auto"/>
              <w:left w:val="nil"/>
              <w:bottom w:val="single" w:sz="4" w:space="0" w:color="auto"/>
              <w:right w:val="single" w:sz="4" w:space="0" w:color="auto"/>
            </w:tcBorders>
            <w:shd w:val="clear" w:color="auto" w:fill="C6EFCE"/>
            <w:noWrap/>
          </w:tcPr>
          <w:p w14:paraId="31FAD2CD"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7E75C88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079ADCE1"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5B1864B3"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1</w:t>
            </w:r>
          </w:p>
        </w:tc>
        <w:tc>
          <w:tcPr>
            <w:tcW w:w="966" w:type="dxa"/>
            <w:tcBorders>
              <w:top w:val="single" w:sz="4" w:space="0" w:color="auto"/>
              <w:left w:val="nil"/>
              <w:bottom w:val="single" w:sz="4" w:space="0" w:color="auto"/>
              <w:right w:val="single" w:sz="4" w:space="0" w:color="auto"/>
            </w:tcBorders>
            <w:shd w:val="clear" w:color="auto" w:fill="C6EFCE"/>
            <w:noWrap/>
          </w:tcPr>
          <w:p w14:paraId="51DC135F"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02E01661" w14:textId="77777777" w:rsidR="003A3D51" w:rsidRDefault="0002775A">
            <w:pPr>
              <w:pStyle w:val="P68B1DB1-Normal7"/>
              <w:spacing w:before="120" w:after="120" w:line="240" w:lineRule="auto"/>
              <w:rPr>
                <w:rFonts w:ascii="Times New Roman" w:hAnsi="Times New Roman" w:cs="Times New Roman"/>
                <w:noProof/>
              </w:rPr>
            </w:pPr>
            <w:r>
              <w:rPr>
                <w:noProof/>
              </w:rPr>
              <w:t>En ny paraplygarantifond ska inrättas, med inriktning på midcap-bolag och stora företag, för att utfärda garantier för investeringslån och rörelsekapitallån som är nödvändiga för genomförandet av investeringar och tillväxten i medelstora börsnoterade företag och stora enheter. Det totala anslaget för paraplygarantifonden ska uppgå till 79 633 685 EUR.</w:t>
            </w:r>
            <w:r>
              <w:rPr>
                <w:noProof/>
              </w:rPr>
              <w:br/>
              <w:t>Eventuella outnyttjade medel eller återföringar från detta instrument, genom återbetalning av kapitalet, ska användas för liknande ändamål och med samma villkor för stödberättigande när det gäller miljöpåverkan.</w:t>
            </w:r>
            <w:r>
              <w:rPr>
                <w:noProof/>
              </w:rPr>
              <w:br/>
              <w:t>En fond för räntesubventioner på beviljade lån och avgifter/premier som emitteras till midcap-bolag och stora enheter ska inrättas, med ett totalt anslag på 26 544 562 EUR, för att stimulera nya investeringar och företagstillväxt.</w:t>
            </w:r>
            <w:r>
              <w:rPr>
                <w:noProof/>
              </w:rPr>
              <w:br/>
            </w:r>
            <w:r>
              <w:rPr>
                <w:noProof/>
              </w:rPr>
              <w:br/>
              <w:t xml:space="preserve">De föreslagna åtgärderna omfattar samarbete med finansiella intermediärer (banker och leasingföretag) för att uppnå en ”attraktionseffekt i den privata sektorn”. </w:t>
            </w:r>
            <w:r>
              <w:rPr>
                <w:noProof/>
              </w:rPr>
              <w:br/>
              <w:t>Båda finansieringsinstrumenten ska säkerställa efterlevnad av den tekniska vägledningen om att inte orsaka betydande skada (2021/C58/01) för transaktioner som får stöd inom ramen för denna åtgärd genom användning av hållbarhetssäkring, en uteslutningsförteckning och kravet på efterlevnad av relevant EU-lagstiftning och nationell miljölagstiftning.</w:t>
            </w:r>
            <w:r>
              <w:rPr>
                <w:noProof/>
              </w:rPr>
              <w:br/>
              <w:t>Denna åtgärd ska inte stödja investeringar i anläggningar som omfattas av EU:s utsläppshandelssystem.</w:t>
            </w:r>
            <w:r>
              <w:rPr>
                <w:noProof/>
              </w:rPr>
              <w:br/>
              <w:t xml:space="preserve">Stödmottagare som fick mer än 10 % av sina intäkter under det föregående räkenskapsåret från verksamheter eller tillgångar i uteslutningsförteckningen ska anta och offentliggöra planer för grön omställning. </w:t>
            </w:r>
            <w:r>
              <w:rPr>
                <w:noProof/>
              </w:rPr>
              <w:br/>
              <w:t xml:space="preserve">Av det totala beloppet för åtgärden: </w:t>
            </w:r>
            <w:r>
              <w:rPr>
                <w:noProof/>
              </w:rPr>
              <w:br/>
              <w:t xml:space="preserve">i) minst 26 544 562 EUR ska anslås för att stödja miljövänliga produktionsprocesser och resurseffektivitet i medelstora börsnoterade företag och stora företag, med förväntan att minst 10 617 824 EUR ska gå till att minska utsläppen av växthusgaser. </w:t>
            </w:r>
            <w:r>
              <w:rPr>
                <w:noProof/>
              </w:rPr>
              <w:br/>
              <w:t>II) 79 633 685 EUR ska avsättas för investeringar som syftar till att stärka konkurrenskraften och motståndskraften.</w:t>
            </w:r>
          </w:p>
        </w:tc>
      </w:tr>
      <w:tr w:rsidR="003A3D51" w14:paraId="1471D281"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DC21206" w14:textId="77777777" w:rsidR="003A3D51" w:rsidRDefault="0002775A">
            <w:pPr>
              <w:pStyle w:val="P68B1DB1-Normal7"/>
              <w:spacing w:before="120" w:after="120" w:line="240" w:lineRule="auto"/>
              <w:jc w:val="center"/>
              <w:rPr>
                <w:rFonts w:ascii="Times New Roman" w:hAnsi="Times New Roman" w:cs="Times New Roman"/>
                <w:noProof/>
              </w:rPr>
            </w:pPr>
            <w:r>
              <w:rPr>
                <w:noProof/>
              </w:rPr>
              <w:t>20</w:t>
            </w:r>
          </w:p>
        </w:tc>
        <w:tc>
          <w:tcPr>
            <w:tcW w:w="833" w:type="dxa"/>
            <w:tcBorders>
              <w:top w:val="single" w:sz="4" w:space="0" w:color="auto"/>
              <w:left w:val="nil"/>
              <w:bottom w:val="single" w:sz="4" w:space="0" w:color="auto"/>
              <w:right w:val="single" w:sz="4" w:space="0" w:color="auto"/>
            </w:tcBorders>
            <w:shd w:val="clear" w:color="auto" w:fill="C6EFCE"/>
            <w:noWrap/>
          </w:tcPr>
          <w:p w14:paraId="393A3916" w14:textId="77777777" w:rsidR="003A3D51" w:rsidRDefault="0002775A">
            <w:pPr>
              <w:pStyle w:val="P68B1DB1-Normal7"/>
              <w:spacing w:before="120" w:after="120" w:line="240" w:lineRule="auto"/>
              <w:rPr>
                <w:rFonts w:ascii="Times New Roman" w:hAnsi="Times New Roman" w:cs="Times New Roman"/>
                <w:noProof/>
              </w:rPr>
            </w:pPr>
            <w:r>
              <w:rPr>
                <w:noProof/>
              </w:rPr>
              <w:t>C1.1.1 R4-I3</w:t>
            </w:r>
          </w:p>
        </w:tc>
        <w:tc>
          <w:tcPr>
            <w:tcW w:w="806" w:type="dxa"/>
            <w:tcBorders>
              <w:top w:val="single" w:sz="4" w:space="0" w:color="auto"/>
              <w:left w:val="nil"/>
              <w:bottom w:val="single" w:sz="4" w:space="0" w:color="auto"/>
              <w:right w:val="single" w:sz="4" w:space="0" w:color="auto"/>
            </w:tcBorders>
            <w:shd w:val="clear" w:color="auto" w:fill="C6EFCE"/>
            <w:noWrap/>
          </w:tcPr>
          <w:p w14:paraId="09ACD0B8"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45CFE082" w14:textId="624E1966" w:rsidR="003A3D51" w:rsidRDefault="0002775A">
            <w:pPr>
              <w:pStyle w:val="P68B1DB1-Normal7"/>
              <w:spacing w:before="120" w:after="120" w:line="240" w:lineRule="auto"/>
              <w:rPr>
                <w:rFonts w:ascii="Times New Roman" w:hAnsi="Times New Roman" w:cs="Times New Roman"/>
                <w:noProof/>
              </w:rPr>
            </w:pPr>
            <w:r>
              <w:rPr>
                <w:noProof/>
              </w:rPr>
              <w:t>Antal beviljade projekt för medelstora börsnoterade företag och stora företag</w:t>
            </w:r>
          </w:p>
        </w:tc>
        <w:tc>
          <w:tcPr>
            <w:tcW w:w="1555" w:type="dxa"/>
            <w:tcBorders>
              <w:top w:val="single" w:sz="4" w:space="0" w:color="auto"/>
              <w:left w:val="nil"/>
              <w:bottom w:val="single" w:sz="4" w:space="0" w:color="auto"/>
              <w:right w:val="single" w:sz="4" w:space="0" w:color="auto"/>
            </w:tcBorders>
            <w:shd w:val="clear" w:color="auto" w:fill="C6EFCE"/>
            <w:noWrap/>
          </w:tcPr>
          <w:p w14:paraId="52E4C7DF"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DD49E63"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50CD16C7"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66EFAFD3" w14:textId="77777777" w:rsidR="003A3D51" w:rsidRDefault="0002775A">
            <w:pPr>
              <w:pStyle w:val="P68B1DB1-Normal7"/>
              <w:spacing w:before="120" w:after="120" w:line="240" w:lineRule="auto"/>
              <w:jc w:val="center"/>
              <w:rPr>
                <w:rFonts w:ascii="Times New Roman" w:hAnsi="Times New Roman" w:cs="Times New Roman"/>
                <w:noProof/>
              </w:rPr>
            </w:pPr>
            <w:r>
              <w:rPr>
                <w:noProof/>
              </w:rPr>
              <w:t>150</w:t>
            </w:r>
          </w:p>
        </w:tc>
        <w:tc>
          <w:tcPr>
            <w:tcW w:w="868" w:type="dxa"/>
            <w:tcBorders>
              <w:top w:val="single" w:sz="4" w:space="0" w:color="auto"/>
              <w:left w:val="nil"/>
              <w:bottom w:val="single" w:sz="4" w:space="0" w:color="auto"/>
              <w:right w:val="single" w:sz="4" w:space="0" w:color="auto"/>
            </w:tcBorders>
            <w:shd w:val="clear" w:color="auto" w:fill="C6EFCE"/>
            <w:noWrap/>
          </w:tcPr>
          <w:p w14:paraId="14392233"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6EE1AB42"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6273EDAC" w14:textId="77777777" w:rsidR="003A3D51" w:rsidRDefault="0002775A">
            <w:pPr>
              <w:pStyle w:val="P68B1DB1-Normal7"/>
              <w:spacing w:before="120" w:after="120" w:line="240" w:lineRule="auto"/>
              <w:rPr>
                <w:rFonts w:ascii="Times New Roman" w:hAnsi="Times New Roman" w:cs="Times New Roman"/>
                <w:noProof/>
              </w:rPr>
            </w:pPr>
            <w:r>
              <w:rPr>
                <w:noProof/>
              </w:rPr>
              <w:t xml:space="preserve">Minst 150 projekt (totalt minst 331 807 021 EUR) av medelstora börsnoterade företag och stora enheter som stöds av garantier/subventioner från faciliteten för återhämtning och resiliens i garantifonden för investeringar och arbetsfonder för projekt i enlighet med investeringspolicyn och kriterierna för stödberättigande enligt relevant milstolpe. </w:t>
            </w:r>
          </w:p>
        </w:tc>
      </w:tr>
      <w:tr w:rsidR="003A3D51" w14:paraId="4343CDBA"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DA54B5E" w14:textId="77777777" w:rsidR="003A3D51" w:rsidRDefault="0002775A">
            <w:pPr>
              <w:pStyle w:val="P68B1DB1-Normal7"/>
              <w:spacing w:before="120" w:after="120" w:line="240" w:lineRule="auto"/>
              <w:jc w:val="center"/>
              <w:rPr>
                <w:rFonts w:ascii="Times New Roman" w:hAnsi="Times New Roman" w:cs="Times New Roman"/>
                <w:noProof/>
              </w:rPr>
            </w:pPr>
            <w:r>
              <w:rPr>
                <w:noProof/>
              </w:rPr>
              <w:t>21</w:t>
            </w:r>
          </w:p>
        </w:tc>
        <w:tc>
          <w:tcPr>
            <w:tcW w:w="833" w:type="dxa"/>
            <w:tcBorders>
              <w:top w:val="single" w:sz="4" w:space="0" w:color="auto"/>
              <w:left w:val="nil"/>
              <w:bottom w:val="single" w:sz="4" w:space="0" w:color="auto"/>
              <w:right w:val="single" w:sz="4" w:space="0" w:color="auto"/>
            </w:tcBorders>
            <w:shd w:val="clear" w:color="auto" w:fill="C6EFCE"/>
            <w:noWrap/>
          </w:tcPr>
          <w:p w14:paraId="7949514D" w14:textId="77777777" w:rsidR="003A3D51" w:rsidRDefault="0002775A">
            <w:pPr>
              <w:pStyle w:val="P68B1DB1-Normal7"/>
              <w:spacing w:before="120" w:after="120" w:line="240" w:lineRule="auto"/>
              <w:rPr>
                <w:rFonts w:ascii="Times New Roman" w:hAnsi="Times New Roman" w:cs="Times New Roman"/>
                <w:noProof/>
              </w:rPr>
            </w:pPr>
            <w:r>
              <w:rPr>
                <w:noProof/>
              </w:rPr>
              <w:t>C1.1.1 R4-I4</w:t>
            </w:r>
          </w:p>
        </w:tc>
        <w:tc>
          <w:tcPr>
            <w:tcW w:w="806" w:type="dxa"/>
            <w:tcBorders>
              <w:top w:val="single" w:sz="4" w:space="0" w:color="auto"/>
              <w:left w:val="nil"/>
              <w:bottom w:val="single" w:sz="4" w:space="0" w:color="auto"/>
              <w:right w:val="single" w:sz="4" w:space="0" w:color="auto"/>
            </w:tcBorders>
            <w:shd w:val="clear" w:color="auto" w:fill="C6EFCE"/>
            <w:noWrap/>
          </w:tcPr>
          <w:p w14:paraId="0CC0F66E"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61BA8C63" w14:textId="77777777" w:rsidR="003A3D51" w:rsidRDefault="0002775A">
            <w:pPr>
              <w:pStyle w:val="P68B1DB1-Normal7"/>
              <w:spacing w:before="120" w:after="120" w:line="240" w:lineRule="auto"/>
              <w:rPr>
                <w:rFonts w:ascii="Times New Roman" w:hAnsi="Times New Roman" w:cs="Times New Roman"/>
                <w:noProof/>
              </w:rPr>
            </w:pPr>
            <w:r>
              <w:rPr>
                <w:noProof/>
              </w:rPr>
              <w:t>Inrättande av finansieringsinstrument för gynnsammare finansiering av offentliga organ</w:t>
            </w:r>
          </w:p>
        </w:tc>
        <w:tc>
          <w:tcPr>
            <w:tcW w:w="1555" w:type="dxa"/>
            <w:tcBorders>
              <w:top w:val="single" w:sz="4" w:space="0" w:color="auto"/>
              <w:left w:val="nil"/>
              <w:bottom w:val="single" w:sz="4" w:space="0" w:color="auto"/>
              <w:right w:val="single" w:sz="4" w:space="0" w:color="auto"/>
            </w:tcBorders>
            <w:shd w:val="clear" w:color="auto" w:fill="C6EFCE"/>
            <w:noWrap/>
          </w:tcPr>
          <w:p w14:paraId="4CA8952B" w14:textId="77777777" w:rsidR="003A3D51" w:rsidRDefault="0002775A">
            <w:pPr>
              <w:pStyle w:val="P68B1DB1-Normal7"/>
              <w:spacing w:before="120" w:after="120" w:line="240" w:lineRule="auto"/>
              <w:rPr>
                <w:rFonts w:ascii="Times New Roman" w:hAnsi="Times New Roman" w:cs="Times New Roman"/>
                <w:noProof/>
              </w:rPr>
            </w:pPr>
            <w:r>
              <w:rPr>
                <w:noProof/>
              </w:rPr>
              <w:t xml:space="preserve">Avtal mellan det behöriga ministeriet (MINGOR eller MINFIN) och HBOR med kriterier för stödberättigande och förenlighet för verksamheter och stödmottagare </w:t>
            </w:r>
          </w:p>
        </w:tc>
        <w:tc>
          <w:tcPr>
            <w:tcW w:w="1096" w:type="dxa"/>
            <w:tcBorders>
              <w:top w:val="single" w:sz="4" w:space="0" w:color="auto"/>
              <w:left w:val="nil"/>
              <w:bottom w:val="single" w:sz="4" w:space="0" w:color="auto"/>
              <w:right w:val="single" w:sz="4" w:space="0" w:color="auto"/>
            </w:tcBorders>
            <w:shd w:val="clear" w:color="auto" w:fill="C6EFCE"/>
            <w:noWrap/>
          </w:tcPr>
          <w:p w14:paraId="7A6F7F5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22751BF3"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01BE1020"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737D3CBE"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269029C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03A09A15" w14:textId="77777777" w:rsidR="003A3D51" w:rsidRDefault="0002775A">
            <w:pPr>
              <w:pStyle w:val="P68B1DB1-Normal7"/>
              <w:spacing w:before="120" w:after="120" w:line="240" w:lineRule="auto"/>
              <w:rPr>
                <w:rFonts w:ascii="Times New Roman" w:hAnsi="Times New Roman" w:cs="Times New Roman"/>
                <w:noProof/>
              </w:rPr>
            </w:pPr>
            <w:r>
              <w:rPr>
                <w:noProof/>
              </w:rPr>
              <w:t xml:space="preserve">Ekonomiskt stöd till företag och institutioner som ägs av staten eller lokala, regionala och regionala förvaltningsenheter med gynnsamma villkor för att stimulera investeringar i i) nödvändig ekonomisk, kommunal, transportrelaterad och social infrastruktur, och ii) investeringar i ny teknik och nya system som krävs för att öka effektiviteten hos enheter inom den offentliga sektorn, i syfte att förbättra kvaliteten på offentliga tjänster och minska kostnaderna för finansiering från den offentliga sektorn. </w:t>
            </w:r>
            <w:r>
              <w:rPr>
                <w:noProof/>
              </w:rPr>
              <w:br/>
              <w:t>Åtgärden ska också omfatta investeringar i projekt för grön omställning inom den offentliga sektorn, såsom införande av grön teknik, införande av affärsmodeller för den cirkulära ekonomin, förnybara energikällor och energieffektivitet.</w:t>
            </w:r>
            <w:r>
              <w:rPr>
                <w:noProof/>
              </w:rPr>
              <w:br/>
              <w:t>Finansieringsinstrumenten ska säkerställa efterlevnad av den tekniska vägledningen om att inte orsaka betydande skada (2021/C58/01) för stödmottagare som får stöd inom ramen för denna åtgärd genom användning av hållbarhetssäkring, kravet på efterlevnad av relevant EU-lagstiftning och nationell miljölagstiftning och kravet på att stödmottagare som erhållit mer än 10 % av sina intäkter under det föregående räkenskapsåret från verksamheter eller tillgångar i uteslutningsförteckningen ska anta och offentliggöra planer för grön omställning.</w:t>
            </w:r>
            <w:r>
              <w:rPr>
                <w:noProof/>
              </w:rPr>
              <w:br/>
              <w:t>Denna åtgärd ska inte stödja investeringar i anläggningar som omfattas av EU:s utsläppshandelssystem.</w:t>
            </w:r>
            <w:r>
              <w:rPr>
                <w:noProof/>
              </w:rPr>
              <w:br/>
              <w:t xml:space="preserve">Av det totala beloppet för åtgärden: </w:t>
            </w:r>
            <w:r>
              <w:rPr>
                <w:noProof/>
              </w:rPr>
              <w:br/>
              <w:t>i) Minst 7 963 368 EUR ska syfta till att stödja miljövänliga projekt, med förväntan att minst 3 185 347 EUR ska gå till att minska utsläppen av växthusgaser. II) 18 581 193 EUR ska avsättas för investeringar som syftar till att förbättra infrastrukturens hållbarhet och kvalitet. Fördelningen av medel ska definieras både i HBOR-avtalet och i avtal med finansiella intermediärer (banker och leasingföretag).</w:t>
            </w:r>
          </w:p>
        </w:tc>
      </w:tr>
      <w:tr w:rsidR="003A3D51" w14:paraId="58D7F969"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B3837F5" w14:textId="77777777" w:rsidR="003A3D51" w:rsidRDefault="0002775A">
            <w:pPr>
              <w:pStyle w:val="P68B1DB1-Normal7"/>
              <w:spacing w:before="120" w:after="120" w:line="240" w:lineRule="auto"/>
              <w:jc w:val="center"/>
              <w:rPr>
                <w:rFonts w:ascii="Times New Roman" w:hAnsi="Times New Roman" w:cs="Times New Roman"/>
                <w:noProof/>
              </w:rPr>
            </w:pPr>
            <w:r>
              <w:rPr>
                <w:noProof/>
              </w:rPr>
              <w:t>22</w:t>
            </w:r>
          </w:p>
        </w:tc>
        <w:tc>
          <w:tcPr>
            <w:tcW w:w="833" w:type="dxa"/>
            <w:tcBorders>
              <w:top w:val="single" w:sz="4" w:space="0" w:color="auto"/>
              <w:left w:val="nil"/>
              <w:bottom w:val="single" w:sz="4" w:space="0" w:color="auto"/>
              <w:right w:val="single" w:sz="4" w:space="0" w:color="auto"/>
            </w:tcBorders>
            <w:shd w:val="clear" w:color="auto" w:fill="C6EFCE"/>
            <w:noWrap/>
          </w:tcPr>
          <w:p w14:paraId="56C76E3F" w14:textId="77777777" w:rsidR="003A3D51" w:rsidRDefault="0002775A">
            <w:pPr>
              <w:pStyle w:val="P68B1DB1-Normal7"/>
              <w:spacing w:before="120" w:after="120" w:line="240" w:lineRule="auto"/>
              <w:rPr>
                <w:rFonts w:ascii="Times New Roman" w:hAnsi="Times New Roman" w:cs="Times New Roman"/>
                <w:noProof/>
              </w:rPr>
            </w:pPr>
            <w:r>
              <w:rPr>
                <w:noProof/>
              </w:rPr>
              <w:t>C1.1.1 R4-I4</w:t>
            </w:r>
          </w:p>
        </w:tc>
        <w:tc>
          <w:tcPr>
            <w:tcW w:w="806" w:type="dxa"/>
            <w:tcBorders>
              <w:top w:val="single" w:sz="4" w:space="0" w:color="auto"/>
              <w:left w:val="nil"/>
              <w:bottom w:val="single" w:sz="4" w:space="0" w:color="auto"/>
              <w:right w:val="single" w:sz="4" w:space="0" w:color="auto"/>
            </w:tcBorders>
            <w:shd w:val="clear" w:color="auto" w:fill="C6EFCE"/>
            <w:noWrap/>
          </w:tcPr>
          <w:p w14:paraId="3BDD423A"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32426EA8" w14:textId="77777777" w:rsidR="003A3D51" w:rsidRDefault="0002775A">
            <w:pPr>
              <w:pStyle w:val="P68B1DB1-Normal7"/>
              <w:spacing w:before="120" w:after="120" w:line="240" w:lineRule="auto"/>
              <w:rPr>
                <w:rFonts w:ascii="Times New Roman" w:hAnsi="Times New Roman" w:cs="Times New Roman"/>
                <w:noProof/>
              </w:rPr>
            </w:pPr>
            <w:r>
              <w:rPr>
                <w:noProof/>
              </w:rPr>
              <w:t>Krediter som beviljats för projekt inom den offentliga sektorn</w:t>
            </w:r>
          </w:p>
        </w:tc>
        <w:tc>
          <w:tcPr>
            <w:tcW w:w="1555" w:type="dxa"/>
            <w:tcBorders>
              <w:top w:val="single" w:sz="4" w:space="0" w:color="auto"/>
              <w:left w:val="nil"/>
              <w:bottom w:val="single" w:sz="4" w:space="0" w:color="auto"/>
              <w:right w:val="single" w:sz="4" w:space="0" w:color="auto"/>
            </w:tcBorders>
            <w:shd w:val="clear" w:color="auto" w:fill="C6EFCE"/>
            <w:noWrap/>
          </w:tcPr>
          <w:p w14:paraId="399BF6BA"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F55134A"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6DD1CFED"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2522B355" w14:textId="77777777" w:rsidR="003A3D51" w:rsidRDefault="0002775A">
            <w:pPr>
              <w:pStyle w:val="P68B1DB1-Normal7"/>
              <w:spacing w:before="120" w:after="120" w:line="240" w:lineRule="auto"/>
              <w:jc w:val="center"/>
              <w:rPr>
                <w:rFonts w:ascii="Times New Roman" w:hAnsi="Times New Roman" w:cs="Times New Roman"/>
                <w:noProof/>
              </w:rPr>
            </w:pPr>
            <w:r>
              <w:rPr>
                <w:noProof/>
              </w:rPr>
              <w:t>132 722 808</w:t>
            </w:r>
          </w:p>
        </w:tc>
        <w:tc>
          <w:tcPr>
            <w:tcW w:w="868" w:type="dxa"/>
            <w:tcBorders>
              <w:top w:val="single" w:sz="4" w:space="0" w:color="auto"/>
              <w:left w:val="nil"/>
              <w:bottom w:val="single" w:sz="4" w:space="0" w:color="auto"/>
              <w:right w:val="single" w:sz="4" w:space="0" w:color="auto"/>
            </w:tcBorders>
            <w:shd w:val="clear" w:color="auto" w:fill="C6EFCE"/>
            <w:noWrap/>
          </w:tcPr>
          <w:p w14:paraId="3F467DA6"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0E4F24DF"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0D463124" w14:textId="77777777" w:rsidR="003A3D51" w:rsidRDefault="0002775A">
            <w:pPr>
              <w:pStyle w:val="P68B1DB1-Normal7"/>
              <w:spacing w:before="120" w:after="120" w:line="240" w:lineRule="auto"/>
              <w:rPr>
                <w:rFonts w:ascii="Times New Roman" w:hAnsi="Times New Roman" w:cs="Times New Roman"/>
                <w:noProof/>
              </w:rPr>
            </w:pPr>
            <w:r>
              <w:rPr>
                <w:noProof/>
              </w:rPr>
              <w:t>Tillhandahållande av minst 132 722 808 EUR i subventionerade lån från HBOR för projekt inom den offentliga sektorn i enlighet med investeringspolicyn och kriterierna för stödberättigande i delmål #21.</w:t>
            </w:r>
          </w:p>
        </w:tc>
      </w:tr>
      <w:tr w:rsidR="003A3D51" w14:paraId="2B964209"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08807FC" w14:textId="77777777" w:rsidR="003A3D51" w:rsidRDefault="0002775A">
            <w:pPr>
              <w:pStyle w:val="P68B1DB1-Normal7"/>
              <w:spacing w:before="120" w:after="120" w:line="240" w:lineRule="auto"/>
              <w:jc w:val="center"/>
              <w:rPr>
                <w:rFonts w:ascii="Times New Roman" w:hAnsi="Times New Roman" w:cs="Times New Roman"/>
                <w:noProof/>
              </w:rPr>
            </w:pPr>
            <w:r>
              <w:rPr>
                <w:noProof/>
              </w:rPr>
              <w:t>23</w:t>
            </w:r>
          </w:p>
        </w:tc>
        <w:tc>
          <w:tcPr>
            <w:tcW w:w="833" w:type="dxa"/>
            <w:tcBorders>
              <w:top w:val="single" w:sz="4" w:space="0" w:color="auto"/>
              <w:left w:val="nil"/>
              <w:bottom w:val="single" w:sz="4" w:space="0" w:color="auto"/>
              <w:right w:val="single" w:sz="4" w:space="0" w:color="auto"/>
            </w:tcBorders>
            <w:shd w:val="clear" w:color="auto" w:fill="C6EFCE"/>
            <w:noWrap/>
          </w:tcPr>
          <w:p w14:paraId="2DA73C65" w14:textId="77777777" w:rsidR="003A3D51" w:rsidRDefault="0002775A">
            <w:pPr>
              <w:pStyle w:val="P68B1DB1-Normal7"/>
              <w:spacing w:before="120" w:after="120" w:line="240" w:lineRule="auto"/>
              <w:rPr>
                <w:rFonts w:ascii="Times New Roman" w:hAnsi="Times New Roman" w:cs="Times New Roman"/>
                <w:noProof/>
              </w:rPr>
            </w:pPr>
            <w:r>
              <w:rPr>
                <w:noProof/>
              </w:rPr>
              <w:t>C1.1.1 R5-I1</w:t>
            </w:r>
          </w:p>
        </w:tc>
        <w:tc>
          <w:tcPr>
            <w:tcW w:w="806" w:type="dxa"/>
            <w:tcBorders>
              <w:top w:val="single" w:sz="4" w:space="0" w:color="auto"/>
              <w:left w:val="nil"/>
              <w:bottom w:val="single" w:sz="4" w:space="0" w:color="auto"/>
              <w:right w:val="single" w:sz="4" w:space="0" w:color="auto"/>
            </w:tcBorders>
            <w:shd w:val="clear" w:color="auto" w:fill="C6EFCE"/>
            <w:noWrap/>
          </w:tcPr>
          <w:p w14:paraId="03C4AD43"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2B378A28" w14:textId="77777777" w:rsidR="003A3D51" w:rsidRDefault="0002775A">
            <w:pPr>
              <w:pStyle w:val="P68B1DB1-Normal7"/>
              <w:spacing w:before="120" w:after="120" w:line="240" w:lineRule="auto"/>
              <w:rPr>
                <w:rFonts w:ascii="Times New Roman" w:hAnsi="Times New Roman" w:cs="Times New Roman"/>
                <w:noProof/>
              </w:rPr>
            </w:pPr>
            <w:r>
              <w:rPr>
                <w:noProof/>
              </w:rPr>
              <w:t xml:space="preserve">Inrättande av ett finansieringsinstrument med eget kapital eller kapital likställt med eget kapital </w:t>
            </w:r>
          </w:p>
        </w:tc>
        <w:tc>
          <w:tcPr>
            <w:tcW w:w="1555" w:type="dxa"/>
            <w:tcBorders>
              <w:top w:val="single" w:sz="4" w:space="0" w:color="auto"/>
              <w:left w:val="nil"/>
              <w:bottom w:val="single" w:sz="4" w:space="0" w:color="auto"/>
              <w:right w:val="single" w:sz="4" w:space="0" w:color="auto"/>
            </w:tcBorders>
            <w:shd w:val="clear" w:color="auto" w:fill="C6EFCE"/>
            <w:noWrap/>
          </w:tcPr>
          <w:p w14:paraId="0CBBD775" w14:textId="77777777" w:rsidR="003A3D51" w:rsidRDefault="0002775A">
            <w:pPr>
              <w:pStyle w:val="P68B1DB1-Normal7"/>
              <w:spacing w:before="120" w:after="120" w:line="240" w:lineRule="auto"/>
              <w:rPr>
                <w:rFonts w:ascii="Times New Roman" w:hAnsi="Times New Roman" w:cs="Times New Roman"/>
                <w:noProof/>
              </w:rPr>
            </w:pPr>
            <w:r>
              <w:rPr>
                <w:noProof/>
              </w:rPr>
              <w:t>det avtal som offentliggjorts mellan det behöriga ministeriet (MINGOR eller MINFIN) och HBOR för investeringar i riskkapitalfonder, ökning av befintliga fonder för privata investeringar som utvecklats i samarbete med EIF och/eller utveckling av nya fonder och/eller saminvesteringar.</w:t>
            </w:r>
          </w:p>
        </w:tc>
        <w:tc>
          <w:tcPr>
            <w:tcW w:w="1096" w:type="dxa"/>
            <w:tcBorders>
              <w:top w:val="single" w:sz="4" w:space="0" w:color="auto"/>
              <w:left w:val="nil"/>
              <w:bottom w:val="single" w:sz="4" w:space="0" w:color="auto"/>
              <w:right w:val="single" w:sz="4" w:space="0" w:color="auto"/>
            </w:tcBorders>
            <w:shd w:val="clear" w:color="auto" w:fill="C6EFCE"/>
            <w:noWrap/>
          </w:tcPr>
          <w:p w14:paraId="1D455C74"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08F8836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40D658F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7A1FE54D"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34ACB88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6130E38B" w14:textId="77777777" w:rsidR="003A3D51" w:rsidRDefault="0002775A">
            <w:pPr>
              <w:pStyle w:val="P68B1DB1-Normal7"/>
              <w:spacing w:before="120" w:after="120" w:line="240" w:lineRule="auto"/>
              <w:rPr>
                <w:rFonts w:ascii="Times New Roman" w:hAnsi="Times New Roman" w:cs="Times New Roman"/>
                <w:noProof/>
              </w:rPr>
            </w:pPr>
            <w:r>
              <w:rPr>
                <w:noProof/>
              </w:rPr>
              <w:t xml:space="preserve">Som en del av det befintliga samarbetet med Europeiska investeringsfonden (EIF) ska HBOR inrätta finansieringsinstrument som syftar till att öka eller nå största möjliga storlek på riskkapitalfonder och riskkapitalfonder som är verksamma på den kroatiska marknaden och att inrätta nya fonder och/eller saminvesteringar. </w:t>
            </w:r>
            <w:r>
              <w:rPr>
                <w:noProof/>
              </w:rPr>
              <w:br/>
              <w:t xml:space="preserve">Riskkapitalfonder och riskkapitalfonder ska inrättas med deltagande av 30 % av privata investerare i förhållande till målstorleken för den enskilda fonden. </w:t>
            </w:r>
            <w:r>
              <w:rPr>
                <w:noProof/>
              </w:rPr>
              <w:br/>
              <w:t>Finansieringsinstrumenten ska säkerställa efterlevnad av den tekniska vägledningen om att inte orsaka betydande skada (2021/C58/01) för stödmottagare som får stöd inom ramen för denna åtgärd genom användning av hållbarhetssäkring, kravet på efterlevnad av relevant EU-lagstiftning och nationell miljölagstiftning och kravet på att stödmottagare som erhållit mer än 10 % av sina intäkter under det föregående räkenskapsåret från verksamheter eller tillgångar i uteslutningsförteckningen ska anta och offentliggöra en plan för grön omställning.</w:t>
            </w:r>
            <w:r>
              <w:rPr>
                <w:noProof/>
              </w:rPr>
              <w:br/>
              <w:t>Denna åtgärd ska inte stödja investeringar i anläggningar som omfattas av EU:s utsläppshandelssystem.</w:t>
            </w:r>
            <w:r>
              <w:rPr>
                <w:noProof/>
              </w:rPr>
              <w:br/>
              <w:t>All verksamhet är inriktad på ”ekonomiskt bärkraftiga” projekt vars ekonomiska bärkraft bestäms av fondförvaltningsbolagen i enlighet med EIF:s och HBOR:s investeringspolicy. Vid genomförandet av investeringen ska HBOR se till att resurserna används i enlighet med de gränser som beskrivs i beskrivningen av åtgärden samt den förteckning över uteslutningar som beskrivs i finansieringsinstrumentet för små och medelstora företag, medelstora börsnoterade företag och stora företag.</w:t>
            </w:r>
          </w:p>
        </w:tc>
      </w:tr>
      <w:tr w:rsidR="003A3D51" w14:paraId="2E1CDD75"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E701462" w14:textId="77777777" w:rsidR="003A3D51" w:rsidRDefault="0002775A">
            <w:pPr>
              <w:pStyle w:val="P68B1DB1-Normal7"/>
              <w:spacing w:before="120" w:after="120" w:line="240" w:lineRule="auto"/>
              <w:jc w:val="center"/>
              <w:rPr>
                <w:rFonts w:ascii="Times New Roman" w:hAnsi="Times New Roman" w:cs="Times New Roman"/>
                <w:noProof/>
              </w:rPr>
            </w:pPr>
            <w:r>
              <w:rPr>
                <w:noProof/>
              </w:rPr>
              <w:t>24</w:t>
            </w:r>
          </w:p>
        </w:tc>
        <w:tc>
          <w:tcPr>
            <w:tcW w:w="833" w:type="dxa"/>
            <w:tcBorders>
              <w:top w:val="single" w:sz="4" w:space="0" w:color="auto"/>
              <w:left w:val="nil"/>
              <w:bottom w:val="single" w:sz="4" w:space="0" w:color="auto"/>
              <w:right w:val="single" w:sz="4" w:space="0" w:color="auto"/>
            </w:tcBorders>
            <w:shd w:val="clear" w:color="auto" w:fill="C6EFCE"/>
            <w:noWrap/>
          </w:tcPr>
          <w:p w14:paraId="6CCAC785" w14:textId="77777777" w:rsidR="003A3D51" w:rsidRDefault="0002775A">
            <w:pPr>
              <w:pStyle w:val="P68B1DB1-Normal7"/>
              <w:spacing w:before="120" w:after="120" w:line="240" w:lineRule="auto"/>
              <w:rPr>
                <w:rFonts w:ascii="Times New Roman" w:hAnsi="Times New Roman" w:cs="Times New Roman"/>
                <w:noProof/>
              </w:rPr>
            </w:pPr>
            <w:r>
              <w:rPr>
                <w:noProof/>
              </w:rPr>
              <w:t>C1.1.1 R5-I1</w:t>
            </w:r>
          </w:p>
        </w:tc>
        <w:tc>
          <w:tcPr>
            <w:tcW w:w="806" w:type="dxa"/>
            <w:tcBorders>
              <w:top w:val="single" w:sz="4" w:space="0" w:color="auto"/>
              <w:left w:val="nil"/>
              <w:bottom w:val="single" w:sz="4" w:space="0" w:color="auto"/>
              <w:right w:val="single" w:sz="4" w:space="0" w:color="auto"/>
            </w:tcBorders>
            <w:shd w:val="clear" w:color="auto" w:fill="C6EFCE"/>
            <w:noWrap/>
          </w:tcPr>
          <w:p w14:paraId="3A5523F1"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6F509A4E" w14:textId="77777777" w:rsidR="003A3D51" w:rsidRDefault="0002775A">
            <w:pPr>
              <w:pStyle w:val="P68B1DB1-Normal7"/>
              <w:spacing w:before="120" w:after="120" w:line="240" w:lineRule="auto"/>
              <w:rPr>
                <w:rFonts w:ascii="Times New Roman" w:hAnsi="Times New Roman" w:cs="Times New Roman"/>
                <w:noProof/>
              </w:rPr>
            </w:pPr>
            <w:r>
              <w:rPr>
                <w:noProof/>
              </w:rPr>
              <w:t>Investeringar i instrument för eget kapital och därmed likställt kapital</w:t>
            </w:r>
          </w:p>
        </w:tc>
        <w:tc>
          <w:tcPr>
            <w:tcW w:w="1555" w:type="dxa"/>
            <w:tcBorders>
              <w:top w:val="single" w:sz="4" w:space="0" w:color="auto"/>
              <w:left w:val="nil"/>
              <w:bottom w:val="single" w:sz="4" w:space="0" w:color="auto"/>
              <w:right w:val="single" w:sz="4" w:space="0" w:color="auto"/>
            </w:tcBorders>
            <w:shd w:val="clear" w:color="auto" w:fill="C6EFCE"/>
            <w:noWrap/>
          </w:tcPr>
          <w:p w14:paraId="023CA6AA"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6BD272D7"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038C8CF6"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42085E4F" w14:textId="77777777" w:rsidR="003A3D51" w:rsidRDefault="0002775A">
            <w:pPr>
              <w:pStyle w:val="P68B1DB1-Normal7"/>
              <w:spacing w:before="120" w:after="120" w:line="240" w:lineRule="auto"/>
              <w:jc w:val="center"/>
              <w:rPr>
                <w:rFonts w:ascii="Times New Roman" w:hAnsi="Times New Roman" w:cs="Times New Roman"/>
                <w:noProof/>
              </w:rPr>
            </w:pPr>
            <w:r>
              <w:rPr>
                <w:noProof/>
              </w:rPr>
              <w:t xml:space="preserve">29 862 632 </w:t>
            </w:r>
          </w:p>
        </w:tc>
        <w:tc>
          <w:tcPr>
            <w:tcW w:w="868" w:type="dxa"/>
            <w:tcBorders>
              <w:top w:val="single" w:sz="4" w:space="0" w:color="auto"/>
              <w:left w:val="nil"/>
              <w:bottom w:val="single" w:sz="4" w:space="0" w:color="auto"/>
              <w:right w:val="single" w:sz="4" w:space="0" w:color="auto"/>
            </w:tcBorders>
            <w:shd w:val="clear" w:color="auto" w:fill="C6EFCE"/>
            <w:noWrap/>
          </w:tcPr>
          <w:p w14:paraId="5616C53B"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42993BA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0B93547C" w14:textId="77777777" w:rsidR="003A3D51" w:rsidRDefault="0002775A">
            <w:pPr>
              <w:pStyle w:val="P68B1DB1-Normal7"/>
              <w:spacing w:before="120" w:after="120" w:line="240" w:lineRule="auto"/>
              <w:rPr>
                <w:rFonts w:ascii="Times New Roman" w:hAnsi="Times New Roman" w:cs="Times New Roman"/>
                <w:noProof/>
              </w:rPr>
            </w:pPr>
            <w:r>
              <w:rPr>
                <w:noProof/>
              </w:rPr>
              <w:t>En investering på 29 862 632 EUR i aktiekapital och/eller hybridkapital med eget kapital och riskkapitalfonder eller saminvesteringar med fonder, allt i enlighet med den investeringspolicy och de kriterier för stödberättigande som anges i relevant delmål #23.</w:t>
            </w:r>
          </w:p>
        </w:tc>
      </w:tr>
      <w:tr w:rsidR="003A3D51" w14:paraId="16DC0015"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468A520" w14:textId="77777777" w:rsidR="003A3D51" w:rsidRDefault="0002775A">
            <w:pPr>
              <w:pStyle w:val="P68B1DB1-Normal7"/>
              <w:spacing w:before="120" w:after="120" w:line="240" w:lineRule="auto"/>
              <w:jc w:val="center"/>
              <w:rPr>
                <w:rFonts w:ascii="Times New Roman" w:hAnsi="Times New Roman" w:cs="Times New Roman"/>
                <w:noProof/>
              </w:rPr>
            </w:pPr>
            <w:r>
              <w:rPr>
                <w:noProof/>
              </w:rPr>
              <w:t>25</w:t>
            </w:r>
          </w:p>
        </w:tc>
        <w:tc>
          <w:tcPr>
            <w:tcW w:w="833" w:type="dxa"/>
            <w:tcBorders>
              <w:top w:val="single" w:sz="4" w:space="0" w:color="auto"/>
              <w:left w:val="nil"/>
              <w:bottom w:val="single" w:sz="4" w:space="0" w:color="auto"/>
              <w:right w:val="single" w:sz="4" w:space="0" w:color="auto"/>
            </w:tcBorders>
            <w:shd w:val="clear" w:color="auto" w:fill="C6EFCE"/>
            <w:noWrap/>
          </w:tcPr>
          <w:p w14:paraId="5D938B60" w14:textId="77777777" w:rsidR="003A3D51" w:rsidRDefault="0002775A">
            <w:pPr>
              <w:pStyle w:val="P68B1DB1-Normal7"/>
              <w:spacing w:before="120" w:after="120" w:line="240" w:lineRule="auto"/>
              <w:rPr>
                <w:rFonts w:ascii="Times New Roman" w:hAnsi="Times New Roman" w:cs="Times New Roman"/>
                <w:noProof/>
              </w:rPr>
            </w:pPr>
            <w:r>
              <w:rPr>
                <w:noProof/>
              </w:rPr>
              <w:t>C1.1.1 R6</w:t>
            </w:r>
          </w:p>
        </w:tc>
        <w:tc>
          <w:tcPr>
            <w:tcW w:w="806" w:type="dxa"/>
            <w:tcBorders>
              <w:top w:val="single" w:sz="4" w:space="0" w:color="auto"/>
              <w:left w:val="nil"/>
              <w:bottom w:val="single" w:sz="4" w:space="0" w:color="auto"/>
              <w:right w:val="single" w:sz="4" w:space="0" w:color="auto"/>
            </w:tcBorders>
            <w:shd w:val="clear" w:color="auto" w:fill="C6EFCE"/>
            <w:noWrap/>
          </w:tcPr>
          <w:p w14:paraId="0056B80C"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19DF537E" w14:textId="77777777" w:rsidR="003A3D51" w:rsidRDefault="0002775A">
            <w:pPr>
              <w:pStyle w:val="P68B1DB1-Normal7"/>
              <w:spacing w:before="120" w:after="120" w:line="240" w:lineRule="auto"/>
              <w:rPr>
                <w:rFonts w:ascii="Times New Roman" w:hAnsi="Times New Roman" w:cs="Times New Roman"/>
                <w:noProof/>
              </w:rPr>
            </w:pPr>
            <w:r>
              <w:rPr>
                <w:noProof/>
              </w:rPr>
              <w:t>Ändringar av den rättsliga ramen</w:t>
            </w:r>
          </w:p>
        </w:tc>
        <w:tc>
          <w:tcPr>
            <w:tcW w:w="1555" w:type="dxa"/>
            <w:tcBorders>
              <w:top w:val="single" w:sz="4" w:space="0" w:color="auto"/>
              <w:left w:val="nil"/>
              <w:bottom w:val="single" w:sz="4" w:space="0" w:color="auto"/>
              <w:right w:val="single" w:sz="4" w:space="0" w:color="auto"/>
            </w:tcBorders>
            <w:shd w:val="clear" w:color="auto" w:fill="C6EFCE"/>
            <w:noWrap/>
          </w:tcPr>
          <w:p w14:paraId="2792C5EB" w14:textId="77777777" w:rsidR="003A3D51" w:rsidRDefault="0002775A">
            <w:pPr>
              <w:pStyle w:val="P68B1DB1-Normal7"/>
              <w:spacing w:before="120" w:after="120" w:line="240" w:lineRule="auto"/>
              <w:rPr>
                <w:rFonts w:ascii="Times New Roman" w:hAnsi="Times New Roman" w:cs="Times New Roman"/>
                <w:noProof/>
              </w:rPr>
            </w:pPr>
            <w:r>
              <w:rPr>
                <w:noProof/>
              </w:rPr>
              <w:t xml:space="preserve">Ikraftträdande av lagen om elektroniska medier och lagen om upphovsrätt och närstående rättigheter                                                              </w:t>
            </w:r>
          </w:p>
        </w:tc>
        <w:tc>
          <w:tcPr>
            <w:tcW w:w="1096" w:type="dxa"/>
            <w:tcBorders>
              <w:top w:val="single" w:sz="4" w:space="0" w:color="auto"/>
              <w:left w:val="nil"/>
              <w:bottom w:val="single" w:sz="4" w:space="0" w:color="auto"/>
              <w:right w:val="single" w:sz="4" w:space="0" w:color="auto"/>
            </w:tcBorders>
            <w:shd w:val="clear" w:color="auto" w:fill="C6EFCE"/>
            <w:noWrap/>
          </w:tcPr>
          <w:p w14:paraId="44BF929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0468263E"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2A8FDB83"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6BE4F2E6"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4947583E" w14:textId="77777777" w:rsidR="003A3D51" w:rsidRDefault="0002775A">
            <w:pPr>
              <w:pStyle w:val="P68B1DB1-Normal7"/>
              <w:spacing w:before="120" w:after="120" w:line="240" w:lineRule="auto"/>
              <w:jc w:val="center"/>
              <w:rPr>
                <w:rFonts w:ascii="Times New Roman" w:hAnsi="Times New Roman" w:cs="Times New Roman"/>
                <w:noProof/>
              </w:rPr>
            </w:pPr>
            <w:r>
              <w:rPr>
                <w:noProof/>
              </w:rPr>
              <w:t>2022</w:t>
            </w:r>
          </w:p>
        </w:tc>
        <w:tc>
          <w:tcPr>
            <w:tcW w:w="4710" w:type="dxa"/>
            <w:tcBorders>
              <w:top w:val="single" w:sz="4" w:space="0" w:color="auto"/>
              <w:left w:val="nil"/>
              <w:bottom w:val="single" w:sz="4" w:space="0" w:color="auto"/>
              <w:right w:val="single" w:sz="4" w:space="0" w:color="auto"/>
            </w:tcBorders>
            <w:shd w:val="clear" w:color="auto" w:fill="C6EFCE"/>
            <w:noWrap/>
          </w:tcPr>
          <w:p w14:paraId="51111192" w14:textId="77777777" w:rsidR="003A3D51" w:rsidRDefault="0002775A">
            <w:pPr>
              <w:pStyle w:val="P68B1DB1-Normal7"/>
              <w:spacing w:before="120" w:after="120" w:line="240" w:lineRule="auto"/>
              <w:rPr>
                <w:rFonts w:ascii="Times New Roman" w:hAnsi="Times New Roman" w:cs="Times New Roman"/>
                <w:noProof/>
              </w:rPr>
            </w:pPr>
            <w:r>
              <w:rPr>
                <w:noProof/>
              </w:rPr>
              <w:t xml:space="preserve">Ändringarna av lagen om elektroniska medier och lagen om upphovsrätt och närstående rättigheter ska stödja företag inom de kulturella och kreativa sektorerna när det gäller att anpassa sina företag till den digitala inre marknaden och EU:s och Kroatiens nya regelverk, stärka förmågan att anpassa sig till och snabbt omvandla till nya affärsvillkor, uppnå konkurrenskraft och utnyttja marknadens potential. </w:t>
            </w:r>
          </w:p>
        </w:tc>
      </w:tr>
      <w:tr w:rsidR="003A3D51" w14:paraId="6EFFC362"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0FBEAA4" w14:textId="77777777" w:rsidR="003A3D51" w:rsidRDefault="0002775A">
            <w:pPr>
              <w:pStyle w:val="P68B1DB1-Normal7"/>
              <w:spacing w:before="120" w:after="120" w:line="240" w:lineRule="auto"/>
              <w:jc w:val="center"/>
              <w:rPr>
                <w:rFonts w:ascii="Times New Roman" w:hAnsi="Times New Roman" w:cs="Times New Roman"/>
                <w:noProof/>
              </w:rPr>
            </w:pPr>
            <w:r>
              <w:rPr>
                <w:noProof/>
              </w:rPr>
              <w:t>26</w:t>
            </w:r>
          </w:p>
        </w:tc>
        <w:tc>
          <w:tcPr>
            <w:tcW w:w="833" w:type="dxa"/>
            <w:tcBorders>
              <w:top w:val="single" w:sz="4" w:space="0" w:color="auto"/>
              <w:left w:val="nil"/>
              <w:bottom w:val="single" w:sz="4" w:space="0" w:color="auto"/>
              <w:right w:val="single" w:sz="4" w:space="0" w:color="auto"/>
            </w:tcBorders>
            <w:shd w:val="clear" w:color="auto" w:fill="C6EFCE"/>
            <w:noWrap/>
          </w:tcPr>
          <w:p w14:paraId="2B655438" w14:textId="77777777" w:rsidR="003A3D51" w:rsidRDefault="0002775A">
            <w:pPr>
              <w:pStyle w:val="P68B1DB1-Normal7"/>
              <w:spacing w:before="120" w:after="120" w:line="240" w:lineRule="auto"/>
              <w:rPr>
                <w:rFonts w:ascii="Times New Roman" w:hAnsi="Times New Roman" w:cs="Times New Roman"/>
                <w:noProof/>
              </w:rPr>
            </w:pPr>
            <w:r>
              <w:rPr>
                <w:noProof/>
              </w:rPr>
              <w:t>C1.1.1 R6-I1</w:t>
            </w:r>
          </w:p>
        </w:tc>
        <w:tc>
          <w:tcPr>
            <w:tcW w:w="806" w:type="dxa"/>
            <w:tcBorders>
              <w:top w:val="single" w:sz="4" w:space="0" w:color="auto"/>
              <w:left w:val="nil"/>
              <w:bottom w:val="single" w:sz="4" w:space="0" w:color="auto"/>
              <w:right w:val="single" w:sz="4" w:space="0" w:color="auto"/>
            </w:tcBorders>
            <w:shd w:val="clear" w:color="auto" w:fill="C6EFCE"/>
            <w:noWrap/>
          </w:tcPr>
          <w:p w14:paraId="695CBC7C"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25B7E094" w14:textId="77777777" w:rsidR="003A3D51" w:rsidRDefault="0002775A">
            <w:pPr>
              <w:pStyle w:val="P68B1DB1-Normal7"/>
              <w:spacing w:before="120" w:after="120" w:line="240" w:lineRule="auto"/>
              <w:rPr>
                <w:rFonts w:ascii="Times New Roman" w:hAnsi="Times New Roman" w:cs="Times New Roman"/>
                <w:noProof/>
              </w:rPr>
            </w:pPr>
            <w:r>
              <w:rPr>
                <w:noProof/>
              </w:rPr>
              <w:t xml:space="preserve">Investeringar i den kulturella och den kreativa sektorns omvandling och konkurrenskraft </w:t>
            </w:r>
          </w:p>
        </w:tc>
        <w:tc>
          <w:tcPr>
            <w:tcW w:w="1555" w:type="dxa"/>
            <w:tcBorders>
              <w:top w:val="single" w:sz="4" w:space="0" w:color="auto"/>
              <w:left w:val="nil"/>
              <w:bottom w:val="single" w:sz="4" w:space="0" w:color="auto"/>
              <w:right w:val="single" w:sz="4" w:space="0" w:color="auto"/>
            </w:tcBorders>
            <w:shd w:val="clear" w:color="auto" w:fill="C6EFCE"/>
            <w:noWrap/>
          </w:tcPr>
          <w:p w14:paraId="1A2F4717"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2C6EF1C"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44CFD006"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736C61A0" w14:textId="77777777" w:rsidR="003A3D51" w:rsidRDefault="0002775A">
            <w:pPr>
              <w:pStyle w:val="P68B1DB1-Normal7"/>
              <w:spacing w:before="120" w:after="120" w:line="240" w:lineRule="auto"/>
              <w:jc w:val="center"/>
              <w:rPr>
                <w:rFonts w:ascii="Times New Roman" w:hAnsi="Times New Roman" w:cs="Times New Roman"/>
                <w:noProof/>
              </w:rPr>
            </w:pPr>
            <w:r>
              <w:rPr>
                <w:noProof/>
              </w:rPr>
              <w:t>100</w:t>
            </w:r>
          </w:p>
        </w:tc>
        <w:tc>
          <w:tcPr>
            <w:tcW w:w="868" w:type="dxa"/>
            <w:tcBorders>
              <w:top w:val="single" w:sz="4" w:space="0" w:color="auto"/>
              <w:left w:val="nil"/>
              <w:bottom w:val="single" w:sz="4" w:space="0" w:color="auto"/>
              <w:right w:val="single" w:sz="4" w:space="0" w:color="auto"/>
            </w:tcBorders>
            <w:shd w:val="clear" w:color="auto" w:fill="C6EFCE"/>
            <w:noWrap/>
          </w:tcPr>
          <w:p w14:paraId="1FEA2319"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7451462D"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6CFE3337" w14:textId="77777777" w:rsidR="003A3D51" w:rsidRDefault="0002775A">
            <w:pPr>
              <w:pStyle w:val="P68B1DB1-Normal7"/>
              <w:spacing w:before="120" w:after="120" w:line="240" w:lineRule="auto"/>
              <w:rPr>
                <w:rFonts w:ascii="Times New Roman" w:hAnsi="Times New Roman" w:cs="Times New Roman"/>
                <w:noProof/>
              </w:rPr>
            </w:pPr>
            <w:r>
              <w:rPr>
                <w:noProof/>
              </w:rPr>
              <w:t>Minst 100 stödåtgärder som beviljas mikroföretag, små och medelstora företag och andra juridiska och fysiska personer (på området för kulturella och kreativa näringar som omfattar arkitektur, audiovisuell verksamhet inklusive videospel, medier, kulturarv, design, scenkonst, böcker och förlagsverksamhet, tillämpad konst och bildkonst) för att stärka deras förmåga att anpassa sig till den nya rättsliga ramen för den digitala inre marknaden och att skapa, främja och distribuera nya innovativa produkter och tjänster.</w:t>
            </w:r>
            <w:r>
              <w:rPr>
                <w:noProof/>
              </w:rPr>
              <w:br/>
            </w:r>
            <w:r>
              <w:rPr>
                <w:noProof/>
              </w:rPr>
              <w:br/>
              <w:t xml:space="preserve"> </w:t>
            </w:r>
          </w:p>
        </w:tc>
      </w:tr>
      <w:tr w:rsidR="003A3D51" w14:paraId="14CD003B"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64F770EC" w14:textId="77777777" w:rsidR="003A3D51" w:rsidRDefault="0002775A">
            <w:pPr>
              <w:pStyle w:val="P68B1DB1-Normal7"/>
              <w:spacing w:before="120" w:after="120" w:line="240" w:lineRule="auto"/>
              <w:jc w:val="center"/>
              <w:rPr>
                <w:rFonts w:ascii="Times New Roman" w:hAnsi="Times New Roman" w:cs="Times New Roman"/>
                <w:noProof/>
              </w:rPr>
            </w:pPr>
            <w:r>
              <w:rPr>
                <w:noProof/>
              </w:rPr>
              <w:t>27</w:t>
            </w:r>
          </w:p>
        </w:tc>
        <w:tc>
          <w:tcPr>
            <w:tcW w:w="833" w:type="dxa"/>
            <w:tcBorders>
              <w:top w:val="single" w:sz="4" w:space="0" w:color="auto"/>
              <w:left w:val="nil"/>
              <w:bottom w:val="single" w:sz="4" w:space="0" w:color="auto"/>
              <w:right w:val="single" w:sz="4" w:space="0" w:color="auto"/>
            </w:tcBorders>
            <w:shd w:val="clear" w:color="auto" w:fill="C6EFCE"/>
            <w:noWrap/>
          </w:tcPr>
          <w:p w14:paraId="03B4045A" w14:textId="77777777" w:rsidR="003A3D51" w:rsidRDefault="0002775A">
            <w:pPr>
              <w:pStyle w:val="P68B1DB1-Normal7"/>
              <w:spacing w:before="120" w:after="120" w:line="240" w:lineRule="auto"/>
              <w:rPr>
                <w:rFonts w:ascii="Times New Roman" w:hAnsi="Times New Roman" w:cs="Times New Roman"/>
                <w:noProof/>
              </w:rPr>
            </w:pPr>
            <w:r>
              <w:rPr>
                <w:noProof/>
              </w:rPr>
              <w:t>C1.1.1 R6-I2</w:t>
            </w:r>
          </w:p>
        </w:tc>
        <w:tc>
          <w:tcPr>
            <w:tcW w:w="806" w:type="dxa"/>
            <w:tcBorders>
              <w:top w:val="single" w:sz="4" w:space="0" w:color="auto"/>
              <w:left w:val="nil"/>
              <w:bottom w:val="single" w:sz="4" w:space="0" w:color="auto"/>
              <w:right w:val="single" w:sz="4" w:space="0" w:color="auto"/>
            </w:tcBorders>
            <w:shd w:val="clear" w:color="auto" w:fill="C6EFCE"/>
            <w:noWrap/>
          </w:tcPr>
          <w:p w14:paraId="2C17926A"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1F58BC4F" w14:textId="77777777" w:rsidR="003A3D51" w:rsidRDefault="0002775A">
            <w:pPr>
              <w:pStyle w:val="P68B1DB1-Normal7"/>
              <w:spacing w:before="120" w:after="120" w:line="240" w:lineRule="auto"/>
              <w:rPr>
                <w:rFonts w:ascii="Times New Roman" w:hAnsi="Times New Roman" w:cs="Times New Roman"/>
                <w:noProof/>
              </w:rPr>
            </w:pPr>
            <w:r>
              <w:rPr>
                <w:noProof/>
              </w:rPr>
              <w:t>Inrättande av ett system för faktagranskning</w:t>
            </w:r>
          </w:p>
        </w:tc>
        <w:tc>
          <w:tcPr>
            <w:tcW w:w="1555" w:type="dxa"/>
            <w:tcBorders>
              <w:top w:val="single" w:sz="4" w:space="0" w:color="auto"/>
              <w:left w:val="nil"/>
              <w:bottom w:val="single" w:sz="4" w:space="0" w:color="auto"/>
              <w:right w:val="single" w:sz="4" w:space="0" w:color="auto"/>
            </w:tcBorders>
            <w:shd w:val="clear" w:color="auto" w:fill="C6EFCE"/>
            <w:noWrap/>
          </w:tcPr>
          <w:p w14:paraId="2A3CE756" w14:textId="77777777" w:rsidR="003A3D51" w:rsidRDefault="0002775A">
            <w:pPr>
              <w:pStyle w:val="P68B1DB1-Normal7"/>
              <w:spacing w:before="120" w:after="120" w:line="240" w:lineRule="auto"/>
              <w:rPr>
                <w:rFonts w:ascii="Times New Roman" w:hAnsi="Times New Roman" w:cs="Times New Roman"/>
                <w:noProof/>
              </w:rPr>
            </w:pPr>
            <w:r>
              <w:rPr>
                <w:noProof/>
              </w:rPr>
              <w:t>System för faktagranskning</w:t>
            </w:r>
          </w:p>
        </w:tc>
        <w:tc>
          <w:tcPr>
            <w:tcW w:w="1096" w:type="dxa"/>
            <w:tcBorders>
              <w:top w:val="single" w:sz="4" w:space="0" w:color="auto"/>
              <w:left w:val="nil"/>
              <w:bottom w:val="single" w:sz="4" w:space="0" w:color="auto"/>
              <w:right w:val="single" w:sz="4" w:space="0" w:color="auto"/>
            </w:tcBorders>
            <w:shd w:val="clear" w:color="auto" w:fill="C6EFCE"/>
            <w:noWrap/>
          </w:tcPr>
          <w:p w14:paraId="7D83906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3B47A82B"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470B5110"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1831ABAE"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4493F605"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7B52066A" w14:textId="77777777" w:rsidR="003A3D51" w:rsidRDefault="0002775A">
            <w:pPr>
              <w:pStyle w:val="P68B1DB1-Normal7"/>
              <w:spacing w:before="120" w:after="120" w:line="240" w:lineRule="auto"/>
              <w:rPr>
                <w:rFonts w:ascii="Times New Roman" w:hAnsi="Times New Roman" w:cs="Times New Roman"/>
                <w:noProof/>
              </w:rPr>
            </w:pPr>
            <w:r>
              <w:rPr>
                <w:noProof/>
              </w:rPr>
              <w:t>För att bidra till att bekämpa desinformation ska ett system för faktagranskning i medierna inrättas av byrån för elektroniska medier, inbegripet utveckling av förfaranden och regler, inrättande av register och förstärkning av faktagranskarnas digitala kompetens samt utveckling av tekniska program, plattformar och mediekommunikationssystem samt skapandet av en databas.</w:t>
            </w:r>
            <w:r>
              <w:rPr>
                <w:noProof/>
              </w:rPr>
              <w:br/>
              <w:t>Byrån för elektroniska medier ska inrätta en databas och ett system för offentliggörande av ägarstrukturer och finansieringskällor, inbegripet inrättande av ett register över ansvariga enheter och tillhandahållande av alla nödvändiga tekniska förutsättningar för att alla medier ska kunna fullgöra sina skyldigheter på ett enkelt och effektivt sätt.</w:t>
            </w:r>
          </w:p>
        </w:tc>
      </w:tr>
      <w:tr w:rsidR="003A3D51" w14:paraId="0DA26E44"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178E8452" w14:textId="77777777" w:rsidR="003A3D51" w:rsidRDefault="0002775A">
            <w:pPr>
              <w:pStyle w:val="P68B1DB1-Normal7"/>
              <w:spacing w:before="120" w:after="120" w:line="240" w:lineRule="auto"/>
              <w:jc w:val="center"/>
              <w:rPr>
                <w:rFonts w:ascii="Times New Roman" w:hAnsi="Times New Roman" w:cs="Times New Roman"/>
                <w:noProof/>
              </w:rPr>
            </w:pPr>
            <w:r>
              <w:rPr>
                <w:noProof/>
              </w:rPr>
              <w:t>28</w:t>
            </w:r>
          </w:p>
        </w:tc>
        <w:tc>
          <w:tcPr>
            <w:tcW w:w="833" w:type="dxa"/>
            <w:tcBorders>
              <w:top w:val="single" w:sz="4" w:space="0" w:color="auto"/>
              <w:left w:val="nil"/>
              <w:bottom w:val="single" w:sz="4" w:space="0" w:color="auto"/>
              <w:right w:val="single" w:sz="4" w:space="0" w:color="auto"/>
            </w:tcBorders>
            <w:shd w:val="clear" w:color="auto" w:fill="C6EFCE"/>
            <w:noWrap/>
          </w:tcPr>
          <w:p w14:paraId="5176E9B2" w14:textId="77777777" w:rsidR="003A3D51" w:rsidRDefault="0002775A">
            <w:pPr>
              <w:pStyle w:val="P68B1DB1-Normal7"/>
              <w:spacing w:before="120" w:after="120" w:line="240" w:lineRule="auto"/>
              <w:rPr>
                <w:rFonts w:ascii="Times New Roman" w:hAnsi="Times New Roman" w:cs="Times New Roman"/>
                <w:noProof/>
              </w:rPr>
            </w:pPr>
            <w:r>
              <w:rPr>
                <w:noProof/>
              </w:rPr>
              <w:t>C1.1.2 R1</w:t>
            </w:r>
          </w:p>
        </w:tc>
        <w:tc>
          <w:tcPr>
            <w:tcW w:w="806" w:type="dxa"/>
            <w:tcBorders>
              <w:top w:val="single" w:sz="4" w:space="0" w:color="auto"/>
              <w:left w:val="nil"/>
              <w:bottom w:val="single" w:sz="4" w:space="0" w:color="auto"/>
              <w:right w:val="single" w:sz="4" w:space="0" w:color="auto"/>
            </w:tcBorders>
            <w:shd w:val="clear" w:color="auto" w:fill="C6EFCE"/>
            <w:noWrap/>
          </w:tcPr>
          <w:p w14:paraId="59F03C70" w14:textId="77777777" w:rsidR="003A3D51" w:rsidRDefault="0002775A">
            <w:pPr>
              <w:pStyle w:val="P68B1DB1-Normal7"/>
              <w:spacing w:before="120" w:after="120" w:line="240" w:lineRule="auto"/>
              <w:jc w:val="center"/>
              <w:rPr>
                <w:rFonts w:ascii="Times New Roman" w:hAnsi="Times New Roman" w:cs="Times New Roman"/>
                <w:noProof/>
              </w:rPr>
            </w:pPr>
            <w:r>
              <w:rPr>
                <w:noProof/>
              </w:rPr>
              <w:t>M</w:t>
            </w:r>
          </w:p>
        </w:tc>
        <w:tc>
          <w:tcPr>
            <w:tcW w:w="1900" w:type="dxa"/>
            <w:tcBorders>
              <w:top w:val="single" w:sz="4" w:space="0" w:color="auto"/>
              <w:left w:val="nil"/>
              <w:bottom w:val="single" w:sz="4" w:space="0" w:color="auto"/>
              <w:right w:val="single" w:sz="4" w:space="0" w:color="auto"/>
            </w:tcBorders>
            <w:shd w:val="clear" w:color="auto" w:fill="C6EFCE"/>
            <w:noWrap/>
          </w:tcPr>
          <w:p w14:paraId="704B684E" w14:textId="77777777" w:rsidR="003A3D51" w:rsidRDefault="0002775A">
            <w:pPr>
              <w:pStyle w:val="P68B1DB1-Normal7"/>
              <w:spacing w:before="120" w:after="120" w:line="240" w:lineRule="auto"/>
              <w:rPr>
                <w:rFonts w:ascii="Times New Roman" w:hAnsi="Times New Roman" w:cs="Times New Roman"/>
                <w:noProof/>
              </w:rPr>
            </w:pPr>
            <w:r>
              <w:rPr>
                <w:noProof/>
              </w:rPr>
              <w:t>Ändring och komplettering av den rättsliga ramen för skatteincitament för FoU</w:t>
            </w:r>
          </w:p>
        </w:tc>
        <w:tc>
          <w:tcPr>
            <w:tcW w:w="1555" w:type="dxa"/>
            <w:tcBorders>
              <w:top w:val="single" w:sz="4" w:space="0" w:color="auto"/>
              <w:left w:val="nil"/>
              <w:bottom w:val="single" w:sz="4" w:space="0" w:color="auto"/>
              <w:right w:val="single" w:sz="4" w:space="0" w:color="auto"/>
            </w:tcBorders>
            <w:shd w:val="clear" w:color="auto" w:fill="C6EFCE"/>
            <w:noWrap/>
          </w:tcPr>
          <w:p w14:paraId="17ED6D74" w14:textId="77777777" w:rsidR="003A3D51" w:rsidRDefault="0002775A">
            <w:pPr>
              <w:pStyle w:val="P68B1DB1-Normal7"/>
              <w:spacing w:before="120" w:after="120" w:line="240" w:lineRule="auto"/>
              <w:rPr>
                <w:rFonts w:ascii="Times New Roman" w:hAnsi="Times New Roman" w:cs="Times New Roman"/>
                <w:noProof/>
              </w:rPr>
            </w:pPr>
            <w:r>
              <w:rPr>
                <w:noProof/>
              </w:rPr>
              <w:t xml:space="preserve">Ikraftträdande av lagen om ändring av lagen om statligt stöd till forsknings- och utvecklingsprojekt </w:t>
            </w:r>
          </w:p>
        </w:tc>
        <w:tc>
          <w:tcPr>
            <w:tcW w:w="1096" w:type="dxa"/>
            <w:tcBorders>
              <w:top w:val="single" w:sz="4" w:space="0" w:color="auto"/>
              <w:left w:val="nil"/>
              <w:bottom w:val="single" w:sz="4" w:space="0" w:color="auto"/>
              <w:right w:val="single" w:sz="4" w:space="0" w:color="auto"/>
            </w:tcBorders>
            <w:shd w:val="clear" w:color="auto" w:fill="C6EFCE"/>
            <w:noWrap/>
          </w:tcPr>
          <w:p w14:paraId="0A8CAB06"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5189BB47"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1458" w:type="dxa"/>
            <w:tcBorders>
              <w:top w:val="single" w:sz="4" w:space="0" w:color="auto"/>
              <w:left w:val="nil"/>
              <w:bottom w:val="single" w:sz="4" w:space="0" w:color="auto"/>
              <w:right w:val="single" w:sz="4" w:space="0" w:color="auto"/>
            </w:tcBorders>
            <w:shd w:val="clear" w:color="auto" w:fill="C6EFCE"/>
            <w:noWrap/>
          </w:tcPr>
          <w:p w14:paraId="2BE2722E" w14:textId="77777777" w:rsidR="003A3D51" w:rsidRDefault="0002775A">
            <w:pPr>
              <w:pStyle w:val="P68B1DB1-Normal7"/>
              <w:spacing w:before="120" w:after="120" w:line="240" w:lineRule="auto"/>
              <w:jc w:val="center"/>
              <w:rPr>
                <w:rFonts w:ascii="Times New Roman" w:hAnsi="Times New Roman" w:cs="Times New Roman"/>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29430AF4"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0C080DFB"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2C0D19C5" w14:textId="77777777" w:rsidR="003A3D51" w:rsidRDefault="0002775A">
            <w:pPr>
              <w:pStyle w:val="P68B1DB1-Normal7"/>
              <w:spacing w:before="120" w:after="120" w:line="240" w:lineRule="auto"/>
              <w:rPr>
                <w:rFonts w:ascii="Times New Roman" w:hAnsi="Times New Roman" w:cs="Times New Roman"/>
                <w:noProof/>
              </w:rPr>
            </w:pPr>
            <w:r>
              <w:rPr>
                <w:noProof/>
              </w:rPr>
              <w:t>I syfte att öka antalet företag som investerar i FoU och öka de privata investeringarna i FoU ska ändringar av den rättsliga ramen för skatteincitament för FoU träda i kraft. Ändringar i lagen om statligt stöd ska göras på grundval av resultaten av den analys som gjorts av det nuvarande skatteincitamentssystemets lämplighet och effektivitet och ska involvera berörda parter, särskilt MFIN och skatteförvaltningen. MINGOR ska utarbeta lagändringar och lägga fram dem för det parlamentariska förfarandet.</w:t>
            </w:r>
          </w:p>
        </w:tc>
      </w:tr>
      <w:tr w:rsidR="003A3D51" w14:paraId="7E6C9A44"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B6CD60F" w14:textId="77777777" w:rsidR="003A3D51" w:rsidRDefault="0002775A">
            <w:pPr>
              <w:pStyle w:val="P68B1DB1-Normal7"/>
              <w:spacing w:before="120" w:after="120" w:line="240" w:lineRule="auto"/>
              <w:jc w:val="center"/>
              <w:rPr>
                <w:rFonts w:ascii="Times New Roman" w:hAnsi="Times New Roman" w:cs="Times New Roman"/>
                <w:noProof/>
              </w:rPr>
            </w:pPr>
            <w:r>
              <w:rPr>
                <w:noProof/>
              </w:rPr>
              <w:t>29</w:t>
            </w:r>
          </w:p>
        </w:tc>
        <w:tc>
          <w:tcPr>
            <w:tcW w:w="833" w:type="dxa"/>
            <w:tcBorders>
              <w:top w:val="single" w:sz="4" w:space="0" w:color="auto"/>
              <w:left w:val="nil"/>
              <w:bottom w:val="single" w:sz="4" w:space="0" w:color="auto"/>
              <w:right w:val="single" w:sz="4" w:space="0" w:color="auto"/>
            </w:tcBorders>
            <w:shd w:val="clear" w:color="auto" w:fill="C6EFCE"/>
            <w:noWrap/>
          </w:tcPr>
          <w:p w14:paraId="095CCF80" w14:textId="77777777" w:rsidR="003A3D51" w:rsidRDefault="0002775A">
            <w:pPr>
              <w:pStyle w:val="P68B1DB1-Normal7"/>
              <w:spacing w:before="120" w:after="120" w:line="240" w:lineRule="auto"/>
              <w:rPr>
                <w:rFonts w:ascii="Times New Roman" w:hAnsi="Times New Roman" w:cs="Times New Roman"/>
                <w:noProof/>
              </w:rPr>
            </w:pPr>
            <w:r>
              <w:rPr>
                <w:noProof/>
              </w:rPr>
              <w:t>C1.1.2 R2-I2</w:t>
            </w:r>
          </w:p>
        </w:tc>
        <w:tc>
          <w:tcPr>
            <w:tcW w:w="806" w:type="dxa"/>
            <w:tcBorders>
              <w:top w:val="single" w:sz="4" w:space="0" w:color="auto"/>
              <w:left w:val="nil"/>
              <w:bottom w:val="single" w:sz="4" w:space="0" w:color="auto"/>
              <w:right w:val="single" w:sz="4" w:space="0" w:color="auto"/>
            </w:tcBorders>
            <w:shd w:val="clear" w:color="auto" w:fill="C6EFCE"/>
            <w:noWrap/>
          </w:tcPr>
          <w:p w14:paraId="48911101"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0046335A" w14:textId="77777777" w:rsidR="003A3D51" w:rsidRDefault="0002775A">
            <w:pPr>
              <w:pStyle w:val="P68B1DB1-Normal7"/>
              <w:spacing w:before="120" w:after="120" w:line="240" w:lineRule="auto"/>
              <w:rPr>
                <w:rFonts w:ascii="Times New Roman" w:hAnsi="Times New Roman" w:cs="Times New Roman"/>
                <w:noProof/>
              </w:rPr>
            </w:pPr>
            <w:r>
              <w:rPr>
                <w:noProof/>
              </w:rPr>
              <w:t xml:space="preserve">Stöd till små och medelstora företag för att uppgradera förvaltningskapaciteten </w:t>
            </w:r>
          </w:p>
        </w:tc>
        <w:tc>
          <w:tcPr>
            <w:tcW w:w="1555" w:type="dxa"/>
            <w:tcBorders>
              <w:top w:val="single" w:sz="4" w:space="0" w:color="auto"/>
              <w:left w:val="nil"/>
              <w:bottom w:val="single" w:sz="4" w:space="0" w:color="auto"/>
              <w:right w:val="single" w:sz="4" w:space="0" w:color="auto"/>
            </w:tcBorders>
            <w:shd w:val="clear" w:color="auto" w:fill="C6EFCE"/>
            <w:noWrap/>
          </w:tcPr>
          <w:p w14:paraId="202CAAF6"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6CA759BC"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6B2A7CA0"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57FC05BA" w14:textId="77777777" w:rsidR="003A3D51" w:rsidRDefault="0002775A">
            <w:pPr>
              <w:pStyle w:val="P68B1DB1-Normal7"/>
              <w:spacing w:before="120" w:after="120" w:line="240" w:lineRule="auto"/>
              <w:jc w:val="center"/>
              <w:rPr>
                <w:rFonts w:ascii="Times New Roman" w:hAnsi="Times New Roman" w:cs="Times New Roman"/>
                <w:noProof/>
              </w:rPr>
            </w:pPr>
            <w:r>
              <w:rPr>
                <w:noProof/>
              </w:rPr>
              <w:t>150</w:t>
            </w:r>
          </w:p>
        </w:tc>
        <w:tc>
          <w:tcPr>
            <w:tcW w:w="868" w:type="dxa"/>
            <w:tcBorders>
              <w:top w:val="single" w:sz="4" w:space="0" w:color="auto"/>
              <w:left w:val="nil"/>
              <w:bottom w:val="single" w:sz="4" w:space="0" w:color="auto"/>
              <w:right w:val="single" w:sz="4" w:space="0" w:color="auto"/>
            </w:tcBorders>
            <w:shd w:val="clear" w:color="auto" w:fill="C6EFCE"/>
            <w:noWrap/>
          </w:tcPr>
          <w:p w14:paraId="7A74974B"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65DD1992" w14:textId="77777777" w:rsidR="003A3D51" w:rsidRDefault="0002775A">
            <w:pPr>
              <w:pStyle w:val="P68B1DB1-Normal7"/>
              <w:spacing w:before="120" w:after="120" w:line="240" w:lineRule="auto"/>
              <w:jc w:val="center"/>
              <w:rPr>
                <w:rFonts w:ascii="Times New Roman" w:hAnsi="Times New Roman" w:cs="Times New Roman"/>
                <w:noProof/>
              </w:rPr>
            </w:pPr>
            <w:r>
              <w:rPr>
                <w:noProof/>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6E2AE3A8" w14:textId="77777777" w:rsidR="003A3D51" w:rsidRDefault="0002775A">
            <w:pPr>
              <w:pStyle w:val="P68B1DB1-Normal7"/>
              <w:spacing w:before="120" w:after="120" w:line="240" w:lineRule="auto"/>
              <w:rPr>
                <w:rFonts w:ascii="Times New Roman" w:hAnsi="Times New Roman" w:cs="Times New Roman"/>
                <w:noProof/>
              </w:rPr>
            </w:pPr>
            <w:r>
              <w:rPr>
                <w:noProof/>
              </w:rPr>
              <w:t>Minst 150 små och medelstora företag ska få företagsrådgivningsstöd för att förbättra sina affärsplaner, sin ledningskapacitet eller individuellt företagsmentorskap och coachning inom ramen för programmet ”Investera i förvaltningskapaciteten för små och medelstora företag” i syfte att förbättra de små och medelstora företagens ledningskapacitet.</w:t>
            </w:r>
          </w:p>
        </w:tc>
      </w:tr>
      <w:tr w:rsidR="003A3D51" w14:paraId="6245A2B3"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76714D2" w14:textId="77777777" w:rsidR="003A3D51" w:rsidRDefault="0002775A">
            <w:pPr>
              <w:pStyle w:val="P68B1DB1-Normal7"/>
              <w:spacing w:before="120" w:after="120" w:line="240" w:lineRule="auto"/>
              <w:jc w:val="center"/>
              <w:rPr>
                <w:rFonts w:ascii="Times New Roman" w:hAnsi="Times New Roman" w:cs="Times New Roman"/>
                <w:noProof/>
              </w:rPr>
            </w:pPr>
            <w:r>
              <w:rPr>
                <w:noProof/>
              </w:rPr>
              <w:t>30</w:t>
            </w:r>
          </w:p>
        </w:tc>
        <w:tc>
          <w:tcPr>
            <w:tcW w:w="833" w:type="dxa"/>
            <w:tcBorders>
              <w:top w:val="single" w:sz="4" w:space="0" w:color="auto"/>
              <w:left w:val="nil"/>
              <w:bottom w:val="single" w:sz="4" w:space="0" w:color="auto"/>
              <w:right w:val="single" w:sz="4" w:space="0" w:color="auto"/>
            </w:tcBorders>
            <w:shd w:val="clear" w:color="auto" w:fill="C6EFCE"/>
            <w:noWrap/>
          </w:tcPr>
          <w:p w14:paraId="38968858" w14:textId="77777777" w:rsidR="003A3D51" w:rsidRDefault="0002775A">
            <w:pPr>
              <w:pStyle w:val="P68B1DB1-Normal7"/>
              <w:spacing w:before="120" w:after="120" w:line="240" w:lineRule="auto"/>
              <w:rPr>
                <w:rFonts w:ascii="Times New Roman" w:hAnsi="Times New Roman" w:cs="Times New Roman"/>
                <w:noProof/>
              </w:rPr>
            </w:pPr>
            <w:r>
              <w:rPr>
                <w:noProof/>
              </w:rPr>
              <w:t>C1.1.2 R2-I3</w:t>
            </w:r>
          </w:p>
        </w:tc>
        <w:tc>
          <w:tcPr>
            <w:tcW w:w="806" w:type="dxa"/>
            <w:tcBorders>
              <w:top w:val="single" w:sz="4" w:space="0" w:color="auto"/>
              <w:left w:val="nil"/>
              <w:bottom w:val="single" w:sz="4" w:space="0" w:color="auto"/>
              <w:right w:val="single" w:sz="4" w:space="0" w:color="auto"/>
            </w:tcBorders>
            <w:shd w:val="clear" w:color="auto" w:fill="C6EFCE"/>
            <w:noWrap/>
          </w:tcPr>
          <w:p w14:paraId="01F95976"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55E9ADE7" w14:textId="77777777" w:rsidR="003A3D51" w:rsidRDefault="0002775A">
            <w:pPr>
              <w:pStyle w:val="P68B1DB1-Normal7"/>
              <w:spacing w:before="120" w:after="120" w:line="240" w:lineRule="auto"/>
              <w:rPr>
                <w:rFonts w:ascii="Times New Roman" w:hAnsi="Times New Roman" w:cs="Times New Roman"/>
                <w:noProof/>
              </w:rPr>
            </w:pPr>
            <w:r>
              <w:rPr>
                <w:noProof/>
              </w:rPr>
              <w:t xml:space="preserve">Tilldelning av stöd för att stimulera tillväxten hos nystartade företag inom högteknologi- och kunskapssektorerna </w:t>
            </w:r>
          </w:p>
        </w:tc>
        <w:tc>
          <w:tcPr>
            <w:tcW w:w="1555" w:type="dxa"/>
            <w:tcBorders>
              <w:top w:val="single" w:sz="4" w:space="0" w:color="auto"/>
              <w:left w:val="nil"/>
              <w:bottom w:val="single" w:sz="4" w:space="0" w:color="auto"/>
              <w:right w:val="single" w:sz="4" w:space="0" w:color="auto"/>
            </w:tcBorders>
            <w:shd w:val="clear" w:color="auto" w:fill="C6EFCE"/>
            <w:noWrap/>
          </w:tcPr>
          <w:p w14:paraId="00C14CF1" w14:textId="77777777" w:rsidR="003A3D51" w:rsidRDefault="0002775A">
            <w:pPr>
              <w:pStyle w:val="P68B1DB1-Normal7"/>
              <w:spacing w:before="120" w:after="120" w:line="240" w:lineRule="auto"/>
              <w:rPr>
                <w:rFonts w:ascii="Times New Roman" w:hAnsi="Times New Roman" w:cs="Times New Roman"/>
                <w:noProof/>
              </w:rPr>
            </w:pPr>
            <w:r>
              <w:rPr>
                <w:noProof/>
              </w:rPr>
              <w:t> </w:t>
            </w:r>
          </w:p>
        </w:tc>
        <w:tc>
          <w:tcPr>
            <w:tcW w:w="1096" w:type="dxa"/>
            <w:tcBorders>
              <w:top w:val="single" w:sz="4" w:space="0" w:color="auto"/>
              <w:left w:val="nil"/>
              <w:bottom w:val="single" w:sz="4" w:space="0" w:color="auto"/>
              <w:right w:val="single" w:sz="4" w:space="0" w:color="auto"/>
            </w:tcBorders>
            <w:shd w:val="clear" w:color="auto" w:fill="C6EFCE"/>
            <w:noWrap/>
          </w:tcPr>
          <w:p w14:paraId="12B171C0"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3C658F12"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1F2E6CFC" w14:textId="77777777" w:rsidR="003A3D51" w:rsidRDefault="0002775A">
            <w:pPr>
              <w:pStyle w:val="P68B1DB1-Normal7"/>
              <w:spacing w:before="120" w:after="120" w:line="240" w:lineRule="auto"/>
              <w:jc w:val="center"/>
              <w:rPr>
                <w:rFonts w:ascii="Times New Roman" w:hAnsi="Times New Roman" w:cs="Times New Roman"/>
                <w:noProof/>
              </w:rPr>
            </w:pPr>
            <w:r>
              <w:rPr>
                <w:noProof/>
              </w:rPr>
              <w:t>141</w:t>
            </w:r>
          </w:p>
        </w:tc>
        <w:tc>
          <w:tcPr>
            <w:tcW w:w="868" w:type="dxa"/>
            <w:tcBorders>
              <w:top w:val="single" w:sz="4" w:space="0" w:color="auto"/>
              <w:left w:val="nil"/>
              <w:bottom w:val="single" w:sz="4" w:space="0" w:color="auto"/>
              <w:right w:val="single" w:sz="4" w:space="0" w:color="auto"/>
            </w:tcBorders>
            <w:shd w:val="clear" w:color="auto" w:fill="C6EFCE"/>
            <w:noWrap/>
          </w:tcPr>
          <w:p w14:paraId="5317CD9F"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533830F1" w14:textId="77777777" w:rsidR="003A3D51" w:rsidRDefault="0002775A">
            <w:pPr>
              <w:pStyle w:val="P68B1DB1-Normal7"/>
              <w:spacing w:before="120" w:after="120" w:line="240" w:lineRule="auto"/>
              <w:jc w:val="center"/>
              <w:rPr>
                <w:rFonts w:ascii="Times New Roman" w:hAnsi="Times New Roman" w:cs="Times New Roman"/>
                <w:noProof/>
              </w:rPr>
            </w:pPr>
            <w:r>
              <w:rPr>
                <w:noProof/>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2DBA61C6" w14:textId="77777777" w:rsidR="003A3D51" w:rsidRDefault="0002775A">
            <w:pPr>
              <w:pStyle w:val="P68B1DB1-Normal7"/>
              <w:spacing w:before="120" w:after="120" w:line="240" w:lineRule="auto"/>
              <w:rPr>
                <w:rFonts w:ascii="Times New Roman" w:hAnsi="Times New Roman" w:cs="Times New Roman"/>
                <w:noProof/>
              </w:rPr>
            </w:pPr>
            <w:r>
              <w:rPr>
                <w:noProof/>
              </w:rPr>
              <w:t>Beviljande av stöd efter utvärdering av projektförslag inom ramen för ansökningsomgången för ”icke återbetalningspliktigt startstöd” i syfte att stimulera tillväxten av nystartade företag i den förkommersiella fasen inom högteknologi- och kunskapssektorerna genom stöd till produktutveckling, ökad produktionskapacitet och investeringsberedskap med minst 141 nystartade företag som får det beviljade stödet.</w:t>
            </w:r>
          </w:p>
        </w:tc>
      </w:tr>
      <w:tr w:rsidR="003A3D51" w14:paraId="36E7FDEE"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47F8897" w14:textId="77777777" w:rsidR="003A3D51" w:rsidRDefault="0002775A">
            <w:pPr>
              <w:pStyle w:val="P68B1DB1-Normal7"/>
              <w:spacing w:before="120" w:after="120" w:line="240" w:lineRule="auto"/>
              <w:jc w:val="center"/>
              <w:rPr>
                <w:rFonts w:ascii="Times New Roman" w:hAnsi="Times New Roman" w:cs="Times New Roman"/>
                <w:noProof/>
              </w:rPr>
            </w:pPr>
            <w:r>
              <w:rPr>
                <w:noProof/>
              </w:rPr>
              <w:t>31</w:t>
            </w:r>
          </w:p>
        </w:tc>
        <w:tc>
          <w:tcPr>
            <w:tcW w:w="833" w:type="dxa"/>
            <w:tcBorders>
              <w:top w:val="single" w:sz="4" w:space="0" w:color="auto"/>
              <w:left w:val="nil"/>
              <w:bottom w:val="single" w:sz="4" w:space="0" w:color="auto"/>
              <w:right w:val="single" w:sz="4" w:space="0" w:color="auto"/>
            </w:tcBorders>
            <w:shd w:val="clear" w:color="auto" w:fill="C6EFCE"/>
            <w:noWrap/>
          </w:tcPr>
          <w:p w14:paraId="4BA7E158" w14:textId="77777777" w:rsidR="003A3D51" w:rsidRDefault="0002775A">
            <w:pPr>
              <w:pStyle w:val="P68B1DB1-Normal7"/>
              <w:spacing w:before="120" w:after="120" w:line="240" w:lineRule="auto"/>
              <w:rPr>
                <w:rFonts w:ascii="Times New Roman" w:hAnsi="Times New Roman" w:cs="Times New Roman"/>
                <w:noProof/>
              </w:rPr>
            </w:pPr>
            <w:r>
              <w:rPr>
                <w:noProof/>
              </w:rPr>
              <w:t>C1.1.2 R2-I4</w:t>
            </w:r>
          </w:p>
        </w:tc>
        <w:tc>
          <w:tcPr>
            <w:tcW w:w="806" w:type="dxa"/>
            <w:tcBorders>
              <w:top w:val="single" w:sz="4" w:space="0" w:color="auto"/>
              <w:left w:val="nil"/>
              <w:bottom w:val="single" w:sz="4" w:space="0" w:color="auto"/>
              <w:right w:val="single" w:sz="4" w:space="0" w:color="auto"/>
            </w:tcBorders>
            <w:shd w:val="clear" w:color="auto" w:fill="C6EFCE"/>
            <w:noWrap/>
          </w:tcPr>
          <w:p w14:paraId="027CDAAB"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0ADD829A" w14:textId="77777777" w:rsidR="003A3D51" w:rsidRDefault="0002775A">
            <w:pPr>
              <w:pStyle w:val="P68B1DB1-Normal7"/>
              <w:spacing w:before="120" w:after="120" w:line="240" w:lineRule="auto"/>
              <w:rPr>
                <w:rFonts w:ascii="Times New Roman" w:hAnsi="Times New Roman" w:cs="Times New Roman"/>
                <w:noProof/>
              </w:rPr>
            </w:pPr>
            <w:r>
              <w:rPr>
                <w:noProof/>
              </w:rPr>
              <w:t>Stödja tillväxten av nystartade företag genom att inrätta ett acceleratorprogram.</w:t>
            </w:r>
          </w:p>
        </w:tc>
        <w:tc>
          <w:tcPr>
            <w:tcW w:w="1555" w:type="dxa"/>
            <w:tcBorders>
              <w:top w:val="single" w:sz="4" w:space="0" w:color="auto"/>
              <w:left w:val="nil"/>
              <w:bottom w:val="single" w:sz="4" w:space="0" w:color="auto"/>
              <w:right w:val="single" w:sz="4" w:space="0" w:color="auto"/>
            </w:tcBorders>
            <w:shd w:val="clear" w:color="auto" w:fill="C6EFCE"/>
            <w:noWrap/>
          </w:tcPr>
          <w:p w14:paraId="6EE8156D"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588AF25E"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6580F3E9"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1F1A23D6" w14:textId="77777777" w:rsidR="003A3D51" w:rsidRDefault="0002775A">
            <w:pPr>
              <w:pStyle w:val="P68B1DB1-Normal7"/>
              <w:spacing w:before="120" w:after="120" w:line="240" w:lineRule="auto"/>
              <w:jc w:val="center"/>
              <w:rPr>
                <w:rFonts w:ascii="Times New Roman" w:hAnsi="Times New Roman" w:cs="Times New Roman"/>
                <w:noProof/>
              </w:rPr>
            </w:pPr>
            <w:r>
              <w:rPr>
                <w:noProof/>
              </w:rPr>
              <w:t>120</w:t>
            </w:r>
          </w:p>
        </w:tc>
        <w:tc>
          <w:tcPr>
            <w:tcW w:w="868" w:type="dxa"/>
            <w:tcBorders>
              <w:top w:val="single" w:sz="4" w:space="0" w:color="auto"/>
              <w:left w:val="nil"/>
              <w:bottom w:val="single" w:sz="4" w:space="0" w:color="auto"/>
              <w:right w:val="single" w:sz="4" w:space="0" w:color="auto"/>
            </w:tcBorders>
            <w:shd w:val="clear" w:color="auto" w:fill="C6EFCE"/>
            <w:noWrap/>
          </w:tcPr>
          <w:p w14:paraId="48DD9BB0"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78AA8BB2"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41BE26EC" w14:textId="77777777" w:rsidR="003A3D51" w:rsidRDefault="0002775A">
            <w:pPr>
              <w:pStyle w:val="P68B1DB1-Normal7"/>
              <w:spacing w:before="120" w:after="120" w:line="240" w:lineRule="auto"/>
              <w:rPr>
                <w:rFonts w:ascii="Times New Roman" w:hAnsi="Times New Roman" w:cs="Times New Roman"/>
                <w:noProof/>
              </w:rPr>
            </w:pPr>
            <w:r>
              <w:rPr>
                <w:noProof/>
              </w:rPr>
              <w:t>Acceleratorprogrammet ska öka investeringsberedskapen och stödja uppstartsföretagens tillväxt. Programmets mål är att det ska finnas en treårig överlevnadsgrad på över 70 % bland de deltagare som slutför accelerationscykeln. Stöd bör beviljas minst 120 nystartade företag genom acceleratorprogrammet.</w:t>
            </w:r>
          </w:p>
        </w:tc>
      </w:tr>
      <w:tr w:rsidR="003A3D51" w14:paraId="09AF6617"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7D057743" w14:textId="77777777" w:rsidR="003A3D51" w:rsidRDefault="0002775A">
            <w:pPr>
              <w:pStyle w:val="P68B1DB1-Normal7"/>
              <w:spacing w:before="120" w:after="120" w:line="240" w:lineRule="auto"/>
              <w:jc w:val="center"/>
              <w:rPr>
                <w:rFonts w:ascii="Times New Roman" w:hAnsi="Times New Roman" w:cs="Times New Roman"/>
                <w:noProof/>
              </w:rPr>
            </w:pPr>
            <w:r>
              <w:rPr>
                <w:noProof/>
              </w:rPr>
              <w:t>32</w:t>
            </w:r>
          </w:p>
        </w:tc>
        <w:tc>
          <w:tcPr>
            <w:tcW w:w="833" w:type="dxa"/>
            <w:tcBorders>
              <w:top w:val="single" w:sz="4" w:space="0" w:color="auto"/>
              <w:left w:val="nil"/>
              <w:bottom w:val="single" w:sz="4" w:space="0" w:color="auto"/>
              <w:right w:val="single" w:sz="4" w:space="0" w:color="auto"/>
            </w:tcBorders>
            <w:shd w:val="clear" w:color="auto" w:fill="C6EFCE"/>
            <w:noWrap/>
          </w:tcPr>
          <w:p w14:paraId="55BD4371" w14:textId="77777777" w:rsidR="003A3D51" w:rsidRDefault="0002775A">
            <w:pPr>
              <w:pStyle w:val="P68B1DB1-Normal7"/>
              <w:spacing w:before="120" w:after="120" w:line="240" w:lineRule="auto"/>
              <w:rPr>
                <w:rFonts w:ascii="Times New Roman" w:hAnsi="Times New Roman" w:cs="Times New Roman"/>
                <w:noProof/>
              </w:rPr>
            </w:pPr>
            <w:r>
              <w:rPr>
                <w:noProof/>
              </w:rPr>
              <w:t>C1.1.2 R2-I5</w:t>
            </w:r>
          </w:p>
        </w:tc>
        <w:tc>
          <w:tcPr>
            <w:tcW w:w="806" w:type="dxa"/>
            <w:tcBorders>
              <w:top w:val="single" w:sz="4" w:space="0" w:color="auto"/>
              <w:left w:val="nil"/>
              <w:bottom w:val="single" w:sz="4" w:space="0" w:color="auto"/>
              <w:right w:val="single" w:sz="4" w:space="0" w:color="auto"/>
            </w:tcBorders>
            <w:shd w:val="clear" w:color="auto" w:fill="C6EFCE"/>
            <w:noWrap/>
          </w:tcPr>
          <w:p w14:paraId="58D13ADD"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6DCC10F1" w14:textId="77777777" w:rsidR="003A3D51" w:rsidRDefault="0002775A">
            <w:pPr>
              <w:pStyle w:val="P68B1DB1-Normal7"/>
              <w:spacing w:before="120" w:after="120" w:line="240" w:lineRule="auto"/>
              <w:rPr>
                <w:rFonts w:ascii="Times New Roman" w:hAnsi="Times New Roman" w:cs="Times New Roman"/>
                <w:noProof/>
              </w:rPr>
            </w:pPr>
            <w:r>
              <w:rPr>
                <w:noProof/>
              </w:rPr>
              <w:t>Stöd till projekt för kommersialisering av innovation</w:t>
            </w:r>
          </w:p>
        </w:tc>
        <w:tc>
          <w:tcPr>
            <w:tcW w:w="1555" w:type="dxa"/>
            <w:tcBorders>
              <w:top w:val="single" w:sz="4" w:space="0" w:color="auto"/>
              <w:left w:val="nil"/>
              <w:bottom w:val="single" w:sz="4" w:space="0" w:color="auto"/>
              <w:right w:val="single" w:sz="4" w:space="0" w:color="auto"/>
            </w:tcBorders>
            <w:shd w:val="clear" w:color="auto" w:fill="C6EFCE"/>
            <w:noWrap/>
          </w:tcPr>
          <w:p w14:paraId="48B2D387"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0F69C421"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6795D08C"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796E6B4A" w14:textId="77777777" w:rsidR="003A3D51" w:rsidRDefault="0002775A">
            <w:pPr>
              <w:pStyle w:val="P68B1DB1-Normal7"/>
              <w:spacing w:before="120" w:after="120" w:line="240" w:lineRule="auto"/>
              <w:jc w:val="center"/>
              <w:rPr>
                <w:rFonts w:ascii="Times New Roman" w:hAnsi="Times New Roman" w:cs="Times New Roman"/>
                <w:noProof/>
              </w:rPr>
            </w:pPr>
            <w:r>
              <w:rPr>
                <w:noProof/>
              </w:rPr>
              <w:t>95</w:t>
            </w:r>
          </w:p>
        </w:tc>
        <w:tc>
          <w:tcPr>
            <w:tcW w:w="868" w:type="dxa"/>
            <w:tcBorders>
              <w:top w:val="single" w:sz="4" w:space="0" w:color="auto"/>
              <w:left w:val="nil"/>
              <w:bottom w:val="single" w:sz="4" w:space="0" w:color="auto"/>
              <w:right w:val="single" w:sz="4" w:space="0" w:color="auto"/>
            </w:tcBorders>
            <w:shd w:val="clear" w:color="auto" w:fill="C6EFCE"/>
            <w:noWrap/>
          </w:tcPr>
          <w:p w14:paraId="1C16ED52"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369B2AF2" w14:textId="77777777" w:rsidR="003A3D51" w:rsidRDefault="0002775A">
            <w:pPr>
              <w:pStyle w:val="P68B1DB1-Normal7"/>
              <w:spacing w:before="120" w:after="120" w:line="240" w:lineRule="auto"/>
              <w:jc w:val="center"/>
              <w:rPr>
                <w:rFonts w:ascii="Times New Roman" w:hAnsi="Times New Roman" w:cs="Times New Roman"/>
                <w:noProof/>
              </w:rPr>
            </w:pPr>
            <w:r>
              <w:rPr>
                <w:noProof/>
              </w:rPr>
              <w:t>2024</w:t>
            </w:r>
          </w:p>
        </w:tc>
        <w:tc>
          <w:tcPr>
            <w:tcW w:w="4710" w:type="dxa"/>
            <w:tcBorders>
              <w:top w:val="single" w:sz="4" w:space="0" w:color="auto"/>
              <w:left w:val="nil"/>
              <w:bottom w:val="single" w:sz="4" w:space="0" w:color="auto"/>
              <w:right w:val="single" w:sz="4" w:space="0" w:color="auto"/>
            </w:tcBorders>
            <w:shd w:val="clear" w:color="auto" w:fill="C6EFCE"/>
            <w:noWrap/>
          </w:tcPr>
          <w:p w14:paraId="79CB5CAE" w14:textId="77777777" w:rsidR="003A3D51" w:rsidRDefault="0002775A">
            <w:pPr>
              <w:pStyle w:val="P68B1DB1-Normal7"/>
              <w:spacing w:before="120" w:after="120" w:line="240" w:lineRule="auto"/>
              <w:rPr>
                <w:rFonts w:ascii="Times New Roman" w:hAnsi="Times New Roman" w:cs="Times New Roman"/>
                <w:noProof/>
              </w:rPr>
            </w:pPr>
            <w:r>
              <w:rPr>
                <w:noProof/>
              </w:rPr>
              <w:t xml:space="preserve">Bevilja stöd till minst 95 små och medelstora företag med mogna innovationsprojekt (teknisk mognadsgrad 7 eller högre) för kommersialisering och internationalisering av deras marknadsförings-, försäljnings- och distributionsverksamhet med anknytning till en innovativ produkt som lanseras på den inhemska marknaden. </w:t>
            </w:r>
            <w:r>
              <w:rPr>
                <w:noProof/>
              </w:rPr>
              <w:br/>
              <w:t>Syftet med investeringen är att uppmuntra kommersialisering av innovationsprojekt för mogna projekt som är nära marknadsinträde. öka små och medelstora företags export av innovativa produkter, tjänster eller tekniker genom att stödja skapandet av försäljnings- och distributionskanaler på utländska marknader.</w:t>
            </w:r>
          </w:p>
        </w:tc>
      </w:tr>
      <w:tr w:rsidR="003A3D51" w14:paraId="583D5161"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8EC42F8" w14:textId="77777777" w:rsidR="003A3D51" w:rsidRDefault="0002775A">
            <w:pPr>
              <w:pStyle w:val="P68B1DB1-Normal7"/>
              <w:spacing w:before="120" w:after="120" w:line="240" w:lineRule="auto"/>
              <w:jc w:val="center"/>
              <w:rPr>
                <w:rFonts w:ascii="Times New Roman" w:hAnsi="Times New Roman" w:cs="Times New Roman"/>
                <w:noProof/>
              </w:rPr>
            </w:pPr>
            <w:r>
              <w:rPr>
                <w:noProof/>
              </w:rPr>
              <w:t>33</w:t>
            </w:r>
          </w:p>
        </w:tc>
        <w:tc>
          <w:tcPr>
            <w:tcW w:w="833" w:type="dxa"/>
            <w:tcBorders>
              <w:top w:val="single" w:sz="4" w:space="0" w:color="auto"/>
              <w:left w:val="nil"/>
              <w:bottom w:val="single" w:sz="4" w:space="0" w:color="auto"/>
              <w:right w:val="single" w:sz="4" w:space="0" w:color="auto"/>
            </w:tcBorders>
            <w:shd w:val="clear" w:color="auto" w:fill="C6EFCE"/>
            <w:noWrap/>
          </w:tcPr>
          <w:p w14:paraId="0AD1E9EE" w14:textId="77777777" w:rsidR="003A3D51" w:rsidRDefault="0002775A">
            <w:pPr>
              <w:pStyle w:val="P68B1DB1-Normal7"/>
              <w:spacing w:before="120" w:after="120" w:line="240" w:lineRule="auto"/>
              <w:rPr>
                <w:rFonts w:ascii="Times New Roman" w:hAnsi="Times New Roman" w:cs="Times New Roman"/>
                <w:noProof/>
              </w:rPr>
            </w:pPr>
            <w:r>
              <w:rPr>
                <w:noProof/>
              </w:rPr>
              <w:t>C1.1.2 R3-I2</w:t>
            </w:r>
          </w:p>
        </w:tc>
        <w:tc>
          <w:tcPr>
            <w:tcW w:w="806" w:type="dxa"/>
            <w:tcBorders>
              <w:top w:val="single" w:sz="4" w:space="0" w:color="auto"/>
              <w:left w:val="nil"/>
              <w:bottom w:val="single" w:sz="4" w:space="0" w:color="auto"/>
              <w:right w:val="single" w:sz="4" w:space="0" w:color="auto"/>
            </w:tcBorders>
            <w:shd w:val="clear" w:color="auto" w:fill="C6EFCE"/>
            <w:noWrap/>
          </w:tcPr>
          <w:p w14:paraId="32080E07"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7A0EEFB7" w14:textId="77777777" w:rsidR="003A3D51" w:rsidRDefault="0002775A">
            <w:pPr>
              <w:pStyle w:val="P68B1DB1-Normal7"/>
              <w:spacing w:before="120" w:after="120" w:line="240" w:lineRule="auto"/>
              <w:rPr>
                <w:rFonts w:ascii="Times New Roman" w:hAnsi="Times New Roman" w:cs="Times New Roman"/>
                <w:noProof/>
              </w:rPr>
            </w:pPr>
            <w:r>
              <w:rPr>
                <w:noProof/>
              </w:rPr>
              <w:t xml:space="preserve">Bidrag i form av kuponger </w:t>
            </w:r>
          </w:p>
        </w:tc>
        <w:tc>
          <w:tcPr>
            <w:tcW w:w="1555" w:type="dxa"/>
            <w:tcBorders>
              <w:top w:val="single" w:sz="4" w:space="0" w:color="auto"/>
              <w:left w:val="nil"/>
              <w:bottom w:val="single" w:sz="4" w:space="0" w:color="auto"/>
              <w:right w:val="single" w:sz="4" w:space="0" w:color="auto"/>
            </w:tcBorders>
            <w:shd w:val="clear" w:color="auto" w:fill="C6EFCE"/>
            <w:noWrap/>
          </w:tcPr>
          <w:p w14:paraId="2A0F4322"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68F2860"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5D0CA71E"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4974053C" w14:textId="77777777" w:rsidR="003A3D51" w:rsidRDefault="0002775A">
            <w:pPr>
              <w:pStyle w:val="P68B1DB1-Normal7"/>
              <w:spacing w:before="120" w:after="120" w:line="240" w:lineRule="auto"/>
              <w:jc w:val="center"/>
              <w:rPr>
                <w:rFonts w:ascii="Times New Roman" w:hAnsi="Times New Roman" w:cs="Times New Roman"/>
                <w:noProof/>
              </w:rPr>
            </w:pPr>
            <w:r>
              <w:rPr>
                <w:noProof/>
              </w:rPr>
              <w:t>9 954 211</w:t>
            </w:r>
          </w:p>
        </w:tc>
        <w:tc>
          <w:tcPr>
            <w:tcW w:w="868" w:type="dxa"/>
            <w:tcBorders>
              <w:top w:val="single" w:sz="4" w:space="0" w:color="auto"/>
              <w:left w:val="nil"/>
              <w:bottom w:val="single" w:sz="4" w:space="0" w:color="auto"/>
              <w:right w:val="single" w:sz="4" w:space="0" w:color="auto"/>
            </w:tcBorders>
            <w:shd w:val="clear" w:color="auto" w:fill="C6EFCE"/>
            <w:noWrap/>
          </w:tcPr>
          <w:p w14:paraId="02F9B8C0"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41314B15"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1B1A3A5A" w14:textId="77777777" w:rsidR="003A3D51" w:rsidRDefault="0002775A">
            <w:pPr>
              <w:pStyle w:val="P68B1DB1-Normal7"/>
              <w:spacing w:before="120" w:after="120" w:line="240" w:lineRule="auto"/>
              <w:rPr>
                <w:rFonts w:ascii="Times New Roman" w:hAnsi="Times New Roman" w:cs="Times New Roman"/>
                <w:noProof/>
              </w:rPr>
            </w:pPr>
            <w:r>
              <w:rPr>
                <w:noProof/>
              </w:rPr>
              <w:t>Minst 500 små och medelstora företag som får 9 954 211 EUR (75 000 000 kroatiska kuna) stöder digitaliseringsvouchrar. Vouchrar ska tillhandahållas efter utvärdering av projektförslag inom ramen för ansökningsomgången ”Digitala vouchrar” och får användas för att hjälpa anställda att förbättra digitala färdigheter, inbegripet färdigheter som rör molnteknik, testa idéers hållbarhet och designstrategier för en eventuell digital omvandling, förbättra digitala marknadsföringstjänster, öka cybersäkerheten genom att införa säkerhetskontroller av systemet eller för utveckling eller införande av komplexa digitala produkter och tjänster.</w:t>
            </w:r>
          </w:p>
        </w:tc>
      </w:tr>
      <w:tr w:rsidR="003A3D51" w14:paraId="375DFF7B"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4367E967" w14:textId="77777777" w:rsidR="003A3D51" w:rsidRDefault="0002775A">
            <w:pPr>
              <w:pStyle w:val="P68B1DB1-Normal7"/>
              <w:spacing w:before="120" w:after="120" w:line="240" w:lineRule="auto"/>
              <w:jc w:val="center"/>
              <w:rPr>
                <w:rFonts w:ascii="Times New Roman" w:hAnsi="Times New Roman" w:cs="Times New Roman"/>
                <w:noProof/>
              </w:rPr>
            </w:pPr>
            <w:r>
              <w:rPr>
                <w:noProof/>
              </w:rPr>
              <w:t>34</w:t>
            </w:r>
          </w:p>
        </w:tc>
        <w:tc>
          <w:tcPr>
            <w:tcW w:w="833" w:type="dxa"/>
            <w:tcBorders>
              <w:top w:val="single" w:sz="4" w:space="0" w:color="auto"/>
              <w:left w:val="nil"/>
              <w:bottom w:val="single" w:sz="4" w:space="0" w:color="auto"/>
              <w:right w:val="single" w:sz="4" w:space="0" w:color="auto"/>
            </w:tcBorders>
            <w:shd w:val="clear" w:color="auto" w:fill="C6EFCE"/>
            <w:noWrap/>
          </w:tcPr>
          <w:p w14:paraId="0471F53B" w14:textId="77777777" w:rsidR="003A3D51" w:rsidRDefault="0002775A">
            <w:pPr>
              <w:pStyle w:val="P68B1DB1-Normal7"/>
              <w:spacing w:before="120" w:after="120" w:line="240" w:lineRule="auto"/>
              <w:rPr>
                <w:rFonts w:ascii="Times New Roman" w:hAnsi="Times New Roman" w:cs="Times New Roman"/>
                <w:noProof/>
              </w:rPr>
            </w:pPr>
            <w:r>
              <w:rPr>
                <w:noProof/>
              </w:rPr>
              <w:t>C1.1.2 R3-I3</w:t>
            </w:r>
          </w:p>
        </w:tc>
        <w:tc>
          <w:tcPr>
            <w:tcW w:w="806" w:type="dxa"/>
            <w:tcBorders>
              <w:top w:val="single" w:sz="4" w:space="0" w:color="auto"/>
              <w:left w:val="nil"/>
              <w:bottom w:val="single" w:sz="4" w:space="0" w:color="auto"/>
              <w:right w:val="single" w:sz="4" w:space="0" w:color="auto"/>
            </w:tcBorders>
            <w:shd w:val="clear" w:color="auto" w:fill="C6EFCE"/>
            <w:noWrap/>
          </w:tcPr>
          <w:p w14:paraId="22D97FA0"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0D01D087" w14:textId="77777777" w:rsidR="003A3D51" w:rsidRDefault="0002775A">
            <w:pPr>
              <w:pStyle w:val="P68B1DB1-Normal7"/>
              <w:spacing w:before="120" w:after="120" w:line="240" w:lineRule="auto"/>
              <w:rPr>
                <w:rFonts w:ascii="Times New Roman" w:hAnsi="Times New Roman" w:cs="Times New Roman"/>
                <w:noProof/>
              </w:rPr>
            </w:pPr>
            <w:r>
              <w:rPr>
                <w:noProof/>
              </w:rPr>
              <w:t xml:space="preserve">Bidragsstöd till den digitala omvandlingen av kroatiska små och medelstora företag </w:t>
            </w:r>
          </w:p>
        </w:tc>
        <w:tc>
          <w:tcPr>
            <w:tcW w:w="1555" w:type="dxa"/>
            <w:tcBorders>
              <w:top w:val="single" w:sz="4" w:space="0" w:color="auto"/>
              <w:left w:val="nil"/>
              <w:bottom w:val="single" w:sz="4" w:space="0" w:color="auto"/>
              <w:right w:val="single" w:sz="4" w:space="0" w:color="auto"/>
            </w:tcBorders>
            <w:shd w:val="clear" w:color="auto" w:fill="C6EFCE"/>
            <w:noWrap/>
          </w:tcPr>
          <w:p w14:paraId="19A995C0"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9E29DE6"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25D04E68"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435CBB0E" w14:textId="77777777" w:rsidR="003A3D51" w:rsidRDefault="0002775A">
            <w:pPr>
              <w:pStyle w:val="P68B1DB1-Normal7"/>
              <w:spacing w:before="120" w:after="120" w:line="240" w:lineRule="auto"/>
              <w:jc w:val="center"/>
              <w:rPr>
                <w:rFonts w:ascii="Times New Roman" w:hAnsi="Times New Roman" w:cs="Times New Roman"/>
                <w:noProof/>
              </w:rPr>
            </w:pPr>
            <w:r>
              <w:rPr>
                <w:noProof/>
              </w:rPr>
              <w:t>27 340 899</w:t>
            </w:r>
          </w:p>
        </w:tc>
        <w:tc>
          <w:tcPr>
            <w:tcW w:w="868" w:type="dxa"/>
            <w:tcBorders>
              <w:top w:val="single" w:sz="4" w:space="0" w:color="auto"/>
              <w:left w:val="nil"/>
              <w:bottom w:val="single" w:sz="4" w:space="0" w:color="auto"/>
              <w:right w:val="single" w:sz="4" w:space="0" w:color="auto"/>
            </w:tcBorders>
            <w:shd w:val="clear" w:color="auto" w:fill="C6EFCE"/>
            <w:noWrap/>
          </w:tcPr>
          <w:p w14:paraId="5780E8AB"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2</w:t>
            </w:r>
          </w:p>
        </w:tc>
        <w:tc>
          <w:tcPr>
            <w:tcW w:w="966" w:type="dxa"/>
            <w:tcBorders>
              <w:top w:val="single" w:sz="4" w:space="0" w:color="auto"/>
              <w:left w:val="nil"/>
              <w:bottom w:val="single" w:sz="4" w:space="0" w:color="auto"/>
              <w:right w:val="single" w:sz="4" w:space="0" w:color="auto"/>
            </w:tcBorders>
            <w:shd w:val="clear" w:color="auto" w:fill="C6EFCE"/>
            <w:noWrap/>
          </w:tcPr>
          <w:p w14:paraId="076AC722" w14:textId="77777777" w:rsidR="003A3D51" w:rsidRDefault="0002775A">
            <w:pPr>
              <w:pStyle w:val="P68B1DB1-Normal7"/>
              <w:spacing w:before="120" w:after="120" w:line="240" w:lineRule="auto"/>
              <w:jc w:val="center"/>
              <w:rPr>
                <w:rFonts w:ascii="Times New Roman" w:hAnsi="Times New Roman" w:cs="Times New Roman"/>
                <w:noProof/>
              </w:rPr>
            </w:pPr>
            <w:r>
              <w:rPr>
                <w:noProof/>
              </w:rPr>
              <w:t>2026</w:t>
            </w:r>
          </w:p>
        </w:tc>
        <w:tc>
          <w:tcPr>
            <w:tcW w:w="4710" w:type="dxa"/>
            <w:tcBorders>
              <w:top w:val="single" w:sz="4" w:space="0" w:color="auto"/>
              <w:left w:val="nil"/>
              <w:bottom w:val="single" w:sz="4" w:space="0" w:color="auto"/>
              <w:right w:val="single" w:sz="4" w:space="0" w:color="auto"/>
            </w:tcBorders>
            <w:shd w:val="clear" w:color="auto" w:fill="C6EFCE"/>
            <w:noWrap/>
          </w:tcPr>
          <w:p w14:paraId="2666231E" w14:textId="77777777" w:rsidR="003A3D51" w:rsidRDefault="0002775A">
            <w:pPr>
              <w:pStyle w:val="P68B1DB1-Normal7"/>
              <w:spacing w:before="120" w:after="120" w:line="240" w:lineRule="auto"/>
              <w:rPr>
                <w:rFonts w:ascii="Times New Roman" w:hAnsi="Times New Roman" w:cs="Times New Roman"/>
                <w:noProof/>
              </w:rPr>
            </w:pPr>
            <w:r>
              <w:rPr>
                <w:noProof/>
              </w:rPr>
              <w:t>Bidragsstöd efter utvärderingen av projektförslag inom ramen för ansökningsomgången för bidragsstöd för digitalisering i syfte att stödja den digitala omvandlingen av kroatiska små och medelstora företag genom att ge ekonomiskt stöd till införandet av digitala lösningar och minst 160 små och medelstora företag drar nytta av det tilldelade stödet.</w:t>
            </w:r>
            <w:r>
              <w:rPr>
                <w:noProof/>
              </w:rPr>
              <w:br/>
              <w:t>Ett berättigat digitaliseringsprojekt för företag ska omfatta följande: införande av ett nytt sätt att bedriva affärsverksamhet. och ii) en verifierbar förbättring i fråga om ny produktionskapacitet, leveransalternativ eller affärspraxis. Projektet måste omfatta innovation och risker och får inte inriktas på rutinmässiga operativa förändringar eller affärsjusteringar till följd av regeländringar.</w:t>
            </w:r>
            <w:r>
              <w:rPr>
                <w:noProof/>
              </w:rPr>
              <w:br/>
              <w:t>Stödmottagarna ska visa att de projekt som får stöd inte ska öka utsläppen av växthusgaser om investeringen är kopplad till ökad serverkapacitet eller någon annan typ av utrustning som förbrukar mer energi än befintlig utrustning. Detta kan påvisas genom planer för inköp av förnybar energi, utsläppskrediter eller på annat sätt.</w:t>
            </w:r>
          </w:p>
        </w:tc>
      </w:tr>
      <w:tr w:rsidR="003A3D51" w14:paraId="31F0D8C6"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2C1ED366" w14:textId="77777777" w:rsidR="003A3D51" w:rsidRDefault="0002775A">
            <w:pPr>
              <w:pStyle w:val="P68B1DB1-Normal7"/>
              <w:spacing w:before="120" w:after="120" w:line="240" w:lineRule="auto"/>
              <w:jc w:val="center"/>
              <w:rPr>
                <w:rFonts w:ascii="Times New Roman" w:hAnsi="Times New Roman" w:cs="Times New Roman"/>
                <w:noProof/>
              </w:rPr>
            </w:pPr>
            <w:r>
              <w:rPr>
                <w:noProof/>
              </w:rPr>
              <w:t>35</w:t>
            </w:r>
          </w:p>
        </w:tc>
        <w:tc>
          <w:tcPr>
            <w:tcW w:w="833" w:type="dxa"/>
            <w:tcBorders>
              <w:top w:val="single" w:sz="4" w:space="0" w:color="auto"/>
              <w:left w:val="nil"/>
              <w:bottom w:val="single" w:sz="4" w:space="0" w:color="auto"/>
              <w:right w:val="single" w:sz="4" w:space="0" w:color="auto"/>
            </w:tcBorders>
            <w:shd w:val="clear" w:color="auto" w:fill="C6EFCE"/>
            <w:noWrap/>
          </w:tcPr>
          <w:p w14:paraId="35A0AEFF" w14:textId="77777777" w:rsidR="003A3D51" w:rsidRDefault="0002775A">
            <w:pPr>
              <w:pStyle w:val="P68B1DB1-Normal7"/>
              <w:spacing w:before="120" w:after="120" w:line="240" w:lineRule="auto"/>
              <w:rPr>
                <w:rFonts w:ascii="Times New Roman" w:hAnsi="Times New Roman" w:cs="Times New Roman"/>
                <w:noProof/>
              </w:rPr>
            </w:pPr>
            <w:r>
              <w:rPr>
                <w:noProof/>
              </w:rPr>
              <w:t>C1.1.2 R4-I1</w:t>
            </w:r>
          </w:p>
        </w:tc>
        <w:tc>
          <w:tcPr>
            <w:tcW w:w="806" w:type="dxa"/>
            <w:tcBorders>
              <w:top w:val="single" w:sz="4" w:space="0" w:color="auto"/>
              <w:left w:val="nil"/>
              <w:bottom w:val="single" w:sz="4" w:space="0" w:color="auto"/>
              <w:right w:val="single" w:sz="4" w:space="0" w:color="auto"/>
            </w:tcBorders>
            <w:shd w:val="clear" w:color="auto" w:fill="C6EFCE"/>
            <w:noWrap/>
          </w:tcPr>
          <w:p w14:paraId="7066364A" w14:textId="77777777" w:rsidR="003A3D51" w:rsidRDefault="0002775A">
            <w:pPr>
              <w:pStyle w:val="P68B1DB1-Normal7"/>
              <w:spacing w:before="120" w:after="120" w:line="240" w:lineRule="auto"/>
              <w:jc w:val="center"/>
              <w:rPr>
                <w:rFonts w:ascii="Times New Roman" w:hAnsi="Times New Roman" w:cs="Times New Roman"/>
                <w:noProof/>
              </w:rPr>
            </w:pPr>
            <w:r>
              <w:rPr>
                <w:noProof/>
              </w:rPr>
              <w:t>T</w:t>
            </w:r>
          </w:p>
        </w:tc>
        <w:tc>
          <w:tcPr>
            <w:tcW w:w="1900" w:type="dxa"/>
            <w:tcBorders>
              <w:top w:val="single" w:sz="4" w:space="0" w:color="auto"/>
              <w:left w:val="nil"/>
              <w:bottom w:val="single" w:sz="4" w:space="0" w:color="auto"/>
              <w:right w:val="single" w:sz="4" w:space="0" w:color="auto"/>
            </w:tcBorders>
            <w:shd w:val="clear" w:color="auto" w:fill="C6EFCE"/>
            <w:noWrap/>
          </w:tcPr>
          <w:p w14:paraId="1C3DA3EE" w14:textId="77777777" w:rsidR="003A3D51" w:rsidRDefault="0002775A">
            <w:pPr>
              <w:pStyle w:val="P68B1DB1-Normal7"/>
              <w:spacing w:before="120" w:after="120" w:line="240" w:lineRule="auto"/>
              <w:rPr>
                <w:rFonts w:ascii="Times New Roman" w:hAnsi="Times New Roman" w:cs="Times New Roman"/>
                <w:noProof/>
              </w:rPr>
            </w:pPr>
            <w:r>
              <w:rPr>
                <w:noProof/>
              </w:rPr>
              <w:t xml:space="preserve">Inrättande av europeiska digitala innovationsknutpunkter </w:t>
            </w:r>
          </w:p>
        </w:tc>
        <w:tc>
          <w:tcPr>
            <w:tcW w:w="1555" w:type="dxa"/>
            <w:tcBorders>
              <w:top w:val="single" w:sz="4" w:space="0" w:color="auto"/>
              <w:left w:val="nil"/>
              <w:bottom w:val="single" w:sz="4" w:space="0" w:color="auto"/>
              <w:right w:val="single" w:sz="4" w:space="0" w:color="auto"/>
            </w:tcBorders>
            <w:shd w:val="clear" w:color="auto" w:fill="C6EFCE"/>
            <w:noWrap/>
          </w:tcPr>
          <w:p w14:paraId="03C69C6F" w14:textId="77777777" w:rsidR="003A3D51" w:rsidRDefault="0002775A">
            <w:pPr>
              <w:pStyle w:val="P68B1DB1-Normal7"/>
              <w:spacing w:before="120" w:after="120" w:line="240" w:lineRule="auto"/>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56BFFEC" w14:textId="77777777" w:rsidR="003A3D51" w:rsidRDefault="0002775A">
            <w:pPr>
              <w:pStyle w:val="P68B1DB1-Normal7"/>
              <w:spacing w:before="120" w:after="120" w:line="240" w:lineRule="auto"/>
              <w:jc w:val="center"/>
              <w:rPr>
                <w:rFonts w:ascii="Times New Roman" w:hAnsi="Times New Roman" w:cs="Times New Roman"/>
                <w:noProof/>
              </w:rPr>
            </w:pPr>
            <w:r>
              <w:rPr>
                <w:noProof/>
              </w:rPr>
              <w:t>Antal</w:t>
            </w:r>
          </w:p>
        </w:tc>
        <w:tc>
          <w:tcPr>
            <w:tcW w:w="1059" w:type="dxa"/>
            <w:tcBorders>
              <w:top w:val="single" w:sz="4" w:space="0" w:color="auto"/>
              <w:left w:val="nil"/>
              <w:bottom w:val="single" w:sz="4" w:space="0" w:color="auto"/>
              <w:right w:val="single" w:sz="4" w:space="0" w:color="auto"/>
            </w:tcBorders>
            <w:shd w:val="clear" w:color="auto" w:fill="C6EFCE"/>
            <w:noWrap/>
          </w:tcPr>
          <w:p w14:paraId="4B460A61" w14:textId="77777777" w:rsidR="003A3D51" w:rsidRDefault="0002775A">
            <w:pPr>
              <w:pStyle w:val="P68B1DB1-Normal7"/>
              <w:spacing w:before="120" w:after="120" w:line="240" w:lineRule="auto"/>
              <w:jc w:val="center"/>
              <w:rPr>
                <w:rFonts w:ascii="Times New Roman" w:hAnsi="Times New Roman" w:cs="Times New Roman"/>
                <w:noProof/>
              </w:rPr>
            </w:pPr>
            <w:r>
              <w:rPr>
                <w:noProof/>
              </w:rPr>
              <w:t>0</w:t>
            </w:r>
          </w:p>
        </w:tc>
        <w:tc>
          <w:tcPr>
            <w:tcW w:w="1458" w:type="dxa"/>
            <w:tcBorders>
              <w:top w:val="single" w:sz="4" w:space="0" w:color="auto"/>
              <w:left w:val="nil"/>
              <w:bottom w:val="single" w:sz="4" w:space="0" w:color="auto"/>
              <w:right w:val="single" w:sz="4" w:space="0" w:color="auto"/>
            </w:tcBorders>
            <w:shd w:val="clear" w:color="auto" w:fill="C6EFCE"/>
            <w:noWrap/>
          </w:tcPr>
          <w:p w14:paraId="5908F8A3" w14:textId="77777777" w:rsidR="003A3D51" w:rsidRDefault="0002775A">
            <w:pPr>
              <w:pStyle w:val="P68B1DB1-Normal7"/>
              <w:spacing w:before="120" w:after="120" w:line="240" w:lineRule="auto"/>
              <w:jc w:val="center"/>
              <w:rPr>
                <w:rFonts w:ascii="Times New Roman" w:hAnsi="Times New Roman" w:cs="Times New Roman"/>
                <w:noProof/>
              </w:rPr>
            </w:pPr>
            <w:r>
              <w:rPr>
                <w:noProof/>
              </w:rPr>
              <w:t>3</w:t>
            </w:r>
          </w:p>
        </w:tc>
        <w:tc>
          <w:tcPr>
            <w:tcW w:w="868" w:type="dxa"/>
            <w:tcBorders>
              <w:top w:val="single" w:sz="4" w:space="0" w:color="auto"/>
              <w:left w:val="nil"/>
              <w:bottom w:val="single" w:sz="4" w:space="0" w:color="auto"/>
              <w:right w:val="single" w:sz="4" w:space="0" w:color="auto"/>
            </w:tcBorders>
            <w:shd w:val="clear" w:color="auto" w:fill="C6EFCE"/>
            <w:noWrap/>
          </w:tcPr>
          <w:p w14:paraId="48377768" w14:textId="77777777" w:rsidR="003A3D51" w:rsidRDefault="0002775A">
            <w:pPr>
              <w:pStyle w:val="P68B1DB1-Normal7"/>
              <w:spacing w:before="120" w:after="120" w:line="240" w:lineRule="auto"/>
              <w:jc w:val="center"/>
              <w:rPr>
                <w:rFonts w:ascii="Times New Roman" w:hAnsi="Times New Roman" w:cs="Times New Roman"/>
                <w:noProof/>
              </w:rPr>
            </w:pPr>
            <w:r>
              <w:rPr>
                <w:noProof/>
              </w:rPr>
              <w:t>KVARTAL 4</w:t>
            </w:r>
          </w:p>
        </w:tc>
        <w:tc>
          <w:tcPr>
            <w:tcW w:w="966" w:type="dxa"/>
            <w:tcBorders>
              <w:top w:val="single" w:sz="4" w:space="0" w:color="auto"/>
              <w:left w:val="nil"/>
              <w:bottom w:val="single" w:sz="4" w:space="0" w:color="auto"/>
              <w:right w:val="single" w:sz="4" w:space="0" w:color="auto"/>
            </w:tcBorders>
            <w:shd w:val="clear" w:color="auto" w:fill="C6EFCE"/>
            <w:noWrap/>
          </w:tcPr>
          <w:p w14:paraId="12ECA3BB" w14:textId="77777777" w:rsidR="003A3D51" w:rsidRDefault="0002775A">
            <w:pPr>
              <w:pStyle w:val="P68B1DB1-Normal7"/>
              <w:spacing w:before="120" w:after="120" w:line="240" w:lineRule="auto"/>
              <w:jc w:val="center"/>
              <w:rPr>
                <w:rFonts w:ascii="Times New Roman" w:hAnsi="Times New Roman" w:cs="Times New Roman"/>
                <w:noProof/>
              </w:rPr>
            </w:pPr>
            <w:r>
              <w:rPr>
                <w:noProof/>
              </w:rPr>
              <w:t>2025</w:t>
            </w:r>
          </w:p>
        </w:tc>
        <w:tc>
          <w:tcPr>
            <w:tcW w:w="4710" w:type="dxa"/>
            <w:tcBorders>
              <w:top w:val="single" w:sz="4" w:space="0" w:color="auto"/>
              <w:left w:val="nil"/>
              <w:bottom w:val="single" w:sz="4" w:space="0" w:color="auto"/>
              <w:right w:val="single" w:sz="4" w:space="0" w:color="auto"/>
            </w:tcBorders>
            <w:shd w:val="clear" w:color="auto" w:fill="C6EFCE"/>
            <w:noWrap/>
          </w:tcPr>
          <w:p w14:paraId="1B51F356" w14:textId="77777777" w:rsidR="003A3D51" w:rsidRDefault="0002775A">
            <w:pPr>
              <w:pStyle w:val="P68B1DB1-Normal7"/>
              <w:spacing w:before="120" w:after="120" w:line="240" w:lineRule="auto"/>
              <w:rPr>
                <w:rFonts w:ascii="Times New Roman" w:hAnsi="Times New Roman" w:cs="Times New Roman"/>
                <w:noProof/>
              </w:rPr>
            </w:pPr>
            <w:r>
              <w:rPr>
                <w:noProof/>
              </w:rPr>
              <w:t xml:space="preserve">Minst 3 europeiska digitala innovationsknutpunkter har inrättats och tagits i drift och tillhandahåller tjänster till små och medelstora företag på områdena i) testning före investering, ii) kompetensutveckling och utbildning, iii) tillgång till finansiering och iv) nätverksbyggande och utveckling av innovativa ekosystem. </w:t>
            </w:r>
          </w:p>
        </w:tc>
      </w:tr>
    </w:tbl>
    <w:p w14:paraId="7FB8F60C" w14:textId="77777777" w:rsidR="003A3D51" w:rsidRDefault="003A3D51">
      <w:pPr>
        <w:spacing w:before="120" w:after="120" w:line="240" w:lineRule="auto"/>
        <w:jc w:val="both"/>
        <w:rPr>
          <w:rFonts w:ascii="Times New Roman" w:eastAsia="Calibri" w:hAnsi="Times New Roman" w:cs="Times New Roman"/>
          <w:noProof/>
          <w:sz w:val="24"/>
        </w:rPr>
        <w:sectPr w:rsidR="003A3D51" w:rsidSect="0001477B">
          <w:headerReference w:type="even" r:id="rId24"/>
          <w:headerReference w:type="default" r:id="rId25"/>
          <w:footerReference w:type="even" r:id="rId26"/>
          <w:footerReference w:type="default" r:id="rId27"/>
          <w:headerReference w:type="first" r:id="rId28"/>
          <w:footerReference w:type="first" r:id="rId29"/>
          <w:pgSz w:w="16839" w:h="11907" w:orient="landscape"/>
          <w:pgMar w:top="1134" w:right="1134" w:bottom="1134" w:left="1134" w:header="567" w:footer="567" w:gutter="0"/>
          <w:cols w:space="720"/>
          <w:docGrid w:linePitch="360"/>
        </w:sectPr>
      </w:pPr>
    </w:p>
    <w:p w14:paraId="75C42D8E" w14:textId="2D54ED3D" w:rsidR="003A3D51" w:rsidRDefault="0002775A">
      <w:pPr>
        <w:spacing w:before="120" w:after="120" w:line="240" w:lineRule="auto"/>
        <w:jc w:val="both"/>
        <w:textAlignment w:val="baseline"/>
        <w:rPr>
          <w:rFonts w:ascii="Times New Roman" w:eastAsia="Times New Roman" w:hAnsi="Times New Roman" w:cs="Times New Roman"/>
          <w:noProof/>
          <w:color w:val="000000" w:themeColor="text1"/>
          <w:sz w:val="24"/>
        </w:rPr>
      </w:pPr>
      <w:r>
        <w:rPr>
          <w:rFonts w:ascii="Times New Roman" w:eastAsia="Times New Roman" w:hAnsi="Times New Roman" w:cs="Times New Roman"/>
          <w:b/>
          <w:noProof/>
          <w:color w:val="000000" w:themeColor="text1"/>
          <w:sz w:val="24"/>
        </w:rPr>
        <w:t xml:space="preserve">A.3 </w:t>
      </w:r>
      <w:r>
        <w:rPr>
          <w:noProof/>
        </w:rPr>
        <w:tab/>
      </w:r>
      <w:r>
        <w:rPr>
          <w:rFonts w:ascii="Times New Roman" w:eastAsia="Times New Roman" w:hAnsi="Times New Roman" w:cs="Times New Roman"/>
          <w:b/>
          <w:noProof/>
          <w:color w:val="000000" w:themeColor="text1"/>
          <w:sz w:val="24"/>
        </w:rPr>
        <w:t xml:space="preserve">Beskrivning av reformerna och investeringarna för lånet </w:t>
      </w:r>
    </w:p>
    <w:p w14:paraId="0214A2E4" w14:textId="77777777" w:rsidR="003A3D51" w:rsidRDefault="0002775A">
      <w:pPr>
        <w:pStyle w:val="P68B1DB1-Normal8"/>
        <w:spacing w:before="120" w:after="120" w:line="240" w:lineRule="auto"/>
        <w:jc w:val="both"/>
        <w:textAlignment w:val="baseline"/>
        <w:rPr>
          <w:noProof/>
        </w:rPr>
      </w:pPr>
      <w:r>
        <w:rPr>
          <w:noProof/>
        </w:rPr>
        <w:t xml:space="preserve"> </w:t>
      </w:r>
    </w:p>
    <w:p w14:paraId="6CB9B382" w14:textId="77777777" w:rsidR="003A3D51" w:rsidRDefault="0002775A">
      <w:pPr>
        <w:pStyle w:val="P68B1DB1-Normal9"/>
        <w:keepNext/>
        <w:spacing w:before="120" w:line="240" w:lineRule="auto"/>
        <w:ind w:left="720"/>
        <w:jc w:val="both"/>
        <w:textAlignment w:val="baseline"/>
        <w:rPr>
          <w:rFonts w:eastAsia="Times New Roman"/>
          <w:noProof/>
        </w:rPr>
      </w:pPr>
      <w:r>
        <w:rPr>
          <w:noProof/>
        </w:rPr>
        <w:t>Reform C1.1.1 R5 Diversifiering av kapitalmarknaderna och förbättrad tillgång till alternativ finansiering</w:t>
      </w:r>
    </w:p>
    <w:p w14:paraId="34DB035B" w14:textId="77777777" w:rsidR="003A3D51" w:rsidRDefault="0002775A">
      <w:pPr>
        <w:pStyle w:val="paragraph"/>
        <w:spacing w:before="0" w:beforeAutospacing="0" w:after="240" w:afterAutospacing="0"/>
        <w:jc w:val="both"/>
        <w:textAlignment w:val="baseline"/>
        <w:rPr>
          <w:rFonts w:ascii="Segoe UI" w:hAnsi="Segoe UI" w:cs="Segoe UI"/>
          <w:noProof/>
          <w:sz w:val="18"/>
        </w:rPr>
      </w:pPr>
      <w:r>
        <w:rPr>
          <w:rStyle w:val="normaltextrun"/>
          <w:noProof/>
        </w:rPr>
        <w:t>Syftet med denna åtgärd är att skapa en strategisk ram och åtgärder för att utveckla den nationella kapitalmarknaden. Reformen består i att anta en strategi som följs av två handlingsplaner. </w:t>
      </w:r>
    </w:p>
    <w:p w14:paraId="511C92EC" w14:textId="77777777" w:rsidR="003A3D51" w:rsidRDefault="0002775A">
      <w:pPr>
        <w:pStyle w:val="paragraph"/>
        <w:spacing w:before="0" w:beforeAutospacing="0" w:after="240" w:afterAutospacing="0"/>
        <w:jc w:val="both"/>
        <w:textAlignment w:val="baseline"/>
        <w:rPr>
          <w:rFonts w:ascii="Segoe UI" w:hAnsi="Segoe UI" w:cs="Segoe UI"/>
          <w:noProof/>
          <w:sz w:val="18"/>
        </w:rPr>
      </w:pPr>
      <w:r>
        <w:rPr>
          <w:rStyle w:val="normaltextrun"/>
          <w:noProof/>
        </w:rPr>
        <w:t>Strategin (den strategiska ramen för utvecklingen av kapitalmarknaden i Kroatien) ska innehålla en analys av situationen på kapitalmarknaden i Kroatien och identifiera de viktigaste hindren för dess funktion som alternativ finansieringskälla och möjligheter till diversifiering och utveckling. Minst följande ska beaktas: </w:t>
      </w:r>
    </w:p>
    <w:p w14:paraId="503D51E8" w14:textId="27859FCA" w:rsidR="003A3D51" w:rsidRDefault="0002775A">
      <w:pPr>
        <w:pStyle w:val="paragraph"/>
        <w:numPr>
          <w:ilvl w:val="0"/>
          <w:numId w:val="64"/>
        </w:numPr>
        <w:spacing w:before="0" w:beforeAutospacing="0" w:after="0" w:afterAutospacing="0"/>
        <w:jc w:val="both"/>
        <w:textAlignment w:val="baseline"/>
        <w:rPr>
          <w:rStyle w:val="eop"/>
          <w:noProof/>
        </w:rPr>
      </w:pPr>
      <w:r>
        <w:rPr>
          <w:rStyle w:val="normaltextrun"/>
          <w:noProof/>
        </w:rPr>
        <w:t>De stora institutionella investerarnas roll på kapitalmarknaden, inbegripet institut inom den andra pelaren (särskilt obligatoriska pensionsfonder och pensionsförsäkringsbolag) och försäkringsbolag. </w:t>
      </w:r>
    </w:p>
    <w:p w14:paraId="5B7C19E1" w14:textId="77777777" w:rsidR="003A3D51" w:rsidRDefault="0002775A">
      <w:pPr>
        <w:pStyle w:val="paragraph"/>
        <w:numPr>
          <w:ilvl w:val="0"/>
          <w:numId w:val="63"/>
        </w:numPr>
        <w:spacing w:before="0" w:beforeAutospacing="0" w:after="0" w:afterAutospacing="0"/>
        <w:jc w:val="both"/>
        <w:textAlignment w:val="baseline"/>
        <w:rPr>
          <w:rStyle w:val="eop"/>
          <w:noProof/>
        </w:rPr>
      </w:pPr>
      <w:r>
        <w:rPr>
          <w:rStyle w:val="normaltextrun"/>
          <w:noProof/>
        </w:rPr>
        <w:t>Utvidga möjligheterna och förenkla förfarandena för notering, med beaktande av statsägda företag, små och medelstora företag och medelstora börsnoterade företag, </w:t>
      </w:r>
    </w:p>
    <w:p w14:paraId="42F9BC75" w14:textId="77777777" w:rsidR="003A3D51" w:rsidRDefault="0002775A">
      <w:pPr>
        <w:pStyle w:val="paragraph"/>
        <w:numPr>
          <w:ilvl w:val="0"/>
          <w:numId w:val="62"/>
        </w:numPr>
        <w:spacing w:before="0" w:beforeAutospacing="0" w:after="0" w:afterAutospacing="0"/>
        <w:jc w:val="both"/>
        <w:textAlignment w:val="baseline"/>
        <w:rPr>
          <w:rStyle w:val="eop"/>
          <w:noProof/>
        </w:rPr>
      </w:pPr>
      <w:r>
        <w:rPr>
          <w:rStyle w:val="normaltextrun"/>
          <w:noProof/>
        </w:rPr>
        <w:t>Öka likviditeten, diversifieringen och omsättningen på kapitalmarknaden, inbegripet främjande av marknadsgarantverksamhet. </w:t>
      </w:r>
    </w:p>
    <w:p w14:paraId="01BFA7AE" w14:textId="77777777" w:rsidR="003A3D51" w:rsidRDefault="0002775A">
      <w:pPr>
        <w:pStyle w:val="paragraph"/>
        <w:numPr>
          <w:ilvl w:val="0"/>
          <w:numId w:val="61"/>
        </w:numPr>
        <w:spacing w:before="0" w:beforeAutospacing="0" w:after="0" w:afterAutospacing="0"/>
        <w:jc w:val="both"/>
        <w:textAlignment w:val="baseline"/>
        <w:rPr>
          <w:rStyle w:val="eop"/>
          <w:noProof/>
        </w:rPr>
      </w:pPr>
      <w:r>
        <w:rPr>
          <w:rStyle w:val="normaltextrun"/>
          <w:noProof/>
        </w:rPr>
        <w:t>Främja en djupare marknad för finansiella instrument, såsom företagsobligationer och statsobligationer samt råvaruderivat och värdepapperiseringar. </w:t>
      </w:r>
    </w:p>
    <w:p w14:paraId="30906327" w14:textId="5181FAEB" w:rsidR="003A3D51" w:rsidRDefault="0002775A">
      <w:pPr>
        <w:pStyle w:val="paragraph"/>
        <w:numPr>
          <w:ilvl w:val="0"/>
          <w:numId w:val="68"/>
        </w:numPr>
        <w:spacing w:before="0" w:beforeAutospacing="0" w:after="0" w:afterAutospacing="0"/>
        <w:jc w:val="both"/>
        <w:textAlignment w:val="baseline"/>
        <w:rPr>
          <w:rStyle w:val="eop"/>
          <w:noProof/>
        </w:rPr>
      </w:pPr>
      <w:r>
        <w:rPr>
          <w:rStyle w:val="normaltextrun"/>
          <w:noProof/>
        </w:rPr>
        <w:t>Utveckla befintliga finansmarknadsinfrastrukturer, inbegripet alternativ för att förbättra den centrala motpartens affärsmodell. </w:t>
      </w:r>
    </w:p>
    <w:p w14:paraId="2E3897B4" w14:textId="5E13A1A9" w:rsidR="003A3D51" w:rsidRDefault="0002775A">
      <w:pPr>
        <w:pStyle w:val="paragraph"/>
        <w:numPr>
          <w:ilvl w:val="0"/>
          <w:numId w:val="67"/>
        </w:numPr>
        <w:spacing w:before="0" w:beforeAutospacing="0" w:after="0" w:afterAutospacing="0"/>
        <w:jc w:val="both"/>
        <w:textAlignment w:val="baseline"/>
        <w:rPr>
          <w:rStyle w:val="eop"/>
          <w:noProof/>
        </w:rPr>
      </w:pPr>
      <w:r>
        <w:rPr>
          <w:rStyle w:val="normaltextrun"/>
          <w:noProof/>
        </w:rPr>
        <w:t>Anpassning av regelverket för att bättre motsvara målet att utveckla kapitalmarknaden. </w:t>
      </w:r>
    </w:p>
    <w:p w14:paraId="4C209846" w14:textId="31B0DEDF" w:rsidR="003A3D51" w:rsidRDefault="0002775A">
      <w:pPr>
        <w:pStyle w:val="paragraph"/>
        <w:numPr>
          <w:ilvl w:val="0"/>
          <w:numId w:val="66"/>
        </w:numPr>
        <w:spacing w:before="0" w:beforeAutospacing="0" w:after="0" w:afterAutospacing="0"/>
        <w:jc w:val="both"/>
        <w:textAlignment w:val="baseline"/>
        <w:rPr>
          <w:rStyle w:val="eop"/>
          <w:noProof/>
        </w:rPr>
      </w:pPr>
      <w:r>
        <w:rPr>
          <w:rStyle w:val="normaltextrun"/>
          <w:noProof/>
        </w:rPr>
        <w:t>Stärka investerarnas finanskunskap. </w:t>
      </w:r>
    </w:p>
    <w:p w14:paraId="197EA500" w14:textId="0840FDB0" w:rsidR="003A3D51" w:rsidRDefault="0002775A">
      <w:pPr>
        <w:pStyle w:val="paragraph"/>
        <w:numPr>
          <w:ilvl w:val="0"/>
          <w:numId w:val="69"/>
        </w:numPr>
        <w:spacing w:before="0" w:beforeAutospacing="0" w:after="0" w:afterAutospacing="0"/>
        <w:jc w:val="both"/>
        <w:textAlignment w:val="baseline"/>
        <w:rPr>
          <w:rStyle w:val="eop"/>
          <w:noProof/>
        </w:rPr>
      </w:pPr>
      <w:r>
        <w:rPr>
          <w:rStyle w:val="normaltextrun"/>
          <w:noProof/>
        </w:rPr>
        <w:t>Stärka ramen för hållbar finansiering. </w:t>
      </w:r>
    </w:p>
    <w:p w14:paraId="2A8CB63C" w14:textId="0B4FB109" w:rsidR="003A3D51" w:rsidRDefault="003A3D51">
      <w:pPr>
        <w:pStyle w:val="paragraph"/>
        <w:spacing w:before="0" w:beforeAutospacing="0" w:after="0" w:afterAutospacing="0"/>
        <w:jc w:val="both"/>
        <w:textAlignment w:val="baseline"/>
        <w:rPr>
          <w:rFonts w:ascii="Segoe UI" w:hAnsi="Segoe UI" w:cs="Segoe UI"/>
          <w:noProof/>
          <w:sz w:val="18"/>
        </w:rPr>
      </w:pPr>
    </w:p>
    <w:p w14:paraId="7337EF57" w14:textId="77777777" w:rsidR="003A3D51" w:rsidRDefault="0002775A">
      <w:pPr>
        <w:pStyle w:val="paragraph"/>
        <w:spacing w:before="0" w:beforeAutospacing="0" w:after="240" w:afterAutospacing="0"/>
        <w:jc w:val="both"/>
        <w:textAlignment w:val="baseline"/>
        <w:rPr>
          <w:rFonts w:ascii="Segoe UI" w:hAnsi="Segoe UI" w:cs="Segoe UI"/>
          <w:noProof/>
          <w:sz w:val="18"/>
        </w:rPr>
      </w:pPr>
      <w:r>
        <w:rPr>
          <w:rStyle w:val="normaltextrun"/>
          <w:noProof/>
        </w:rPr>
        <w:t>På grundval av den strategiska ramen ska regeringen anta två handlingsplaner med åtgärder på kort och medellång sikt och tidsfrister för genomförandet av enskilda åtgärder. Den första handlingsplanen ska antas av regeringen senast första kvartalet 4 2024, följt av den andra handlingsplanen, som ska antas av regeringen senast första kvartalet 1 2026. </w:t>
      </w:r>
    </w:p>
    <w:p w14:paraId="0CBC4A2A" w14:textId="18B7D256" w:rsidR="003A3D51" w:rsidRDefault="0002775A">
      <w:pPr>
        <w:pStyle w:val="paragraph"/>
        <w:spacing w:before="0" w:beforeAutospacing="0" w:after="240" w:afterAutospacing="0"/>
        <w:jc w:val="both"/>
        <w:textAlignment w:val="baseline"/>
        <w:rPr>
          <w:rFonts w:ascii="Segoe UI" w:hAnsi="Segoe UI" w:cs="Segoe UI"/>
          <w:noProof/>
          <w:sz w:val="18"/>
        </w:rPr>
      </w:pPr>
      <w:r>
        <w:rPr>
          <w:rStyle w:val="normaltextrun"/>
          <w:noProof/>
        </w:rPr>
        <w:t>Reformen ska vara genomförd senast den 31 mars 2026. </w:t>
      </w:r>
    </w:p>
    <w:p w14:paraId="348C1DE9" w14:textId="77777777" w:rsidR="003A3D51" w:rsidRDefault="0002775A">
      <w:pPr>
        <w:pStyle w:val="P68B1DB1-Normal10"/>
        <w:spacing w:before="120" w:after="120" w:line="240" w:lineRule="auto"/>
        <w:ind w:firstLine="720"/>
        <w:jc w:val="both"/>
        <w:textAlignment w:val="baseline"/>
        <w:rPr>
          <w:noProof/>
        </w:rPr>
      </w:pPr>
      <w:r>
        <w:rPr>
          <w:noProof/>
        </w:rPr>
        <w:t>Reform C1.1.1. R7 Inrättande av forumet för stöd till hållbar finansiering</w:t>
      </w:r>
    </w:p>
    <w:p w14:paraId="7E644444" w14:textId="77777777" w:rsidR="003A3D51" w:rsidRDefault="0002775A">
      <w:pPr>
        <w:pStyle w:val="P68B1DB1-Normal11"/>
        <w:spacing w:before="120" w:after="240" w:line="240" w:lineRule="auto"/>
        <w:jc w:val="both"/>
        <w:textAlignment w:val="baseline"/>
        <w:rPr>
          <w:noProof/>
        </w:rPr>
      </w:pPr>
      <w:r>
        <w:rPr>
          <w:noProof/>
        </w:rPr>
        <w:t>Syftet med reformen är att stärka finanssektorns bidrag till den gröna omställningen och stödja den i genomförandet av rättsliga krav på området hållbar finansiering.</w:t>
      </w:r>
    </w:p>
    <w:p w14:paraId="679BE6A0" w14:textId="77777777" w:rsidR="003A3D51" w:rsidRDefault="0002775A">
      <w:pPr>
        <w:pStyle w:val="P68B1DB1-Normal11"/>
        <w:spacing w:before="120" w:after="240" w:line="240" w:lineRule="auto"/>
        <w:jc w:val="both"/>
        <w:textAlignment w:val="baseline"/>
        <w:rPr>
          <w:noProof/>
        </w:rPr>
      </w:pPr>
      <w:r>
        <w:rPr>
          <w:noProof/>
        </w:rPr>
        <w:t xml:space="preserve">En gemensam plattform kallad forumet för stöd till hållbar finansiering (SFSF) ska inrättas i syfte att utbyta information och koppla samman finanssektorn (banker och andra sektorer) med fackministerier, tillsynsmyndigheter, experter och andra intressenter. Efter inrättandet av forumet för stöd till hållbar finansiering ska finansministeriet utarbeta en första handlingsplan med åtgärder och tidsplaner för genomförandet av enskilda åtgärder till stöd för reformens mål. </w:t>
      </w:r>
    </w:p>
    <w:p w14:paraId="62EB8720" w14:textId="77777777" w:rsidR="003A3D51" w:rsidRDefault="0002775A">
      <w:pPr>
        <w:pStyle w:val="P68B1DB1-Normal11"/>
        <w:spacing w:before="120" w:after="120" w:line="240" w:lineRule="auto"/>
        <w:jc w:val="both"/>
        <w:textAlignment w:val="baseline"/>
        <w:rPr>
          <w:rFonts w:eastAsia="Calibri"/>
          <w:noProof/>
        </w:rPr>
      </w:pPr>
      <w:r>
        <w:rPr>
          <w:noProof/>
        </w:rPr>
        <w:t>Reformen ska vara genomförd senast den 31 mars 2025.</w:t>
      </w:r>
    </w:p>
    <w:p w14:paraId="00ABD243" w14:textId="77777777" w:rsidR="003A3D51" w:rsidRDefault="0002775A">
      <w:pPr>
        <w:spacing w:before="120" w:after="120" w:line="240" w:lineRule="auto"/>
        <w:jc w:val="both"/>
        <w:textAlignment w:val="baseline"/>
        <w:rPr>
          <w:rStyle w:val="eop"/>
          <w:noProof/>
        </w:rPr>
        <w:sectPr w:rsidR="003A3D5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pPr>
      <w:r>
        <w:rPr>
          <w:noProof/>
        </w:rPr>
        <w:br/>
        <w:t> </w:t>
      </w:r>
    </w:p>
    <w:p w14:paraId="5AADFC93" w14:textId="5A7A4F92" w:rsidR="003A3D51" w:rsidRDefault="0002775A">
      <w:pPr>
        <w:spacing w:before="120" w:after="120" w:line="240" w:lineRule="auto"/>
        <w:jc w:val="both"/>
        <w:textAlignment w:val="baseline"/>
        <w:rPr>
          <w:rFonts w:ascii="Times New Roman" w:eastAsia="Times New Roman" w:hAnsi="Times New Roman" w:cs="Times New Roman"/>
          <w:noProof/>
          <w:color w:val="000000" w:themeColor="text1"/>
          <w:sz w:val="24"/>
        </w:rPr>
      </w:pPr>
      <w:r>
        <w:rPr>
          <w:rFonts w:ascii="Times New Roman" w:eastAsia="Times New Roman" w:hAnsi="Times New Roman" w:cs="Times New Roman"/>
          <w:b/>
          <w:noProof/>
          <w:color w:val="000000" w:themeColor="text1"/>
          <w:sz w:val="24"/>
        </w:rPr>
        <w:t xml:space="preserve">A.4 </w:t>
      </w:r>
      <w:r>
        <w:rPr>
          <w:noProof/>
        </w:rPr>
        <w:tab/>
      </w:r>
      <w:r>
        <w:rPr>
          <w:rFonts w:ascii="Times New Roman" w:eastAsia="Times New Roman" w:hAnsi="Times New Roman" w:cs="Times New Roman"/>
          <w:b/>
          <w:noProof/>
          <w:color w:val="000000" w:themeColor="text1"/>
          <w:sz w:val="24"/>
        </w:rPr>
        <w:t xml:space="preserve">Delmål, mål, indikatorer och tidsplan för övervakning och genomförande av lånet </w:t>
      </w:r>
    </w:p>
    <w:tbl>
      <w:tblPr>
        <w:tblW w:w="15027" w:type="dxa"/>
        <w:tblInd w:w="-88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08"/>
        <w:gridCol w:w="1329"/>
        <w:gridCol w:w="1246"/>
        <w:gridCol w:w="1384"/>
        <w:gridCol w:w="2072"/>
        <w:gridCol w:w="955"/>
        <w:gridCol w:w="986"/>
        <w:gridCol w:w="695"/>
        <w:gridCol w:w="999"/>
        <w:gridCol w:w="709"/>
        <w:gridCol w:w="3544"/>
      </w:tblGrid>
      <w:tr w:rsidR="003A3D51" w14:paraId="5F0BC7A6" w14:textId="77777777">
        <w:trPr>
          <w:trHeight w:val="573"/>
        </w:trPr>
        <w:tc>
          <w:tcPr>
            <w:tcW w:w="1108"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5FBF81FF" w14:textId="6852B74D" w:rsidR="003A3D51" w:rsidRDefault="0002775A">
            <w:pPr>
              <w:pStyle w:val="P68B1DB1-Normal12"/>
              <w:spacing w:before="120" w:after="120" w:line="240" w:lineRule="auto"/>
              <w:jc w:val="center"/>
              <w:rPr>
                <w:noProof/>
              </w:rPr>
            </w:pPr>
            <w:r>
              <w:rPr>
                <w:noProof/>
              </w:rPr>
              <w:t>Antal</w:t>
            </w:r>
          </w:p>
        </w:tc>
        <w:tc>
          <w:tcPr>
            <w:tcW w:w="1329"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50EAFCD6" w14:textId="10B983F9" w:rsidR="003A3D51" w:rsidRDefault="0002775A">
            <w:pPr>
              <w:pStyle w:val="P68B1DB1-Normal12"/>
              <w:spacing w:before="120" w:after="120" w:line="240" w:lineRule="auto"/>
              <w:jc w:val="center"/>
              <w:rPr>
                <w:noProof/>
              </w:rPr>
            </w:pPr>
            <w:r>
              <w:rPr>
                <w:noProof/>
              </w:rPr>
              <w:t xml:space="preserve">Relaterad åtgärd </w:t>
            </w:r>
          </w:p>
        </w:tc>
        <w:tc>
          <w:tcPr>
            <w:tcW w:w="1246"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61F2787B" w14:textId="77777777" w:rsidR="003A3D51" w:rsidRDefault="0002775A">
            <w:pPr>
              <w:pStyle w:val="P68B1DB1-Normal12"/>
              <w:spacing w:before="120" w:after="120" w:line="240" w:lineRule="auto"/>
              <w:jc w:val="center"/>
              <w:rPr>
                <w:noProof/>
              </w:rPr>
            </w:pPr>
            <w:r>
              <w:rPr>
                <w:noProof/>
              </w:rPr>
              <w:t>Delmål/mål</w:t>
            </w:r>
          </w:p>
        </w:tc>
        <w:tc>
          <w:tcPr>
            <w:tcW w:w="1384"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2E04DF40" w14:textId="77777777" w:rsidR="003A3D51" w:rsidRDefault="0002775A">
            <w:pPr>
              <w:pStyle w:val="P68B1DB1-Normal12"/>
              <w:spacing w:before="120" w:after="120" w:line="240" w:lineRule="auto"/>
              <w:jc w:val="center"/>
              <w:rPr>
                <w:noProof/>
              </w:rPr>
            </w:pPr>
            <w:r>
              <w:rPr>
                <w:noProof/>
              </w:rPr>
              <w:t>Namn</w:t>
            </w:r>
          </w:p>
        </w:tc>
        <w:tc>
          <w:tcPr>
            <w:tcW w:w="2072"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0BF5688E" w14:textId="77777777" w:rsidR="003A3D51" w:rsidRDefault="0002775A">
            <w:pPr>
              <w:pStyle w:val="P68B1DB1-Normal13"/>
              <w:spacing w:before="120" w:after="120" w:line="240" w:lineRule="auto"/>
              <w:jc w:val="center"/>
              <w:rPr>
                <w:rFonts w:ascii="Times New Roman" w:eastAsia="Times New Roman" w:hAnsi="Times New Roman" w:cs="Times New Roman"/>
                <w:noProof/>
                <w:color w:val="000000" w:themeColor="text1"/>
              </w:rPr>
            </w:pPr>
            <w:r>
              <w:rPr>
                <w:rFonts w:ascii="Times New Roman" w:eastAsia="Times New Roman" w:hAnsi="Times New Roman" w:cs="Times New Roman"/>
                <w:b/>
                <w:noProof/>
                <w:color w:val="000000" w:themeColor="text1"/>
              </w:rPr>
              <w:t>Kvalitativa indikatorer</w:t>
            </w:r>
            <w:r>
              <w:rPr>
                <w:noProof/>
              </w:rPr>
              <w:br/>
            </w:r>
            <w:r>
              <w:rPr>
                <w:rFonts w:ascii="Times New Roman" w:eastAsia="Times New Roman" w:hAnsi="Times New Roman" w:cs="Times New Roman"/>
                <w:b/>
                <w:noProof/>
                <w:color w:val="000000" w:themeColor="text1"/>
              </w:rPr>
              <w:t>(för delmål)</w:t>
            </w:r>
          </w:p>
        </w:tc>
        <w:tc>
          <w:tcPr>
            <w:tcW w:w="2636" w:type="dxa"/>
            <w:gridSpan w:val="3"/>
            <w:tcBorders>
              <w:top w:val="single" w:sz="6" w:space="0" w:color="auto"/>
              <w:left w:val="single" w:sz="4" w:space="0" w:color="auto"/>
              <w:bottom w:val="single" w:sz="6" w:space="0" w:color="auto"/>
              <w:right w:val="single" w:sz="6" w:space="0" w:color="auto"/>
            </w:tcBorders>
            <w:shd w:val="clear" w:color="auto" w:fill="BDD7EE"/>
            <w:tcMar>
              <w:left w:w="105" w:type="dxa"/>
              <w:right w:w="105" w:type="dxa"/>
            </w:tcMar>
            <w:vAlign w:val="center"/>
          </w:tcPr>
          <w:p w14:paraId="60B8BBF1" w14:textId="6B56456B" w:rsidR="003A3D51" w:rsidRDefault="0002775A">
            <w:pPr>
              <w:pStyle w:val="P68B1DB1-Normal12"/>
              <w:spacing w:before="120" w:after="120" w:line="240" w:lineRule="auto"/>
              <w:jc w:val="center"/>
              <w:rPr>
                <w:noProof/>
              </w:rPr>
            </w:pPr>
            <w:r>
              <w:rPr>
                <w:noProof/>
              </w:rPr>
              <w:t xml:space="preserve">Kvantitativa indikatorer </w:t>
            </w:r>
          </w:p>
        </w:tc>
        <w:tc>
          <w:tcPr>
            <w:tcW w:w="1708" w:type="dxa"/>
            <w:gridSpan w:val="2"/>
            <w:tcBorders>
              <w:top w:val="single" w:sz="6" w:space="0" w:color="auto"/>
              <w:left w:val="nil"/>
              <w:bottom w:val="single" w:sz="6" w:space="0" w:color="auto"/>
              <w:right w:val="single" w:sz="4" w:space="0" w:color="auto"/>
            </w:tcBorders>
            <w:shd w:val="clear" w:color="auto" w:fill="BDD7EE"/>
            <w:tcMar>
              <w:left w:w="105" w:type="dxa"/>
              <w:right w:w="105" w:type="dxa"/>
            </w:tcMar>
            <w:vAlign w:val="center"/>
          </w:tcPr>
          <w:p w14:paraId="2A0EFAC6" w14:textId="5899FCBD" w:rsidR="003A3D51" w:rsidRDefault="0002775A">
            <w:pPr>
              <w:pStyle w:val="P68B1DB1-Normal12"/>
              <w:spacing w:before="120" w:after="120" w:line="240" w:lineRule="auto"/>
              <w:jc w:val="center"/>
              <w:rPr>
                <w:noProof/>
              </w:rPr>
            </w:pPr>
            <w:r>
              <w:rPr>
                <w:noProof/>
              </w:rPr>
              <w:t xml:space="preserve">Tid </w:t>
            </w:r>
          </w:p>
        </w:tc>
        <w:tc>
          <w:tcPr>
            <w:tcW w:w="3544" w:type="dxa"/>
            <w:vMerge w:val="restart"/>
            <w:tcBorders>
              <w:top w:val="single" w:sz="4" w:space="0" w:color="auto"/>
              <w:left w:val="single" w:sz="4" w:space="0" w:color="auto"/>
              <w:right w:val="single" w:sz="4" w:space="0" w:color="auto"/>
            </w:tcBorders>
            <w:shd w:val="clear" w:color="auto" w:fill="BDD7EE"/>
            <w:tcMar>
              <w:left w:w="105" w:type="dxa"/>
              <w:right w:w="105" w:type="dxa"/>
            </w:tcMar>
            <w:vAlign w:val="center"/>
          </w:tcPr>
          <w:p w14:paraId="1BB738D3" w14:textId="77777777" w:rsidR="003A3D51" w:rsidRDefault="0002775A">
            <w:pPr>
              <w:pStyle w:val="P68B1DB1-Normal12"/>
              <w:spacing w:before="120" w:after="120" w:line="240" w:lineRule="auto"/>
              <w:jc w:val="center"/>
              <w:rPr>
                <w:noProof/>
              </w:rPr>
            </w:pPr>
            <w:r>
              <w:rPr>
                <w:noProof/>
              </w:rPr>
              <w:t>Beskrivning av varje delmål och mål</w:t>
            </w:r>
          </w:p>
        </w:tc>
      </w:tr>
      <w:tr w:rsidR="003A3D51" w14:paraId="07A29F00" w14:textId="77777777">
        <w:trPr>
          <w:trHeight w:val="569"/>
        </w:trPr>
        <w:tc>
          <w:tcPr>
            <w:tcW w:w="1108" w:type="dxa"/>
            <w:vMerge/>
            <w:tcBorders>
              <w:left w:val="single" w:sz="4" w:space="0" w:color="auto"/>
              <w:right w:val="single" w:sz="4" w:space="0" w:color="auto"/>
            </w:tcBorders>
            <w:vAlign w:val="center"/>
          </w:tcPr>
          <w:p w14:paraId="61F712B4" w14:textId="77777777" w:rsidR="003A3D51" w:rsidRDefault="003A3D51">
            <w:pPr>
              <w:rPr>
                <w:noProof/>
              </w:rPr>
            </w:pPr>
          </w:p>
        </w:tc>
        <w:tc>
          <w:tcPr>
            <w:tcW w:w="1329" w:type="dxa"/>
            <w:vMerge/>
            <w:tcBorders>
              <w:left w:val="single" w:sz="4" w:space="0" w:color="auto"/>
              <w:right w:val="single" w:sz="4" w:space="0" w:color="auto"/>
            </w:tcBorders>
            <w:vAlign w:val="center"/>
          </w:tcPr>
          <w:p w14:paraId="5E9576B4" w14:textId="77777777" w:rsidR="003A3D51" w:rsidRDefault="003A3D51">
            <w:pPr>
              <w:rPr>
                <w:noProof/>
              </w:rPr>
            </w:pPr>
          </w:p>
        </w:tc>
        <w:tc>
          <w:tcPr>
            <w:tcW w:w="1246" w:type="dxa"/>
            <w:vMerge/>
            <w:tcBorders>
              <w:left w:val="single" w:sz="4" w:space="0" w:color="auto"/>
              <w:right w:val="single" w:sz="4" w:space="0" w:color="auto"/>
            </w:tcBorders>
          </w:tcPr>
          <w:p w14:paraId="26F7C623" w14:textId="77777777" w:rsidR="003A3D51" w:rsidRDefault="003A3D51">
            <w:pPr>
              <w:jc w:val="center"/>
              <w:rPr>
                <w:noProof/>
              </w:rPr>
            </w:pPr>
          </w:p>
        </w:tc>
        <w:tc>
          <w:tcPr>
            <w:tcW w:w="1384" w:type="dxa"/>
            <w:vMerge/>
            <w:tcBorders>
              <w:left w:val="single" w:sz="4" w:space="0" w:color="auto"/>
              <w:right w:val="single" w:sz="4" w:space="0" w:color="auto"/>
            </w:tcBorders>
            <w:vAlign w:val="center"/>
          </w:tcPr>
          <w:p w14:paraId="0A78F207" w14:textId="77777777" w:rsidR="003A3D51" w:rsidRDefault="003A3D51">
            <w:pPr>
              <w:rPr>
                <w:noProof/>
              </w:rPr>
            </w:pPr>
          </w:p>
        </w:tc>
        <w:tc>
          <w:tcPr>
            <w:tcW w:w="2072" w:type="dxa"/>
            <w:vMerge/>
            <w:tcBorders>
              <w:left w:val="single" w:sz="4" w:space="0" w:color="auto"/>
              <w:right w:val="single" w:sz="4" w:space="0" w:color="auto"/>
            </w:tcBorders>
            <w:vAlign w:val="center"/>
          </w:tcPr>
          <w:p w14:paraId="5CE9AAB1" w14:textId="77777777" w:rsidR="003A3D51" w:rsidRDefault="003A3D51">
            <w:pPr>
              <w:rPr>
                <w:noProof/>
              </w:rPr>
            </w:pPr>
          </w:p>
        </w:tc>
        <w:tc>
          <w:tcPr>
            <w:tcW w:w="955" w:type="dxa"/>
            <w:tcBorders>
              <w:top w:val="single" w:sz="6" w:space="0" w:color="auto"/>
              <w:left w:val="single" w:sz="4" w:space="0" w:color="auto"/>
              <w:bottom w:val="single" w:sz="6" w:space="0" w:color="auto"/>
              <w:right w:val="single" w:sz="6" w:space="0" w:color="auto"/>
            </w:tcBorders>
            <w:shd w:val="clear" w:color="auto" w:fill="BDD7EE"/>
            <w:tcMar>
              <w:left w:w="105" w:type="dxa"/>
              <w:right w:w="105" w:type="dxa"/>
            </w:tcMar>
            <w:vAlign w:val="center"/>
          </w:tcPr>
          <w:p w14:paraId="0B463254" w14:textId="77777777" w:rsidR="003A3D51" w:rsidRDefault="0002775A">
            <w:pPr>
              <w:pStyle w:val="P68B1DB1-Normal12"/>
              <w:spacing w:before="120" w:after="120" w:line="240" w:lineRule="auto"/>
              <w:jc w:val="center"/>
              <w:rPr>
                <w:noProof/>
              </w:rPr>
            </w:pPr>
            <w:r>
              <w:rPr>
                <w:noProof/>
              </w:rPr>
              <w:t>Enhet för åtgärd</w:t>
            </w:r>
          </w:p>
        </w:tc>
        <w:tc>
          <w:tcPr>
            <w:tcW w:w="986"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1F0574D1" w14:textId="77777777" w:rsidR="003A3D51" w:rsidRDefault="0002775A">
            <w:pPr>
              <w:pStyle w:val="P68B1DB1-Normal12"/>
              <w:spacing w:before="120" w:after="120" w:line="240" w:lineRule="auto"/>
              <w:jc w:val="center"/>
              <w:rPr>
                <w:noProof/>
              </w:rPr>
            </w:pPr>
            <w:r>
              <w:rPr>
                <w:noProof/>
              </w:rPr>
              <w:t xml:space="preserve">Baslinjen </w:t>
            </w:r>
          </w:p>
        </w:tc>
        <w:tc>
          <w:tcPr>
            <w:tcW w:w="695" w:type="dxa"/>
            <w:tcBorders>
              <w:top w:val="nil"/>
              <w:left w:val="single" w:sz="6" w:space="0" w:color="auto"/>
              <w:bottom w:val="single" w:sz="6" w:space="0" w:color="auto"/>
              <w:right w:val="single" w:sz="6" w:space="0" w:color="auto"/>
            </w:tcBorders>
            <w:shd w:val="clear" w:color="auto" w:fill="BDD7EE"/>
            <w:tcMar>
              <w:left w:w="105" w:type="dxa"/>
              <w:right w:w="105" w:type="dxa"/>
            </w:tcMar>
            <w:vAlign w:val="center"/>
          </w:tcPr>
          <w:p w14:paraId="2F5F4786" w14:textId="77777777" w:rsidR="003A3D51" w:rsidRDefault="0002775A">
            <w:pPr>
              <w:pStyle w:val="P68B1DB1-Normal12"/>
              <w:spacing w:before="120" w:after="120" w:line="240" w:lineRule="auto"/>
              <w:jc w:val="center"/>
              <w:rPr>
                <w:noProof/>
              </w:rPr>
            </w:pPr>
            <w:r>
              <w:rPr>
                <w:noProof/>
              </w:rPr>
              <w:t xml:space="preserve">Mål </w:t>
            </w:r>
          </w:p>
        </w:tc>
        <w:tc>
          <w:tcPr>
            <w:tcW w:w="999" w:type="dxa"/>
            <w:tcBorders>
              <w:top w:val="single" w:sz="6" w:space="0" w:color="auto"/>
              <w:left w:val="single" w:sz="6" w:space="0" w:color="auto"/>
              <w:bottom w:val="single" w:sz="6" w:space="0" w:color="auto"/>
              <w:right w:val="single" w:sz="6" w:space="0" w:color="auto"/>
            </w:tcBorders>
            <w:shd w:val="clear" w:color="auto" w:fill="BDD7EE"/>
            <w:tcMar>
              <w:left w:w="105" w:type="dxa"/>
              <w:right w:w="105" w:type="dxa"/>
            </w:tcMar>
            <w:vAlign w:val="center"/>
          </w:tcPr>
          <w:p w14:paraId="7547B219" w14:textId="77777777" w:rsidR="003A3D51" w:rsidRDefault="0002775A">
            <w:pPr>
              <w:pStyle w:val="P68B1DB1-Normal12"/>
              <w:spacing w:before="120" w:after="120" w:line="240" w:lineRule="auto"/>
              <w:jc w:val="center"/>
              <w:rPr>
                <w:noProof/>
              </w:rPr>
            </w:pPr>
            <w:r>
              <w:rPr>
                <w:noProof/>
              </w:rPr>
              <w:t>Kvartalet</w:t>
            </w:r>
          </w:p>
        </w:tc>
        <w:tc>
          <w:tcPr>
            <w:tcW w:w="709" w:type="dxa"/>
            <w:tcBorders>
              <w:top w:val="nil"/>
              <w:left w:val="single" w:sz="6" w:space="0" w:color="auto"/>
              <w:bottom w:val="single" w:sz="6" w:space="0" w:color="auto"/>
              <w:right w:val="single" w:sz="4" w:space="0" w:color="auto"/>
            </w:tcBorders>
            <w:shd w:val="clear" w:color="auto" w:fill="BDD7EE"/>
            <w:tcMar>
              <w:left w:w="105" w:type="dxa"/>
              <w:right w:w="105" w:type="dxa"/>
            </w:tcMar>
            <w:vAlign w:val="center"/>
          </w:tcPr>
          <w:p w14:paraId="5A8861CA" w14:textId="77777777" w:rsidR="003A3D51" w:rsidRDefault="0002775A">
            <w:pPr>
              <w:pStyle w:val="P68B1DB1-Normal12"/>
              <w:spacing w:before="120" w:after="120" w:line="240" w:lineRule="auto"/>
              <w:jc w:val="center"/>
              <w:rPr>
                <w:noProof/>
              </w:rPr>
            </w:pPr>
            <w:r>
              <w:rPr>
                <w:noProof/>
              </w:rPr>
              <w:t>Året</w:t>
            </w:r>
          </w:p>
        </w:tc>
        <w:tc>
          <w:tcPr>
            <w:tcW w:w="3544" w:type="dxa"/>
            <w:vMerge/>
            <w:tcBorders>
              <w:left w:val="single" w:sz="4" w:space="0" w:color="auto"/>
              <w:right w:val="single" w:sz="4" w:space="0" w:color="auto"/>
            </w:tcBorders>
            <w:vAlign w:val="center"/>
          </w:tcPr>
          <w:p w14:paraId="3D1C7433" w14:textId="77777777" w:rsidR="003A3D51" w:rsidRDefault="003A3D51">
            <w:pPr>
              <w:rPr>
                <w:noProof/>
              </w:rPr>
            </w:pPr>
          </w:p>
        </w:tc>
      </w:tr>
      <w:tr w:rsidR="003A3D51" w14:paraId="554B3D0B" w14:textId="77777777">
        <w:trPr>
          <w:trHeight w:val="315"/>
        </w:trPr>
        <w:tc>
          <w:tcPr>
            <w:tcW w:w="1108"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04BA67A5" w14:textId="0E7B9759" w:rsidR="003A3D51" w:rsidRDefault="0002775A">
            <w:pPr>
              <w:pStyle w:val="P68B1DB1-Normal14"/>
              <w:spacing w:before="120" w:after="120" w:line="240" w:lineRule="auto"/>
              <w:rPr>
                <w:noProof/>
              </w:rPr>
            </w:pPr>
            <w:r>
              <w:rPr>
                <w:noProof/>
              </w:rPr>
              <w:t>373</w:t>
            </w:r>
          </w:p>
        </w:tc>
        <w:tc>
          <w:tcPr>
            <w:tcW w:w="1329"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7E26D198" w14:textId="506E0E28" w:rsidR="003A3D51" w:rsidRDefault="0002775A">
            <w:pPr>
              <w:pStyle w:val="P68B1DB1-Normal15"/>
              <w:spacing w:before="120" w:after="120" w:line="240" w:lineRule="auto"/>
              <w:rPr>
                <w:rFonts w:ascii="Times New Roman" w:eastAsia="Times New Roman" w:hAnsi="Times New Roman" w:cs="Times New Roman"/>
                <w:noProof/>
                <w:sz w:val="24"/>
              </w:rPr>
            </w:pPr>
            <w:r>
              <w:rPr>
                <w:noProof/>
              </w:rPr>
              <w:t>C1.1.1 R5</w:t>
            </w:r>
          </w:p>
        </w:tc>
        <w:tc>
          <w:tcPr>
            <w:tcW w:w="1246"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3243BE50" w14:textId="77777777" w:rsidR="003A3D51" w:rsidRDefault="0002775A">
            <w:pPr>
              <w:pStyle w:val="P68B1DB1-Normal14"/>
              <w:spacing w:before="120" w:after="120" w:line="240" w:lineRule="auto"/>
              <w:jc w:val="center"/>
              <w:rPr>
                <w:noProof/>
              </w:rPr>
            </w:pPr>
            <w:r>
              <w:rPr>
                <w:noProof/>
              </w:rPr>
              <w:t>M</w:t>
            </w:r>
          </w:p>
        </w:tc>
        <w:tc>
          <w:tcPr>
            <w:tcW w:w="1384"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6BE8D3E8" w14:textId="77777777" w:rsidR="003A3D51" w:rsidRDefault="0002775A">
            <w:pPr>
              <w:pStyle w:val="P68B1DB1-Normal14"/>
              <w:spacing w:before="120" w:after="120" w:line="240" w:lineRule="auto"/>
              <w:rPr>
                <w:strike/>
                <w:noProof/>
              </w:rPr>
            </w:pPr>
            <w:r>
              <w:rPr>
                <w:noProof/>
              </w:rPr>
              <w:t>Antagande av den strategiska ramen för utvecklingen av kapitalmarknaden i Kroatien och den första åtföljande handlingsplanen</w:t>
            </w:r>
          </w:p>
          <w:p w14:paraId="5E166B1B" w14:textId="77777777" w:rsidR="003A3D51" w:rsidRDefault="003A3D51">
            <w:pPr>
              <w:spacing w:before="120" w:after="120" w:line="240" w:lineRule="auto"/>
              <w:rPr>
                <w:rFonts w:ascii="Times New Roman" w:eastAsia="Times New Roman" w:hAnsi="Times New Roman" w:cs="Times New Roman"/>
                <w:noProof/>
                <w:sz w:val="24"/>
              </w:rPr>
            </w:pPr>
          </w:p>
        </w:tc>
        <w:tc>
          <w:tcPr>
            <w:tcW w:w="2072"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1D17E685" w14:textId="3108CDE6" w:rsidR="003A3D51" w:rsidRDefault="0002775A">
            <w:pPr>
              <w:pStyle w:val="P68B1DB1-Normal14"/>
              <w:spacing w:before="120" w:after="120" w:line="240" w:lineRule="auto"/>
              <w:rPr>
                <w:rFonts w:ascii="Times New Roman" w:eastAsia="Times New Roman" w:hAnsi="Times New Roman" w:cs="Times New Roman"/>
                <w:noProof/>
                <w:sz w:val="24"/>
              </w:rPr>
            </w:pPr>
            <w:r>
              <w:rPr>
                <w:noProof/>
              </w:rPr>
              <w:t>Den kroatiska regeringens strategiska ram och första handlingsplan för att stödja utvecklingen av den nationella kapitalmarknaden</w:t>
            </w:r>
          </w:p>
          <w:p w14:paraId="38F32B86" w14:textId="77777777" w:rsidR="003A3D51" w:rsidRDefault="003A3D51">
            <w:pPr>
              <w:spacing w:before="120" w:after="120" w:line="240" w:lineRule="auto"/>
              <w:rPr>
                <w:rFonts w:ascii="Times New Roman" w:eastAsia="Times New Roman" w:hAnsi="Times New Roman" w:cs="Times New Roman"/>
                <w:noProof/>
                <w:sz w:val="24"/>
              </w:rPr>
            </w:pPr>
          </w:p>
        </w:tc>
        <w:tc>
          <w:tcPr>
            <w:tcW w:w="95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63D977CA" w14:textId="77777777" w:rsidR="003A3D51" w:rsidRDefault="003A3D51">
            <w:pPr>
              <w:spacing w:before="120" w:after="120" w:line="240" w:lineRule="auto"/>
              <w:rPr>
                <w:rFonts w:ascii="Times New Roman" w:eastAsia="Times New Roman" w:hAnsi="Times New Roman" w:cs="Times New Roman"/>
                <w:noProof/>
                <w:sz w:val="24"/>
              </w:rPr>
            </w:pPr>
          </w:p>
        </w:tc>
        <w:tc>
          <w:tcPr>
            <w:tcW w:w="9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28D55E7F" w14:textId="39CFAE85" w:rsidR="003A3D51" w:rsidRDefault="003A3D51">
            <w:pPr>
              <w:spacing w:before="120" w:after="120" w:line="240" w:lineRule="auto"/>
              <w:rPr>
                <w:rFonts w:ascii="Times New Roman" w:eastAsia="Times New Roman" w:hAnsi="Times New Roman" w:cs="Times New Roman"/>
                <w:noProof/>
                <w:sz w:val="24"/>
              </w:rPr>
            </w:pPr>
          </w:p>
        </w:tc>
        <w:tc>
          <w:tcPr>
            <w:tcW w:w="69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1C96E703" w14:textId="6F670678" w:rsidR="003A3D51" w:rsidRDefault="003A3D51">
            <w:pPr>
              <w:spacing w:before="120" w:after="120" w:line="240" w:lineRule="auto"/>
              <w:rPr>
                <w:rFonts w:ascii="Times New Roman" w:eastAsia="Times New Roman" w:hAnsi="Times New Roman" w:cs="Times New Roman"/>
                <w:noProof/>
                <w:sz w:val="24"/>
              </w:rPr>
            </w:pPr>
          </w:p>
        </w:tc>
        <w:tc>
          <w:tcPr>
            <w:tcW w:w="99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64290C65" w14:textId="77777777" w:rsidR="003A3D51" w:rsidRDefault="0002775A">
            <w:pPr>
              <w:pStyle w:val="P68B1DB1-Normal14"/>
              <w:spacing w:before="120" w:after="120" w:line="240" w:lineRule="auto"/>
              <w:jc w:val="center"/>
              <w:rPr>
                <w:rFonts w:ascii="Times New Roman" w:eastAsia="Times New Roman" w:hAnsi="Times New Roman" w:cs="Times New Roman"/>
                <w:strike/>
                <w:noProof/>
                <w:sz w:val="24"/>
              </w:rPr>
            </w:pPr>
            <w:r>
              <w:rPr>
                <w:noProof/>
              </w:rPr>
              <w:t>KVARTAL 4</w:t>
            </w:r>
          </w:p>
          <w:p w14:paraId="15CD6246" w14:textId="77777777" w:rsidR="003A3D51" w:rsidRDefault="003A3D51">
            <w:pPr>
              <w:spacing w:before="120" w:after="120" w:line="240" w:lineRule="auto"/>
              <w:jc w:val="center"/>
              <w:rPr>
                <w:rFonts w:ascii="Times New Roman" w:eastAsia="Times New Roman" w:hAnsi="Times New Roman" w:cs="Times New Roman"/>
                <w:noProof/>
                <w:sz w:val="24"/>
              </w:rPr>
            </w:pPr>
          </w:p>
        </w:tc>
        <w:tc>
          <w:tcPr>
            <w:tcW w:w="70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033FDA45" w14:textId="77777777" w:rsidR="003A3D51" w:rsidRDefault="0002775A">
            <w:pPr>
              <w:pStyle w:val="P68B1DB1-Normal14"/>
              <w:spacing w:before="120" w:after="120" w:line="240" w:lineRule="auto"/>
              <w:jc w:val="center"/>
              <w:rPr>
                <w:noProof/>
              </w:rPr>
            </w:pPr>
            <w:r>
              <w:rPr>
                <w:noProof/>
              </w:rPr>
              <w:t>2024</w:t>
            </w:r>
          </w:p>
          <w:p w14:paraId="43A53D71" w14:textId="77777777" w:rsidR="003A3D51" w:rsidRDefault="003A3D51">
            <w:pPr>
              <w:spacing w:before="120" w:after="120" w:line="240" w:lineRule="auto"/>
              <w:jc w:val="center"/>
              <w:rPr>
                <w:rFonts w:ascii="Times New Roman" w:eastAsia="Times New Roman" w:hAnsi="Times New Roman" w:cs="Times New Roman"/>
                <w:noProof/>
                <w:sz w:val="24"/>
              </w:rPr>
            </w:pPr>
          </w:p>
        </w:tc>
        <w:tc>
          <w:tcPr>
            <w:tcW w:w="3544" w:type="dxa"/>
            <w:tcBorders>
              <w:top w:val="single" w:sz="4" w:space="0" w:color="auto"/>
              <w:left w:val="single" w:sz="6" w:space="0" w:color="auto"/>
              <w:bottom w:val="single" w:sz="6" w:space="0" w:color="auto"/>
              <w:right w:val="single" w:sz="6" w:space="0" w:color="auto"/>
            </w:tcBorders>
            <w:shd w:val="clear" w:color="auto" w:fill="C6EFCE"/>
            <w:tcMar>
              <w:left w:w="105" w:type="dxa"/>
              <w:right w:w="105" w:type="dxa"/>
            </w:tcMar>
          </w:tcPr>
          <w:p w14:paraId="3532F09F" w14:textId="77777777" w:rsidR="003A3D51" w:rsidRDefault="0002775A">
            <w:pPr>
              <w:pStyle w:val="P68B1DB1-Normal14"/>
              <w:spacing w:before="120" w:after="120" w:line="240" w:lineRule="auto"/>
              <w:rPr>
                <w:noProof/>
              </w:rPr>
            </w:pPr>
            <w:r>
              <w:rPr>
                <w:noProof/>
              </w:rPr>
              <w:t>Finansministeriet ska i samarbete med berörda parter utarbeta en strategisk ram för utvecklingen av kapitalmarknaden i Republiken Kroatien och den första åtföljande handlingsplanen, som ska antas av den kroatiska regeringen.</w:t>
            </w:r>
          </w:p>
          <w:p w14:paraId="7E45C2B3" w14:textId="77777777" w:rsidR="003A3D51" w:rsidRDefault="0002775A">
            <w:pPr>
              <w:pStyle w:val="P68B1DB1-Normal14"/>
              <w:spacing w:before="120" w:after="120" w:line="240" w:lineRule="auto"/>
              <w:rPr>
                <w:noProof/>
              </w:rPr>
            </w:pPr>
            <w:r>
              <w:rPr>
                <w:noProof/>
              </w:rPr>
              <w:t>Åtgärderna i handlingsplanerna ska baseras på analysen och rekommendationerna i den strategiska ramen och ska innehålla tidsfrister för genomförandet av enskilda verksamheter.</w:t>
            </w:r>
          </w:p>
        </w:tc>
      </w:tr>
      <w:tr w:rsidR="003A3D51" w14:paraId="3150D39C" w14:textId="77777777">
        <w:trPr>
          <w:trHeight w:val="315"/>
        </w:trPr>
        <w:tc>
          <w:tcPr>
            <w:tcW w:w="1108"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4271BE1D" w14:textId="010757B3" w:rsidR="003A3D51" w:rsidRDefault="0002775A">
            <w:pPr>
              <w:pStyle w:val="P68B1DB1-Normal14"/>
              <w:spacing w:before="120" w:after="120" w:line="240" w:lineRule="auto"/>
              <w:rPr>
                <w:noProof/>
              </w:rPr>
            </w:pPr>
            <w:r>
              <w:rPr>
                <w:noProof/>
              </w:rPr>
              <w:t>374</w:t>
            </w:r>
          </w:p>
        </w:tc>
        <w:tc>
          <w:tcPr>
            <w:tcW w:w="1329"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209746B0" w14:textId="71E44FEB" w:rsidR="003A3D51" w:rsidRDefault="0002775A">
            <w:pPr>
              <w:pStyle w:val="P68B1DB1-Normal15"/>
              <w:spacing w:before="120" w:after="120" w:line="240" w:lineRule="auto"/>
              <w:rPr>
                <w:noProof/>
                <w:sz w:val="20"/>
              </w:rPr>
            </w:pPr>
            <w:r>
              <w:rPr>
                <w:noProof/>
              </w:rPr>
              <w:t>C1.1.1 R5</w:t>
            </w:r>
          </w:p>
        </w:tc>
        <w:tc>
          <w:tcPr>
            <w:tcW w:w="1246"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667F93D8" w14:textId="77777777" w:rsidR="003A3D51" w:rsidRDefault="0002775A">
            <w:pPr>
              <w:pStyle w:val="P68B1DB1-Normal14"/>
              <w:spacing w:before="120" w:after="120" w:line="240" w:lineRule="auto"/>
              <w:jc w:val="center"/>
              <w:rPr>
                <w:noProof/>
              </w:rPr>
            </w:pPr>
            <w:r>
              <w:rPr>
                <w:noProof/>
              </w:rPr>
              <w:t>M</w:t>
            </w:r>
          </w:p>
        </w:tc>
        <w:tc>
          <w:tcPr>
            <w:tcW w:w="1384"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4757B15E" w14:textId="77777777" w:rsidR="003A3D51" w:rsidRDefault="0002775A">
            <w:pPr>
              <w:pStyle w:val="P68B1DB1-Normal14"/>
              <w:spacing w:before="120" w:after="120" w:line="240" w:lineRule="auto"/>
              <w:rPr>
                <w:noProof/>
              </w:rPr>
            </w:pPr>
            <w:r>
              <w:rPr>
                <w:noProof/>
              </w:rPr>
              <w:t>Antagande av den andra handlingsplanen för utvecklingen av kapitalmarknaden i Kroatien</w:t>
            </w:r>
          </w:p>
        </w:tc>
        <w:tc>
          <w:tcPr>
            <w:tcW w:w="2072"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0A3C2C35" w14:textId="77777777" w:rsidR="003A3D51" w:rsidRDefault="0002775A">
            <w:pPr>
              <w:pStyle w:val="P68B1DB1-Normal14"/>
              <w:spacing w:before="120" w:after="120" w:line="240" w:lineRule="auto"/>
              <w:rPr>
                <w:noProof/>
              </w:rPr>
            </w:pPr>
            <w:r>
              <w:rPr>
                <w:noProof/>
              </w:rPr>
              <w:t>Den kroatiska regeringens andra handlingsplan för att stödja utvecklingen av den nationella kapitalmarknaden</w:t>
            </w:r>
          </w:p>
        </w:tc>
        <w:tc>
          <w:tcPr>
            <w:tcW w:w="95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178A48D" w14:textId="77777777" w:rsidR="003A3D51" w:rsidRDefault="003A3D51">
            <w:pPr>
              <w:spacing w:before="120" w:after="120" w:line="240" w:lineRule="auto"/>
              <w:rPr>
                <w:rFonts w:ascii="Times New Roman" w:eastAsia="Times New Roman" w:hAnsi="Times New Roman" w:cs="Times New Roman"/>
                <w:noProof/>
                <w:sz w:val="24"/>
              </w:rPr>
            </w:pPr>
          </w:p>
        </w:tc>
        <w:tc>
          <w:tcPr>
            <w:tcW w:w="9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C4D9102" w14:textId="77777777" w:rsidR="003A3D51" w:rsidRDefault="003A3D51">
            <w:pPr>
              <w:spacing w:before="120" w:after="120" w:line="240" w:lineRule="auto"/>
              <w:rPr>
                <w:rFonts w:ascii="Times New Roman" w:eastAsia="Times New Roman" w:hAnsi="Times New Roman" w:cs="Times New Roman"/>
                <w:noProof/>
                <w:sz w:val="24"/>
              </w:rPr>
            </w:pPr>
          </w:p>
        </w:tc>
        <w:tc>
          <w:tcPr>
            <w:tcW w:w="69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56C0E71F" w14:textId="77777777" w:rsidR="003A3D51" w:rsidRDefault="003A3D51">
            <w:pPr>
              <w:spacing w:before="120" w:after="120" w:line="240" w:lineRule="auto"/>
              <w:rPr>
                <w:rFonts w:ascii="Times New Roman" w:eastAsia="Times New Roman" w:hAnsi="Times New Roman" w:cs="Times New Roman"/>
                <w:noProof/>
                <w:sz w:val="24"/>
              </w:rPr>
            </w:pPr>
          </w:p>
        </w:tc>
        <w:tc>
          <w:tcPr>
            <w:tcW w:w="99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16F7198" w14:textId="13BF9ED8" w:rsidR="003A3D51" w:rsidRDefault="0002775A">
            <w:pPr>
              <w:pStyle w:val="P68B1DB1-Normal14"/>
              <w:spacing w:before="120" w:after="120" w:line="240" w:lineRule="auto"/>
              <w:jc w:val="center"/>
              <w:rPr>
                <w:rFonts w:ascii="Times New Roman" w:eastAsia="Times New Roman" w:hAnsi="Times New Roman" w:cs="Times New Roman"/>
                <w:noProof/>
                <w:sz w:val="24"/>
              </w:rPr>
            </w:pPr>
            <w:r>
              <w:rPr>
                <w:noProof/>
              </w:rPr>
              <w:t>KVARTAL 1</w:t>
            </w:r>
          </w:p>
          <w:p w14:paraId="6B65AC2F" w14:textId="77777777" w:rsidR="003A3D51" w:rsidRDefault="003A3D51">
            <w:pPr>
              <w:spacing w:before="120" w:after="120" w:line="240" w:lineRule="auto"/>
              <w:jc w:val="center"/>
              <w:rPr>
                <w:rFonts w:ascii="Calibri" w:eastAsia="Calibri" w:hAnsi="Calibri" w:cs="Calibri"/>
                <w:noProof/>
                <w:sz w:val="20"/>
              </w:rPr>
            </w:pPr>
          </w:p>
        </w:tc>
        <w:tc>
          <w:tcPr>
            <w:tcW w:w="70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368B6A5B" w14:textId="77777777" w:rsidR="003A3D51" w:rsidRDefault="0002775A">
            <w:pPr>
              <w:pStyle w:val="P68B1DB1-Normal14"/>
              <w:spacing w:before="120" w:after="120" w:line="240" w:lineRule="auto"/>
              <w:jc w:val="center"/>
              <w:rPr>
                <w:rFonts w:ascii="Times New Roman" w:eastAsia="Times New Roman" w:hAnsi="Times New Roman" w:cs="Times New Roman"/>
                <w:noProof/>
                <w:sz w:val="24"/>
              </w:rPr>
            </w:pPr>
            <w:r>
              <w:rPr>
                <w:noProof/>
              </w:rPr>
              <w:t>2026</w:t>
            </w:r>
          </w:p>
          <w:p w14:paraId="1D7BF276" w14:textId="77777777" w:rsidR="003A3D51" w:rsidRDefault="003A3D51">
            <w:pPr>
              <w:spacing w:before="120" w:after="120" w:line="240" w:lineRule="auto"/>
              <w:jc w:val="center"/>
              <w:rPr>
                <w:rFonts w:ascii="Calibri" w:eastAsia="Calibri" w:hAnsi="Calibri" w:cs="Calibri"/>
                <w:noProof/>
                <w:sz w:val="20"/>
              </w:rPr>
            </w:pPr>
          </w:p>
        </w:tc>
        <w:tc>
          <w:tcPr>
            <w:tcW w:w="354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371164B2" w14:textId="3E512B43" w:rsidR="003A3D51" w:rsidRDefault="0002775A">
            <w:pPr>
              <w:pStyle w:val="P68B1DB1-Normal14"/>
              <w:spacing w:before="120" w:after="120" w:line="240" w:lineRule="auto"/>
              <w:rPr>
                <w:noProof/>
              </w:rPr>
            </w:pPr>
            <w:r>
              <w:rPr>
                <w:noProof/>
              </w:rPr>
              <w:t>Den andra handlingsplanen för utveckling av kapitalmarknaden i Republiken Kroatien ska antas av den kroatiska regeringen i samarbete med berörda parter. Åtgärderna i handlingsplanen ska baseras på analysen och rekommendationerna i den strategiska ramen och ska innehålla tidsfrister för genomförandet av enskilda verksamheter.</w:t>
            </w:r>
          </w:p>
        </w:tc>
      </w:tr>
      <w:tr w:rsidR="003A3D51" w14:paraId="1DF33CE1" w14:textId="77777777">
        <w:trPr>
          <w:trHeight w:val="315"/>
        </w:trPr>
        <w:tc>
          <w:tcPr>
            <w:tcW w:w="1108"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04D2E470" w14:textId="60EF1B9E" w:rsidR="003A3D51" w:rsidRDefault="0002775A">
            <w:pPr>
              <w:pStyle w:val="P68B1DB1-Normal14"/>
              <w:spacing w:before="120" w:after="120" w:line="240" w:lineRule="auto"/>
              <w:rPr>
                <w:noProof/>
              </w:rPr>
            </w:pPr>
            <w:r>
              <w:rPr>
                <w:noProof/>
              </w:rPr>
              <w:t>375</w:t>
            </w:r>
          </w:p>
        </w:tc>
        <w:tc>
          <w:tcPr>
            <w:tcW w:w="1329"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29924B38" w14:textId="50ADFC55" w:rsidR="003A3D51" w:rsidRDefault="0002775A">
            <w:pPr>
              <w:pStyle w:val="P68B1DB1-Normal14"/>
              <w:spacing w:before="120" w:after="120" w:line="240" w:lineRule="auto"/>
              <w:rPr>
                <w:noProof/>
                <w:sz w:val="19"/>
              </w:rPr>
            </w:pPr>
            <w:r>
              <w:rPr>
                <w:noProof/>
              </w:rPr>
              <w:t>C1.1.1 R7</w:t>
            </w:r>
          </w:p>
        </w:tc>
        <w:tc>
          <w:tcPr>
            <w:tcW w:w="1246"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6C5C7576" w14:textId="77777777" w:rsidR="003A3D51" w:rsidRDefault="0002775A">
            <w:pPr>
              <w:pStyle w:val="P68B1DB1-Normal14"/>
              <w:spacing w:before="120" w:after="120" w:line="240" w:lineRule="auto"/>
              <w:jc w:val="center"/>
              <w:rPr>
                <w:noProof/>
              </w:rPr>
            </w:pPr>
            <w:r>
              <w:rPr>
                <w:noProof/>
              </w:rPr>
              <w:t>M</w:t>
            </w:r>
          </w:p>
        </w:tc>
        <w:tc>
          <w:tcPr>
            <w:tcW w:w="1384"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32133311" w14:textId="77777777" w:rsidR="003A3D51" w:rsidRDefault="0002775A">
            <w:pPr>
              <w:pStyle w:val="P68B1DB1-Normal14"/>
              <w:spacing w:before="120" w:after="120" w:line="240" w:lineRule="auto"/>
              <w:rPr>
                <w:noProof/>
              </w:rPr>
            </w:pPr>
            <w:r>
              <w:rPr>
                <w:noProof/>
              </w:rPr>
              <w:t xml:space="preserve">Antagande av den första handlingsplanen till stöd för målen för hållbar finansiering </w:t>
            </w:r>
          </w:p>
        </w:tc>
        <w:tc>
          <w:tcPr>
            <w:tcW w:w="2072" w:type="dxa"/>
            <w:tcBorders>
              <w:top w:val="single" w:sz="6" w:space="0" w:color="auto"/>
              <w:left w:val="single" w:sz="6" w:space="0" w:color="auto"/>
              <w:bottom w:val="single" w:sz="6" w:space="0" w:color="000000" w:themeColor="text1"/>
              <w:right w:val="single" w:sz="6" w:space="0" w:color="auto"/>
            </w:tcBorders>
            <w:shd w:val="clear" w:color="auto" w:fill="C6EFCE"/>
            <w:tcMar>
              <w:left w:w="105" w:type="dxa"/>
              <w:right w:w="105" w:type="dxa"/>
            </w:tcMar>
          </w:tcPr>
          <w:p w14:paraId="259AEF1D" w14:textId="77777777" w:rsidR="003A3D51" w:rsidRDefault="0002775A">
            <w:pPr>
              <w:pStyle w:val="P68B1DB1-Normal14"/>
              <w:spacing w:before="120" w:after="120" w:line="240" w:lineRule="auto"/>
              <w:rPr>
                <w:noProof/>
              </w:rPr>
            </w:pPr>
            <w:r>
              <w:rPr>
                <w:noProof/>
              </w:rPr>
              <w:t>Den första handlingsplanen med åtgärder för att stödja målen för hållbar finansiering, med tidsfrister för genomförandet</w:t>
            </w:r>
          </w:p>
        </w:tc>
        <w:tc>
          <w:tcPr>
            <w:tcW w:w="95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43D40081" w14:textId="77777777" w:rsidR="003A3D51" w:rsidRDefault="003A3D51">
            <w:pPr>
              <w:spacing w:before="120" w:after="120" w:line="240" w:lineRule="auto"/>
              <w:rPr>
                <w:rFonts w:ascii="Times New Roman" w:eastAsia="Times New Roman" w:hAnsi="Times New Roman" w:cs="Times New Roman"/>
                <w:noProof/>
                <w:sz w:val="24"/>
              </w:rPr>
            </w:pPr>
          </w:p>
        </w:tc>
        <w:tc>
          <w:tcPr>
            <w:tcW w:w="986"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37242DF4" w14:textId="77777777" w:rsidR="003A3D51" w:rsidRDefault="0002775A">
            <w:pPr>
              <w:pStyle w:val="P68B1DB1-Normal11"/>
              <w:spacing w:before="120" w:after="120" w:line="240" w:lineRule="auto"/>
              <w:rPr>
                <w:noProof/>
              </w:rPr>
            </w:pPr>
            <w:r>
              <w:rPr>
                <w:noProof/>
              </w:rPr>
              <w:t xml:space="preserve"> </w:t>
            </w:r>
          </w:p>
        </w:tc>
        <w:tc>
          <w:tcPr>
            <w:tcW w:w="695"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0203C25C" w14:textId="77777777" w:rsidR="003A3D51" w:rsidRDefault="0002775A">
            <w:pPr>
              <w:pStyle w:val="P68B1DB1-Normal11"/>
              <w:spacing w:before="120" w:after="120" w:line="240" w:lineRule="auto"/>
              <w:rPr>
                <w:noProof/>
              </w:rPr>
            </w:pPr>
            <w:r>
              <w:rPr>
                <w:noProof/>
              </w:rPr>
              <w:t xml:space="preserve"> </w:t>
            </w:r>
          </w:p>
        </w:tc>
        <w:tc>
          <w:tcPr>
            <w:tcW w:w="99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6543F94B" w14:textId="77777777" w:rsidR="003A3D51" w:rsidRDefault="0002775A">
            <w:pPr>
              <w:pStyle w:val="P68B1DB1-Normal14"/>
              <w:spacing w:before="120" w:after="120" w:line="240" w:lineRule="auto"/>
              <w:jc w:val="center"/>
              <w:rPr>
                <w:noProof/>
              </w:rPr>
            </w:pPr>
            <w:r>
              <w:rPr>
                <w:noProof/>
              </w:rPr>
              <w:t>KVARTAL 1</w:t>
            </w:r>
          </w:p>
        </w:tc>
        <w:tc>
          <w:tcPr>
            <w:tcW w:w="709"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7BBFA316" w14:textId="77777777" w:rsidR="003A3D51" w:rsidRDefault="0002775A">
            <w:pPr>
              <w:pStyle w:val="P68B1DB1-Normal14"/>
              <w:spacing w:before="120" w:after="120" w:line="240" w:lineRule="auto"/>
              <w:jc w:val="center"/>
              <w:rPr>
                <w:noProof/>
              </w:rPr>
            </w:pPr>
            <w:r>
              <w:rPr>
                <w:noProof/>
              </w:rPr>
              <w:t>2025</w:t>
            </w:r>
          </w:p>
        </w:tc>
        <w:tc>
          <w:tcPr>
            <w:tcW w:w="3544" w:type="dxa"/>
            <w:tcBorders>
              <w:top w:val="single" w:sz="6" w:space="0" w:color="auto"/>
              <w:left w:val="single" w:sz="6" w:space="0" w:color="auto"/>
              <w:bottom w:val="single" w:sz="6" w:space="0" w:color="auto"/>
              <w:right w:val="single" w:sz="6" w:space="0" w:color="auto"/>
            </w:tcBorders>
            <w:shd w:val="clear" w:color="auto" w:fill="C6EFCE"/>
            <w:tcMar>
              <w:left w:w="105" w:type="dxa"/>
              <w:right w:w="105" w:type="dxa"/>
            </w:tcMar>
          </w:tcPr>
          <w:p w14:paraId="01E088F8" w14:textId="77777777" w:rsidR="003A3D51" w:rsidRDefault="0002775A">
            <w:pPr>
              <w:pStyle w:val="P68B1DB1-Normal14"/>
              <w:spacing w:before="120" w:after="120" w:line="240" w:lineRule="auto"/>
              <w:rPr>
                <w:noProof/>
              </w:rPr>
            </w:pPr>
            <w:r>
              <w:rPr>
                <w:noProof/>
              </w:rPr>
              <w:t>Finansministeriet ska utarbeta en första handlingsplan med åtgärder och tidsplaner för genomförandet av enskilda verksamheter som ska stödja finanssektorn i den gröna omställningens intresse och underlätta dess förberedelser i god tid för nya regleringskrav och andra initiativ på området hållbar finansiering. Den första handlingsplanen ska antas på grundval av arbetet i forumet för stöd till hållbar finansiering, en gemensam plattform som ska inrättas för att främja hållbarhet i Kroatien genom finanssektorn.</w:t>
            </w:r>
          </w:p>
        </w:tc>
      </w:tr>
    </w:tbl>
    <w:p w14:paraId="177352B8" w14:textId="77777777" w:rsidR="003A3D51" w:rsidRDefault="003A3D51">
      <w:pPr>
        <w:pStyle w:val="paragraph"/>
        <w:spacing w:before="0" w:beforeAutospacing="0" w:after="0" w:afterAutospacing="0"/>
        <w:ind w:firstLine="720"/>
        <w:jc w:val="both"/>
        <w:textAlignment w:val="baseline"/>
        <w:rPr>
          <w:rStyle w:val="eop"/>
          <w:noProof/>
        </w:rPr>
      </w:pPr>
    </w:p>
    <w:p w14:paraId="3E391231" w14:textId="77777777" w:rsidR="003A3D51" w:rsidRDefault="003A3D51">
      <w:pPr>
        <w:rPr>
          <w:noProof/>
        </w:rPr>
      </w:pPr>
    </w:p>
    <w:p w14:paraId="2E7BC83B" w14:textId="77777777" w:rsidR="003A3D51" w:rsidRDefault="003A3D51">
      <w:pPr>
        <w:rPr>
          <w:noProof/>
        </w:rPr>
      </w:pPr>
    </w:p>
    <w:p w14:paraId="5DBD3E86" w14:textId="77777777" w:rsidR="003A3D51" w:rsidRDefault="003A3D51">
      <w:pPr>
        <w:rPr>
          <w:noProof/>
        </w:rPr>
      </w:pPr>
    </w:p>
    <w:p w14:paraId="40147245" w14:textId="77777777" w:rsidR="003A3D51" w:rsidRDefault="003A3D51">
      <w:pPr>
        <w:rPr>
          <w:noProof/>
        </w:rPr>
      </w:pPr>
    </w:p>
    <w:p w14:paraId="6B70A7DE" w14:textId="77777777" w:rsidR="003A3D51" w:rsidRDefault="003A3D51">
      <w:pPr>
        <w:rPr>
          <w:noProof/>
        </w:rPr>
      </w:pPr>
    </w:p>
    <w:p w14:paraId="5BE4D194" w14:textId="77777777" w:rsidR="003A3D51" w:rsidRDefault="003A3D51">
      <w:pPr>
        <w:rPr>
          <w:noProof/>
        </w:rPr>
      </w:pPr>
    </w:p>
    <w:p w14:paraId="74490430" w14:textId="77777777" w:rsidR="003A3D51" w:rsidRDefault="003A3D51">
      <w:pPr>
        <w:rPr>
          <w:noProof/>
        </w:rPr>
      </w:pPr>
    </w:p>
    <w:p w14:paraId="7EEBF12A" w14:textId="77777777" w:rsidR="003A3D51" w:rsidRDefault="003A3D51">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rPr>
        <w:sectPr w:rsidR="003A3D51" w:rsidSect="0001477B">
          <w:headerReference w:type="even" r:id="rId36"/>
          <w:headerReference w:type="default" r:id="rId37"/>
          <w:footerReference w:type="even" r:id="rId38"/>
          <w:footerReference w:type="default" r:id="rId39"/>
          <w:headerReference w:type="first" r:id="rId40"/>
          <w:footerReference w:type="first" r:id="rId41"/>
          <w:pgSz w:w="15840" w:h="12240" w:orient="landscape"/>
          <w:pgMar w:top="1440" w:right="1440" w:bottom="1440" w:left="1440" w:header="708" w:footer="708" w:gutter="0"/>
          <w:cols w:space="708"/>
          <w:docGrid w:linePitch="360"/>
        </w:sectPr>
      </w:pPr>
    </w:p>
    <w:p w14:paraId="468EF72C"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B. KOMPONENT 1.2: ENERGIOMSTÄLLNING FÖR EN HÅLLBAR EKONOMI</w:t>
      </w:r>
    </w:p>
    <w:p w14:paraId="75AD3B95" w14:textId="77777777" w:rsidR="003A3D51" w:rsidRDefault="0002775A">
      <w:pPr>
        <w:pStyle w:val="P68B1DB1-Normal3"/>
        <w:spacing w:before="120" w:after="120" w:line="240" w:lineRule="auto"/>
        <w:jc w:val="both"/>
        <w:rPr>
          <w:noProof/>
        </w:rPr>
      </w:pPr>
      <w:r>
        <w:rPr>
          <w:noProof/>
        </w:rPr>
        <w:t xml:space="preserve">Syftet med denna del av Kroatiens återhämtnings- och resiliensplan är att underlätta utfasningen av fossila bränslen i energi- och transportsektorerna, inbegripet utveckling av innovativ teknik, och bidra till att uppnå det mål på 36,6 % förnybara energikällor för 2030 som fastställdes i Kroatiens nationella energi- och klimatplan och uppfylla Kroatiens bidrag till EU:s energieffektivitetsmål på 32,5 % senast 2030. Det syftar också till att bidra till det höjda målet för andelen förnybar energi inom transportsektorn på 14 % senast 2030. Reformerna i komponenten ska bestå av lagstiftningsinitiativ för att i) undanröja hinder och administrativa förfaranden som begränsar användningen av förnybara energikällor, II) slutföra certifieringen av den systemansvarige för överföringssystemet för gas, och iii) främja användningen av alternativa bränslen inom transportsektorn, inbegripet vätgas och avancerade biobränslen. </w:t>
      </w:r>
    </w:p>
    <w:p w14:paraId="11D3B2DA" w14:textId="77777777" w:rsidR="003A3D51" w:rsidRDefault="0002775A">
      <w:pPr>
        <w:pStyle w:val="P68B1DB1-Normal3"/>
        <w:spacing w:before="120" w:after="120" w:line="240" w:lineRule="auto"/>
        <w:jc w:val="both"/>
        <w:rPr>
          <w:noProof/>
        </w:rPr>
      </w:pPr>
      <w:r>
        <w:rPr>
          <w:noProof/>
        </w:rPr>
        <w:t xml:space="preserve">Reformerna och investeringarna i komponenten förväntas bidra till den gröna omställningen och till uppnåendet av klimatmålet genom att minska utsläppen av växthusgaser inom energi- och transportsektorerna, i linje med den nationella energi- och klimatplanen. </w:t>
      </w:r>
    </w:p>
    <w:p w14:paraId="01810215" w14:textId="77777777" w:rsidR="003A3D51" w:rsidRDefault="0002775A">
      <w:pPr>
        <w:pStyle w:val="P68B1DB1-Normal3"/>
        <w:spacing w:before="120" w:after="120" w:line="240" w:lineRule="auto"/>
        <w:jc w:val="both"/>
        <w:rPr>
          <w:noProof/>
        </w:rPr>
      </w:pPr>
      <w:r>
        <w:rPr>
          <w:noProof/>
        </w:rPr>
        <w:t>Dessa investeringar och reformer ska bidra till att följa de landsspecifika rekommendationer som riktats till Kroatien om behovet av att ”inrikta den investeringsrelaterade politiken på [...] energieffektivitet, förnybar energi” (de landsspecifika rekommendationerna 3 och 2019) och att ”inrikta investeringarna på den gröna [...] omställningen, särskilt [...] ren och effektiv produktion och användning av energi” (de landsspecifika rekommendationerna 3 och 2020).</w:t>
      </w:r>
    </w:p>
    <w:p w14:paraId="4D398B89"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B.1 </w:t>
      </w:r>
      <w:r>
        <w:rPr>
          <w:noProof/>
        </w:rPr>
        <w:tab/>
        <w:t>Beskrivning av reformer och investeringar avseende icke återbetalningspliktigt ekonomiskt stöd</w:t>
      </w:r>
    </w:p>
    <w:p w14:paraId="33AAF18B" w14:textId="77777777" w:rsidR="003A3D51" w:rsidRDefault="0002775A">
      <w:pPr>
        <w:pStyle w:val="P68B1DB1-Normal5"/>
        <w:spacing w:before="120" w:after="120" w:line="240" w:lineRule="auto"/>
        <w:ind w:left="851"/>
        <w:jc w:val="both"/>
        <w:rPr>
          <w:noProof/>
        </w:rPr>
      </w:pPr>
      <w:r>
        <w:rPr>
          <w:noProof/>
        </w:rPr>
        <w:t>Reform C.1.2.R1 Minskning av koldioxidutsläpp i energisektorn</w:t>
      </w:r>
    </w:p>
    <w:p w14:paraId="40014095" w14:textId="77777777" w:rsidR="003A3D51" w:rsidRDefault="0002775A">
      <w:pPr>
        <w:pStyle w:val="P68B1DB1-Normal3"/>
        <w:spacing w:before="120" w:after="120" w:line="240" w:lineRule="auto"/>
        <w:jc w:val="both"/>
        <w:rPr>
          <w:noProof/>
        </w:rPr>
      </w:pPr>
      <w:r>
        <w:rPr>
          <w:noProof/>
        </w:rPr>
        <w:t>Syftet med reformen är att underlätta utfasningen av fossila bränslen i energi- och transportsektorerna och att stödja det nationella bidraget till unionens mål för förnybar energi. Reformen ska omfatta följande:</w:t>
      </w:r>
    </w:p>
    <w:p w14:paraId="0B175ADD" w14:textId="77777777" w:rsidR="003A3D51" w:rsidRDefault="0002775A">
      <w:pPr>
        <w:pStyle w:val="P68B1DB1-Normal3"/>
        <w:numPr>
          <w:ilvl w:val="0"/>
          <w:numId w:val="9"/>
        </w:numPr>
        <w:spacing w:before="120" w:after="120" w:line="240" w:lineRule="auto"/>
        <w:jc w:val="both"/>
        <w:rPr>
          <w:noProof/>
        </w:rPr>
      </w:pPr>
      <w:r>
        <w:rPr>
          <w:noProof/>
        </w:rPr>
        <w:t xml:space="preserve">Lagändringar av elmarknadslagen och lagen om högeffektiv kraftvärme för att minska rättsliga och administrativa hinder som begränsar utvecklingen av projekt för förnybar energi, på grundval av resultaten av en grundlig analys av den befintliga flaskhalsen och efter offentliga samråd, samt införandet av ett premiebaserat system för stöd till investeringar i förnybara energikällor. </w:t>
      </w:r>
    </w:p>
    <w:p w14:paraId="1A0595BF" w14:textId="3791DB71" w:rsidR="003A3D51" w:rsidRDefault="0002775A">
      <w:pPr>
        <w:pStyle w:val="P68B1DB1-Normal3"/>
        <w:numPr>
          <w:ilvl w:val="0"/>
          <w:numId w:val="9"/>
        </w:numPr>
        <w:spacing w:before="120" w:after="120" w:line="240" w:lineRule="auto"/>
        <w:jc w:val="both"/>
        <w:rPr>
          <w:noProof/>
        </w:rPr>
      </w:pPr>
      <w:r>
        <w:rPr>
          <w:noProof/>
        </w:rPr>
        <w:t xml:space="preserve">Beslut om utfärdande av certifikat till den systemansvarige för överföringssystemet Plinacro som antagits av Kroatiens nationella energitillsynsmyndighet (Hera) och som ska slutföra åtskillnaden av överföringsverksamheten på gasmarknaden och som ska separera tillsynen av den statligt ägda systemansvarige för överföringssystem för gas från den statligt ägda leverans- och produktionsverksamheten.  </w:t>
      </w:r>
    </w:p>
    <w:p w14:paraId="634E8279" w14:textId="77777777" w:rsidR="003A3D51" w:rsidRDefault="0002775A">
      <w:pPr>
        <w:pStyle w:val="P68B1DB1-Normal3"/>
        <w:numPr>
          <w:ilvl w:val="0"/>
          <w:numId w:val="9"/>
        </w:numPr>
        <w:spacing w:before="120" w:after="120" w:line="240" w:lineRule="auto"/>
        <w:jc w:val="both"/>
        <w:rPr>
          <w:noProof/>
        </w:rPr>
      </w:pPr>
      <w:r>
        <w:rPr>
          <w:noProof/>
        </w:rPr>
        <w:t xml:space="preserve">Antagande av en ny lag om alternativa bränslen inom transportsektorn för att skapa en rättslig ram för användning av alternativa bränslen inom transportsektorn och främja produktion och användning av avancerade biodrivmedel och vätgas inom transportsektorn. Strategin för utveckling av vätgas ska utvecklas och fastställa mål för 2030 för produktion av grön vätgas i Kroatien. </w:t>
      </w:r>
    </w:p>
    <w:p w14:paraId="18C6C77C" w14:textId="77777777" w:rsidR="003A3D51" w:rsidRDefault="0002775A">
      <w:pPr>
        <w:pStyle w:val="P68B1DB1-Normal3"/>
        <w:spacing w:after="200" w:line="276" w:lineRule="auto"/>
        <w:rPr>
          <w:noProof/>
        </w:rPr>
      </w:pPr>
      <w:r>
        <w:rPr>
          <w:noProof/>
        </w:rPr>
        <w:t>Reformen ska vara genomförd senast den 31 december 2023.</w:t>
      </w:r>
    </w:p>
    <w:p w14:paraId="7C7D5712" w14:textId="77777777" w:rsidR="003A3D51" w:rsidRDefault="0002775A">
      <w:pPr>
        <w:pStyle w:val="P68B1DB1-Normal5"/>
        <w:spacing w:after="200" w:line="276" w:lineRule="auto"/>
        <w:ind w:left="720"/>
        <w:rPr>
          <w:rFonts w:ascii="Calibri" w:hAnsi="Calibri" w:cs="Arial"/>
          <w:noProof/>
        </w:rPr>
      </w:pPr>
      <w:r>
        <w:rPr>
          <w:noProof/>
        </w:rPr>
        <w:t>Investering C1.2.R1-I1 Stärka, bygga och digitalisera energisystemet och stödja infrastruktur för att fasa ut fossila bränslen i energisektorn</w:t>
      </w:r>
    </w:p>
    <w:p w14:paraId="6F823E74" w14:textId="77777777" w:rsidR="003A3D51" w:rsidRDefault="0002775A">
      <w:pPr>
        <w:pStyle w:val="P68B1DB1-Normal3"/>
        <w:spacing w:before="120" w:after="120" w:line="240" w:lineRule="auto"/>
        <w:jc w:val="both"/>
        <w:rPr>
          <w:noProof/>
        </w:rPr>
      </w:pPr>
      <w:r>
        <w:rPr>
          <w:noProof/>
        </w:rPr>
        <w:t>Syftet med denna investering är att stödja elektrifiering och utfasning av fossila bränslen i energisektorn genom att uppgradera och digitalisera det kroatiska överförings- och distributionsnätet för el. Detta förväntas göra det möjligt att skapa ny kapacitet för förnybar energi, bättre anslutning av det sydnordliga nätet samt ansluta sex öar till fastlandsnätet, för att öppna deras potential för produktion av förnybar energi och säkerställa att el som produceras från förnybara energikällor kan flöda från södra Kroatien, där de flesta förnybara energikällor kan byggas ut, till norr, där mest el förbrukas. Denna investering är avsedd att direkt bidra till genomförandet av den 10-åriga nätutvecklingsplanen av den systemansvarige för överföringssystemet Hrvatski prijenosnog sustava d.o.o. (HOPS), med fokus på de viktigaste delarna för att säkerställa systemets stabilitet och skapa förutsättningar för utveckling av kapaciteten för förnybar energi. Investeringen ska omfatta följande verksamheter:</w:t>
      </w:r>
    </w:p>
    <w:p w14:paraId="72A2DE26" w14:textId="77777777" w:rsidR="003A3D51" w:rsidRDefault="0002775A">
      <w:pPr>
        <w:pStyle w:val="P68B1DB1-Normal3"/>
        <w:numPr>
          <w:ilvl w:val="0"/>
          <w:numId w:val="9"/>
        </w:numPr>
        <w:spacing w:before="120" w:after="120" w:line="240" w:lineRule="auto"/>
        <w:jc w:val="both"/>
        <w:rPr>
          <w:noProof/>
        </w:rPr>
      </w:pPr>
      <w:r>
        <w:rPr>
          <w:noProof/>
        </w:rPr>
        <w:t>Uppgradering av 550 km högspänningsnät (220/110 kV) ska göra det möjligt att ansluta 1 500 MW förnybar energiförsörjningskapacitet till nätet.</w:t>
      </w:r>
    </w:p>
    <w:p w14:paraId="6D315B4D" w14:textId="77777777" w:rsidR="003A3D51" w:rsidRDefault="0002775A">
      <w:pPr>
        <w:pStyle w:val="P68B1DB1-Normal3"/>
        <w:numPr>
          <w:ilvl w:val="0"/>
          <w:numId w:val="9"/>
        </w:numPr>
        <w:spacing w:before="120" w:after="120" w:line="240" w:lineRule="auto"/>
        <w:jc w:val="both"/>
        <w:rPr>
          <w:noProof/>
        </w:rPr>
      </w:pPr>
      <w:r>
        <w:rPr>
          <w:noProof/>
        </w:rPr>
        <w:t>Uppgradering av undervattenskablar som förbinder sex större öar med fastlandet (Krk, Cres, Lošinj, Brač, Hvar och Korčula).</w:t>
      </w:r>
    </w:p>
    <w:p w14:paraId="198890C9" w14:textId="28AB73B9" w:rsidR="003A3D51" w:rsidRDefault="0002775A">
      <w:pPr>
        <w:pStyle w:val="P68B1DB1-Normal3"/>
        <w:numPr>
          <w:ilvl w:val="0"/>
          <w:numId w:val="9"/>
        </w:numPr>
        <w:spacing w:before="120" w:after="120" w:line="240" w:lineRule="auto"/>
        <w:jc w:val="both"/>
        <w:rPr>
          <w:noProof/>
        </w:rPr>
      </w:pPr>
      <w:r>
        <w:rPr>
          <w:noProof/>
        </w:rPr>
        <w:t>Modernisering av distributionssystemet, inklusive inköp och installation av 100 000 smarta mätare och utveckling av ett ”smart nät”.</w:t>
      </w:r>
    </w:p>
    <w:p w14:paraId="27273395" w14:textId="6D705116" w:rsidR="003A3D51" w:rsidRDefault="0002775A">
      <w:pPr>
        <w:pStyle w:val="P68B1DB1-Normal3"/>
        <w:numPr>
          <w:ilvl w:val="0"/>
          <w:numId w:val="9"/>
        </w:numPr>
        <w:spacing w:before="120" w:after="120" w:line="240" w:lineRule="auto"/>
        <w:jc w:val="both"/>
        <w:rPr>
          <w:noProof/>
        </w:rPr>
      </w:pPr>
      <w:r>
        <w:rPr>
          <w:noProof/>
        </w:rPr>
        <w:t>uppförande av ny energilagring (100 MWh).</w:t>
      </w:r>
    </w:p>
    <w:p w14:paraId="25F29653" w14:textId="500E64F5" w:rsidR="003A3D51" w:rsidRDefault="0002775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Dessa investeringar ska genomföras av den kroatiska systemansvarige för elöverföringssystemet (HOPS), den systemansvarige för eldistributionssystemet (HEP-ODS)</w:t>
      </w:r>
      <w:r>
        <w:rPr>
          <w:noProof/>
        </w:rPr>
        <w:t xml:space="preserve"> </w:t>
      </w:r>
      <w:r>
        <w:rPr>
          <w:rFonts w:ascii="Times New Roman" w:eastAsia="Calibri" w:hAnsi="Times New Roman" w:cs="Times New Roman"/>
          <w:noProof/>
          <w:sz w:val="24"/>
        </w:rPr>
        <w:t>och andra berörda intressenter och offentliga myndigheter.</w:t>
      </w:r>
    </w:p>
    <w:p w14:paraId="667DB4A8"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159F0AA0" w14:textId="77777777" w:rsidR="003A3D51" w:rsidRDefault="003A3D51">
      <w:pPr>
        <w:spacing w:after="200" w:line="276" w:lineRule="auto"/>
        <w:ind w:left="850"/>
        <w:jc w:val="both"/>
        <w:rPr>
          <w:rFonts w:ascii="Times New Roman" w:eastAsia="Calibri" w:hAnsi="Times New Roman" w:cs="Times New Roman"/>
          <w:noProof/>
          <w:sz w:val="24"/>
          <w:u w:val="single"/>
        </w:rPr>
      </w:pPr>
    </w:p>
    <w:p w14:paraId="34C86183" w14:textId="7A0693E7" w:rsidR="003A3D51" w:rsidRDefault="0002775A">
      <w:pPr>
        <w:pStyle w:val="P68B1DB1-Normal3"/>
        <w:spacing w:after="200" w:line="276" w:lineRule="auto"/>
        <w:jc w:val="both"/>
        <w:rPr>
          <w:noProof/>
        </w:rPr>
      </w:pPr>
      <w:r>
        <w:rPr>
          <w:noProof/>
          <w:u w:val="single"/>
        </w:rPr>
        <w:t>Investering C1.2.R1-I2 Främjande av energieffektivitet, värme och förnybar energi för att fasa ut fossila bränslen i energisektorn</w:t>
      </w:r>
      <w:r>
        <w:rPr>
          <w:noProof/>
        </w:rPr>
        <w:t xml:space="preserve">. Syftet med denna investering är att fasa ut fossila bränslen i fjärrvärmesystem och öka energieffektiviteten i industriella produktionsprocesser och öka användningen av förnybara energikällor. Denna investering ska omfatta två delåtgärder: </w:t>
      </w:r>
    </w:p>
    <w:p w14:paraId="0651BF53" w14:textId="77777777" w:rsidR="003A3D51" w:rsidRDefault="0002775A">
      <w:pPr>
        <w:pStyle w:val="P68B1DB1-Normal3"/>
        <w:keepNext/>
        <w:numPr>
          <w:ilvl w:val="0"/>
          <w:numId w:val="10"/>
        </w:numPr>
        <w:spacing w:before="120" w:after="120" w:line="240" w:lineRule="auto"/>
        <w:jc w:val="both"/>
        <w:rPr>
          <w:noProof/>
        </w:rPr>
      </w:pPr>
      <w:r>
        <w:rPr>
          <w:noProof/>
        </w:rPr>
        <w:t>Geotermisk energi för fjärrvärme – denna delåtgärd ska omfatta utveckling av projektdokumentation och provborrning i syfte att bygga ut geotermisk energi för fjärrvärme i 6 kommuner. Denna åtgärd omfattar inte stöd till fjärrvärmesystem som använder fossila energikällor eller till investeringar i anläggningar som omfattas av EU:s utsläppshandelssystem.</w:t>
      </w:r>
    </w:p>
    <w:p w14:paraId="092599BD" w14:textId="77777777" w:rsidR="003A3D51" w:rsidRDefault="0002775A">
      <w:pPr>
        <w:pStyle w:val="P68B1DB1-Normal3"/>
        <w:keepNext/>
        <w:numPr>
          <w:ilvl w:val="0"/>
          <w:numId w:val="10"/>
        </w:numPr>
        <w:spacing w:before="120" w:after="120" w:line="240" w:lineRule="auto"/>
        <w:jc w:val="both"/>
        <w:rPr>
          <w:noProof/>
        </w:rPr>
      </w:pPr>
      <w:r>
        <w:rPr>
          <w:noProof/>
        </w:rPr>
        <w:t xml:space="preserve">Införande av ett stödsystem för att bevilja investeringsstöd till små, medelstora och stora företag för att öka energieffektiviteten i industriella produktionsprocesser inom energiintensiv tillverkningsindustri. Över 50 företag förväntas dra nytta av detta stöd. </w:t>
      </w:r>
    </w:p>
    <w:p w14:paraId="02879F30" w14:textId="77777777" w:rsidR="003A3D51" w:rsidRDefault="0002775A">
      <w:pPr>
        <w:pStyle w:val="P68B1DB1-Normal3"/>
        <w:spacing w:before="120" w:after="120" w:line="240" w:lineRule="auto"/>
        <w:jc w:val="both"/>
        <w:rPr>
          <w:noProof/>
        </w:rPr>
      </w:pPr>
      <w:r>
        <w:rPr>
          <w:noProof/>
        </w:rPr>
        <w:t xml:space="preserve">För att säkerställa att åtgärden är förenlig med den tekniska vägledningen om att inte orsaka betydande skada (2021/C58/01) ska kriterierna för stödberättigande i kravspecifikationerna för kommande ansökningsomgångar för projekt utesluta verksamhet inom ramen för EU:s utsläppshandelssystem som uppnår beräknade växthusgasutsläpp som inte ligger betydligt under de relevanta riktmärkena. Mandatet ska också kräva att endast verksamheter som är förenliga med relevant EU-lagstiftning och nationell miljölagstiftning kan väljas ut, med fokus på stöd till miljövänliga produktionsprocesser och resurseffektivitet i små och medelstora företag (och stora företag). </w:t>
      </w:r>
    </w:p>
    <w:p w14:paraId="27F29868" w14:textId="77777777" w:rsidR="003A3D51" w:rsidRDefault="0002775A">
      <w:pPr>
        <w:pStyle w:val="P68B1DB1-Normal3"/>
        <w:spacing w:after="200" w:line="276" w:lineRule="auto"/>
        <w:jc w:val="both"/>
        <w:rPr>
          <w:noProof/>
        </w:rPr>
      </w:pPr>
      <w:r>
        <w:rPr>
          <w:noProof/>
        </w:rPr>
        <w:t xml:space="preserve"> Denna investering ska vara slutförd senast den 30 juni 2026.</w:t>
      </w:r>
    </w:p>
    <w:p w14:paraId="20CD8874" w14:textId="2DAD8FCB" w:rsidR="003A3D51" w:rsidRDefault="0002775A">
      <w:pPr>
        <w:pStyle w:val="P68B1DB1-Normal5"/>
        <w:spacing w:after="200" w:line="276" w:lineRule="auto"/>
        <w:ind w:left="850"/>
        <w:jc w:val="both"/>
        <w:rPr>
          <w:rFonts w:ascii="Calibri" w:hAnsi="Calibri" w:cs="Arial"/>
          <w:noProof/>
        </w:rPr>
      </w:pPr>
      <w:r>
        <w:rPr>
          <w:noProof/>
        </w:rPr>
        <w:t>Investering C1.2.R1-I3 Användning av vätgas och ny teknik</w:t>
      </w:r>
    </w:p>
    <w:p w14:paraId="07F89D3D" w14:textId="6CE2C36F" w:rsidR="003A3D51" w:rsidRDefault="0002775A">
      <w:pPr>
        <w:pStyle w:val="P68B1DB1-Normal3"/>
        <w:spacing w:before="120" w:after="120" w:line="240" w:lineRule="auto"/>
        <w:jc w:val="both"/>
        <w:rPr>
          <w:noProof/>
        </w:rPr>
      </w:pPr>
      <w:r>
        <w:rPr>
          <w:noProof/>
        </w:rPr>
        <w:t xml:space="preserve">Syftet med denna investering är att förbättra användningen av vätgas och ny teknik i Kroatien för att minska utsläppen av växthusgaser inom transportsektorn och industrin genom att anta lagen om alternativa transportbränslen och strategin för vätgasutveckling. </w:t>
      </w:r>
    </w:p>
    <w:p w14:paraId="0AA51722" w14:textId="18D6BA11" w:rsidR="003A3D51" w:rsidRDefault="0002775A">
      <w:pPr>
        <w:pStyle w:val="P68B1DB1-Normal3"/>
        <w:spacing w:after="200" w:line="276" w:lineRule="auto"/>
        <w:jc w:val="both"/>
        <w:rPr>
          <w:rFonts w:ascii="Calibri" w:hAnsi="Calibri" w:cs="Arial"/>
          <w:noProof/>
        </w:rPr>
      </w:pPr>
      <w:r>
        <w:rPr>
          <w:noProof/>
        </w:rPr>
        <w:t>Denna investering ska vara slutförd senast den 31 mars 2022.</w:t>
      </w:r>
    </w:p>
    <w:p w14:paraId="724886B8" w14:textId="77777777" w:rsidR="003A3D51" w:rsidRDefault="003A3D51">
      <w:pPr>
        <w:rPr>
          <w:noProof/>
        </w:rPr>
        <w:sectPr w:rsidR="003A3D51">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08" w:footer="708" w:gutter="0"/>
          <w:cols w:space="708"/>
          <w:docGrid w:linePitch="360"/>
        </w:sectPr>
      </w:pPr>
    </w:p>
    <w:p w14:paraId="63653FFF" w14:textId="767227F3" w:rsidR="003A3D51" w:rsidRDefault="0002775A">
      <w:pPr>
        <w:keepNext/>
        <w:tabs>
          <w:tab w:val="num" w:pos="850"/>
        </w:tabs>
        <w:spacing w:after="200" w:line="276" w:lineRule="auto"/>
        <w:ind w:left="851" w:right="-873"/>
        <w:jc w:val="both"/>
        <w:outlineLvl w:val="1"/>
        <w:rPr>
          <w:rFonts w:ascii="Calibri" w:eastAsia="Calibri" w:hAnsi="Calibri" w:cs="Arial"/>
          <w:noProof/>
        </w:rPr>
      </w:pPr>
      <w:r>
        <w:rPr>
          <w:rFonts w:ascii="Times New Roman" w:eastAsia="SimSun" w:hAnsi="Times New Roman" w:cs="Times New Roman"/>
          <w:b/>
          <w:noProof/>
          <w:sz w:val="24"/>
          <w:u w:val="single"/>
        </w:rPr>
        <w:t xml:space="preserve">B.2 </w:t>
      </w:r>
      <w:r>
        <w:rPr>
          <w:noProof/>
        </w:rPr>
        <w:tab/>
      </w:r>
      <w:r>
        <w:rPr>
          <w:rFonts w:ascii="Times New Roman" w:eastAsia="SimSun" w:hAnsi="Times New Roman" w:cs="Times New Roman"/>
          <w:b/>
          <w:noProof/>
          <w:sz w:val="24"/>
          <w:u w:val="single"/>
        </w:rPr>
        <w:t>Delmål, mål, indikatorer och tidsplan för övervakning och genomförande avseende icke återbetalningspliktigt ekonomiskt stöd</w:t>
      </w:r>
    </w:p>
    <w:tbl>
      <w:tblPr>
        <w:tblW w:w="5000" w:type="pct"/>
        <w:jc w:val="center"/>
        <w:tblCellMar>
          <w:top w:w="28" w:type="dxa"/>
          <w:left w:w="28" w:type="dxa"/>
          <w:bottom w:w="28" w:type="dxa"/>
          <w:right w:w="28" w:type="dxa"/>
        </w:tblCellMar>
        <w:tblLook w:val="04A0" w:firstRow="1" w:lastRow="0" w:firstColumn="1" w:lastColumn="0" w:noHBand="0" w:noVBand="1"/>
      </w:tblPr>
      <w:tblGrid>
        <w:gridCol w:w="138"/>
        <w:gridCol w:w="215"/>
        <w:gridCol w:w="227"/>
        <w:gridCol w:w="3037"/>
        <w:gridCol w:w="79"/>
        <w:gridCol w:w="2473"/>
        <w:gridCol w:w="145"/>
        <w:gridCol w:w="195"/>
        <w:gridCol w:w="211"/>
        <w:gridCol w:w="226"/>
        <w:gridCol w:w="134"/>
        <w:gridCol w:w="6137"/>
      </w:tblGrid>
      <w:tr w:rsidR="003A3D51" w14:paraId="3B563EE1" w14:textId="77777777" w:rsidTr="002624B1">
        <w:trPr>
          <w:trHeight w:val="438"/>
          <w:tblHeader/>
          <w:jc w:val="center"/>
        </w:trPr>
        <w:tc>
          <w:tcPr>
            <w:tcW w:w="22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54FCEB" w14:textId="77777777" w:rsidR="003A3D51" w:rsidRDefault="0002775A">
            <w:pPr>
              <w:pStyle w:val="P68B1DB1-Normal6"/>
              <w:spacing w:after="200" w:line="276" w:lineRule="auto"/>
              <w:jc w:val="center"/>
              <w:rPr>
                <w:rFonts w:ascii="Calibri" w:eastAsia="Calibri" w:hAnsi="Calibri" w:cs="Arial"/>
                <w:noProof/>
              </w:rPr>
            </w:pPr>
            <w:r>
              <w:rPr>
                <w:noProof/>
              </w:rPr>
              <w:t>Antal</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7790B2" w14:textId="77777777" w:rsidR="003A3D51" w:rsidRDefault="0002775A">
            <w:pPr>
              <w:pStyle w:val="P68B1DB1-Normal6"/>
              <w:spacing w:after="200" w:line="276" w:lineRule="auto"/>
              <w:jc w:val="center"/>
              <w:rPr>
                <w:rFonts w:ascii="Calibri" w:eastAsia="Calibri" w:hAnsi="Calibri" w:cs="Arial"/>
                <w:noProof/>
              </w:rPr>
            </w:pPr>
            <w:r>
              <w:rPr>
                <w:noProof/>
              </w:rPr>
              <w:t>Åtgärd</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F6E7E3" w14:textId="77777777" w:rsidR="003A3D51" w:rsidRDefault="0002775A">
            <w:pPr>
              <w:pStyle w:val="P68B1DB1-Normal6"/>
              <w:spacing w:after="200" w:line="276" w:lineRule="auto"/>
              <w:jc w:val="center"/>
              <w:rPr>
                <w:rFonts w:ascii="Calibri" w:eastAsia="Calibri" w:hAnsi="Calibri" w:cs="Arial"/>
                <w:noProof/>
              </w:rPr>
            </w:pPr>
            <w:r>
              <w:rPr>
                <w:noProof/>
              </w:rPr>
              <w:t>Delmål/mål</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12AC687" w14:textId="77777777" w:rsidR="003A3D51" w:rsidRDefault="0002775A">
            <w:pPr>
              <w:pStyle w:val="P68B1DB1-Normal6"/>
              <w:spacing w:after="200" w:line="276" w:lineRule="auto"/>
              <w:jc w:val="center"/>
              <w:rPr>
                <w:rFonts w:ascii="Calibri" w:eastAsia="Calibri" w:hAnsi="Calibri" w:cs="Arial"/>
                <w:noProof/>
              </w:rPr>
            </w:pPr>
            <w:r>
              <w:rPr>
                <w:noProof/>
              </w:rPr>
              <w:t>Namn</w:t>
            </w:r>
          </w:p>
        </w:tc>
        <w:tc>
          <w:tcPr>
            <w:tcW w:w="805" w:type="pct"/>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0F2BCC" w14:textId="77777777" w:rsidR="003A3D51" w:rsidRDefault="0002775A">
            <w:pPr>
              <w:pStyle w:val="P68B1DB1-Normal6"/>
              <w:spacing w:after="200" w:line="276" w:lineRule="auto"/>
              <w:jc w:val="center"/>
              <w:rPr>
                <w:rFonts w:ascii="Calibri" w:eastAsia="Calibri" w:hAnsi="Calibri" w:cs="Arial"/>
                <w:noProof/>
              </w:rPr>
            </w:pPr>
            <w:r>
              <w:rPr>
                <w:noProof/>
              </w:rPr>
              <w:t xml:space="preserve">Kvalitativa indikatorer </w:t>
            </w:r>
            <w:r>
              <w:rPr>
                <w:noProof/>
              </w:rPr>
              <w:br/>
              <w:t>(för delmål)</w:t>
            </w:r>
          </w:p>
        </w:tc>
        <w:tc>
          <w:tcPr>
            <w:tcW w:w="636" w:type="pct"/>
            <w:gridSpan w:val="2"/>
            <w:tcBorders>
              <w:top w:val="single" w:sz="4" w:space="0" w:color="auto"/>
              <w:left w:val="single" w:sz="4" w:space="0" w:color="auto"/>
              <w:bottom w:val="single" w:sz="4" w:space="0" w:color="auto"/>
              <w:right w:val="single" w:sz="4" w:space="0" w:color="auto"/>
            </w:tcBorders>
            <w:shd w:val="clear" w:color="auto" w:fill="BDD7EE"/>
            <w:hideMark/>
          </w:tcPr>
          <w:p w14:paraId="0E0FE33D" w14:textId="77777777" w:rsidR="003A3D51" w:rsidRDefault="0002775A">
            <w:pPr>
              <w:pStyle w:val="P68B1DB1-Normal6"/>
              <w:spacing w:after="200" w:line="276" w:lineRule="auto"/>
              <w:jc w:val="center"/>
              <w:rPr>
                <w:rFonts w:ascii="Calibri" w:eastAsia="Calibri" w:hAnsi="Calibri" w:cs="Arial"/>
                <w:noProof/>
              </w:rPr>
            </w:pPr>
            <w:r>
              <w:rPr>
                <w:noProof/>
              </w:rPr>
              <w:t xml:space="preserve">Kvantitativa indikatorer </w:t>
            </w:r>
            <w:r>
              <w:rPr>
                <w:noProof/>
              </w:rPr>
              <w:br/>
              <w:t>(för mål)</w:t>
            </w:r>
          </w:p>
        </w:tc>
        <w:tc>
          <w:tcPr>
            <w:tcW w:w="966" w:type="pct"/>
            <w:gridSpan w:val="3"/>
            <w:tcBorders>
              <w:top w:val="single" w:sz="4" w:space="0" w:color="auto"/>
              <w:left w:val="nil"/>
              <w:bottom w:val="single" w:sz="4" w:space="0" w:color="auto"/>
              <w:right w:val="single" w:sz="4" w:space="0" w:color="auto"/>
            </w:tcBorders>
            <w:shd w:val="clear" w:color="auto" w:fill="BDD7EE"/>
            <w:hideMark/>
          </w:tcPr>
          <w:p w14:paraId="128D627F" w14:textId="77777777" w:rsidR="003A3D51" w:rsidRDefault="0002775A">
            <w:pPr>
              <w:pStyle w:val="P68B1DB1-Normal6"/>
              <w:spacing w:after="200" w:line="276" w:lineRule="auto"/>
              <w:jc w:val="center"/>
              <w:rPr>
                <w:rFonts w:ascii="Calibri" w:eastAsia="Calibri" w:hAnsi="Calibri" w:cs="Arial"/>
                <w:noProof/>
              </w:rPr>
            </w:pPr>
            <w:r>
              <w:rPr>
                <w:noProof/>
              </w:rPr>
              <w:t>Tid</w:t>
            </w:r>
          </w:p>
        </w:tc>
        <w:tc>
          <w:tcPr>
            <w:tcW w:w="1036" w:type="pct"/>
            <w:vMerge w:val="restart"/>
            <w:tcBorders>
              <w:top w:val="single" w:sz="4" w:space="0" w:color="auto"/>
              <w:left w:val="single" w:sz="4" w:space="0" w:color="auto"/>
              <w:right w:val="single" w:sz="4" w:space="0" w:color="auto"/>
            </w:tcBorders>
            <w:shd w:val="clear" w:color="auto" w:fill="BDD7EE"/>
            <w:vAlign w:val="center"/>
            <w:hideMark/>
          </w:tcPr>
          <w:p w14:paraId="5508529D" w14:textId="77777777" w:rsidR="003A3D51" w:rsidRDefault="0002775A">
            <w:pPr>
              <w:pStyle w:val="P68B1DB1-Normal6"/>
              <w:spacing w:after="200" w:line="276" w:lineRule="auto"/>
              <w:jc w:val="center"/>
              <w:rPr>
                <w:rFonts w:ascii="Calibri" w:eastAsia="Calibri" w:hAnsi="Calibri" w:cs="Arial"/>
                <w:noProof/>
              </w:rPr>
            </w:pPr>
            <w:r>
              <w:rPr>
                <w:noProof/>
              </w:rPr>
              <w:t>Beskrivning av varje delmål och mål</w:t>
            </w:r>
          </w:p>
        </w:tc>
      </w:tr>
      <w:tr w:rsidR="003A3D51" w14:paraId="1B919838" w14:textId="77777777" w:rsidTr="002624B1">
        <w:trPr>
          <w:trHeight w:val="122"/>
          <w:tblHeader/>
          <w:jc w:val="center"/>
        </w:trPr>
        <w:tc>
          <w:tcPr>
            <w:tcW w:w="221" w:type="pct"/>
            <w:vMerge/>
            <w:tcBorders>
              <w:top w:val="single" w:sz="4" w:space="0" w:color="auto"/>
              <w:left w:val="single" w:sz="4" w:space="0" w:color="auto"/>
              <w:bottom w:val="single" w:sz="4" w:space="0" w:color="auto"/>
              <w:right w:val="single" w:sz="4" w:space="0" w:color="auto"/>
            </w:tcBorders>
            <w:hideMark/>
          </w:tcPr>
          <w:p w14:paraId="76B72284" w14:textId="77777777" w:rsidR="003A3D51" w:rsidRDefault="003A3D51">
            <w:pPr>
              <w:spacing w:after="0" w:line="276" w:lineRule="auto"/>
              <w:rPr>
                <w:rFonts w:ascii="Times New Roman" w:eastAsia="Times New Roman" w:hAnsi="Times New Roman" w:cs="Times New Roman"/>
                <w:b/>
                <w:noProof/>
              </w:rPr>
            </w:pPr>
          </w:p>
        </w:tc>
        <w:tc>
          <w:tcPr>
            <w:tcW w:w="337" w:type="pct"/>
            <w:vMerge/>
            <w:tcBorders>
              <w:top w:val="single" w:sz="4" w:space="0" w:color="auto"/>
              <w:left w:val="single" w:sz="4" w:space="0" w:color="auto"/>
              <w:bottom w:val="single" w:sz="4" w:space="0" w:color="auto"/>
              <w:right w:val="single" w:sz="4" w:space="0" w:color="auto"/>
            </w:tcBorders>
            <w:hideMark/>
          </w:tcPr>
          <w:p w14:paraId="6AB4078E" w14:textId="77777777" w:rsidR="003A3D51" w:rsidRDefault="003A3D51">
            <w:pPr>
              <w:spacing w:after="0" w:line="276" w:lineRule="auto"/>
              <w:rPr>
                <w:rFonts w:ascii="Times New Roman" w:eastAsia="Times New Roman" w:hAnsi="Times New Roman" w:cs="Times New Roman"/>
                <w:b/>
                <w:noProof/>
              </w:rPr>
            </w:pPr>
          </w:p>
        </w:tc>
        <w:tc>
          <w:tcPr>
            <w:tcW w:w="296" w:type="pct"/>
            <w:vMerge/>
            <w:tcBorders>
              <w:top w:val="single" w:sz="4" w:space="0" w:color="auto"/>
              <w:left w:val="single" w:sz="4" w:space="0" w:color="auto"/>
              <w:bottom w:val="single" w:sz="4" w:space="0" w:color="auto"/>
              <w:right w:val="single" w:sz="4" w:space="0" w:color="auto"/>
            </w:tcBorders>
            <w:hideMark/>
          </w:tcPr>
          <w:p w14:paraId="1792B81E" w14:textId="77777777" w:rsidR="003A3D51" w:rsidRDefault="003A3D51">
            <w:pPr>
              <w:spacing w:after="0" w:line="276" w:lineRule="auto"/>
              <w:jc w:val="center"/>
              <w:rPr>
                <w:rFonts w:ascii="Times New Roman" w:eastAsia="Times New Roman" w:hAnsi="Times New Roman" w:cs="Times New Roman"/>
                <w:b/>
                <w:noProof/>
              </w:rPr>
            </w:pPr>
          </w:p>
        </w:tc>
        <w:tc>
          <w:tcPr>
            <w:tcW w:w="702" w:type="pct"/>
            <w:vMerge/>
            <w:tcBorders>
              <w:top w:val="single" w:sz="4" w:space="0" w:color="auto"/>
              <w:left w:val="single" w:sz="4" w:space="0" w:color="auto"/>
              <w:bottom w:val="single" w:sz="4" w:space="0" w:color="auto"/>
              <w:right w:val="single" w:sz="4" w:space="0" w:color="auto"/>
            </w:tcBorders>
            <w:hideMark/>
          </w:tcPr>
          <w:p w14:paraId="72AE0F18" w14:textId="77777777" w:rsidR="003A3D51" w:rsidRDefault="003A3D51">
            <w:pPr>
              <w:spacing w:after="0" w:line="276" w:lineRule="auto"/>
              <w:rPr>
                <w:rFonts w:ascii="Times New Roman" w:eastAsia="Times New Roman" w:hAnsi="Times New Roman" w:cs="Times New Roman"/>
                <w:b/>
                <w:noProof/>
              </w:rPr>
            </w:pPr>
          </w:p>
        </w:tc>
        <w:tc>
          <w:tcPr>
            <w:tcW w:w="805" w:type="pct"/>
            <w:gridSpan w:val="2"/>
            <w:vMerge/>
            <w:tcBorders>
              <w:top w:val="single" w:sz="4" w:space="0" w:color="auto"/>
              <w:left w:val="single" w:sz="4" w:space="0" w:color="auto"/>
              <w:bottom w:val="single" w:sz="4" w:space="0" w:color="auto"/>
              <w:right w:val="single" w:sz="4" w:space="0" w:color="auto"/>
            </w:tcBorders>
            <w:hideMark/>
          </w:tcPr>
          <w:p w14:paraId="1A85EE67" w14:textId="77777777" w:rsidR="003A3D51" w:rsidRDefault="003A3D51">
            <w:pPr>
              <w:spacing w:after="0" w:line="276" w:lineRule="auto"/>
              <w:rPr>
                <w:rFonts w:ascii="Times New Roman" w:eastAsia="Times New Roman" w:hAnsi="Times New Roman" w:cs="Times New Roman"/>
                <w:b/>
                <w:noProof/>
              </w:rPr>
            </w:pPr>
          </w:p>
        </w:tc>
        <w:tc>
          <w:tcPr>
            <w:tcW w:w="227" w:type="pct"/>
            <w:tcBorders>
              <w:top w:val="nil"/>
              <w:left w:val="single" w:sz="4" w:space="0" w:color="auto"/>
              <w:bottom w:val="single" w:sz="4" w:space="0" w:color="auto"/>
              <w:right w:val="single" w:sz="4" w:space="0" w:color="auto"/>
            </w:tcBorders>
            <w:shd w:val="clear" w:color="auto" w:fill="BDD7EE"/>
            <w:hideMark/>
          </w:tcPr>
          <w:p w14:paraId="1F17A170" w14:textId="77777777" w:rsidR="003A3D51" w:rsidRDefault="0002775A">
            <w:pPr>
              <w:pStyle w:val="P68B1DB1-Normal6"/>
              <w:spacing w:after="200" w:line="276" w:lineRule="auto"/>
              <w:jc w:val="center"/>
              <w:rPr>
                <w:rFonts w:ascii="Calibri" w:eastAsia="Calibri" w:hAnsi="Calibri" w:cs="Arial"/>
                <w:noProof/>
              </w:rPr>
            </w:pPr>
            <w:r>
              <w:rPr>
                <w:noProof/>
              </w:rPr>
              <w:t>Enhet</w:t>
            </w:r>
          </w:p>
        </w:tc>
        <w:tc>
          <w:tcPr>
            <w:tcW w:w="409" w:type="pct"/>
            <w:tcBorders>
              <w:top w:val="nil"/>
              <w:left w:val="nil"/>
              <w:bottom w:val="single" w:sz="4" w:space="0" w:color="auto"/>
              <w:right w:val="single" w:sz="4" w:space="0" w:color="auto"/>
            </w:tcBorders>
            <w:shd w:val="clear" w:color="auto" w:fill="BDD7EE"/>
            <w:hideMark/>
          </w:tcPr>
          <w:p w14:paraId="68990C1E" w14:textId="77777777" w:rsidR="003A3D51" w:rsidRDefault="0002775A">
            <w:pPr>
              <w:pStyle w:val="P68B1DB1-Normal6"/>
              <w:spacing w:after="200" w:line="276" w:lineRule="auto"/>
              <w:jc w:val="center"/>
              <w:rPr>
                <w:rFonts w:ascii="Calibri" w:eastAsia="Calibri" w:hAnsi="Calibri" w:cs="Arial"/>
                <w:noProof/>
              </w:rPr>
            </w:pPr>
            <w:r>
              <w:rPr>
                <w:noProof/>
              </w:rPr>
              <w:t>Baslinjen</w:t>
            </w:r>
          </w:p>
        </w:tc>
        <w:tc>
          <w:tcPr>
            <w:tcW w:w="390" w:type="pct"/>
            <w:tcBorders>
              <w:top w:val="nil"/>
              <w:left w:val="nil"/>
              <w:bottom w:val="single" w:sz="4" w:space="0" w:color="auto"/>
              <w:right w:val="single" w:sz="4" w:space="0" w:color="auto"/>
            </w:tcBorders>
            <w:shd w:val="clear" w:color="auto" w:fill="BDD7EE"/>
            <w:hideMark/>
          </w:tcPr>
          <w:p w14:paraId="5272D136" w14:textId="77777777" w:rsidR="003A3D51" w:rsidRDefault="0002775A">
            <w:pPr>
              <w:pStyle w:val="P68B1DB1-Normal6"/>
              <w:spacing w:after="200" w:line="276" w:lineRule="auto"/>
              <w:jc w:val="center"/>
              <w:rPr>
                <w:rFonts w:ascii="Calibri" w:eastAsia="Calibri" w:hAnsi="Calibri" w:cs="Arial"/>
                <w:noProof/>
              </w:rPr>
            </w:pPr>
            <w:r>
              <w:rPr>
                <w:noProof/>
              </w:rPr>
              <w:t>Mål</w:t>
            </w:r>
          </w:p>
        </w:tc>
        <w:tc>
          <w:tcPr>
            <w:tcW w:w="355" w:type="pct"/>
            <w:tcBorders>
              <w:top w:val="nil"/>
              <w:left w:val="nil"/>
              <w:bottom w:val="single" w:sz="4" w:space="0" w:color="auto"/>
              <w:right w:val="single" w:sz="4" w:space="0" w:color="auto"/>
            </w:tcBorders>
            <w:shd w:val="clear" w:color="auto" w:fill="BDD7EE"/>
            <w:hideMark/>
          </w:tcPr>
          <w:p w14:paraId="19D0D731" w14:textId="77777777" w:rsidR="003A3D51" w:rsidRDefault="0002775A">
            <w:pPr>
              <w:pStyle w:val="P68B1DB1-Normal6"/>
              <w:spacing w:after="200" w:line="276" w:lineRule="auto"/>
              <w:jc w:val="center"/>
              <w:rPr>
                <w:rFonts w:ascii="Calibri" w:eastAsia="Calibri" w:hAnsi="Calibri" w:cs="Arial"/>
                <w:noProof/>
              </w:rPr>
            </w:pPr>
            <w:r>
              <w:rPr>
                <w:noProof/>
              </w:rPr>
              <w:t>Q</w:t>
            </w:r>
          </w:p>
        </w:tc>
        <w:tc>
          <w:tcPr>
            <w:tcW w:w="222" w:type="pct"/>
            <w:tcBorders>
              <w:top w:val="nil"/>
              <w:left w:val="nil"/>
              <w:bottom w:val="single" w:sz="4" w:space="0" w:color="auto"/>
              <w:right w:val="single" w:sz="4" w:space="0" w:color="auto"/>
            </w:tcBorders>
            <w:shd w:val="clear" w:color="auto" w:fill="BDD7EE"/>
            <w:hideMark/>
          </w:tcPr>
          <w:p w14:paraId="7BDC2CB8" w14:textId="77777777" w:rsidR="003A3D51" w:rsidRDefault="0002775A">
            <w:pPr>
              <w:pStyle w:val="P68B1DB1-Normal6"/>
              <w:spacing w:after="200" w:line="276" w:lineRule="auto"/>
              <w:jc w:val="center"/>
              <w:rPr>
                <w:rFonts w:ascii="Calibri" w:eastAsia="Calibri" w:hAnsi="Calibri" w:cs="Arial"/>
                <w:noProof/>
              </w:rPr>
            </w:pPr>
            <w:r>
              <w:rPr>
                <w:noProof/>
              </w:rPr>
              <w:t>Året</w:t>
            </w:r>
          </w:p>
        </w:tc>
        <w:tc>
          <w:tcPr>
            <w:tcW w:w="1036" w:type="pct"/>
            <w:vMerge/>
            <w:tcBorders>
              <w:left w:val="single" w:sz="4" w:space="0" w:color="auto"/>
              <w:right w:val="single" w:sz="4" w:space="0" w:color="auto"/>
            </w:tcBorders>
            <w:hideMark/>
          </w:tcPr>
          <w:p w14:paraId="48AC7858" w14:textId="77777777" w:rsidR="003A3D51" w:rsidRDefault="003A3D51">
            <w:pPr>
              <w:spacing w:after="0" w:line="276" w:lineRule="auto"/>
              <w:rPr>
                <w:rFonts w:ascii="Times New Roman" w:eastAsia="Times New Roman" w:hAnsi="Times New Roman" w:cs="Times New Roman"/>
                <w:b/>
                <w:noProof/>
              </w:rPr>
            </w:pPr>
          </w:p>
        </w:tc>
      </w:tr>
      <w:tr w:rsidR="003A3D51" w14:paraId="1A736D43"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3B89646D" w14:textId="77777777" w:rsidR="003A3D51" w:rsidRDefault="0002775A">
            <w:pPr>
              <w:pStyle w:val="P68B1DB1-Normal7"/>
              <w:spacing w:after="0" w:line="276" w:lineRule="auto"/>
              <w:jc w:val="center"/>
              <w:rPr>
                <w:rFonts w:ascii="Times New Roman" w:hAnsi="Times New Roman" w:cs="Times New Roman"/>
                <w:noProof/>
              </w:rPr>
            </w:pPr>
            <w:r>
              <w:rPr>
                <w:noProof/>
              </w:rPr>
              <w:t>36</w:t>
            </w:r>
          </w:p>
        </w:tc>
        <w:tc>
          <w:tcPr>
            <w:tcW w:w="337" w:type="pct"/>
            <w:tcBorders>
              <w:top w:val="single" w:sz="4" w:space="0" w:color="auto"/>
              <w:left w:val="nil"/>
              <w:bottom w:val="single" w:sz="4" w:space="0" w:color="auto"/>
              <w:right w:val="single" w:sz="4" w:space="0" w:color="auto"/>
            </w:tcBorders>
            <w:shd w:val="clear" w:color="auto" w:fill="C6EFCE"/>
            <w:noWrap/>
          </w:tcPr>
          <w:p w14:paraId="20DE7966" w14:textId="77777777" w:rsidR="003A3D51" w:rsidRDefault="0002775A">
            <w:pPr>
              <w:pStyle w:val="P68B1DB1-Normal7"/>
              <w:spacing w:after="200" w:line="276" w:lineRule="auto"/>
              <w:jc w:val="center"/>
              <w:rPr>
                <w:rFonts w:ascii="Times New Roman" w:hAnsi="Times New Roman" w:cs="Times New Roman"/>
                <w:noProof/>
              </w:rPr>
            </w:pPr>
            <w:r>
              <w:rPr>
                <w:noProof/>
              </w:rPr>
              <w:t>C1.2 R1</w:t>
            </w:r>
          </w:p>
        </w:tc>
        <w:tc>
          <w:tcPr>
            <w:tcW w:w="296" w:type="pct"/>
            <w:tcBorders>
              <w:top w:val="single" w:sz="4" w:space="0" w:color="auto"/>
              <w:left w:val="nil"/>
              <w:bottom w:val="single" w:sz="4" w:space="0" w:color="auto"/>
              <w:right w:val="single" w:sz="4" w:space="0" w:color="auto"/>
            </w:tcBorders>
            <w:shd w:val="clear" w:color="auto" w:fill="C6EFCE"/>
            <w:noWrap/>
          </w:tcPr>
          <w:p w14:paraId="11E402B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73480276" w14:textId="77777777" w:rsidR="003A3D51" w:rsidRDefault="0002775A">
            <w:pPr>
              <w:pStyle w:val="P68B1DB1-Normal7"/>
              <w:spacing w:after="200" w:line="276" w:lineRule="auto"/>
              <w:rPr>
                <w:rFonts w:ascii="Times New Roman" w:hAnsi="Times New Roman" w:cs="Times New Roman"/>
                <w:noProof/>
              </w:rPr>
            </w:pPr>
            <w:r>
              <w:rPr>
                <w:noProof/>
              </w:rPr>
              <w:t>Offentliggörande av ett bedömningsdokument med rekommendationer för att minska hinder och administrativa förfaranden som hindrar en ökad användning av förnybara energikällor</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2C93519E"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 av ett bedömningsdokument från ministeriet för ekonomi och hållbar utveckling </w:t>
            </w:r>
          </w:p>
        </w:tc>
        <w:tc>
          <w:tcPr>
            <w:tcW w:w="227" w:type="pct"/>
            <w:tcBorders>
              <w:top w:val="single" w:sz="4" w:space="0" w:color="auto"/>
              <w:left w:val="nil"/>
              <w:bottom w:val="single" w:sz="4" w:space="0" w:color="auto"/>
              <w:right w:val="single" w:sz="4" w:space="0" w:color="auto"/>
            </w:tcBorders>
            <w:shd w:val="clear" w:color="auto" w:fill="C6EFCE"/>
            <w:noWrap/>
          </w:tcPr>
          <w:p w14:paraId="2AAEF1D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nil"/>
              <w:left w:val="nil"/>
              <w:bottom w:val="single" w:sz="4" w:space="0" w:color="auto"/>
              <w:right w:val="single" w:sz="4" w:space="0" w:color="auto"/>
            </w:tcBorders>
            <w:shd w:val="clear" w:color="auto" w:fill="C6EFCE"/>
            <w:noWrap/>
          </w:tcPr>
          <w:p w14:paraId="14809DF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nil"/>
              <w:left w:val="nil"/>
              <w:bottom w:val="single" w:sz="4" w:space="0" w:color="auto"/>
              <w:right w:val="single" w:sz="4" w:space="0" w:color="auto"/>
            </w:tcBorders>
            <w:shd w:val="clear" w:color="auto" w:fill="C6EFCE"/>
            <w:noWrap/>
          </w:tcPr>
          <w:p w14:paraId="25391D4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nil"/>
              <w:left w:val="nil"/>
              <w:bottom w:val="single" w:sz="4" w:space="0" w:color="auto"/>
              <w:right w:val="single" w:sz="4" w:space="0" w:color="auto"/>
            </w:tcBorders>
            <w:shd w:val="clear" w:color="auto" w:fill="C6EFCE"/>
            <w:noWrap/>
          </w:tcPr>
          <w:p w14:paraId="1B24A24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2" w:type="pct"/>
            <w:tcBorders>
              <w:top w:val="nil"/>
              <w:left w:val="nil"/>
              <w:bottom w:val="single" w:sz="4" w:space="0" w:color="auto"/>
              <w:right w:val="single" w:sz="4" w:space="0" w:color="auto"/>
            </w:tcBorders>
            <w:shd w:val="clear" w:color="auto" w:fill="C6EFCE"/>
            <w:noWrap/>
          </w:tcPr>
          <w:p w14:paraId="677353B0"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036" w:type="pct"/>
            <w:tcBorders>
              <w:top w:val="single" w:sz="4" w:space="0" w:color="auto"/>
              <w:left w:val="nil"/>
              <w:bottom w:val="single" w:sz="4" w:space="0" w:color="auto"/>
              <w:right w:val="single" w:sz="4" w:space="0" w:color="auto"/>
            </w:tcBorders>
            <w:shd w:val="clear" w:color="auto" w:fill="C6EFCE"/>
            <w:noWrap/>
          </w:tcPr>
          <w:p w14:paraId="4E5E8078" w14:textId="77777777" w:rsidR="003A3D51" w:rsidRDefault="0002775A">
            <w:pPr>
              <w:pStyle w:val="P68B1DB1-Normal7"/>
              <w:spacing w:after="200" w:line="276" w:lineRule="auto"/>
              <w:rPr>
                <w:rFonts w:ascii="Times New Roman" w:hAnsi="Times New Roman" w:cs="Times New Roman"/>
                <w:noProof/>
              </w:rPr>
            </w:pPr>
            <w:r>
              <w:rPr>
                <w:noProof/>
              </w:rPr>
              <w:t xml:space="preserve">Dokumentet ska innehålla en bedömning och rekommendationer om politiska åtgärder som ska syfta till att minska hinder och administrativa förfaranden som hindrar en ökad användning av förnybara energikällor. Analysen och rekommendationerna ska också omfatta åtgärder för att främja egenförbrukning av förnybar energi och gemenskaper för förnybar energi. </w:t>
            </w:r>
          </w:p>
        </w:tc>
      </w:tr>
      <w:tr w:rsidR="003A3D51" w14:paraId="107154DD" w14:textId="77777777" w:rsidTr="002624B1">
        <w:trPr>
          <w:jc w:val="center"/>
        </w:trPr>
        <w:tc>
          <w:tcPr>
            <w:tcW w:w="221" w:type="pct"/>
            <w:tcBorders>
              <w:top w:val="nil"/>
              <w:left w:val="single" w:sz="4" w:space="0" w:color="auto"/>
              <w:bottom w:val="single" w:sz="4" w:space="0" w:color="auto"/>
              <w:right w:val="single" w:sz="4" w:space="0" w:color="auto"/>
            </w:tcBorders>
            <w:shd w:val="clear" w:color="auto" w:fill="C6EFCE"/>
            <w:noWrap/>
          </w:tcPr>
          <w:p w14:paraId="59336BDF" w14:textId="77777777" w:rsidR="003A3D51" w:rsidRDefault="0002775A">
            <w:pPr>
              <w:pStyle w:val="P68B1DB1-Normal7"/>
              <w:spacing w:after="200" w:line="276" w:lineRule="auto"/>
              <w:jc w:val="center"/>
              <w:rPr>
                <w:rFonts w:ascii="Times New Roman" w:hAnsi="Times New Roman" w:cs="Times New Roman"/>
                <w:noProof/>
              </w:rPr>
            </w:pPr>
            <w:r>
              <w:rPr>
                <w:noProof/>
              </w:rPr>
              <w:t>37</w:t>
            </w:r>
          </w:p>
        </w:tc>
        <w:tc>
          <w:tcPr>
            <w:tcW w:w="337" w:type="pct"/>
            <w:tcBorders>
              <w:top w:val="nil"/>
              <w:left w:val="nil"/>
              <w:bottom w:val="single" w:sz="4" w:space="0" w:color="auto"/>
              <w:right w:val="single" w:sz="4" w:space="0" w:color="auto"/>
            </w:tcBorders>
            <w:shd w:val="clear" w:color="auto" w:fill="C6EFCE"/>
            <w:noWrap/>
          </w:tcPr>
          <w:p w14:paraId="24BE1D42" w14:textId="77777777" w:rsidR="003A3D51" w:rsidRDefault="0002775A">
            <w:pPr>
              <w:pStyle w:val="P68B1DB1-Normal7"/>
              <w:spacing w:after="200" w:line="276" w:lineRule="auto"/>
              <w:jc w:val="center"/>
              <w:rPr>
                <w:rFonts w:ascii="Times New Roman" w:hAnsi="Times New Roman" w:cs="Times New Roman"/>
                <w:noProof/>
              </w:rPr>
            </w:pPr>
            <w:r>
              <w:rPr>
                <w:noProof/>
              </w:rPr>
              <w:t>C1.2 R1</w:t>
            </w:r>
          </w:p>
        </w:tc>
        <w:tc>
          <w:tcPr>
            <w:tcW w:w="296" w:type="pct"/>
            <w:tcBorders>
              <w:top w:val="nil"/>
              <w:left w:val="nil"/>
              <w:bottom w:val="single" w:sz="4" w:space="0" w:color="auto"/>
              <w:right w:val="single" w:sz="4" w:space="0" w:color="auto"/>
            </w:tcBorders>
            <w:shd w:val="clear" w:color="auto" w:fill="C6EFCE"/>
            <w:noWrap/>
          </w:tcPr>
          <w:p w14:paraId="2C753F40"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nil"/>
              <w:left w:val="nil"/>
              <w:bottom w:val="single" w:sz="4" w:space="0" w:color="auto"/>
              <w:right w:val="single" w:sz="4" w:space="0" w:color="auto"/>
            </w:tcBorders>
            <w:shd w:val="clear" w:color="auto" w:fill="C6EFCE"/>
            <w:noWrap/>
          </w:tcPr>
          <w:p w14:paraId="29083EA9" w14:textId="77777777" w:rsidR="003A3D51" w:rsidRDefault="0002775A">
            <w:pPr>
              <w:pStyle w:val="P68B1DB1-Normal7"/>
              <w:spacing w:after="200" w:line="276" w:lineRule="auto"/>
              <w:rPr>
                <w:rFonts w:ascii="Times New Roman" w:hAnsi="Times New Roman" w:cs="Times New Roman"/>
                <w:noProof/>
              </w:rPr>
            </w:pPr>
            <w:r>
              <w:rPr>
                <w:noProof/>
              </w:rPr>
              <w:t>Ikraftträdande av lagstiftning och/eller reglering för att förbättra användningen av förnybara energikällor, inbegripet införande av ett premiebaserat system för stöd till förnybara energikällor.</w:t>
            </w:r>
          </w:p>
        </w:tc>
        <w:tc>
          <w:tcPr>
            <w:tcW w:w="805" w:type="pct"/>
            <w:gridSpan w:val="2"/>
            <w:tcBorders>
              <w:top w:val="nil"/>
              <w:left w:val="nil"/>
              <w:bottom w:val="single" w:sz="4" w:space="0" w:color="auto"/>
              <w:right w:val="single" w:sz="4" w:space="0" w:color="auto"/>
            </w:tcBorders>
            <w:shd w:val="clear" w:color="auto" w:fill="C6EFCE"/>
            <w:noWrap/>
          </w:tcPr>
          <w:p w14:paraId="3C58AD04"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lagstiftning och/eller förordning </w:t>
            </w:r>
          </w:p>
        </w:tc>
        <w:tc>
          <w:tcPr>
            <w:tcW w:w="227" w:type="pct"/>
            <w:tcBorders>
              <w:top w:val="nil"/>
              <w:left w:val="nil"/>
              <w:bottom w:val="single" w:sz="4" w:space="0" w:color="auto"/>
              <w:right w:val="single" w:sz="4" w:space="0" w:color="auto"/>
            </w:tcBorders>
            <w:shd w:val="clear" w:color="auto" w:fill="C6EFCE"/>
            <w:noWrap/>
          </w:tcPr>
          <w:p w14:paraId="30F2413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nil"/>
              <w:left w:val="nil"/>
              <w:bottom w:val="single" w:sz="4" w:space="0" w:color="auto"/>
              <w:right w:val="single" w:sz="4" w:space="0" w:color="auto"/>
            </w:tcBorders>
            <w:shd w:val="clear" w:color="auto" w:fill="C6EFCE"/>
            <w:noWrap/>
          </w:tcPr>
          <w:p w14:paraId="58BC3E0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nil"/>
              <w:left w:val="nil"/>
              <w:bottom w:val="single" w:sz="4" w:space="0" w:color="auto"/>
              <w:right w:val="single" w:sz="4" w:space="0" w:color="auto"/>
            </w:tcBorders>
            <w:shd w:val="clear" w:color="auto" w:fill="C6EFCE"/>
            <w:noWrap/>
          </w:tcPr>
          <w:p w14:paraId="48A59AF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nil"/>
              <w:left w:val="nil"/>
              <w:bottom w:val="single" w:sz="4" w:space="0" w:color="auto"/>
              <w:right w:val="single" w:sz="4" w:space="0" w:color="auto"/>
            </w:tcBorders>
            <w:shd w:val="clear" w:color="auto" w:fill="C6EFCE"/>
            <w:noWrap/>
          </w:tcPr>
          <w:p w14:paraId="1435F30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nil"/>
              <w:left w:val="nil"/>
              <w:bottom w:val="single" w:sz="4" w:space="0" w:color="auto"/>
              <w:right w:val="single" w:sz="4" w:space="0" w:color="auto"/>
            </w:tcBorders>
            <w:shd w:val="clear" w:color="auto" w:fill="C6EFCE"/>
            <w:noWrap/>
          </w:tcPr>
          <w:p w14:paraId="74BA4250"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036" w:type="pct"/>
            <w:tcBorders>
              <w:top w:val="nil"/>
              <w:left w:val="nil"/>
              <w:bottom w:val="single" w:sz="4" w:space="0" w:color="auto"/>
              <w:right w:val="single" w:sz="4" w:space="0" w:color="auto"/>
            </w:tcBorders>
            <w:shd w:val="clear" w:color="auto" w:fill="C6EFCE"/>
            <w:noWrap/>
          </w:tcPr>
          <w:p w14:paraId="288EFC49" w14:textId="77777777" w:rsidR="003A3D51" w:rsidRDefault="0002775A">
            <w:pPr>
              <w:pStyle w:val="P68B1DB1-Normal7"/>
              <w:spacing w:after="200" w:line="276" w:lineRule="auto"/>
              <w:rPr>
                <w:rFonts w:ascii="Times New Roman" w:hAnsi="Times New Roman" w:cs="Times New Roman"/>
                <w:noProof/>
              </w:rPr>
            </w:pPr>
            <w:r>
              <w:rPr>
                <w:noProof/>
              </w:rPr>
              <w:t>Den reviderade elmarknadslagen och lagen om högeffektiv kraftvärme ska undanröja hinder och administrativa förfaranden som hindrar en ökad användning av förnybara energikällor, inbegripet åtgärder för att främja egenförbrukning av förnybar energi och gemenskaper för förnybar energi. Bidragsbaserade system för stöd till förnybara energikällor kommer att fungera fullt ut.</w:t>
            </w:r>
          </w:p>
        </w:tc>
      </w:tr>
      <w:tr w:rsidR="003A3D51" w14:paraId="1B444D25"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66D15BAE" w14:textId="77777777" w:rsidR="003A3D51" w:rsidRDefault="0002775A">
            <w:pPr>
              <w:pStyle w:val="P68B1DB1-Normal7"/>
              <w:spacing w:after="200" w:line="276" w:lineRule="auto"/>
              <w:jc w:val="center"/>
              <w:rPr>
                <w:rFonts w:ascii="Times New Roman" w:hAnsi="Times New Roman" w:cs="Times New Roman"/>
                <w:noProof/>
              </w:rPr>
            </w:pPr>
            <w:r>
              <w:rPr>
                <w:noProof/>
              </w:rPr>
              <w:t>38</w:t>
            </w:r>
          </w:p>
        </w:tc>
        <w:tc>
          <w:tcPr>
            <w:tcW w:w="337" w:type="pct"/>
            <w:tcBorders>
              <w:top w:val="single" w:sz="4" w:space="0" w:color="auto"/>
              <w:left w:val="nil"/>
              <w:bottom w:val="single" w:sz="4" w:space="0" w:color="auto"/>
              <w:right w:val="single" w:sz="4" w:space="0" w:color="auto"/>
            </w:tcBorders>
            <w:shd w:val="clear" w:color="auto" w:fill="C6EFCE"/>
            <w:noWrap/>
          </w:tcPr>
          <w:p w14:paraId="08B7014C" w14:textId="77777777" w:rsidR="003A3D51" w:rsidRDefault="0002775A">
            <w:pPr>
              <w:pStyle w:val="P68B1DB1-Normal7"/>
              <w:spacing w:after="200" w:line="276" w:lineRule="auto"/>
              <w:jc w:val="center"/>
              <w:rPr>
                <w:rFonts w:ascii="Times New Roman" w:hAnsi="Times New Roman" w:cs="Times New Roman"/>
                <w:noProof/>
              </w:rPr>
            </w:pPr>
            <w:r>
              <w:rPr>
                <w:noProof/>
              </w:rPr>
              <w:t>C1.2 R1</w:t>
            </w:r>
          </w:p>
        </w:tc>
        <w:tc>
          <w:tcPr>
            <w:tcW w:w="296" w:type="pct"/>
            <w:tcBorders>
              <w:top w:val="single" w:sz="4" w:space="0" w:color="auto"/>
              <w:left w:val="nil"/>
              <w:bottom w:val="single" w:sz="4" w:space="0" w:color="auto"/>
              <w:right w:val="single" w:sz="4" w:space="0" w:color="auto"/>
            </w:tcBorders>
            <w:shd w:val="clear" w:color="auto" w:fill="C6EFCE"/>
            <w:noWrap/>
          </w:tcPr>
          <w:p w14:paraId="6FB9875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3B8A006E" w14:textId="77777777" w:rsidR="003A3D51" w:rsidRDefault="0002775A">
            <w:pPr>
              <w:pStyle w:val="P68B1DB1-Normal7"/>
              <w:spacing w:after="200" w:line="276" w:lineRule="auto"/>
              <w:rPr>
                <w:noProof/>
              </w:rPr>
            </w:pPr>
            <w:r>
              <w:rPr>
                <w:noProof/>
              </w:rPr>
              <w:t>Plinacro-certifiering av Kroatiens nationella energitillsynsmyndighet (Hera)</w:t>
            </w:r>
          </w:p>
          <w:p w14:paraId="383F3E20" w14:textId="3CEE18EF" w:rsidR="003A3D51" w:rsidRDefault="003A3D51">
            <w:pPr>
              <w:spacing w:after="200" w:line="276" w:lineRule="auto"/>
              <w:rPr>
                <w:rFonts w:ascii="Times New Roman" w:eastAsia="Calibri" w:hAnsi="Times New Roman" w:cs="Times New Roman"/>
                <w:noProof/>
                <w:sz w:val="20"/>
              </w:rPr>
            </w:pP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6D3F1402" w14:textId="2BAC762D" w:rsidR="003A3D51" w:rsidRDefault="0002775A">
            <w:pPr>
              <w:pStyle w:val="P68B1DB1-Normal7"/>
              <w:spacing w:after="200" w:line="276" w:lineRule="auto"/>
              <w:rPr>
                <w:rFonts w:ascii="Times New Roman" w:hAnsi="Times New Roman" w:cs="Times New Roman"/>
                <w:noProof/>
              </w:rPr>
            </w:pPr>
            <w:r>
              <w:rPr>
                <w:noProof/>
              </w:rPr>
              <w:t xml:space="preserve">Beslut om utfärdande av intyg som antagits av Kroatiens nationella energitillsynsmyndighet (Hera) </w:t>
            </w:r>
          </w:p>
        </w:tc>
        <w:tc>
          <w:tcPr>
            <w:tcW w:w="227" w:type="pct"/>
            <w:tcBorders>
              <w:top w:val="single" w:sz="4" w:space="0" w:color="auto"/>
              <w:left w:val="nil"/>
              <w:bottom w:val="single" w:sz="4" w:space="0" w:color="auto"/>
              <w:right w:val="single" w:sz="4" w:space="0" w:color="auto"/>
            </w:tcBorders>
            <w:shd w:val="clear" w:color="auto" w:fill="C6EFCE"/>
            <w:noWrap/>
          </w:tcPr>
          <w:p w14:paraId="27EF8E6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single" w:sz="4" w:space="0" w:color="auto"/>
              <w:left w:val="nil"/>
              <w:bottom w:val="single" w:sz="4" w:space="0" w:color="auto"/>
              <w:right w:val="single" w:sz="4" w:space="0" w:color="auto"/>
            </w:tcBorders>
            <w:shd w:val="clear" w:color="auto" w:fill="C6EFCE"/>
            <w:noWrap/>
          </w:tcPr>
          <w:p w14:paraId="2C36109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single" w:sz="4" w:space="0" w:color="auto"/>
              <w:left w:val="nil"/>
              <w:bottom w:val="single" w:sz="4" w:space="0" w:color="auto"/>
              <w:right w:val="single" w:sz="4" w:space="0" w:color="auto"/>
            </w:tcBorders>
            <w:shd w:val="clear" w:color="auto" w:fill="C6EFCE"/>
            <w:noWrap/>
          </w:tcPr>
          <w:p w14:paraId="3127DD5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single" w:sz="4" w:space="0" w:color="auto"/>
              <w:left w:val="nil"/>
              <w:bottom w:val="single" w:sz="4" w:space="0" w:color="auto"/>
              <w:right w:val="single" w:sz="4" w:space="0" w:color="auto"/>
            </w:tcBorders>
            <w:shd w:val="clear" w:color="auto" w:fill="C6EFCE"/>
            <w:noWrap/>
          </w:tcPr>
          <w:p w14:paraId="6162C33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single" w:sz="4" w:space="0" w:color="auto"/>
              <w:left w:val="nil"/>
              <w:bottom w:val="single" w:sz="4" w:space="0" w:color="auto"/>
              <w:right w:val="single" w:sz="4" w:space="0" w:color="auto"/>
            </w:tcBorders>
            <w:shd w:val="clear" w:color="auto" w:fill="C6EFCE"/>
            <w:noWrap/>
          </w:tcPr>
          <w:p w14:paraId="24E918A9"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036" w:type="pct"/>
            <w:tcBorders>
              <w:top w:val="single" w:sz="4" w:space="0" w:color="auto"/>
              <w:left w:val="nil"/>
              <w:bottom w:val="single" w:sz="4" w:space="0" w:color="auto"/>
              <w:right w:val="single" w:sz="4" w:space="0" w:color="auto"/>
            </w:tcBorders>
            <w:shd w:val="clear" w:color="auto" w:fill="C6EFCE"/>
            <w:noWrap/>
          </w:tcPr>
          <w:p w14:paraId="1D63DDE5" w14:textId="374E2EDB" w:rsidR="003A3D51" w:rsidRDefault="0002775A">
            <w:pPr>
              <w:pStyle w:val="P68B1DB1-Normal7"/>
              <w:spacing w:after="200" w:line="276" w:lineRule="auto"/>
              <w:rPr>
                <w:rFonts w:ascii="Times New Roman" w:hAnsi="Times New Roman" w:cs="Times New Roman"/>
                <w:noProof/>
              </w:rPr>
            </w:pPr>
            <w:r>
              <w:rPr>
                <w:noProof/>
              </w:rPr>
              <w:t>Fullständig åtskillnad mellan förvaltningen av den systemansvarige för överföringssystemet för gas (Plinacro) och statens leverans- och produktionsverksamhet och dess certifiering genom Kroatiens nationella energitillsynsmyndighet (Hera).</w:t>
            </w:r>
          </w:p>
        </w:tc>
      </w:tr>
      <w:tr w:rsidR="003A3D51" w14:paraId="16E8BBE7"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26504BB3" w14:textId="77777777" w:rsidR="003A3D51" w:rsidRDefault="0002775A">
            <w:pPr>
              <w:pStyle w:val="P68B1DB1-Normal7"/>
              <w:spacing w:after="200" w:line="276" w:lineRule="auto"/>
              <w:jc w:val="center"/>
              <w:rPr>
                <w:rFonts w:ascii="Times New Roman" w:hAnsi="Times New Roman" w:cs="Times New Roman"/>
                <w:noProof/>
              </w:rPr>
            </w:pPr>
            <w:r>
              <w:rPr>
                <w:noProof/>
              </w:rPr>
              <w:t>39</w:t>
            </w:r>
          </w:p>
        </w:tc>
        <w:tc>
          <w:tcPr>
            <w:tcW w:w="337" w:type="pct"/>
            <w:tcBorders>
              <w:top w:val="single" w:sz="4" w:space="0" w:color="auto"/>
              <w:left w:val="nil"/>
              <w:bottom w:val="single" w:sz="4" w:space="0" w:color="auto"/>
              <w:right w:val="single" w:sz="4" w:space="0" w:color="auto"/>
            </w:tcBorders>
            <w:shd w:val="clear" w:color="auto" w:fill="C6EFCE"/>
            <w:noWrap/>
          </w:tcPr>
          <w:p w14:paraId="7174E1E6" w14:textId="77777777" w:rsidR="003A3D51" w:rsidRDefault="0002775A">
            <w:pPr>
              <w:pStyle w:val="P68B1DB1-Normal7"/>
              <w:spacing w:after="200" w:line="276" w:lineRule="auto"/>
              <w:jc w:val="center"/>
              <w:rPr>
                <w:rFonts w:ascii="Times New Roman" w:hAnsi="Times New Roman" w:cs="Times New Roman"/>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2C0B268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42D1A0CC" w14:textId="77777777" w:rsidR="003A3D51" w:rsidRDefault="0002775A">
            <w:pPr>
              <w:pStyle w:val="P68B1DB1-Normal7"/>
              <w:spacing w:after="200" w:line="276" w:lineRule="auto"/>
              <w:rPr>
                <w:rFonts w:ascii="Times New Roman" w:hAnsi="Times New Roman" w:cs="Times New Roman"/>
                <w:noProof/>
              </w:rPr>
            </w:pPr>
            <w:r>
              <w:rPr>
                <w:noProof/>
              </w:rPr>
              <w:t>Bygglov beviljat för uppgradering av högspänningsnätet</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7F127BD6" w14:textId="77777777" w:rsidR="003A3D51" w:rsidRDefault="0002775A">
            <w:pPr>
              <w:pStyle w:val="P68B1DB1-Normal7"/>
              <w:spacing w:after="200" w:line="276" w:lineRule="auto"/>
              <w:rPr>
                <w:rFonts w:ascii="Times New Roman" w:hAnsi="Times New Roman" w:cs="Times New Roman"/>
                <w:noProof/>
              </w:rPr>
            </w:pPr>
            <w:r>
              <w:rPr>
                <w:noProof/>
              </w:rPr>
              <w:t>Bygglov beviljat av ministeriet för fysisk planering, byggnation och statliga tillgångar</w:t>
            </w:r>
          </w:p>
        </w:tc>
        <w:tc>
          <w:tcPr>
            <w:tcW w:w="227" w:type="pct"/>
            <w:tcBorders>
              <w:top w:val="single" w:sz="4" w:space="0" w:color="auto"/>
              <w:left w:val="nil"/>
              <w:bottom w:val="single" w:sz="4" w:space="0" w:color="auto"/>
              <w:right w:val="single" w:sz="4" w:space="0" w:color="auto"/>
            </w:tcBorders>
            <w:shd w:val="clear" w:color="auto" w:fill="C6EFCE"/>
            <w:noWrap/>
          </w:tcPr>
          <w:p w14:paraId="0325B6C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single" w:sz="4" w:space="0" w:color="auto"/>
              <w:left w:val="nil"/>
              <w:bottom w:val="single" w:sz="4" w:space="0" w:color="auto"/>
              <w:right w:val="single" w:sz="4" w:space="0" w:color="auto"/>
            </w:tcBorders>
            <w:shd w:val="clear" w:color="auto" w:fill="C6EFCE"/>
            <w:noWrap/>
          </w:tcPr>
          <w:p w14:paraId="58E0E73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single" w:sz="4" w:space="0" w:color="auto"/>
              <w:left w:val="nil"/>
              <w:bottom w:val="single" w:sz="4" w:space="0" w:color="auto"/>
              <w:right w:val="single" w:sz="4" w:space="0" w:color="auto"/>
            </w:tcBorders>
            <w:shd w:val="clear" w:color="auto" w:fill="C6EFCE"/>
            <w:noWrap/>
          </w:tcPr>
          <w:p w14:paraId="471453A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single" w:sz="4" w:space="0" w:color="auto"/>
              <w:left w:val="nil"/>
              <w:bottom w:val="single" w:sz="4" w:space="0" w:color="auto"/>
              <w:right w:val="single" w:sz="4" w:space="0" w:color="auto"/>
            </w:tcBorders>
            <w:shd w:val="clear" w:color="auto" w:fill="C6EFCE"/>
            <w:noWrap/>
          </w:tcPr>
          <w:p w14:paraId="71D8F5A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2" w:type="pct"/>
            <w:tcBorders>
              <w:top w:val="single" w:sz="4" w:space="0" w:color="auto"/>
              <w:left w:val="nil"/>
              <w:bottom w:val="single" w:sz="4" w:space="0" w:color="auto"/>
              <w:right w:val="single" w:sz="4" w:space="0" w:color="auto"/>
            </w:tcBorders>
            <w:shd w:val="clear" w:color="auto" w:fill="C6EFCE"/>
            <w:noWrap/>
          </w:tcPr>
          <w:p w14:paraId="2B549096"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036" w:type="pct"/>
            <w:tcBorders>
              <w:top w:val="single" w:sz="4" w:space="0" w:color="auto"/>
              <w:left w:val="nil"/>
              <w:bottom w:val="single" w:sz="4" w:space="0" w:color="auto"/>
              <w:right w:val="single" w:sz="4" w:space="0" w:color="auto"/>
            </w:tcBorders>
            <w:shd w:val="clear" w:color="auto" w:fill="C6EFCE"/>
            <w:noWrap/>
          </w:tcPr>
          <w:p w14:paraId="663B95A5" w14:textId="77777777" w:rsidR="003A3D51" w:rsidRDefault="0002775A">
            <w:pPr>
              <w:pStyle w:val="P68B1DB1-Normal7"/>
              <w:spacing w:after="200" w:line="276" w:lineRule="auto"/>
              <w:rPr>
                <w:rFonts w:ascii="Times New Roman" w:hAnsi="Times New Roman" w:cs="Times New Roman"/>
                <w:noProof/>
              </w:rPr>
            </w:pPr>
            <w:r>
              <w:rPr>
                <w:noProof/>
              </w:rPr>
              <w:t xml:space="preserve">Bygglov som beviljats efter behovsbedömning och/eller lämplig bedömning enligt artikel 6.3 i habitatdirektivet mot de områdesspecifika bevarandemålen i enlighet med kraven i direktivet. Det ska styrkas att projektet inte har någon betydande inverkan på de berörda Natura 2 000-områdenas integritet. </w:t>
            </w:r>
          </w:p>
        </w:tc>
      </w:tr>
      <w:tr w:rsidR="003A3D51" w14:paraId="0C3BA54D"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797D420A" w14:textId="77777777" w:rsidR="003A3D51" w:rsidRDefault="0002775A">
            <w:pPr>
              <w:pStyle w:val="P68B1DB1-Normal7"/>
              <w:spacing w:after="200" w:line="276" w:lineRule="auto"/>
              <w:jc w:val="center"/>
              <w:rPr>
                <w:rFonts w:ascii="Times New Roman" w:hAnsi="Times New Roman" w:cs="Times New Roman"/>
                <w:noProof/>
              </w:rPr>
            </w:pPr>
            <w:r>
              <w:rPr>
                <w:noProof/>
              </w:rPr>
              <w:t>40</w:t>
            </w:r>
          </w:p>
        </w:tc>
        <w:tc>
          <w:tcPr>
            <w:tcW w:w="337" w:type="pct"/>
            <w:tcBorders>
              <w:top w:val="single" w:sz="4" w:space="0" w:color="auto"/>
              <w:left w:val="nil"/>
              <w:bottom w:val="single" w:sz="4" w:space="0" w:color="auto"/>
              <w:right w:val="single" w:sz="4" w:space="0" w:color="auto"/>
            </w:tcBorders>
            <w:shd w:val="clear" w:color="auto" w:fill="C6EFCE"/>
            <w:noWrap/>
          </w:tcPr>
          <w:p w14:paraId="555B7184" w14:textId="77777777" w:rsidR="003A3D51" w:rsidRDefault="0002775A">
            <w:pPr>
              <w:pStyle w:val="P68B1DB1-Normal7"/>
              <w:spacing w:after="200" w:line="276" w:lineRule="auto"/>
              <w:jc w:val="center"/>
              <w:rPr>
                <w:rFonts w:ascii="Times New Roman" w:hAnsi="Times New Roman" w:cs="Times New Roman"/>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301EC6C5"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27BC4A09" w14:textId="77777777" w:rsidR="003A3D51" w:rsidRDefault="0002775A">
            <w:pPr>
              <w:pStyle w:val="P68B1DB1-Normal7"/>
              <w:spacing w:after="200" w:line="276" w:lineRule="auto"/>
              <w:rPr>
                <w:rFonts w:ascii="Times New Roman" w:hAnsi="Times New Roman" w:cs="Times New Roman"/>
                <w:noProof/>
              </w:rPr>
            </w:pPr>
            <w:r>
              <w:rPr>
                <w:noProof/>
              </w:rPr>
              <w:t xml:space="preserve">Uppgradering av underjordiska kablar som förbinder 6 öar med fastlandsnätet slutförd </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7D71064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227" w:type="pct"/>
            <w:tcBorders>
              <w:top w:val="single" w:sz="4" w:space="0" w:color="auto"/>
              <w:left w:val="nil"/>
              <w:bottom w:val="single" w:sz="4" w:space="0" w:color="auto"/>
              <w:right w:val="single" w:sz="4" w:space="0" w:color="auto"/>
            </w:tcBorders>
            <w:shd w:val="clear" w:color="auto" w:fill="C6EFCE"/>
            <w:noWrap/>
          </w:tcPr>
          <w:p w14:paraId="740A7E7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51A1E58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4AEE7D13" w14:textId="77777777" w:rsidR="003A3D51" w:rsidRDefault="0002775A">
            <w:pPr>
              <w:pStyle w:val="P68B1DB1-Normal7"/>
              <w:spacing w:after="200" w:line="276" w:lineRule="auto"/>
              <w:jc w:val="center"/>
              <w:rPr>
                <w:rFonts w:ascii="Times New Roman" w:hAnsi="Times New Roman" w:cs="Times New Roman"/>
                <w:noProof/>
              </w:rPr>
            </w:pPr>
            <w:r>
              <w:rPr>
                <w:noProof/>
              </w:rPr>
              <w:t>6</w:t>
            </w:r>
          </w:p>
        </w:tc>
        <w:tc>
          <w:tcPr>
            <w:tcW w:w="355" w:type="pct"/>
            <w:tcBorders>
              <w:top w:val="single" w:sz="4" w:space="0" w:color="auto"/>
              <w:left w:val="nil"/>
              <w:bottom w:val="single" w:sz="4" w:space="0" w:color="auto"/>
              <w:right w:val="single" w:sz="4" w:space="0" w:color="auto"/>
            </w:tcBorders>
            <w:shd w:val="clear" w:color="auto" w:fill="C6EFCE"/>
            <w:noWrap/>
          </w:tcPr>
          <w:p w14:paraId="3A411B5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2" w:type="pct"/>
            <w:tcBorders>
              <w:top w:val="single" w:sz="4" w:space="0" w:color="auto"/>
              <w:left w:val="nil"/>
              <w:bottom w:val="single" w:sz="4" w:space="0" w:color="auto"/>
              <w:right w:val="single" w:sz="4" w:space="0" w:color="auto"/>
            </w:tcBorders>
            <w:shd w:val="clear" w:color="auto" w:fill="C6EFCE"/>
            <w:noWrap/>
          </w:tcPr>
          <w:p w14:paraId="6EC3BA57"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036" w:type="pct"/>
            <w:tcBorders>
              <w:top w:val="single" w:sz="4" w:space="0" w:color="auto"/>
              <w:left w:val="nil"/>
              <w:bottom w:val="single" w:sz="4" w:space="0" w:color="auto"/>
              <w:right w:val="single" w:sz="4" w:space="0" w:color="auto"/>
            </w:tcBorders>
            <w:shd w:val="clear" w:color="auto" w:fill="C6EFCE"/>
            <w:noWrap/>
          </w:tcPr>
          <w:p w14:paraId="65D08999" w14:textId="77777777" w:rsidR="003A3D51" w:rsidRDefault="0002775A">
            <w:pPr>
              <w:pStyle w:val="P68B1DB1-Normal7"/>
              <w:spacing w:after="200" w:line="276" w:lineRule="auto"/>
              <w:rPr>
                <w:rFonts w:ascii="Times New Roman" w:hAnsi="Times New Roman" w:cs="Times New Roman"/>
                <w:noProof/>
              </w:rPr>
            </w:pPr>
            <w:r>
              <w:rPr>
                <w:noProof/>
              </w:rPr>
              <w:t>Minst sex öar ska ha en uppgraderad elnätsanslutning till fastlandet (de planerade öarna är Krk, Cres, Lošinj, Brač, Hvar och Korčula). Investeringen kommer att omfatta ersättning av gamla undervattenskablar med nya, miljövänliga kablar.</w:t>
            </w:r>
          </w:p>
        </w:tc>
      </w:tr>
      <w:tr w:rsidR="003A3D51" w14:paraId="5A1590E2"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674131F8" w14:textId="77777777" w:rsidR="003A3D51" w:rsidRDefault="0002775A">
            <w:pPr>
              <w:pStyle w:val="P68B1DB1-Normal7"/>
              <w:spacing w:after="200" w:line="276" w:lineRule="auto"/>
              <w:jc w:val="center"/>
              <w:rPr>
                <w:rFonts w:ascii="Times New Roman" w:hAnsi="Times New Roman" w:cs="Times New Roman"/>
                <w:noProof/>
              </w:rPr>
            </w:pPr>
            <w:r>
              <w:rPr>
                <w:noProof/>
              </w:rPr>
              <w:t>41</w:t>
            </w:r>
          </w:p>
        </w:tc>
        <w:tc>
          <w:tcPr>
            <w:tcW w:w="337" w:type="pct"/>
            <w:tcBorders>
              <w:top w:val="single" w:sz="4" w:space="0" w:color="auto"/>
              <w:left w:val="nil"/>
              <w:bottom w:val="single" w:sz="4" w:space="0" w:color="auto"/>
              <w:right w:val="single" w:sz="4" w:space="0" w:color="auto"/>
            </w:tcBorders>
            <w:shd w:val="clear" w:color="auto" w:fill="C6EFCE"/>
            <w:noWrap/>
          </w:tcPr>
          <w:p w14:paraId="4B26DD5F" w14:textId="77777777" w:rsidR="003A3D51" w:rsidRDefault="0002775A">
            <w:pPr>
              <w:pStyle w:val="P68B1DB1-Normal7"/>
              <w:spacing w:after="200" w:line="276" w:lineRule="auto"/>
              <w:jc w:val="center"/>
              <w:rPr>
                <w:rFonts w:ascii="Times New Roman" w:hAnsi="Times New Roman" w:cs="Times New Roman"/>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2D075D08" w14:textId="77777777" w:rsidR="003A3D51" w:rsidRDefault="0002775A">
            <w:pPr>
              <w:pStyle w:val="P68B1DB1-Normal7"/>
              <w:spacing w:after="200" w:line="276" w:lineRule="auto"/>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0E88B561" w14:textId="77777777" w:rsidR="003A3D51" w:rsidRDefault="0002775A">
            <w:pPr>
              <w:pStyle w:val="P68B1DB1-Normal7"/>
              <w:spacing w:after="200" w:line="276" w:lineRule="auto"/>
              <w:rPr>
                <w:rFonts w:ascii="Times New Roman" w:hAnsi="Times New Roman" w:cs="Times New Roman"/>
                <w:noProof/>
              </w:rPr>
            </w:pPr>
            <w:r>
              <w:rPr>
                <w:noProof/>
              </w:rPr>
              <w:t xml:space="preserve">Uppgraderingen av högspänningsnätet (220/110 kV) slutförd </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2DA309EE" w14:textId="77777777" w:rsidR="003A3D51" w:rsidRDefault="0002775A">
            <w:pPr>
              <w:pStyle w:val="P68B1DB1-Normal7"/>
              <w:spacing w:after="200" w:line="276" w:lineRule="auto"/>
              <w:rPr>
                <w:rFonts w:ascii="Times New Roman" w:hAnsi="Times New Roman" w:cs="Times New Roman"/>
                <w:noProof/>
              </w:rPr>
            </w:pPr>
            <w:r>
              <w:rPr>
                <w:noProof/>
              </w:rPr>
              <w:t>Slutförande av uppgraderingen av högspännings- och mellanspänningsnätet (220/110 kV)</w:t>
            </w:r>
          </w:p>
        </w:tc>
        <w:tc>
          <w:tcPr>
            <w:tcW w:w="227" w:type="pct"/>
            <w:tcBorders>
              <w:top w:val="single" w:sz="4" w:space="0" w:color="auto"/>
              <w:left w:val="nil"/>
              <w:bottom w:val="single" w:sz="4" w:space="0" w:color="auto"/>
              <w:right w:val="single" w:sz="4" w:space="0" w:color="auto"/>
            </w:tcBorders>
            <w:shd w:val="clear" w:color="auto" w:fill="C6EFCE"/>
            <w:noWrap/>
          </w:tcPr>
          <w:p w14:paraId="62C0B212" w14:textId="77777777" w:rsidR="003A3D51" w:rsidRDefault="0002775A">
            <w:pPr>
              <w:pStyle w:val="P68B1DB1-Normal7"/>
              <w:spacing w:after="200" w:line="276" w:lineRule="auto"/>
              <w:rPr>
                <w:rFonts w:ascii="Times New Roman" w:hAnsi="Times New Roman" w:cs="Times New Roman"/>
                <w:noProof/>
              </w:rPr>
            </w:pPr>
            <w:r>
              <w:rPr>
                <w:noProof/>
              </w:rPr>
              <w:t>km</w:t>
            </w:r>
          </w:p>
        </w:tc>
        <w:tc>
          <w:tcPr>
            <w:tcW w:w="409" w:type="pct"/>
            <w:tcBorders>
              <w:top w:val="single" w:sz="4" w:space="0" w:color="auto"/>
              <w:left w:val="nil"/>
              <w:bottom w:val="single" w:sz="4" w:space="0" w:color="auto"/>
              <w:right w:val="single" w:sz="4" w:space="0" w:color="auto"/>
            </w:tcBorders>
            <w:shd w:val="clear" w:color="auto" w:fill="C6EFCE"/>
            <w:noWrap/>
          </w:tcPr>
          <w:p w14:paraId="157C48BD" w14:textId="77777777" w:rsidR="003A3D51" w:rsidRDefault="0002775A">
            <w:pPr>
              <w:pStyle w:val="P68B1DB1-Normal7"/>
              <w:spacing w:after="200" w:line="276" w:lineRule="auto"/>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5BFF3939" w14:textId="77777777" w:rsidR="003A3D51" w:rsidRDefault="0002775A">
            <w:pPr>
              <w:pStyle w:val="P68B1DB1-Normal7"/>
              <w:spacing w:after="200" w:line="276" w:lineRule="auto"/>
              <w:rPr>
                <w:rFonts w:ascii="Times New Roman" w:hAnsi="Times New Roman" w:cs="Times New Roman"/>
                <w:noProof/>
              </w:rPr>
            </w:pPr>
            <w:r>
              <w:rPr>
                <w:noProof/>
              </w:rPr>
              <w:t>300</w:t>
            </w:r>
          </w:p>
        </w:tc>
        <w:tc>
          <w:tcPr>
            <w:tcW w:w="355" w:type="pct"/>
            <w:tcBorders>
              <w:top w:val="single" w:sz="4" w:space="0" w:color="auto"/>
              <w:left w:val="nil"/>
              <w:bottom w:val="single" w:sz="4" w:space="0" w:color="auto"/>
              <w:right w:val="single" w:sz="4" w:space="0" w:color="auto"/>
            </w:tcBorders>
            <w:shd w:val="clear" w:color="auto" w:fill="C6EFCE"/>
            <w:noWrap/>
          </w:tcPr>
          <w:p w14:paraId="6943333F" w14:textId="77777777" w:rsidR="003A3D51" w:rsidRDefault="0002775A">
            <w:pPr>
              <w:pStyle w:val="P68B1DB1-Normal7"/>
              <w:spacing w:after="200" w:line="276" w:lineRule="auto"/>
              <w:rPr>
                <w:rFonts w:ascii="Times New Roman" w:hAnsi="Times New Roman" w:cs="Times New Roman"/>
                <w:noProof/>
              </w:rPr>
            </w:pPr>
            <w:r>
              <w:rPr>
                <w:noProof/>
              </w:rPr>
              <w:t>KVARTAL 3</w:t>
            </w:r>
          </w:p>
        </w:tc>
        <w:tc>
          <w:tcPr>
            <w:tcW w:w="222" w:type="pct"/>
            <w:tcBorders>
              <w:top w:val="single" w:sz="4" w:space="0" w:color="auto"/>
              <w:left w:val="nil"/>
              <w:bottom w:val="single" w:sz="4" w:space="0" w:color="auto"/>
              <w:right w:val="single" w:sz="4" w:space="0" w:color="auto"/>
            </w:tcBorders>
            <w:shd w:val="clear" w:color="auto" w:fill="C6EFCE"/>
            <w:noWrap/>
          </w:tcPr>
          <w:p w14:paraId="5211D52C" w14:textId="77777777" w:rsidR="003A3D51" w:rsidRDefault="0002775A">
            <w:pPr>
              <w:pStyle w:val="P68B1DB1-Normal7"/>
              <w:spacing w:after="200" w:line="276" w:lineRule="auto"/>
              <w:rPr>
                <w:rFonts w:ascii="Times New Roman" w:hAnsi="Times New Roman" w:cs="Times New Roman"/>
                <w:noProof/>
              </w:rPr>
            </w:pPr>
            <w:r>
              <w:rPr>
                <w:noProof/>
              </w:rPr>
              <w:t>2024</w:t>
            </w:r>
          </w:p>
        </w:tc>
        <w:tc>
          <w:tcPr>
            <w:tcW w:w="1036" w:type="pct"/>
            <w:tcBorders>
              <w:top w:val="single" w:sz="4" w:space="0" w:color="auto"/>
              <w:left w:val="nil"/>
              <w:bottom w:val="single" w:sz="4" w:space="0" w:color="auto"/>
              <w:right w:val="single" w:sz="4" w:space="0" w:color="auto"/>
            </w:tcBorders>
            <w:shd w:val="clear" w:color="auto" w:fill="C6EFCE"/>
            <w:noWrap/>
          </w:tcPr>
          <w:p w14:paraId="112BD84C" w14:textId="77777777" w:rsidR="003A3D51" w:rsidRDefault="0002775A">
            <w:pPr>
              <w:pStyle w:val="P68B1DB1-Normal7"/>
              <w:spacing w:after="200" w:line="276" w:lineRule="auto"/>
              <w:rPr>
                <w:rFonts w:ascii="Times New Roman" w:hAnsi="Times New Roman" w:cs="Times New Roman"/>
                <w:noProof/>
              </w:rPr>
            </w:pPr>
            <w:r>
              <w:rPr>
                <w:noProof/>
              </w:rPr>
              <w:t xml:space="preserve">Minst 300 km högspänningsledning uppgraderad, vilket ska stärka nätanslutningarna och skapa förutsättningar för att stabilisera systemet och frigöra potentialen för förnybar energi i södra Kroatien. </w:t>
            </w:r>
            <w:r>
              <w:rPr>
                <w:noProof/>
              </w:rPr>
              <w:br/>
              <w:t xml:space="preserve">Denna åtgärd förväntas inte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  </w:t>
            </w:r>
          </w:p>
        </w:tc>
      </w:tr>
      <w:tr w:rsidR="003A3D51" w14:paraId="79F67884"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08640D90" w14:textId="77777777" w:rsidR="003A3D51" w:rsidRDefault="0002775A">
            <w:pPr>
              <w:pStyle w:val="P68B1DB1-Normal7"/>
              <w:spacing w:after="200" w:line="276" w:lineRule="auto"/>
              <w:jc w:val="center"/>
              <w:rPr>
                <w:rFonts w:ascii="Times New Roman" w:hAnsi="Times New Roman" w:cs="Times New Roman"/>
                <w:noProof/>
              </w:rPr>
            </w:pPr>
            <w:r>
              <w:rPr>
                <w:noProof/>
              </w:rPr>
              <w:t>42</w:t>
            </w:r>
          </w:p>
        </w:tc>
        <w:tc>
          <w:tcPr>
            <w:tcW w:w="337" w:type="pct"/>
            <w:tcBorders>
              <w:top w:val="single" w:sz="4" w:space="0" w:color="auto"/>
              <w:left w:val="nil"/>
              <w:bottom w:val="single" w:sz="4" w:space="0" w:color="auto"/>
              <w:right w:val="single" w:sz="4" w:space="0" w:color="auto"/>
            </w:tcBorders>
            <w:shd w:val="clear" w:color="auto" w:fill="C6EFCE"/>
            <w:noWrap/>
          </w:tcPr>
          <w:p w14:paraId="01691087" w14:textId="77777777" w:rsidR="003A3D51" w:rsidRDefault="0002775A">
            <w:pPr>
              <w:pStyle w:val="P68B1DB1-Normal7"/>
              <w:spacing w:after="200" w:line="276" w:lineRule="auto"/>
              <w:jc w:val="center"/>
              <w:rPr>
                <w:rFonts w:ascii="Times New Roman" w:hAnsi="Times New Roman" w:cs="Times New Roman"/>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36ABBBE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75542A83" w14:textId="77777777" w:rsidR="003A3D51" w:rsidRDefault="0002775A">
            <w:pPr>
              <w:pStyle w:val="P68B1DB1-Normal7"/>
              <w:spacing w:after="200" w:line="276" w:lineRule="auto"/>
              <w:rPr>
                <w:rFonts w:ascii="Times New Roman" w:hAnsi="Times New Roman" w:cs="Times New Roman"/>
                <w:noProof/>
              </w:rPr>
            </w:pPr>
            <w:r>
              <w:rPr>
                <w:noProof/>
              </w:rPr>
              <w:t>Ytterligare 1 500 MW kapacitet för förnybara energikällor som är ansluten till nätet.</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38EFE59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227" w:type="pct"/>
            <w:tcBorders>
              <w:top w:val="single" w:sz="4" w:space="0" w:color="auto"/>
              <w:left w:val="nil"/>
              <w:bottom w:val="single" w:sz="4" w:space="0" w:color="auto"/>
              <w:right w:val="single" w:sz="4" w:space="0" w:color="auto"/>
            </w:tcBorders>
            <w:shd w:val="clear" w:color="auto" w:fill="C6EFCE"/>
            <w:noWrap/>
          </w:tcPr>
          <w:p w14:paraId="6647B16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676D138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5E923552" w14:textId="77777777" w:rsidR="003A3D51" w:rsidRDefault="0002775A">
            <w:pPr>
              <w:pStyle w:val="P68B1DB1-Normal7"/>
              <w:spacing w:after="200" w:line="276" w:lineRule="auto"/>
              <w:jc w:val="center"/>
              <w:rPr>
                <w:rFonts w:ascii="Times New Roman" w:hAnsi="Times New Roman" w:cs="Times New Roman"/>
                <w:noProof/>
              </w:rPr>
            </w:pPr>
            <w:r>
              <w:rPr>
                <w:noProof/>
              </w:rPr>
              <w:t>1 500</w:t>
            </w:r>
          </w:p>
        </w:tc>
        <w:tc>
          <w:tcPr>
            <w:tcW w:w="355" w:type="pct"/>
            <w:tcBorders>
              <w:top w:val="single" w:sz="4" w:space="0" w:color="auto"/>
              <w:left w:val="nil"/>
              <w:bottom w:val="single" w:sz="4" w:space="0" w:color="auto"/>
              <w:right w:val="single" w:sz="4" w:space="0" w:color="auto"/>
            </w:tcBorders>
            <w:shd w:val="clear" w:color="auto" w:fill="C6EFCE"/>
            <w:noWrap/>
          </w:tcPr>
          <w:p w14:paraId="2A14757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single" w:sz="4" w:space="0" w:color="auto"/>
              <w:left w:val="nil"/>
              <w:bottom w:val="single" w:sz="4" w:space="0" w:color="auto"/>
              <w:right w:val="single" w:sz="4" w:space="0" w:color="auto"/>
            </w:tcBorders>
            <w:shd w:val="clear" w:color="auto" w:fill="C6EFCE"/>
            <w:noWrap/>
          </w:tcPr>
          <w:p w14:paraId="6DEC090F"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036" w:type="pct"/>
            <w:tcBorders>
              <w:top w:val="single" w:sz="4" w:space="0" w:color="auto"/>
              <w:left w:val="nil"/>
              <w:bottom w:val="single" w:sz="4" w:space="0" w:color="auto"/>
              <w:right w:val="single" w:sz="4" w:space="0" w:color="auto"/>
            </w:tcBorders>
            <w:shd w:val="clear" w:color="auto" w:fill="C6EFCE"/>
            <w:noWrap/>
          </w:tcPr>
          <w:p w14:paraId="13247DB0" w14:textId="77777777" w:rsidR="003A3D51" w:rsidRDefault="0002775A">
            <w:pPr>
              <w:pStyle w:val="P68B1DB1-Normal7"/>
              <w:spacing w:after="200" w:line="276" w:lineRule="auto"/>
              <w:rPr>
                <w:rFonts w:ascii="Times New Roman" w:hAnsi="Times New Roman" w:cs="Times New Roman"/>
                <w:noProof/>
              </w:rPr>
            </w:pPr>
            <w:r>
              <w:rPr>
                <w:noProof/>
              </w:rPr>
              <w:t>Minst 1 500 MW ny installerad kapacitet för förnybara energikällor som är ansluten till nätet senast i slutet av 2024.</w:t>
            </w:r>
          </w:p>
        </w:tc>
      </w:tr>
      <w:tr w:rsidR="003A3D51" w14:paraId="4E906DFF"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7F7A46E7" w14:textId="77777777" w:rsidR="003A3D51" w:rsidRDefault="0002775A">
            <w:pPr>
              <w:pStyle w:val="P68B1DB1-Normal7"/>
              <w:spacing w:after="200" w:line="276" w:lineRule="auto"/>
              <w:jc w:val="center"/>
              <w:rPr>
                <w:rFonts w:ascii="Times New Roman" w:hAnsi="Times New Roman" w:cs="Times New Roman"/>
                <w:noProof/>
              </w:rPr>
            </w:pPr>
            <w:r>
              <w:rPr>
                <w:noProof/>
              </w:rPr>
              <w:t>43</w:t>
            </w:r>
          </w:p>
        </w:tc>
        <w:tc>
          <w:tcPr>
            <w:tcW w:w="337" w:type="pct"/>
            <w:tcBorders>
              <w:top w:val="single" w:sz="4" w:space="0" w:color="auto"/>
              <w:left w:val="nil"/>
              <w:bottom w:val="single" w:sz="4" w:space="0" w:color="auto"/>
              <w:right w:val="single" w:sz="4" w:space="0" w:color="auto"/>
            </w:tcBorders>
            <w:shd w:val="clear" w:color="auto" w:fill="C6EFCE"/>
            <w:noWrap/>
          </w:tcPr>
          <w:p w14:paraId="10FEFBF0" w14:textId="77777777" w:rsidR="003A3D51" w:rsidRDefault="0002775A">
            <w:pPr>
              <w:pStyle w:val="P68B1DB1-Normal7"/>
              <w:spacing w:after="200" w:line="276" w:lineRule="auto"/>
              <w:jc w:val="center"/>
              <w:rPr>
                <w:rFonts w:ascii="Times New Roman" w:hAnsi="Times New Roman" w:cs="Times New Roman"/>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2113EEF2"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14C27BB4" w14:textId="77777777" w:rsidR="003A3D51" w:rsidRDefault="0002775A">
            <w:pPr>
              <w:pStyle w:val="P68B1DB1-Normal7"/>
              <w:spacing w:after="200" w:line="276" w:lineRule="auto"/>
              <w:rPr>
                <w:rFonts w:ascii="Times New Roman" w:hAnsi="Times New Roman" w:cs="Times New Roman"/>
                <w:noProof/>
              </w:rPr>
            </w:pPr>
            <w:r>
              <w:rPr>
                <w:noProof/>
              </w:rPr>
              <w:t>Antal nya konsumenter som är anslutna till det smarta nätet</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04106E4D"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227" w:type="pct"/>
            <w:tcBorders>
              <w:top w:val="single" w:sz="4" w:space="0" w:color="auto"/>
              <w:left w:val="nil"/>
              <w:bottom w:val="single" w:sz="4" w:space="0" w:color="auto"/>
              <w:right w:val="single" w:sz="4" w:space="0" w:color="auto"/>
            </w:tcBorders>
            <w:shd w:val="clear" w:color="auto" w:fill="C6EFCE"/>
            <w:noWrap/>
          </w:tcPr>
          <w:p w14:paraId="0564458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72CB5547"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7D9388D0" w14:textId="77777777" w:rsidR="003A3D51" w:rsidRDefault="0002775A">
            <w:pPr>
              <w:pStyle w:val="P68B1DB1-Normal7"/>
              <w:spacing w:after="200" w:line="276" w:lineRule="auto"/>
              <w:jc w:val="center"/>
              <w:rPr>
                <w:rFonts w:ascii="Times New Roman" w:hAnsi="Times New Roman" w:cs="Times New Roman"/>
                <w:noProof/>
              </w:rPr>
            </w:pPr>
            <w:r>
              <w:rPr>
                <w:noProof/>
              </w:rPr>
              <w:t>40 000</w:t>
            </w:r>
          </w:p>
        </w:tc>
        <w:tc>
          <w:tcPr>
            <w:tcW w:w="355" w:type="pct"/>
            <w:tcBorders>
              <w:top w:val="single" w:sz="4" w:space="0" w:color="auto"/>
              <w:left w:val="nil"/>
              <w:bottom w:val="single" w:sz="4" w:space="0" w:color="auto"/>
              <w:right w:val="single" w:sz="4" w:space="0" w:color="auto"/>
            </w:tcBorders>
            <w:shd w:val="clear" w:color="auto" w:fill="C6EFCE"/>
            <w:noWrap/>
          </w:tcPr>
          <w:p w14:paraId="1FF495D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single" w:sz="4" w:space="0" w:color="auto"/>
              <w:left w:val="nil"/>
              <w:bottom w:val="single" w:sz="4" w:space="0" w:color="auto"/>
              <w:right w:val="single" w:sz="4" w:space="0" w:color="auto"/>
            </w:tcBorders>
            <w:shd w:val="clear" w:color="auto" w:fill="C6EFCE"/>
            <w:noWrap/>
          </w:tcPr>
          <w:p w14:paraId="05261455"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036" w:type="pct"/>
            <w:tcBorders>
              <w:top w:val="single" w:sz="4" w:space="0" w:color="auto"/>
              <w:left w:val="nil"/>
              <w:bottom w:val="single" w:sz="4" w:space="0" w:color="auto"/>
              <w:right w:val="single" w:sz="4" w:space="0" w:color="auto"/>
            </w:tcBorders>
            <w:shd w:val="clear" w:color="auto" w:fill="C6EFCE"/>
            <w:noWrap/>
          </w:tcPr>
          <w:p w14:paraId="20E6BA93" w14:textId="77777777" w:rsidR="003A3D51" w:rsidRDefault="0002775A">
            <w:pPr>
              <w:pStyle w:val="P68B1DB1-Normal7"/>
              <w:spacing w:after="200" w:line="276" w:lineRule="auto"/>
              <w:rPr>
                <w:rFonts w:ascii="Times New Roman" w:hAnsi="Times New Roman" w:cs="Times New Roman"/>
                <w:noProof/>
              </w:rPr>
            </w:pPr>
            <w:r>
              <w:rPr>
                <w:noProof/>
              </w:rPr>
              <w:t>Minst 40 000 smarta elmätare har installerats och nya konsumenter är anslutna till ett smart nät.</w:t>
            </w:r>
          </w:p>
        </w:tc>
      </w:tr>
      <w:tr w:rsidR="003A3D51" w14:paraId="43353688"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6A5CF7EB" w14:textId="47F09EFE" w:rsidR="003A3D51" w:rsidRDefault="0002775A">
            <w:pPr>
              <w:pStyle w:val="P68B1DB1-Normal7"/>
              <w:spacing w:after="200" w:line="276" w:lineRule="auto"/>
              <w:jc w:val="center"/>
              <w:rPr>
                <w:noProof/>
              </w:rPr>
            </w:pPr>
            <w:r>
              <w:rPr>
                <w:noProof/>
              </w:rPr>
              <w:t>376</w:t>
            </w:r>
          </w:p>
        </w:tc>
        <w:tc>
          <w:tcPr>
            <w:tcW w:w="337" w:type="pct"/>
            <w:tcBorders>
              <w:top w:val="single" w:sz="4" w:space="0" w:color="auto"/>
              <w:left w:val="nil"/>
              <w:bottom w:val="single" w:sz="4" w:space="0" w:color="auto"/>
              <w:right w:val="single" w:sz="4" w:space="0" w:color="auto"/>
            </w:tcBorders>
            <w:shd w:val="clear" w:color="auto" w:fill="C6EFCE"/>
            <w:noWrap/>
          </w:tcPr>
          <w:p w14:paraId="0B9FD8BA" w14:textId="7510471F" w:rsidR="003A3D51" w:rsidRDefault="0002775A">
            <w:pPr>
              <w:pStyle w:val="P68B1DB1-Normal7"/>
              <w:spacing w:after="200" w:line="276" w:lineRule="auto"/>
              <w:jc w:val="center"/>
              <w:rPr>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0E4A0FB2" w14:textId="0C855532" w:rsidR="003A3D51" w:rsidRDefault="0002775A">
            <w:pPr>
              <w:pStyle w:val="P68B1DB1-Normal7"/>
              <w:spacing w:after="200" w:line="276" w:lineRule="auto"/>
              <w:jc w:val="center"/>
              <w:rPr>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4A48D503" w14:textId="7222060D" w:rsidR="003A3D51" w:rsidRDefault="0002775A">
            <w:pPr>
              <w:pStyle w:val="P68B1DB1-Normal7"/>
              <w:spacing w:after="200" w:line="276" w:lineRule="auto"/>
              <w:rPr>
                <w:noProof/>
              </w:rPr>
            </w:pPr>
            <w:r>
              <w:rPr>
                <w:noProof/>
              </w:rPr>
              <w:t>Antal nya konsumenter som är anslutna till det smarta nätet</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6720BA84" w14:textId="1E4F04FB" w:rsidR="003A3D51" w:rsidRDefault="0002775A">
            <w:pPr>
              <w:pStyle w:val="P68B1DB1-Normal7"/>
              <w:spacing w:after="200" w:line="276" w:lineRule="auto"/>
              <w:rPr>
                <w:noProof/>
              </w:rPr>
            </w:pPr>
            <w:r>
              <w:rPr>
                <w:noProof/>
              </w:rPr>
              <w:t xml:space="preserve"> </w:t>
            </w:r>
          </w:p>
        </w:tc>
        <w:tc>
          <w:tcPr>
            <w:tcW w:w="227" w:type="pct"/>
            <w:tcBorders>
              <w:top w:val="single" w:sz="4" w:space="0" w:color="auto"/>
              <w:left w:val="nil"/>
              <w:bottom w:val="single" w:sz="4" w:space="0" w:color="auto"/>
              <w:right w:val="single" w:sz="4" w:space="0" w:color="auto"/>
            </w:tcBorders>
            <w:shd w:val="clear" w:color="auto" w:fill="C6EFCE"/>
            <w:noWrap/>
          </w:tcPr>
          <w:p w14:paraId="6DA03F67" w14:textId="587EC628" w:rsidR="003A3D51" w:rsidRDefault="0002775A">
            <w:pPr>
              <w:pStyle w:val="P68B1DB1-Normal7"/>
              <w:spacing w:after="200" w:line="276" w:lineRule="auto"/>
              <w:jc w:val="center"/>
              <w:rPr>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37AD5060" w14:textId="1284D67C" w:rsidR="003A3D51" w:rsidRDefault="0002775A">
            <w:pPr>
              <w:pStyle w:val="P68B1DB1-Normal7"/>
              <w:spacing w:after="200" w:line="276" w:lineRule="auto"/>
              <w:jc w:val="center"/>
              <w:rPr>
                <w:noProof/>
              </w:rPr>
            </w:pPr>
            <w:r>
              <w:rPr>
                <w:noProof/>
              </w:rPr>
              <w:t>40 000</w:t>
            </w:r>
          </w:p>
        </w:tc>
        <w:tc>
          <w:tcPr>
            <w:tcW w:w="390" w:type="pct"/>
            <w:tcBorders>
              <w:top w:val="single" w:sz="4" w:space="0" w:color="auto"/>
              <w:left w:val="nil"/>
              <w:bottom w:val="single" w:sz="4" w:space="0" w:color="auto"/>
              <w:right w:val="single" w:sz="4" w:space="0" w:color="auto"/>
            </w:tcBorders>
            <w:shd w:val="clear" w:color="auto" w:fill="C6EFCE"/>
            <w:noWrap/>
          </w:tcPr>
          <w:p w14:paraId="0EF13364" w14:textId="0D250062" w:rsidR="003A3D51" w:rsidRDefault="0002775A">
            <w:pPr>
              <w:pStyle w:val="P68B1DB1-Normal7"/>
              <w:spacing w:after="200" w:line="276" w:lineRule="auto"/>
              <w:jc w:val="center"/>
              <w:rPr>
                <w:noProof/>
              </w:rPr>
            </w:pPr>
            <w:r>
              <w:rPr>
                <w:noProof/>
              </w:rPr>
              <w:t>100 000</w:t>
            </w:r>
          </w:p>
        </w:tc>
        <w:tc>
          <w:tcPr>
            <w:tcW w:w="355" w:type="pct"/>
            <w:tcBorders>
              <w:top w:val="single" w:sz="4" w:space="0" w:color="auto"/>
              <w:left w:val="nil"/>
              <w:bottom w:val="single" w:sz="4" w:space="0" w:color="auto"/>
              <w:right w:val="single" w:sz="4" w:space="0" w:color="auto"/>
            </w:tcBorders>
            <w:shd w:val="clear" w:color="auto" w:fill="C6EFCE"/>
            <w:noWrap/>
          </w:tcPr>
          <w:p w14:paraId="564D45DD" w14:textId="5F8C5EF4" w:rsidR="003A3D51" w:rsidRDefault="0002775A">
            <w:pPr>
              <w:pStyle w:val="P68B1DB1-Normal7"/>
              <w:spacing w:after="200" w:line="276" w:lineRule="auto"/>
              <w:jc w:val="center"/>
              <w:rPr>
                <w:noProof/>
              </w:rPr>
            </w:pPr>
            <w:r>
              <w:rPr>
                <w:noProof/>
              </w:rPr>
              <w:t>KVARTAL 2</w:t>
            </w:r>
          </w:p>
        </w:tc>
        <w:tc>
          <w:tcPr>
            <w:tcW w:w="222" w:type="pct"/>
            <w:tcBorders>
              <w:top w:val="single" w:sz="4" w:space="0" w:color="auto"/>
              <w:left w:val="nil"/>
              <w:bottom w:val="single" w:sz="4" w:space="0" w:color="auto"/>
              <w:right w:val="single" w:sz="4" w:space="0" w:color="auto"/>
            </w:tcBorders>
            <w:shd w:val="clear" w:color="auto" w:fill="C6EFCE"/>
            <w:noWrap/>
          </w:tcPr>
          <w:p w14:paraId="6D7E1483" w14:textId="2723AF0D" w:rsidR="003A3D51" w:rsidRDefault="0002775A">
            <w:pPr>
              <w:pStyle w:val="P68B1DB1-Normal7"/>
              <w:spacing w:after="200" w:line="276" w:lineRule="auto"/>
              <w:jc w:val="center"/>
              <w:rPr>
                <w:noProof/>
              </w:rPr>
            </w:pPr>
            <w:r>
              <w:rPr>
                <w:noProof/>
              </w:rPr>
              <w:t>2026</w:t>
            </w:r>
          </w:p>
        </w:tc>
        <w:tc>
          <w:tcPr>
            <w:tcW w:w="1036" w:type="pct"/>
            <w:tcBorders>
              <w:top w:val="single" w:sz="4" w:space="0" w:color="auto"/>
              <w:left w:val="nil"/>
              <w:bottom w:val="single" w:sz="4" w:space="0" w:color="auto"/>
              <w:right w:val="single" w:sz="4" w:space="0" w:color="auto"/>
            </w:tcBorders>
            <w:shd w:val="clear" w:color="auto" w:fill="C6EFCE"/>
            <w:noWrap/>
          </w:tcPr>
          <w:p w14:paraId="18E5CEA4" w14:textId="1EFF5B98" w:rsidR="003A3D51" w:rsidRDefault="0002775A">
            <w:pPr>
              <w:pStyle w:val="P68B1DB1-Normal7"/>
              <w:spacing w:after="200" w:line="276" w:lineRule="auto"/>
              <w:rPr>
                <w:noProof/>
              </w:rPr>
            </w:pPr>
            <w:r>
              <w:rPr>
                <w:noProof/>
              </w:rPr>
              <w:t>Minst 60 000 smarta elmätare har installerats och nya konsumenter är anslutna till ett smart nät.</w:t>
            </w:r>
          </w:p>
        </w:tc>
      </w:tr>
      <w:tr w:rsidR="003A3D51" w14:paraId="79DCC504"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238010E2" w14:textId="77777777" w:rsidR="003A3D51" w:rsidRDefault="0002775A">
            <w:pPr>
              <w:pStyle w:val="P68B1DB1-Normal7"/>
              <w:spacing w:after="200" w:line="276" w:lineRule="auto"/>
              <w:jc w:val="center"/>
              <w:rPr>
                <w:rFonts w:ascii="Times New Roman" w:hAnsi="Times New Roman" w:cs="Times New Roman"/>
                <w:noProof/>
              </w:rPr>
            </w:pPr>
            <w:r>
              <w:rPr>
                <w:noProof/>
              </w:rPr>
              <w:t>44</w:t>
            </w:r>
          </w:p>
        </w:tc>
        <w:tc>
          <w:tcPr>
            <w:tcW w:w="337" w:type="pct"/>
            <w:tcBorders>
              <w:top w:val="single" w:sz="4" w:space="0" w:color="auto"/>
              <w:left w:val="nil"/>
              <w:bottom w:val="single" w:sz="4" w:space="0" w:color="auto"/>
              <w:right w:val="single" w:sz="4" w:space="0" w:color="auto"/>
            </w:tcBorders>
            <w:shd w:val="clear" w:color="auto" w:fill="C6EFCE"/>
            <w:noWrap/>
          </w:tcPr>
          <w:p w14:paraId="03146CF8" w14:textId="77777777" w:rsidR="003A3D51" w:rsidRDefault="0002775A">
            <w:pPr>
              <w:pStyle w:val="P68B1DB1-Normal7"/>
              <w:spacing w:after="200" w:line="276" w:lineRule="auto"/>
              <w:jc w:val="center"/>
              <w:rPr>
                <w:rFonts w:ascii="Times New Roman" w:hAnsi="Times New Roman" w:cs="Times New Roman"/>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41A528C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781A4D75" w14:textId="77777777" w:rsidR="003A3D51" w:rsidRDefault="0002775A">
            <w:pPr>
              <w:pStyle w:val="P68B1DB1-Normal7"/>
              <w:spacing w:after="200" w:line="276" w:lineRule="auto"/>
              <w:rPr>
                <w:rFonts w:ascii="Times New Roman" w:hAnsi="Times New Roman" w:cs="Times New Roman"/>
                <w:noProof/>
              </w:rPr>
            </w:pPr>
            <w:r>
              <w:rPr>
                <w:noProof/>
              </w:rPr>
              <w:t>Uppgraderingen av högspänningsnätet (220/110 kV) slutförd</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241A7951" w14:textId="77777777" w:rsidR="003A3D51" w:rsidRDefault="0002775A">
            <w:pPr>
              <w:pStyle w:val="P68B1DB1-Normal7"/>
              <w:spacing w:after="200" w:line="276" w:lineRule="auto"/>
              <w:rPr>
                <w:rFonts w:ascii="Times New Roman" w:hAnsi="Times New Roman" w:cs="Times New Roman"/>
                <w:noProof/>
              </w:rPr>
            </w:pPr>
            <w:r>
              <w:rPr>
                <w:noProof/>
              </w:rPr>
              <w:t>Slutförande av uppgraderingen av högspännings- och mellanspänningsnätet (220/110 kV)</w:t>
            </w:r>
          </w:p>
        </w:tc>
        <w:tc>
          <w:tcPr>
            <w:tcW w:w="227" w:type="pct"/>
            <w:tcBorders>
              <w:top w:val="single" w:sz="4" w:space="0" w:color="auto"/>
              <w:left w:val="nil"/>
              <w:bottom w:val="single" w:sz="4" w:space="0" w:color="auto"/>
              <w:right w:val="single" w:sz="4" w:space="0" w:color="auto"/>
            </w:tcBorders>
            <w:shd w:val="clear" w:color="auto" w:fill="C6EFCE"/>
            <w:noWrap/>
          </w:tcPr>
          <w:p w14:paraId="26ACDCFD" w14:textId="77777777" w:rsidR="003A3D51" w:rsidRDefault="0002775A">
            <w:pPr>
              <w:pStyle w:val="P68B1DB1-Normal7"/>
              <w:spacing w:after="200" w:line="276" w:lineRule="auto"/>
              <w:jc w:val="center"/>
              <w:rPr>
                <w:rFonts w:ascii="Times New Roman" w:hAnsi="Times New Roman" w:cs="Times New Roman"/>
                <w:noProof/>
              </w:rPr>
            </w:pPr>
            <w:r>
              <w:rPr>
                <w:noProof/>
              </w:rPr>
              <w:t>km</w:t>
            </w:r>
          </w:p>
        </w:tc>
        <w:tc>
          <w:tcPr>
            <w:tcW w:w="409" w:type="pct"/>
            <w:tcBorders>
              <w:top w:val="single" w:sz="4" w:space="0" w:color="auto"/>
              <w:left w:val="nil"/>
              <w:bottom w:val="single" w:sz="4" w:space="0" w:color="auto"/>
              <w:right w:val="single" w:sz="4" w:space="0" w:color="auto"/>
            </w:tcBorders>
            <w:shd w:val="clear" w:color="auto" w:fill="C6EFCE"/>
            <w:noWrap/>
          </w:tcPr>
          <w:p w14:paraId="50A6911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21197F51" w14:textId="77777777" w:rsidR="003A3D51" w:rsidRDefault="0002775A">
            <w:pPr>
              <w:pStyle w:val="P68B1DB1-Normal7"/>
              <w:tabs>
                <w:tab w:val="left" w:pos="234"/>
              </w:tabs>
              <w:spacing w:after="200" w:line="276" w:lineRule="auto"/>
              <w:jc w:val="center"/>
              <w:rPr>
                <w:rFonts w:ascii="Times New Roman" w:hAnsi="Times New Roman" w:cs="Times New Roman"/>
                <w:noProof/>
              </w:rPr>
            </w:pPr>
            <w:r>
              <w:rPr>
                <w:noProof/>
              </w:rPr>
              <w:t>550</w:t>
            </w:r>
          </w:p>
        </w:tc>
        <w:tc>
          <w:tcPr>
            <w:tcW w:w="355" w:type="pct"/>
            <w:tcBorders>
              <w:top w:val="single" w:sz="4" w:space="0" w:color="auto"/>
              <w:left w:val="nil"/>
              <w:bottom w:val="single" w:sz="4" w:space="0" w:color="auto"/>
              <w:right w:val="single" w:sz="4" w:space="0" w:color="auto"/>
            </w:tcBorders>
            <w:shd w:val="clear" w:color="auto" w:fill="C6EFCE"/>
            <w:noWrap/>
          </w:tcPr>
          <w:p w14:paraId="6A361D57"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2" w:type="pct"/>
            <w:tcBorders>
              <w:top w:val="single" w:sz="4" w:space="0" w:color="auto"/>
              <w:left w:val="nil"/>
              <w:bottom w:val="single" w:sz="4" w:space="0" w:color="auto"/>
              <w:right w:val="single" w:sz="4" w:space="0" w:color="auto"/>
            </w:tcBorders>
            <w:shd w:val="clear" w:color="auto" w:fill="C6EFCE"/>
            <w:noWrap/>
          </w:tcPr>
          <w:p w14:paraId="3910876B"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036" w:type="pct"/>
            <w:tcBorders>
              <w:top w:val="single" w:sz="4" w:space="0" w:color="auto"/>
              <w:left w:val="nil"/>
              <w:bottom w:val="single" w:sz="4" w:space="0" w:color="auto"/>
              <w:right w:val="single" w:sz="4" w:space="0" w:color="auto"/>
            </w:tcBorders>
            <w:shd w:val="clear" w:color="auto" w:fill="C6EFCE"/>
            <w:noWrap/>
          </w:tcPr>
          <w:p w14:paraId="4A27F487" w14:textId="77777777" w:rsidR="003A3D51" w:rsidRDefault="0002775A">
            <w:pPr>
              <w:pStyle w:val="P68B1DB1-Normal7"/>
              <w:spacing w:after="200" w:line="276" w:lineRule="auto"/>
              <w:rPr>
                <w:rFonts w:ascii="Times New Roman" w:hAnsi="Times New Roman" w:cs="Times New Roman"/>
                <w:noProof/>
              </w:rPr>
            </w:pPr>
            <w:r>
              <w:rPr>
                <w:noProof/>
              </w:rPr>
              <w:t>Minst 550 km högspänningsledning uppgraderad, vilket ska stärka nätanslutningarna och skapa förutsättningar för att stabilisera systemet och frigöra potentialen för förnybar energi i södra Kroatien.</w:t>
            </w:r>
            <w:r>
              <w:rPr>
                <w:noProof/>
              </w:rPr>
              <w:br/>
              <w:t xml:space="preserve">Denna åtgärd förväntas inte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  </w:t>
            </w:r>
          </w:p>
        </w:tc>
      </w:tr>
      <w:tr w:rsidR="003A3D51" w14:paraId="1FF096BA"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257F32D3" w14:textId="08FDA831" w:rsidR="003A3D51" w:rsidRDefault="0002775A">
            <w:pPr>
              <w:pStyle w:val="P68B1DB1-Normal7"/>
              <w:spacing w:after="200" w:line="276" w:lineRule="auto"/>
              <w:jc w:val="center"/>
              <w:rPr>
                <w:noProof/>
              </w:rPr>
            </w:pPr>
            <w:r>
              <w:rPr>
                <w:noProof/>
              </w:rPr>
              <w:t>377</w:t>
            </w:r>
          </w:p>
        </w:tc>
        <w:tc>
          <w:tcPr>
            <w:tcW w:w="337" w:type="pct"/>
            <w:tcBorders>
              <w:top w:val="single" w:sz="4" w:space="0" w:color="auto"/>
              <w:left w:val="nil"/>
              <w:bottom w:val="single" w:sz="4" w:space="0" w:color="auto"/>
              <w:right w:val="single" w:sz="4" w:space="0" w:color="auto"/>
            </w:tcBorders>
            <w:shd w:val="clear" w:color="auto" w:fill="C6EFCE"/>
            <w:noWrap/>
          </w:tcPr>
          <w:p w14:paraId="1BCD929C" w14:textId="77777777" w:rsidR="003A3D51" w:rsidRDefault="0002775A">
            <w:pPr>
              <w:pStyle w:val="P68B1DB1-Normal7"/>
              <w:spacing w:after="200" w:line="276" w:lineRule="auto"/>
              <w:jc w:val="center"/>
              <w:rPr>
                <w:noProof/>
              </w:rPr>
            </w:pPr>
            <w:r>
              <w:rPr>
                <w:noProof/>
              </w:rPr>
              <w:t>C1.2 R1-I1</w:t>
            </w:r>
          </w:p>
        </w:tc>
        <w:tc>
          <w:tcPr>
            <w:tcW w:w="296" w:type="pct"/>
            <w:tcBorders>
              <w:top w:val="single" w:sz="4" w:space="0" w:color="auto"/>
              <w:left w:val="nil"/>
              <w:bottom w:val="single" w:sz="4" w:space="0" w:color="auto"/>
              <w:right w:val="single" w:sz="4" w:space="0" w:color="auto"/>
            </w:tcBorders>
            <w:shd w:val="clear" w:color="auto" w:fill="C6EFCE"/>
            <w:noWrap/>
          </w:tcPr>
          <w:p w14:paraId="387E28DD" w14:textId="77777777" w:rsidR="003A3D51" w:rsidRDefault="0002775A">
            <w:pPr>
              <w:pStyle w:val="P68B1DB1-Normal7"/>
              <w:spacing w:after="200" w:line="276" w:lineRule="auto"/>
              <w:jc w:val="center"/>
              <w:rPr>
                <w:noProof/>
              </w:rPr>
            </w:pPr>
            <w:r>
              <w:rPr>
                <w:noProof/>
              </w:rPr>
              <w:t>T</w:t>
            </w:r>
          </w:p>
        </w:tc>
        <w:tc>
          <w:tcPr>
            <w:tcW w:w="713" w:type="pct"/>
            <w:gridSpan w:val="2"/>
            <w:tcBorders>
              <w:top w:val="single" w:sz="4" w:space="0" w:color="auto"/>
              <w:left w:val="nil"/>
              <w:bottom w:val="single" w:sz="4" w:space="0" w:color="auto"/>
              <w:right w:val="single" w:sz="4" w:space="0" w:color="auto"/>
            </w:tcBorders>
            <w:shd w:val="clear" w:color="auto" w:fill="C6EFCE"/>
            <w:noWrap/>
          </w:tcPr>
          <w:p w14:paraId="5AF276FB" w14:textId="77777777" w:rsidR="003A3D51" w:rsidRDefault="0002775A">
            <w:pPr>
              <w:pStyle w:val="P68B1DB1-Normal7"/>
              <w:spacing w:after="200" w:line="276" w:lineRule="auto"/>
              <w:rPr>
                <w:noProof/>
              </w:rPr>
            </w:pPr>
            <w:r>
              <w:rPr>
                <w:noProof/>
              </w:rPr>
              <w:t>Ny lagringskapacitet för energibatterier</w:t>
            </w:r>
          </w:p>
        </w:tc>
        <w:tc>
          <w:tcPr>
            <w:tcW w:w="794" w:type="pct"/>
            <w:tcBorders>
              <w:top w:val="single" w:sz="4" w:space="0" w:color="auto"/>
              <w:left w:val="nil"/>
              <w:bottom w:val="single" w:sz="4" w:space="0" w:color="auto"/>
              <w:right w:val="single" w:sz="4" w:space="0" w:color="auto"/>
            </w:tcBorders>
            <w:shd w:val="clear" w:color="auto" w:fill="C6EFCE"/>
            <w:noWrap/>
          </w:tcPr>
          <w:p w14:paraId="22CB6D14" w14:textId="77777777" w:rsidR="003A3D51" w:rsidRDefault="003A3D51">
            <w:pPr>
              <w:spacing w:after="200" w:line="276" w:lineRule="auto"/>
              <w:rPr>
                <w:rFonts w:ascii="Calibri" w:eastAsia="Calibri" w:hAnsi="Calibri" w:cs="Arial"/>
                <w:noProof/>
                <w:color w:val="000000"/>
                <w:sz w:val="20"/>
              </w:rPr>
            </w:pPr>
          </w:p>
        </w:tc>
        <w:tc>
          <w:tcPr>
            <w:tcW w:w="227" w:type="pct"/>
            <w:tcBorders>
              <w:top w:val="single" w:sz="4" w:space="0" w:color="auto"/>
              <w:left w:val="nil"/>
              <w:bottom w:val="single" w:sz="4" w:space="0" w:color="auto"/>
              <w:right w:val="single" w:sz="4" w:space="0" w:color="auto"/>
            </w:tcBorders>
            <w:shd w:val="clear" w:color="auto" w:fill="C6EFCE"/>
            <w:noWrap/>
          </w:tcPr>
          <w:p w14:paraId="71244F56" w14:textId="77777777" w:rsidR="003A3D51" w:rsidRDefault="0002775A">
            <w:pPr>
              <w:pStyle w:val="P68B1DB1-Normal16"/>
              <w:spacing w:after="200" w:line="276" w:lineRule="auto"/>
              <w:jc w:val="center"/>
              <w:rPr>
                <w:rFonts w:ascii="Calibri" w:hAnsi="Calibri" w:cs="Arial"/>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1904837E" w14:textId="77777777" w:rsidR="003A3D51" w:rsidRDefault="0002775A">
            <w:pPr>
              <w:pStyle w:val="P68B1DB1-Normal7"/>
              <w:spacing w:after="200" w:line="276" w:lineRule="auto"/>
              <w:jc w:val="center"/>
              <w:rPr>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5D3525F4" w14:textId="77777777" w:rsidR="003A3D51" w:rsidRDefault="0002775A">
            <w:pPr>
              <w:pStyle w:val="P68B1DB1-Normal17"/>
              <w:spacing w:after="200" w:line="276" w:lineRule="auto"/>
              <w:jc w:val="center"/>
              <w:rPr>
                <w:rFonts w:ascii="Calibri" w:hAnsi="Calibri" w:cs="Arial"/>
                <w:noProof/>
                <w:color w:val="000000"/>
              </w:rPr>
            </w:pPr>
            <w:r>
              <w:rPr>
                <w:noProof/>
              </w:rPr>
              <w:t>100 MWh</w:t>
            </w:r>
          </w:p>
        </w:tc>
        <w:tc>
          <w:tcPr>
            <w:tcW w:w="355" w:type="pct"/>
            <w:tcBorders>
              <w:top w:val="single" w:sz="4" w:space="0" w:color="auto"/>
              <w:left w:val="nil"/>
              <w:bottom w:val="single" w:sz="4" w:space="0" w:color="auto"/>
              <w:right w:val="single" w:sz="4" w:space="0" w:color="auto"/>
            </w:tcBorders>
            <w:shd w:val="clear" w:color="auto" w:fill="C6EFCE"/>
            <w:noWrap/>
          </w:tcPr>
          <w:p w14:paraId="5AFDEFC9" w14:textId="77777777" w:rsidR="003A3D51" w:rsidRDefault="0002775A">
            <w:pPr>
              <w:pStyle w:val="P68B1DB1-Normal7"/>
              <w:spacing w:after="200" w:line="276" w:lineRule="auto"/>
              <w:jc w:val="center"/>
              <w:rPr>
                <w:noProof/>
              </w:rPr>
            </w:pPr>
            <w:r>
              <w:rPr>
                <w:noProof/>
              </w:rPr>
              <w:t>KVARTAL 2</w:t>
            </w:r>
          </w:p>
        </w:tc>
        <w:tc>
          <w:tcPr>
            <w:tcW w:w="222" w:type="pct"/>
            <w:tcBorders>
              <w:top w:val="single" w:sz="4" w:space="0" w:color="auto"/>
              <w:left w:val="nil"/>
              <w:bottom w:val="single" w:sz="4" w:space="0" w:color="auto"/>
              <w:right w:val="single" w:sz="4" w:space="0" w:color="auto"/>
            </w:tcBorders>
            <w:shd w:val="clear" w:color="auto" w:fill="C6EFCE"/>
            <w:noWrap/>
          </w:tcPr>
          <w:p w14:paraId="5AE4CC4F" w14:textId="77777777" w:rsidR="003A3D51" w:rsidRDefault="0002775A">
            <w:pPr>
              <w:pStyle w:val="P68B1DB1-Normal7"/>
              <w:spacing w:after="200" w:line="276" w:lineRule="auto"/>
              <w:jc w:val="center"/>
              <w:rPr>
                <w:noProof/>
              </w:rPr>
            </w:pPr>
            <w:r>
              <w:rPr>
                <w:noProof/>
              </w:rPr>
              <w:t>2026</w:t>
            </w:r>
          </w:p>
        </w:tc>
        <w:tc>
          <w:tcPr>
            <w:tcW w:w="1036" w:type="pct"/>
            <w:tcBorders>
              <w:top w:val="single" w:sz="4" w:space="0" w:color="auto"/>
              <w:left w:val="nil"/>
              <w:bottom w:val="single" w:sz="4" w:space="0" w:color="auto"/>
              <w:right w:val="single" w:sz="4" w:space="0" w:color="auto"/>
            </w:tcBorders>
            <w:shd w:val="clear" w:color="auto" w:fill="C6EFCE"/>
            <w:noWrap/>
          </w:tcPr>
          <w:p w14:paraId="167EC7D2" w14:textId="77777777" w:rsidR="003A3D51" w:rsidRDefault="0002775A">
            <w:pPr>
              <w:pStyle w:val="P68B1DB1-Normal13"/>
              <w:spacing w:after="200" w:line="276" w:lineRule="auto"/>
              <w:rPr>
                <w:rFonts w:ascii="Calibri" w:eastAsia="Calibri" w:hAnsi="Calibri" w:cs="Arial"/>
                <w:noProof/>
                <w:color w:val="000000"/>
              </w:rPr>
            </w:pPr>
            <w:r>
              <w:rPr>
                <w:rFonts w:ascii="Calibri" w:eastAsia="Calibri" w:hAnsi="Calibri" w:cs="Arial"/>
                <w:noProof/>
                <w:color w:val="000000"/>
              </w:rPr>
              <w:t>Nya projekt för lagring av energibatterier ska slutföras med en total kapacitet på 10</w:t>
            </w:r>
            <w:r>
              <w:rPr>
                <w:rFonts w:eastAsia="Calibri" w:cstheme="minorHAnsi"/>
                <w:noProof/>
              </w:rPr>
              <w:t>0 MWh.</w:t>
            </w:r>
          </w:p>
        </w:tc>
      </w:tr>
      <w:tr w:rsidR="003A3D51" w14:paraId="64D88678"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4606F81D" w14:textId="77777777" w:rsidR="003A3D51" w:rsidRDefault="0002775A">
            <w:pPr>
              <w:pStyle w:val="P68B1DB1-Normal7"/>
              <w:spacing w:after="200" w:line="276" w:lineRule="auto"/>
              <w:jc w:val="center"/>
              <w:rPr>
                <w:rFonts w:ascii="Times New Roman" w:hAnsi="Times New Roman" w:cs="Times New Roman"/>
                <w:noProof/>
              </w:rPr>
            </w:pPr>
            <w:r>
              <w:rPr>
                <w:noProof/>
              </w:rPr>
              <w:t>45</w:t>
            </w:r>
          </w:p>
        </w:tc>
        <w:tc>
          <w:tcPr>
            <w:tcW w:w="337" w:type="pct"/>
            <w:tcBorders>
              <w:top w:val="single" w:sz="4" w:space="0" w:color="auto"/>
              <w:left w:val="nil"/>
              <w:bottom w:val="single" w:sz="4" w:space="0" w:color="auto"/>
              <w:right w:val="single" w:sz="4" w:space="0" w:color="auto"/>
            </w:tcBorders>
            <w:shd w:val="clear" w:color="auto" w:fill="C6EFCE"/>
            <w:noWrap/>
          </w:tcPr>
          <w:p w14:paraId="14694D86" w14:textId="77777777" w:rsidR="003A3D51" w:rsidRDefault="0002775A">
            <w:pPr>
              <w:pStyle w:val="P68B1DB1-Normal7"/>
              <w:spacing w:after="200" w:line="276" w:lineRule="auto"/>
              <w:jc w:val="center"/>
              <w:rPr>
                <w:rFonts w:ascii="Times New Roman" w:hAnsi="Times New Roman" w:cs="Times New Roman"/>
                <w:noProof/>
              </w:rPr>
            </w:pPr>
            <w:r>
              <w:rPr>
                <w:noProof/>
              </w:rPr>
              <w:t>C1.2 R1-I2</w:t>
            </w:r>
          </w:p>
        </w:tc>
        <w:tc>
          <w:tcPr>
            <w:tcW w:w="296" w:type="pct"/>
            <w:tcBorders>
              <w:top w:val="single" w:sz="4" w:space="0" w:color="auto"/>
              <w:left w:val="nil"/>
              <w:bottom w:val="single" w:sz="4" w:space="0" w:color="auto"/>
              <w:right w:val="single" w:sz="4" w:space="0" w:color="auto"/>
            </w:tcBorders>
            <w:shd w:val="clear" w:color="auto" w:fill="C6EFCE"/>
            <w:noWrap/>
          </w:tcPr>
          <w:p w14:paraId="26CFD11E"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0D9631A9" w14:textId="77777777" w:rsidR="003A3D51" w:rsidRDefault="0002775A">
            <w:pPr>
              <w:pStyle w:val="P68B1DB1-Normal7"/>
              <w:spacing w:after="200" w:line="276" w:lineRule="auto"/>
              <w:rPr>
                <w:rFonts w:ascii="Times New Roman" w:hAnsi="Times New Roman" w:cs="Times New Roman"/>
                <w:noProof/>
              </w:rPr>
            </w:pPr>
            <w:r>
              <w:rPr>
                <w:noProof/>
              </w:rPr>
              <w:t>Regeringens antagande av ett energieffektivitetsprogram för utfasning av fossila bränslen i energisektorn</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55FBD7FE" w14:textId="77777777" w:rsidR="003A3D51" w:rsidRDefault="0002775A">
            <w:pPr>
              <w:pStyle w:val="P68B1DB1-Normal7"/>
              <w:spacing w:after="200" w:line="276" w:lineRule="auto"/>
              <w:rPr>
                <w:rFonts w:ascii="Times New Roman" w:hAnsi="Times New Roman" w:cs="Times New Roman"/>
                <w:noProof/>
              </w:rPr>
            </w:pPr>
            <w:r>
              <w:rPr>
                <w:noProof/>
              </w:rPr>
              <w:t>Ikraftträdande av energieffektivitetsprogrammet för utfasning av fossila bränslen i energisektorn, utarbetat av ministeriet för ekonomi och hållbar utveckling</w:t>
            </w:r>
          </w:p>
        </w:tc>
        <w:tc>
          <w:tcPr>
            <w:tcW w:w="227" w:type="pct"/>
            <w:tcBorders>
              <w:top w:val="single" w:sz="4" w:space="0" w:color="auto"/>
              <w:left w:val="nil"/>
              <w:bottom w:val="single" w:sz="4" w:space="0" w:color="auto"/>
              <w:right w:val="single" w:sz="4" w:space="0" w:color="auto"/>
            </w:tcBorders>
            <w:shd w:val="clear" w:color="auto" w:fill="C6EFCE"/>
            <w:noWrap/>
          </w:tcPr>
          <w:p w14:paraId="3999FC9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single" w:sz="4" w:space="0" w:color="auto"/>
              <w:left w:val="nil"/>
              <w:bottom w:val="single" w:sz="4" w:space="0" w:color="auto"/>
              <w:right w:val="single" w:sz="4" w:space="0" w:color="auto"/>
            </w:tcBorders>
            <w:shd w:val="clear" w:color="auto" w:fill="C6EFCE"/>
            <w:noWrap/>
          </w:tcPr>
          <w:p w14:paraId="637B49F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single" w:sz="4" w:space="0" w:color="auto"/>
              <w:left w:val="nil"/>
              <w:bottom w:val="single" w:sz="4" w:space="0" w:color="auto"/>
              <w:right w:val="single" w:sz="4" w:space="0" w:color="auto"/>
            </w:tcBorders>
            <w:shd w:val="clear" w:color="auto" w:fill="C6EFCE"/>
            <w:noWrap/>
          </w:tcPr>
          <w:p w14:paraId="0BD0D21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single" w:sz="4" w:space="0" w:color="auto"/>
              <w:left w:val="nil"/>
              <w:bottom w:val="single" w:sz="4" w:space="0" w:color="auto"/>
              <w:right w:val="single" w:sz="4" w:space="0" w:color="auto"/>
            </w:tcBorders>
            <w:shd w:val="clear" w:color="auto" w:fill="C6EFCE"/>
            <w:noWrap/>
          </w:tcPr>
          <w:p w14:paraId="6519460D"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2" w:type="pct"/>
            <w:tcBorders>
              <w:top w:val="single" w:sz="4" w:space="0" w:color="auto"/>
              <w:left w:val="nil"/>
              <w:bottom w:val="single" w:sz="4" w:space="0" w:color="auto"/>
              <w:right w:val="single" w:sz="4" w:space="0" w:color="auto"/>
            </w:tcBorders>
            <w:shd w:val="clear" w:color="auto" w:fill="C6EFCE"/>
            <w:noWrap/>
          </w:tcPr>
          <w:p w14:paraId="15A13E50"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036" w:type="pct"/>
            <w:tcBorders>
              <w:top w:val="single" w:sz="4" w:space="0" w:color="auto"/>
              <w:left w:val="nil"/>
              <w:bottom w:val="single" w:sz="4" w:space="0" w:color="auto"/>
              <w:right w:val="single" w:sz="4" w:space="0" w:color="auto"/>
            </w:tcBorders>
            <w:shd w:val="clear" w:color="auto" w:fill="C6EFCE"/>
            <w:noWrap/>
          </w:tcPr>
          <w:p w14:paraId="65E03184" w14:textId="77777777" w:rsidR="003A3D51" w:rsidRDefault="0002775A">
            <w:pPr>
              <w:pStyle w:val="P68B1DB1-Normal7"/>
              <w:spacing w:after="200" w:line="276" w:lineRule="auto"/>
              <w:rPr>
                <w:rFonts w:ascii="Times New Roman" w:hAnsi="Times New Roman" w:cs="Times New Roman"/>
                <w:noProof/>
              </w:rPr>
            </w:pPr>
            <w:r>
              <w:rPr>
                <w:noProof/>
              </w:rPr>
              <w:t xml:space="preserve">Energieffektivitetsprogrammet ska definiera områden för investeringar i energieffektivitet och fjärrvärmesystem, inbegripet investeringsprioriteringar fram till 2030. Investeringsplaneringen ska omfatta modernisering av fjärrvärmesystem och energiintensiva industrier, med fokus på energieffektivitet och potential för förnybar energi. </w:t>
            </w:r>
            <w:r>
              <w:rPr>
                <w:noProof/>
              </w:rPr>
              <w:br/>
              <w:t>Programmet kommer att anpassas till den planerade uppdateringen av den nationella energi- och klimatplanen, som kommer att ange ett högre mål för andelen förnybar energi inom värme- och kylsektorn, inbegripet särskilda åtgärder.</w:t>
            </w:r>
          </w:p>
        </w:tc>
      </w:tr>
      <w:tr w:rsidR="003A3D51" w14:paraId="2E63A943"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61AB8A8D" w14:textId="77777777" w:rsidR="003A3D51" w:rsidRDefault="0002775A">
            <w:pPr>
              <w:pStyle w:val="P68B1DB1-Normal7"/>
              <w:spacing w:after="200" w:line="276" w:lineRule="auto"/>
              <w:jc w:val="center"/>
              <w:rPr>
                <w:rFonts w:ascii="Times New Roman" w:hAnsi="Times New Roman" w:cs="Times New Roman"/>
                <w:noProof/>
              </w:rPr>
            </w:pPr>
            <w:r>
              <w:rPr>
                <w:noProof/>
              </w:rPr>
              <w:t>46</w:t>
            </w:r>
          </w:p>
        </w:tc>
        <w:tc>
          <w:tcPr>
            <w:tcW w:w="337" w:type="pct"/>
            <w:tcBorders>
              <w:top w:val="single" w:sz="4" w:space="0" w:color="auto"/>
              <w:left w:val="nil"/>
              <w:bottom w:val="single" w:sz="4" w:space="0" w:color="auto"/>
              <w:right w:val="single" w:sz="4" w:space="0" w:color="auto"/>
            </w:tcBorders>
            <w:shd w:val="clear" w:color="auto" w:fill="C6EFCE"/>
            <w:noWrap/>
          </w:tcPr>
          <w:p w14:paraId="0CEF1EB7" w14:textId="77777777" w:rsidR="003A3D51" w:rsidRDefault="0002775A">
            <w:pPr>
              <w:pStyle w:val="P68B1DB1-Normal7"/>
              <w:spacing w:after="200" w:line="276" w:lineRule="auto"/>
              <w:jc w:val="center"/>
              <w:rPr>
                <w:rFonts w:ascii="Times New Roman" w:hAnsi="Times New Roman" w:cs="Times New Roman"/>
                <w:noProof/>
              </w:rPr>
            </w:pPr>
            <w:r>
              <w:rPr>
                <w:noProof/>
              </w:rPr>
              <w:t>C1.2 R1-I2</w:t>
            </w:r>
          </w:p>
        </w:tc>
        <w:tc>
          <w:tcPr>
            <w:tcW w:w="296" w:type="pct"/>
            <w:tcBorders>
              <w:top w:val="single" w:sz="4" w:space="0" w:color="auto"/>
              <w:left w:val="nil"/>
              <w:bottom w:val="single" w:sz="4" w:space="0" w:color="auto"/>
              <w:right w:val="single" w:sz="4" w:space="0" w:color="auto"/>
            </w:tcBorders>
            <w:shd w:val="clear" w:color="auto" w:fill="C6EFCE"/>
            <w:noWrap/>
          </w:tcPr>
          <w:p w14:paraId="4C79FDA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7F044807" w14:textId="77777777" w:rsidR="003A3D51" w:rsidRDefault="0002775A">
            <w:pPr>
              <w:pStyle w:val="P68B1DB1-Normal7"/>
              <w:spacing w:after="200" w:line="276" w:lineRule="auto"/>
              <w:rPr>
                <w:rFonts w:ascii="Times New Roman" w:hAnsi="Times New Roman" w:cs="Times New Roman"/>
                <w:noProof/>
              </w:rPr>
            </w:pPr>
            <w:r>
              <w:rPr>
                <w:noProof/>
              </w:rPr>
              <w:t>Antal företag som får stöd för energieffektivitet och användning av förnybar energi i industrin</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624C315F"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227" w:type="pct"/>
            <w:tcBorders>
              <w:top w:val="single" w:sz="4" w:space="0" w:color="auto"/>
              <w:left w:val="nil"/>
              <w:bottom w:val="single" w:sz="4" w:space="0" w:color="auto"/>
              <w:right w:val="single" w:sz="4" w:space="0" w:color="auto"/>
            </w:tcBorders>
            <w:shd w:val="clear" w:color="auto" w:fill="C6EFCE"/>
            <w:noWrap/>
          </w:tcPr>
          <w:p w14:paraId="200EFB08"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79C11C7F"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006F35FE" w14:textId="77777777" w:rsidR="003A3D51" w:rsidRDefault="0002775A">
            <w:pPr>
              <w:pStyle w:val="P68B1DB1-Normal7"/>
              <w:spacing w:after="200" w:line="276" w:lineRule="auto"/>
              <w:jc w:val="center"/>
              <w:rPr>
                <w:rFonts w:ascii="Times New Roman" w:hAnsi="Times New Roman" w:cs="Times New Roman"/>
                <w:noProof/>
              </w:rPr>
            </w:pPr>
            <w:r>
              <w:rPr>
                <w:noProof/>
              </w:rPr>
              <w:t>50</w:t>
            </w:r>
          </w:p>
        </w:tc>
        <w:tc>
          <w:tcPr>
            <w:tcW w:w="355" w:type="pct"/>
            <w:tcBorders>
              <w:top w:val="single" w:sz="4" w:space="0" w:color="auto"/>
              <w:left w:val="nil"/>
              <w:bottom w:val="single" w:sz="4" w:space="0" w:color="auto"/>
              <w:right w:val="single" w:sz="4" w:space="0" w:color="auto"/>
            </w:tcBorders>
            <w:shd w:val="clear" w:color="auto" w:fill="C6EFCE"/>
            <w:noWrap/>
          </w:tcPr>
          <w:p w14:paraId="4576FC8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single" w:sz="4" w:space="0" w:color="auto"/>
              <w:left w:val="nil"/>
              <w:bottom w:val="single" w:sz="4" w:space="0" w:color="auto"/>
              <w:right w:val="single" w:sz="4" w:space="0" w:color="auto"/>
            </w:tcBorders>
            <w:shd w:val="clear" w:color="auto" w:fill="C6EFCE"/>
            <w:noWrap/>
          </w:tcPr>
          <w:p w14:paraId="00C1D9A7"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036" w:type="pct"/>
            <w:tcBorders>
              <w:top w:val="single" w:sz="4" w:space="0" w:color="auto"/>
              <w:left w:val="nil"/>
              <w:bottom w:val="single" w:sz="4" w:space="0" w:color="auto"/>
              <w:right w:val="single" w:sz="4" w:space="0" w:color="auto"/>
            </w:tcBorders>
            <w:shd w:val="clear" w:color="auto" w:fill="C6EFCE"/>
            <w:noWrap/>
          </w:tcPr>
          <w:p w14:paraId="27C7931E" w14:textId="77777777" w:rsidR="003A3D51" w:rsidRDefault="0002775A">
            <w:pPr>
              <w:pStyle w:val="P68B1DB1-Normal7"/>
              <w:spacing w:after="200" w:line="276" w:lineRule="auto"/>
              <w:rPr>
                <w:rFonts w:ascii="Times New Roman" w:hAnsi="Times New Roman" w:cs="Times New Roman"/>
                <w:noProof/>
              </w:rPr>
            </w:pPr>
            <w:r>
              <w:rPr>
                <w:noProof/>
              </w:rPr>
              <w:t>50 kontrakt tilldelades de stödmottagande företagen efter en offentlig upphandling för att stödja förnybara energikällor och energieffektivitetsåtgärder i små, medelstora och stora företag.</w:t>
            </w:r>
            <w:r>
              <w:rPr>
                <w:noProof/>
              </w:rPr>
              <w:br/>
              <w:t xml:space="preserve">Kontrakten ska innehålla åtgärder för att förbättra produktionsprocesserna i tillverkningsindustrin och motsvara interventionsområdena för klimatspårning [024 – Energieffektivitet och demonstrationsprojekt i små och medelstora företag och stödåtgärder och 024a – Energieffektivitet och demonstrationsprojekt i stora företag och stödåtgärder] i bilaga VI/VII] och ska respektera den tekniska vägledningen om att inte orsaka betydande skada (2021/C58/01). </w:t>
            </w:r>
            <w:r>
              <w:rPr>
                <w:noProof/>
              </w:rPr>
              <w:br/>
              <w:t>I synnerhet ska genomförandet av åtgärder för energieffektivitet och/eller förnybar energi leda till en minskning av energiförbrukningen i produktionsanläggningar med minst 20 %. Vid energirenovering av byggnader som åtföljer produktionsanläggningen och som uteslutande är kopplade till industri- eller produktionsprocesser ska genomförandet av åtgärder leda till en minskning av energiförbrukningen med minst 40 %.</w:t>
            </w:r>
            <w:r>
              <w:rPr>
                <w:noProof/>
              </w:rPr>
              <w:br/>
              <w:t>För att säkerställa att åtgärden är förenlig med den tekniska vägledningen om att inte orsaka betydande skada (2021/C58/01) ska förteckningen över verksamheter undantas från de åtgärder som föreskrivs i avtalen: i) Verksamhet som rör fossila bränslen, inbegripet användning i senare led [1]. II) Verksamhet inom ramen för EU:s utsläppshandelssystem som uppnår beräknade växthusgasutsläpp som inte är lägre än de relevanta riktmärkena [2]. III) Verksamhet i samband med avfallsdeponier, förbränningsanläggningar [3] och anläggningar för mekanisk biologisk behandling [4]. och iv) Verksamheter där den långsiktig avfallshanteringen kan skada miljön. Uppdragsbeskrivningen ska dessutom innehålla krav på att endast verksamheter som är förenliga med relevant EU-lagstiftning och nationell miljölagstiftning får anges i kontrakten.</w:t>
            </w:r>
          </w:p>
        </w:tc>
      </w:tr>
      <w:tr w:rsidR="003A3D51" w14:paraId="27BEA9B4"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406139A2" w14:textId="77777777" w:rsidR="003A3D51" w:rsidRDefault="0002775A">
            <w:pPr>
              <w:pStyle w:val="P68B1DB1-Normal7"/>
              <w:spacing w:after="200" w:line="276" w:lineRule="auto"/>
              <w:jc w:val="center"/>
              <w:rPr>
                <w:rFonts w:ascii="Times New Roman" w:hAnsi="Times New Roman" w:cs="Times New Roman"/>
                <w:noProof/>
              </w:rPr>
            </w:pPr>
            <w:r>
              <w:rPr>
                <w:noProof/>
              </w:rPr>
              <w:t>47</w:t>
            </w:r>
          </w:p>
        </w:tc>
        <w:tc>
          <w:tcPr>
            <w:tcW w:w="337" w:type="pct"/>
            <w:tcBorders>
              <w:top w:val="single" w:sz="4" w:space="0" w:color="auto"/>
              <w:left w:val="nil"/>
              <w:bottom w:val="single" w:sz="4" w:space="0" w:color="auto"/>
              <w:right w:val="single" w:sz="4" w:space="0" w:color="auto"/>
            </w:tcBorders>
            <w:shd w:val="clear" w:color="auto" w:fill="C6EFCE"/>
            <w:noWrap/>
          </w:tcPr>
          <w:p w14:paraId="6CECC637" w14:textId="77777777" w:rsidR="003A3D51" w:rsidRDefault="0002775A">
            <w:pPr>
              <w:pStyle w:val="P68B1DB1-Normal7"/>
              <w:spacing w:after="200" w:line="276" w:lineRule="auto"/>
              <w:jc w:val="center"/>
              <w:rPr>
                <w:rFonts w:ascii="Times New Roman" w:hAnsi="Times New Roman" w:cs="Times New Roman"/>
                <w:noProof/>
              </w:rPr>
            </w:pPr>
            <w:r>
              <w:rPr>
                <w:noProof/>
              </w:rPr>
              <w:t>C1.2 R1-I2</w:t>
            </w:r>
          </w:p>
        </w:tc>
        <w:tc>
          <w:tcPr>
            <w:tcW w:w="296" w:type="pct"/>
            <w:tcBorders>
              <w:top w:val="single" w:sz="4" w:space="0" w:color="auto"/>
              <w:left w:val="nil"/>
              <w:bottom w:val="single" w:sz="4" w:space="0" w:color="auto"/>
              <w:right w:val="single" w:sz="4" w:space="0" w:color="auto"/>
            </w:tcBorders>
            <w:shd w:val="clear" w:color="auto" w:fill="C6EFCE"/>
            <w:noWrap/>
          </w:tcPr>
          <w:p w14:paraId="527D23B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02" w:type="pct"/>
            <w:tcBorders>
              <w:top w:val="single" w:sz="4" w:space="0" w:color="auto"/>
              <w:left w:val="nil"/>
              <w:bottom w:val="single" w:sz="4" w:space="0" w:color="auto"/>
              <w:right w:val="single" w:sz="4" w:space="0" w:color="auto"/>
            </w:tcBorders>
            <w:shd w:val="clear" w:color="auto" w:fill="C6EFCE"/>
            <w:noWrap/>
          </w:tcPr>
          <w:p w14:paraId="25D00783" w14:textId="77777777" w:rsidR="003A3D51" w:rsidRDefault="0002775A">
            <w:pPr>
              <w:pStyle w:val="P68B1DB1-Normal7"/>
              <w:spacing w:after="200" w:line="276" w:lineRule="auto"/>
              <w:rPr>
                <w:rFonts w:ascii="Times New Roman" w:hAnsi="Times New Roman" w:cs="Times New Roman"/>
                <w:noProof/>
              </w:rPr>
            </w:pPr>
            <w:r>
              <w:rPr>
                <w:noProof/>
              </w:rPr>
              <w:t>Undertecknade kontrakt för undersökning av geotermisk potential i fjärrvärme</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38BCF2E0"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227" w:type="pct"/>
            <w:tcBorders>
              <w:top w:val="single" w:sz="4" w:space="0" w:color="auto"/>
              <w:left w:val="nil"/>
              <w:bottom w:val="single" w:sz="4" w:space="0" w:color="auto"/>
              <w:right w:val="single" w:sz="4" w:space="0" w:color="auto"/>
            </w:tcBorders>
            <w:shd w:val="clear" w:color="auto" w:fill="C6EFCE"/>
            <w:noWrap/>
          </w:tcPr>
          <w:p w14:paraId="43BE3D6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409" w:type="pct"/>
            <w:tcBorders>
              <w:top w:val="single" w:sz="4" w:space="0" w:color="auto"/>
              <w:left w:val="nil"/>
              <w:bottom w:val="single" w:sz="4" w:space="0" w:color="auto"/>
              <w:right w:val="single" w:sz="4" w:space="0" w:color="auto"/>
            </w:tcBorders>
            <w:shd w:val="clear" w:color="auto" w:fill="C6EFCE"/>
            <w:noWrap/>
          </w:tcPr>
          <w:p w14:paraId="7445D9C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90" w:type="pct"/>
            <w:tcBorders>
              <w:top w:val="single" w:sz="4" w:space="0" w:color="auto"/>
              <w:left w:val="nil"/>
              <w:bottom w:val="single" w:sz="4" w:space="0" w:color="auto"/>
              <w:right w:val="single" w:sz="4" w:space="0" w:color="auto"/>
            </w:tcBorders>
            <w:shd w:val="clear" w:color="auto" w:fill="C6EFCE"/>
            <w:noWrap/>
          </w:tcPr>
          <w:p w14:paraId="36C086D4" w14:textId="77777777" w:rsidR="003A3D51" w:rsidRDefault="0002775A">
            <w:pPr>
              <w:pStyle w:val="P68B1DB1-Normal7"/>
              <w:spacing w:after="200" w:line="276" w:lineRule="auto"/>
              <w:jc w:val="center"/>
              <w:rPr>
                <w:rFonts w:ascii="Times New Roman" w:hAnsi="Times New Roman" w:cs="Times New Roman"/>
                <w:noProof/>
              </w:rPr>
            </w:pPr>
            <w:r>
              <w:rPr>
                <w:noProof/>
              </w:rPr>
              <w:t>8</w:t>
            </w:r>
          </w:p>
        </w:tc>
        <w:tc>
          <w:tcPr>
            <w:tcW w:w="355" w:type="pct"/>
            <w:tcBorders>
              <w:top w:val="single" w:sz="4" w:space="0" w:color="auto"/>
              <w:left w:val="nil"/>
              <w:bottom w:val="single" w:sz="4" w:space="0" w:color="auto"/>
              <w:right w:val="single" w:sz="4" w:space="0" w:color="auto"/>
            </w:tcBorders>
            <w:shd w:val="clear" w:color="auto" w:fill="C6EFCE"/>
            <w:noWrap/>
          </w:tcPr>
          <w:p w14:paraId="13013D46"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single" w:sz="4" w:space="0" w:color="auto"/>
              <w:left w:val="nil"/>
              <w:bottom w:val="single" w:sz="4" w:space="0" w:color="auto"/>
              <w:right w:val="single" w:sz="4" w:space="0" w:color="auto"/>
            </w:tcBorders>
            <w:shd w:val="clear" w:color="auto" w:fill="C6EFCE"/>
            <w:noWrap/>
          </w:tcPr>
          <w:p w14:paraId="31985A22"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036" w:type="pct"/>
            <w:tcBorders>
              <w:top w:val="single" w:sz="4" w:space="0" w:color="auto"/>
              <w:left w:val="nil"/>
              <w:bottom w:val="single" w:sz="4" w:space="0" w:color="auto"/>
              <w:right w:val="single" w:sz="4" w:space="0" w:color="auto"/>
            </w:tcBorders>
            <w:shd w:val="clear" w:color="auto" w:fill="C6EFCE"/>
            <w:noWrap/>
          </w:tcPr>
          <w:p w14:paraId="3CC68A91" w14:textId="77777777" w:rsidR="003A3D51" w:rsidRDefault="0002775A">
            <w:pPr>
              <w:pStyle w:val="P68B1DB1-Normal7"/>
              <w:spacing w:after="200" w:line="276" w:lineRule="auto"/>
              <w:rPr>
                <w:rFonts w:ascii="Times New Roman" w:hAnsi="Times New Roman" w:cs="Times New Roman"/>
                <w:noProof/>
              </w:rPr>
            </w:pPr>
            <w:r>
              <w:rPr>
                <w:noProof/>
              </w:rPr>
              <w:t xml:space="preserve">Efter en offentlig upphandling kommer minst åtta byggentreprenadkontrakt att undertecknas för att undersöka potentialen för geotermisk energi i fjärrvärme. </w:t>
            </w:r>
            <w:r>
              <w:rPr>
                <w:noProof/>
              </w:rPr>
              <w:br/>
              <w:t xml:space="preserve">På grundval av den inledande bedömningen av nio platser som ska utarbetas av Kroatiens kolvätebyrå ska ministeriet för ekonomi och hållbar utveckling inleda en öppen anbudsinfordran för sex platser för prospektering av geotermiska vatten för fjärrvärmeändamål. Upphandlingen kommer att omfatta sex kontrakt, förberedande arbete för genomförandet av sex geotermiska projekt, inklusive analyser av det område där den geotermiska potentialen är belägen, med undantag för områden med oljepotential, och deras införande i fysiska planer, utarbetande av en strategisk miljökonsekvensstudie av geotermisk verksamhet i den kroatiska delen av pannoniska bäckenet, geotermisk verksamhet som syftar till att utvärdera potentialen i avgränsade områden genom geofysiska undersökningar. Ytterligare två kontrakt kommer att undertecknas för borrningsarbeten i geotermiska brunnar (borrning av en geotermisk brunn för prospektering på var och en av de sex utvalda platserna). </w:t>
            </w:r>
            <w:r>
              <w:rPr>
                <w:noProof/>
              </w:rPr>
              <w:br/>
              <w:t xml:space="preserve">Denna åtgärd förväntas inte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 All verksamhet ska uppfylla kraven i EU:s vattenlagstiftning såsom den införlivats i kroatisk lagstiftning. </w:t>
            </w:r>
            <w:r>
              <w:rPr>
                <w:noProof/>
              </w:rPr>
              <w:br/>
              <w:t xml:space="preserve">Projektet kommer inte att omfatta någon prospektering eller utvinning av vare sig olja eller gas. Det får inte finnas någon utrustning som köps in eller används för sådana ändamål. </w:t>
            </w:r>
            <w:r>
              <w:rPr>
                <w:noProof/>
              </w:rPr>
              <w:br/>
              <w:t xml:space="preserve">Det ska säkerställas att det inte förekommer några metanutsläpp. Det ska också säkerställas att geotermisk borrning inte skulle ha någon skadlig inverkan på vattenbristen och vattenkvaliteten. </w:t>
            </w:r>
            <w:r>
              <w:rPr>
                <w:noProof/>
              </w:rPr>
              <w:br/>
              <w:t>Denna åtgärd omfattar inte stöd till fjärrvärmesystem som använder fossila energikällor eller några investeringar i anläggningar som omfattas av EU:s utsläppshandelssystem.</w:t>
            </w:r>
          </w:p>
        </w:tc>
      </w:tr>
      <w:tr w:rsidR="003A3D51" w14:paraId="006E552B"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58812DBD" w14:textId="77777777" w:rsidR="003A3D51" w:rsidRDefault="0002775A">
            <w:pPr>
              <w:pStyle w:val="P68B1DB1-Normal7"/>
              <w:spacing w:after="200" w:line="276" w:lineRule="auto"/>
              <w:jc w:val="center"/>
              <w:rPr>
                <w:rFonts w:ascii="Times New Roman" w:hAnsi="Times New Roman" w:cs="Times New Roman"/>
                <w:noProof/>
              </w:rPr>
            </w:pPr>
            <w:r>
              <w:rPr>
                <w:noProof/>
              </w:rPr>
              <w:t>48</w:t>
            </w:r>
          </w:p>
        </w:tc>
        <w:tc>
          <w:tcPr>
            <w:tcW w:w="337" w:type="pct"/>
            <w:tcBorders>
              <w:top w:val="single" w:sz="4" w:space="0" w:color="auto"/>
              <w:left w:val="nil"/>
              <w:bottom w:val="single" w:sz="4" w:space="0" w:color="auto"/>
              <w:right w:val="single" w:sz="4" w:space="0" w:color="auto"/>
            </w:tcBorders>
            <w:shd w:val="clear" w:color="auto" w:fill="C6EFCE"/>
            <w:noWrap/>
          </w:tcPr>
          <w:p w14:paraId="6EC49335" w14:textId="77777777" w:rsidR="003A3D51" w:rsidRDefault="0002775A">
            <w:pPr>
              <w:pStyle w:val="P68B1DB1-Normal7"/>
              <w:spacing w:after="200" w:line="276" w:lineRule="auto"/>
              <w:jc w:val="center"/>
              <w:rPr>
                <w:rFonts w:ascii="Times New Roman" w:hAnsi="Times New Roman" w:cs="Times New Roman"/>
                <w:noProof/>
              </w:rPr>
            </w:pPr>
            <w:r>
              <w:rPr>
                <w:noProof/>
              </w:rPr>
              <w:t>C1.2 R1-I2</w:t>
            </w:r>
          </w:p>
        </w:tc>
        <w:tc>
          <w:tcPr>
            <w:tcW w:w="296" w:type="pct"/>
            <w:tcBorders>
              <w:top w:val="single" w:sz="4" w:space="0" w:color="auto"/>
              <w:left w:val="nil"/>
              <w:bottom w:val="single" w:sz="4" w:space="0" w:color="auto"/>
              <w:right w:val="single" w:sz="4" w:space="0" w:color="auto"/>
            </w:tcBorders>
            <w:shd w:val="clear" w:color="auto" w:fill="C6EFCE"/>
            <w:noWrap/>
          </w:tcPr>
          <w:p w14:paraId="06505982"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53869070" w14:textId="77777777" w:rsidR="003A3D51" w:rsidRDefault="0002775A">
            <w:pPr>
              <w:pStyle w:val="P68B1DB1-Normal7"/>
              <w:spacing w:after="200" w:line="276" w:lineRule="auto"/>
              <w:rPr>
                <w:rFonts w:ascii="Times New Roman" w:hAnsi="Times New Roman" w:cs="Times New Roman"/>
                <w:noProof/>
              </w:rPr>
            </w:pPr>
            <w:r>
              <w:rPr>
                <w:noProof/>
              </w:rPr>
              <w:t xml:space="preserve">Resultaten av geotermisk potential för fjärrvärme offentliggörs </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6C600C13" w14:textId="77777777" w:rsidR="003A3D51" w:rsidRDefault="0002775A">
            <w:pPr>
              <w:pStyle w:val="P68B1DB1-Normal7"/>
              <w:spacing w:after="200" w:line="276" w:lineRule="auto"/>
              <w:rPr>
                <w:rFonts w:ascii="Times New Roman" w:hAnsi="Times New Roman" w:cs="Times New Roman"/>
                <w:noProof/>
              </w:rPr>
            </w:pPr>
            <w:r>
              <w:rPr>
                <w:noProof/>
              </w:rPr>
              <w:t>Resultaten offentliggörs på den kroatiska kolvätemyndighetens webbplats</w:t>
            </w:r>
          </w:p>
        </w:tc>
        <w:tc>
          <w:tcPr>
            <w:tcW w:w="227" w:type="pct"/>
            <w:tcBorders>
              <w:top w:val="single" w:sz="4" w:space="0" w:color="auto"/>
              <w:left w:val="nil"/>
              <w:bottom w:val="single" w:sz="4" w:space="0" w:color="auto"/>
              <w:right w:val="single" w:sz="4" w:space="0" w:color="auto"/>
            </w:tcBorders>
            <w:shd w:val="clear" w:color="auto" w:fill="C6EFCE"/>
            <w:noWrap/>
          </w:tcPr>
          <w:p w14:paraId="3BBC2A9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single" w:sz="4" w:space="0" w:color="auto"/>
              <w:left w:val="nil"/>
              <w:bottom w:val="single" w:sz="4" w:space="0" w:color="auto"/>
              <w:right w:val="single" w:sz="4" w:space="0" w:color="auto"/>
            </w:tcBorders>
            <w:shd w:val="clear" w:color="auto" w:fill="C6EFCE"/>
            <w:noWrap/>
          </w:tcPr>
          <w:p w14:paraId="3CBBB0A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single" w:sz="4" w:space="0" w:color="auto"/>
              <w:left w:val="nil"/>
              <w:bottom w:val="single" w:sz="4" w:space="0" w:color="auto"/>
              <w:right w:val="single" w:sz="4" w:space="0" w:color="auto"/>
            </w:tcBorders>
            <w:shd w:val="clear" w:color="auto" w:fill="C6EFCE"/>
            <w:noWrap/>
          </w:tcPr>
          <w:p w14:paraId="0775254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single" w:sz="4" w:space="0" w:color="auto"/>
              <w:left w:val="nil"/>
              <w:bottom w:val="single" w:sz="4" w:space="0" w:color="auto"/>
              <w:right w:val="single" w:sz="4" w:space="0" w:color="auto"/>
            </w:tcBorders>
            <w:shd w:val="clear" w:color="auto" w:fill="C6EFCE"/>
            <w:noWrap/>
          </w:tcPr>
          <w:p w14:paraId="3422EAA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2" w:type="pct"/>
            <w:tcBorders>
              <w:top w:val="single" w:sz="4" w:space="0" w:color="auto"/>
              <w:left w:val="nil"/>
              <w:bottom w:val="single" w:sz="4" w:space="0" w:color="auto"/>
              <w:right w:val="single" w:sz="4" w:space="0" w:color="auto"/>
            </w:tcBorders>
            <w:shd w:val="clear" w:color="auto" w:fill="C6EFCE"/>
            <w:noWrap/>
          </w:tcPr>
          <w:p w14:paraId="3A900F49"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036" w:type="pct"/>
            <w:tcBorders>
              <w:top w:val="single" w:sz="4" w:space="0" w:color="auto"/>
              <w:left w:val="nil"/>
              <w:bottom w:val="single" w:sz="4" w:space="0" w:color="auto"/>
              <w:right w:val="single" w:sz="4" w:space="0" w:color="auto"/>
            </w:tcBorders>
            <w:shd w:val="clear" w:color="auto" w:fill="C6EFCE"/>
            <w:noWrap/>
          </w:tcPr>
          <w:p w14:paraId="43A73378" w14:textId="77777777" w:rsidR="003A3D51" w:rsidRDefault="0002775A">
            <w:pPr>
              <w:pStyle w:val="P68B1DB1-Normal7"/>
              <w:spacing w:after="200" w:line="276" w:lineRule="auto"/>
              <w:rPr>
                <w:rFonts w:ascii="Times New Roman" w:hAnsi="Times New Roman" w:cs="Times New Roman"/>
                <w:noProof/>
              </w:rPr>
            </w:pPr>
            <w:r>
              <w:rPr>
                <w:noProof/>
              </w:rPr>
              <w:t xml:space="preserve">Resultaten av undersökningsverksamheten ska offentliggöras på kolvätemyndighetens webbplats. All relevant dokumentation och alla relevanta analyser kommer att delas med de stödmottagande kommunerna. </w:t>
            </w:r>
          </w:p>
        </w:tc>
      </w:tr>
      <w:tr w:rsidR="003A3D51" w14:paraId="3AB58B34"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23C60C8B" w14:textId="77777777" w:rsidR="003A3D51" w:rsidRDefault="0002775A">
            <w:pPr>
              <w:pStyle w:val="P68B1DB1-Normal7"/>
              <w:spacing w:after="200" w:line="276" w:lineRule="auto"/>
              <w:jc w:val="center"/>
              <w:rPr>
                <w:rFonts w:ascii="Times New Roman" w:hAnsi="Times New Roman" w:cs="Times New Roman"/>
                <w:noProof/>
              </w:rPr>
            </w:pPr>
            <w:r>
              <w:rPr>
                <w:noProof/>
              </w:rPr>
              <w:t>49</w:t>
            </w:r>
          </w:p>
        </w:tc>
        <w:tc>
          <w:tcPr>
            <w:tcW w:w="337" w:type="pct"/>
            <w:tcBorders>
              <w:top w:val="single" w:sz="4" w:space="0" w:color="auto"/>
              <w:left w:val="nil"/>
              <w:bottom w:val="single" w:sz="4" w:space="0" w:color="auto"/>
              <w:right w:val="single" w:sz="4" w:space="0" w:color="auto"/>
            </w:tcBorders>
            <w:shd w:val="clear" w:color="auto" w:fill="C6EFCE"/>
            <w:noWrap/>
          </w:tcPr>
          <w:p w14:paraId="7FDBF3A1" w14:textId="77777777" w:rsidR="003A3D51" w:rsidRDefault="0002775A">
            <w:pPr>
              <w:pStyle w:val="P68B1DB1-Normal7"/>
              <w:spacing w:after="200" w:line="276" w:lineRule="auto"/>
              <w:jc w:val="center"/>
              <w:rPr>
                <w:rFonts w:ascii="Times New Roman" w:hAnsi="Times New Roman" w:cs="Times New Roman"/>
                <w:noProof/>
              </w:rPr>
            </w:pPr>
            <w:r>
              <w:rPr>
                <w:noProof/>
              </w:rPr>
              <w:t>C1.2 R1-I3</w:t>
            </w:r>
          </w:p>
        </w:tc>
        <w:tc>
          <w:tcPr>
            <w:tcW w:w="296" w:type="pct"/>
            <w:tcBorders>
              <w:top w:val="single" w:sz="4" w:space="0" w:color="auto"/>
              <w:left w:val="nil"/>
              <w:bottom w:val="single" w:sz="4" w:space="0" w:color="auto"/>
              <w:right w:val="single" w:sz="4" w:space="0" w:color="auto"/>
            </w:tcBorders>
            <w:shd w:val="clear" w:color="auto" w:fill="C6EFCE"/>
            <w:noWrap/>
          </w:tcPr>
          <w:p w14:paraId="341E699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0DC60FCA" w14:textId="77777777" w:rsidR="003A3D51" w:rsidRDefault="0002775A">
            <w:pPr>
              <w:pStyle w:val="P68B1DB1-Normal7"/>
              <w:spacing w:after="200" w:line="276" w:lineRule="auto"/>
              <w:rPr>
                <w:rFonts w:ascii="Times New Roman" w:hAnsi="Times New Roman" w:cs="Times New Roman"/>
                <w:noProof/>
              </w:rPr>
            </w:pPr>
            <w:r>
              <w:rPr>
                <w:noProof/>
              </w:rPr>
              <w:t>Lagen om alternativa transportbränslen träder i kraft</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02587FDE" w14:textId="77777777" w:rsidR="003A3D51" w:rsidRDefault="0002775A">
            <w:pPr>
              <w:pStyle w:val="P68B1DB1-Normal7"/>
              <w:spacing w:after="200" w:line="276" w:lineRule="auto"/>
              <w:rPr>
                <w:rFonts w:ascii="Times New Roman" w:hAnsi="Times New Roman" w:cs="Times New Roman"/>
                <w:noProof/>
              </w:rPr>
            </w:pPr>
            <w:r>
              <w:rPr>
                <w:noProof/>
              </w:rPr>
              <w:t xml:space="preserve">Lagen om alternativa bränslen för transport träder i kraft </w:t>
            </w:r>
          </w:p>
        </w:tc>
        <w:tc>
          <w:tcPr>
            <w:tcW w:w="227" w:type="pct"/>
            <w:tcBorders>
              <w:top w:val="single" w:sz="4" w:space="0" w:color="auto"/>
              <w:left w:val="nil"/>
              <w:bottom w:val="single" w:sz="4" w:space="0" w:color="auto"/>
              <w:right w:val="single" w:sz="4" w:space="0" w:color="auto"/>
            </w:tcBorders>
            <w:shd w:val="clear" w:color="auto" w:fill="C6EFCE"/>
            <w:noWrap/>
          </w:tcPr>
          <w:p w14:paraId="182E261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single" w:sz="4" w:space="0" w:color="auto"/>
              <w:left w:val="nil"/>
              <w:bottom w:val="single" w:sz="4" w:space="0" w:color="auto"/>
              <w:right w:val="single" w:sz="4" w:space="0" w:color="auto"/>
            </w:tcBorders>
            <w:shd w:val="clear" w:color="auto" w:fill="C6EFCE"/>
            <w:noWrap/>
          </w:tcPr>
          <w:p w14:paraId="3D77196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single" w:sz="4" w:space="0" w:color="auto"/>
              <w:left w:val="nil"/>
              <w:bottom w:val="single" w:sz="4" w:space="0" w:color="auto"/>
              <w:right w:val="single" w:sz="4" w:space="0" w:color="auto"/>
            </w:tcBorders>
            <w:shd w:val="clear" w:color="auto" w:fill="C6EFCE"/>
            <w:noWrap/>
          </w:tcPr>
          <w:p w14:paraId="1D16F40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single" w:sz="4" w:space="0" w:color="auto"/>
              <w:left w:val="nil"/>
              <w:bottom w:val="single" w:sz="4" w:space="0" w:color="auto"/>
              <w:right w:val="single" w:sz="4" w:space="0" w:color="auto"/>
            </w:tcBorders>
            <w:shd w:val="clear" w:color="auto" w:fill="C6EFCE"/>
            <w:noWrap/>
          </w:tcPr>
          <w:p w14:paraId="149CF921"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2" w:type="pct"/>
            <w:tcBorders>
              <w:top w:val="single" w:sz="4" w:space="0" w:color="auto"/>
              <w:left w:val="nil"/>
              <w:bottom w:val="single" w:sz="4" w:space="0" w:color="auto"/>
              <w:right w:val="single" w:sz="4" w:space="0" w:color="auto"/>
            </w:tcBorders>
            <w:shd w:val="clear" w:color="auto" w:fill="C6EFCE"/>
            <w:noWrap/>
          </w:tcPr>
          <w:p w14:paraId="650E2421"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036" w:type="pct"/>
            <w:tcBorders>
              <w:top w:val="single" w:sz="4" w:space="0" w:color="auto"/>
              <w:left w:val="nil"/>
              <w:bottom w:val="single" w:sz="4" w:space="0" w:color="auto"/>
              <w:right w:val="single" w:sz="4" w:space="0" w:color="auto"/>
            </w:tcBorders>
            <w:shd w:val="clear" w:color="auto" w:fill="C6EFCE"/>
            <w:noWrap/>
          </w:tcPr>
          <w:p w14:paraId="6A8CE838" w14:textId="77777777" w:rsidR="003A3D51" w:rsidRDefault="0002775A">
            <w:pPr>
              <w:pStyle w:val="P68B1DB1-Normal7"/>
              <w:spacing w:after="200" w:line="276" w:lineRule="auto"/>
              <w:rPr>
                <w:rFonts w:ascii="Times New Roman" w:hAnsi="Times New Roman" w:cs="Times New Roman"/>
                <w:noProof/>
              </w:rPr>
            </w:pPr>
            <w:r>
              <w:rPr>
                <w:noProof/>
              </w:rPr>
              <w:t>Genom 3Q/2021 trädde lagen om alternativa transportbränslen i kraft och i linje med EU:s regelverk. Lagen ska främja produktion och användning av avancerade biodrivmedel/vätgas inom transportsektorn.</w:t>
            </w:r>
          </w:p>
        </w:tc>
      </w:tr>
      <w:tr w:rsidR="003A3D51" w14:paraId="109DCAFD" w14:textId="77777777" w:rsidTr="002624B1">
        <w:trPr>
          <w:jc w:val="center"/>
        </w:trPr>
        <w:tc>
          <w:tcPr>
            <w:tcW w:w="221" w:type="pct"/>
            <w:tcBorders>
              <w:top w:val="single" w:sz="4" w:space="0" w:color="auto"/>
              <w:left w:val="single" w:sz="4" w:space="0" w:color="auto"/>
              <w:bottom w:val="single" w:sz="4" w:space="0" w:color="auto"/>
              <w:right w:val="single" w:sz="4" w:space="0" w:color="auto"/>
            </w:tcBorders>
            <w:shd w:val="clear" w:color="auto" w:fill="C6EFCE"/>
            <w:noWrap/>
          </w:tcPr>
          <w:p w14:paraId="61AA2214" w14:textId="77777777" w:rsidR="003A3D51" w:rsidRDefault="0002775A">
            <w:pPr>
              <w:pStyle w:val="P68B1DB1-Normal7"/>
              <w:spacing w:after="200" w:line="276" w:lineRule="auto"/>
              <w:jc w:val="center"/>
              <w:rPr>
                <w:rFonts w:ascii="Times New Roman" w:hAnsi="Times New Roman" w:cs="Times New Roman"/>
                <w:noProof/>
              </w:rPr>
            </w:pPr>
            <w:r>
              <w:rPr>
                <w:noProof/>
              </w:rPr>
              <w:t>50</w:t>
            </w:r>
          </w:p>
        </w:tc>
        <w:tc>
          <w:tcPr>
            <w:tcW w:w="337" w:type="pct"/>
            <w:tcBorders>
              <w:top w:val="single" w:sz="4" w:space="0" w:color="auto"/>
              <w:left w:val="nil"/>
              <w:bottom w:val="single" w:sz="4" w:space="0" w:color="auto"/>
              <w:right w:val="single" w:sz="4" w:space="0" w:color="auto"/>
            </w:tcBorders>
            <w:shd w:val="clear" w:color="auto" w:fill="C6EFCE"/>
            <w:noWrap/>
          </w:tcPr>
          <w:p w14:paraId="56EA5173" w14:textId="77777777" w:rsidR="003A3D51" w:rsidRDefault="0002775A">
            <w:pPr>
              <w:pStyle w:val="P68B1DB1-Normal7"/>
              <w:spacing w:after="200" w:line="276" w:lineRule="auto"/>
              <w:jc w:val="center"/>
              <w:rPr>
                <w:rFonts w:ascii="Times New Roman" w:hAnsi="Times New Roman" w:cs="Times New Roman"/>
                <w:noProof/>
              </w:rPr>
            </w:pPr>
            <w:r>
              <w:rPr>
                <w:noProof/>
              </w:rPr>
              <w:t>C1.2 R1-I3</w:t>
            </w:r>
          </w:p>
        </w:tc>
        <w:tc>
          <w:tcPr>
            <w:tcW w:w="296" w:type="pct"/>
            <w:tcBorders>
              <w:top w:val="single" w:sz="4" w:space="0" w:color="auto"/>
              <w:left w:val="nil"/>
              <w:bottom w:val="single" w:sz="4" w:space="0" w:color="auto"/>
              <w:right w:val="single" w:sz="4" w:space="0" w:color="auto"/>
            </w:tcBorders>
            <w:shd w:val="clear" w:color="auto" w:fill="C6EFCE"/>
            <w:noWrap/>
          </w:tcPr>
          <w:p w14:paraId="7643901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02" w:type="pct"/>
            <w:tcBorders>
              <w:top w:val="single" w:sz="4" w:space="0" w:color="auto"/>
              <w:left w:val="nil"/>
              <w:bottom w:val="single" w:sz="4" w:space="0" w:color="auto"/>
              <w:right w:val="single" w:sz="4" w:space="0" w:color="auto"/>
            </w:tcBorders>
            <w:shd w:val="clear" w:color="auto" w:fill="C6EFCE"/>
            <w:noWrap/>
          </w:tcPr>
          <w:p w14:paraId="18FC21CB" w14:textId="77777777" w:rsidR="003A3D51" w:rsidRDefault="0002775A">
            <w:pPr>
              <w:pStyle w:val="P68B1DB1-Normal7"/>
              <w:spacing w:after="200" w:line="276" w:lineRule="auto"/>
              <w:rPr>
                <w:rFonts w:ascii="Times New Roman" w:hAnsi="Times New Roman" w:cs="Times New Roman"/>
                <w:noProof/>
              </w:rPr>
            </w:pPr>
            <w:r>
              <w:rPr>
                <w:noProof/>
              </w:rPr>
              <w:t>Antagande av strategin för utveckling av vätgas</w:t>
            </w:r>
          </w:p>
        </w:tc>
        <w:tc>
          <w:tcPr>
            <w:tcW w:w="805" w:type="pct"/>
            <w:gridSpan w:val="2"/>
            <w:tcBorders>
              <w:top w:val="single" w:sz="4" w:space="0" w:color="auto"/>
              <w:left w:val="nil"/>
              <w:bottom w:val="single" w:sz="4" w:space="0" w:color="auto"/>
              <w:right w:val="single" w:sz="4" w:space="0" w:color="auto"/>
            </w:tcBorders>
            <w:shd w:val="clear" w:color="auto" w:fill="C6EFCE"/>
            <w:noWrap/>
          </w:tcPr>
          <w:p w14:paraId="1BA93566" w14:textId="77777777" w:rsidR="003A3D51" w:rsidRDefault="0002775A">
            <w:pPr>
              <w:pStyle w:val="P68B1DB1-Normal7"/>
              <w:spacing w:after="200" w:line="276" w:lineRule="auto"/>
              <w:rPr>
                <w:rFonts w:ascii="Times New Roman" w:hAnsi="Times New Roman" w:cs="Times New Roman"/>
                <w:noProof/>
              </w:rPr>
            </w:pPr>
            <w:r>
              <w:rPr>
                <w:noProof/>
              </w:rPr>
              <w:t xml:space="preserve">Vätgasstrategin för Kroatien träder i kraft </w:t>
            </w:r>
          </w:p>
        </w:tc>
        <w:tc>
          <w:tcPr>
            <w:tcW w:w="227" w:type="pct"/>
            <w:tcBorders>
              <w:top w:val="single" w:sz="4" w:space="0" w:color="auto"/>
              <w:left w:val="nil"/>
              <w:bottom w:val="single" w:sz="4" w:space="0" w:color="auto"/>
              <w:right w:val="single" w:sz="4" w:space="0" w:color="auto"/>
            </w:tcBorders>
            <w:shd w:val="clear" w:color="auto" w:fill="C6EFCE"/>
            <w:noWrap/>
          </w:tcPr>
          <w:p w14:paraId="45725CE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09" w:type="pct"/>
            <w:tcBorders>
              <w:top w:val="single" w:sz="4" w:space="0" w:color="auto"/>
              <w:left w:val="nil"/>
              <w:bottom w:val="single" w:sz="4" w:space="0" w:color="auto"/>
              <w:right w:val="single" w:sz="4" w:space="0" w:color="auto"/>
            </w:tcBorders>
            <w:shd w:val="clear" w:color="auto" w:fill="C6EFCE"/>
            <w:noWrap/>
          </w:tcPr>
          <w:p w14:paraId="4F63C5E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90" w:type="pct"/>
            <w:tcBorders>
              <w:top w:val="single" w:sz="4" w:space="0" w:color="auto"/>
              <w:left w:val="nil"/>
              <w:bottom w:val="single" w:sz="4" w:space="0" w:color="auto"/>
              <w:right w:val="single" w:sz="4" w:space="0" w:color="auto"/>
            </w:tcBorders>
            <w:shd w:val="clear" w:color="auto" w:fill="C6EFCE"/>
            <w:noWrap/>
          </w:tcPr>
          <w:p w14:paraId="41AB94D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55" w:type="pct"/>
            <w:tcBorders>
              <w:top w:val="single" w:sz="4" w:space="0" w:color="auto"/>
              <w:left w:val="nil"/>
              <w:bottom w:val="single" w:sz="4" w:space="0" w:color="auto"/>
              <w:right w:val="single" w:sz="4" w:space="0" w:color="auto"/>
            </w:tcBorders>
            <w:shd w:val="clear" w:color="auto" w:fill="C6EFCE"/>
            <w:noWrap/>
          </w:tcPr>
          <w:p w14:paraId="6E79F437"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2" w:type="pct"/>
            <w:tcBorders>
              <w:top w:val="single" w:sz="4" w:space="0" w:color="auto"/>
              <w:left w:val="nil"/>
              <w:bottom w:val="single" w:sz="4" w:space="0" w:color="auto"/>
              <w:right w:val="single" w:sz="4" w:space="0" w:color="auto"/>
            </w:tcBorders>
            <w:shd w:val="clear" w:color="auto" w:fill="C6EFCE"/>
            <w:noWrap/>
          </w:tcPr>
          <w:p w14:paraId="579AC256"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036" w:type="pct"/>
            <w:tcBorders>
              <w:top w:val="single" w:sz="4" w:space="0" w:color="auto"/>
              <w:left w:val="nil"/>
              <w:bottom w:val="single" w:sz="4" w:space="0" w:color="auto"/>
              <w:right w:val="single" w:sz="4" w:space="0" w:color="auto"/>
            </w:tcBorders>
            <w:shd w:val="clear" w:color="auto" w:fill="C6EFCE"/>
            <w:noWrap/>
          </w:tcPr>
          <w:p w14:paraId="671E4DDB" w14:textId="77777777" w:rsidR="003A3D51" w:rsidRDefault="0002775A">
            <w:pPr>
              <w:pStyle w:val="P68B1DB1-Normal7"/>
              <w:spacing w:after="200" w:line="276" w:lineRule="auto"/>
              <w:rPr>
                <w:rFonts w:ascii="Times New Roman" w:hAnsi="Times New Roman" w:cs="Times New Roman"/>
                <w:noProof/>
              </w:rPr>
            </w:pPr>
            <w:r>
              <w:rPr>
                <w:noProof/>
              </w:rPr>
              <w:t>Strategin för utveckling av vätgas ska innehålla kvantifierade mål för produktionspotentialen för grön vätgas senast 2030, på grundval av elektrolys. Strategin ska särskilt redogöra för den gröna vätgasens potentiella roll för utfasningen av fossila bränslen i transportsektorn.</w:t>
            </w:r>
          </w:p>
        </w:tc>
      </w:tr>
    </w:tbl>
    <w:p w14:paraId="0E6EF8D6" w14:textId="77777777" w:rsidR="003A3D51" w:rsidRDefault="003A3D51">
      <w:pPr>
        <w:rPr>
          <w:noProof/>
        </w:rPr>
        <w:sectPr w:rsidR="003A3D51" w:rsidSect="002810BF">
          <w:headerReference w:type="even" r:id="rId48"/>
          <w:headerReference w:type="default" r:id="rId49"/>
          <w:footerReference w:type="even" r:id="rId50"/>
          <w:footerReference w:type="default" r:id="rId51"/>
          <w:headerReference w:type="first" r:id="rId52"/>
          <w:footerReference w:type="first" r:id="rId53"/>
          <w:pgSz w:w="15840" w:h="12240" w:orient="landscape"/>
          <w:pgMar w:top="1440" w:right="1239" w:bottom="1440" w:left="1440" w:header="708" w:footer="708" w:gutter="0"/>
          <w:cols w:space="708"/>
          <w:docGrid w:linePitch="360"/>
        </w:sectPr>
      </w:pPr>
    </w:p>
    <w:p w14:paraId="4C7995EA"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C. KOMPONENT 1.3: FÖRBÄTTRAD VATTENFÖRVALTNING OCH AVFALLSHANTERING</w:t>
      </w:r>
    </w:p>
    <w:p w14:paraId="6F790972" w14:textId="77777777" w:rsidR="003A3D51" w:rsidRDefault="0002775A">
      <w:pPr>
        <w:pStyle w:val="P68B1DB1-Normal3"/>
        <w:spacing w:before="120" w:after="120" w:line="240" w:lineRule="auto"/>
        <w:jc w:val="both"/>
        <w:rPr>
          <w:noProof/>
        </w:rPr>
      </w:pPr>
      <w:r>
        <w:rPr>
          <w:noProof/>
        </w:rPr>
        <w:t xml:space="preserve">Syftet med denna del av Kroatiens återhämtnings- och resiliensplan är att bidra till att bevara miljön, bevara den biologiska mångfalden och klimatanpassningen och därmed skapa förutsättningar för att stärka den ekologiska, sociala och ekonomiska resiliensen. </w:t>
      </w:r>
    </w:p>
    <w:p w14:paraId="116C59A5" w14:textId="77777777" w:rsidR="003A3D51" w:rsidRDefault="0002775A">
      <w:pPr>
        <w:pStyle w:val="P68B1DB1-Normal3"/>
        <w:spacing w:before="120" w:after="120" w:line="240" w:lineRule="auto"/>
        <w:jc w:val="both"/>
        <w:rPr>
          <w:noProof/>
        </w:rPr>
      </w:pPr>
      <w:r>
        <w:rPr>
          <w:noProof/>
        </w:rPr>
        <w:t>De planerade investeringarna inom del 1.3 syftar till att minska investeringsgapet inom vatten- och avfallshanteringssektorerna som uppskattas till nästan 7 % av Kroatiens BNP 2019. Investeringarna ska stödjas av reformer för att konsolidera vattensektorn och förbättra vattenförvaltningen i hela Kroatien. Dessutom ska ny avfallslagstiftning och avfallshanteringsplaner antas för att främja den cirkulära ekonomin i linje med EU:s nya handlingsplan för den cirkulära ekonomin.</w:t>
      </w:r>
    </w:p>
    <w:p w14:paraId="04B7D2E8" w14:textId="77777777" w:rsidR="003A3D51" w:rsidRDefault="0002775A">
      <w:pPr>
        <w:pStyle w:val="P68B1DB1-Normal3"/>
        <w:spacing w:before="120" w:after="120" w:line="240" w:lineRule="auto"/>
        <w:jc w:val="both"/>
        <w:rPr>
          <w:noProof/>
        </w:rPr>
      </w:pPr>
      <w:r>
        <w:rPr>
          <w:noProof/>
        </w:rPr>
        <w:t xml:space="preserve">Dessa investeringar och reformer ska bidra till att följa de landsspecifika rekommendationer som riktades till Kroatien 2019 och 2020, behovet av att ”inrikta investeringspolitiken på [...] miljöinfrastruktur, med beaktande av regionala skillnader” (de landsspecifika rekommendationerna 3 och 2019) och att ”inrikta investeringarna på den gröna [...] omställningen, särskilt på miljöinfrastruktur” (de landsspecifika rekommendationerna 3 och 2020). </w:t>
      </w:r>
    </w:p>
    <w:p w14:paraId="54FA646E" w14:textId="77777777" w:rsidR="003A3D51" w:rsidRDefault="003A3D51">
      <w:pPr>
        <w:spacing w:before="120" w:after="120" w:line="240" w:lineRule="auto"/>
        <w:jc w:val="both"/>
        <w:rPr>
          <w:rFonts w:ascii="Times New Roman" w:eastAsia="Calibri" w:hAnsi="Times New Roman" w:cs="Times New Roman"/>
          <w:noProof/>
          <w:sz w:val="24"/>
        </w:rPr>
      </w:pPr>
    </w:p>
    <w:p w14:paraId="1B22B818"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C.1 </w:t>
      </w:r>
      <w:r>
        <w:rPr>
          <w:noProof/>
        </w:rPr>
        <w:tab/>
        <w:t>Beskrivning av reformer och investeringar avseende icke återbetalningspliktigt ekonomiskt stöd</w:t>
      </w:r>
    </w:p>
    <w:p w14:paraId="1DFD31D5" w14:textId="77777777" w:rsidR="003A3D51" w:rsidRDefault="0002775A">
      <w:pPr>
        <w:pStyle w:val="P68B1DB1-Normal18"/>
        <w:keepNext/>
        <w:tabs>
          <w:tab w:val="num" w:pos="850"/>
        </w:tabs>
        <w:spacing w:after="200" w:line="276" w:lineRule="auto"/>
        <w:ind w:left="851"/>
        <w:jc w:val="both"/>
        <w:outlineLvl w:val="2"/>
        <w:rPr>
          <w:rFonts w:ascii="Calibri" w:eastAsia="Calibri" w:hAnsi="Calibri" w:cs="Arial"/>
          <w:noProof/>
        </w:rPr>
      </w:pPr>
      <w:r>
        <w:rPr>
          <w:noProof/>
        </w:rPr>
        <w:t>Reform C1.3 R1 – Genomförande av vattenförvaltningsprogrammet</w:t>
      </w:r>
    </w:p>
    <w:p w14:paraId="156D8C4D" w14:textId="77777777" w:rsidR="003A3D51" w:rsidRDefault="0002775A">
      <w:pPr>
        <w:pStyle w:val="P68B1DB1-Normal3"/>
        <w:spacing w:before="120" w:after="120" w:line="240" w:lineRule="auto"/>
        <w:jc w:val="both"/>
        <w:rPr>
          <w:noProof/>
        </w:rPr>
      </w:pPr>
      <w:r>
        <w:rPr>
          <w:noProof/>
        </w:rPr>
        <w:t xml:space="preserve">Syftet med denna reform är att ta itu med fragmenteringen av offentliga vattenleverantörer i Kroatien. Syftet är att konsolidera och minska antalet vattenleverantörer för att förbättra deras effektivitet och styrning. Denna reform ska införa ett riktmärkningssystem för övervakning och rapportering av vattentjänstleverantörernas operativa och ekonomiska resultat och bidra till att förbättra infrastrukturinvesteringarnas långsiktiga hållbarhet. </w:t>
      </w:r>
    </w:p>
    <w:p w14:paraId="26AC2A3C" w14:textId="77777777" w:rsidR="003A3D51" w:rsidRDefault="0002775A">
      <w:pPr>
        <w:pStyle w:val="P68B1DB1-Normal3"/>
        <w:spacing w:before="120" w:after="120" w:line="240" w:lineRule="auto"/>
        <w:jc w:val="both"/>
        <w:rPr>
          <w:noProof/>
        </w:rPr>
      </w:pPr>
      <w:r>
        <w:rPr>
          <w:noProof/>
        </w:rPr>
        <w:t xml:space="preserve">Denna reform ska genomföras genom att ändringar av fyra förordningar träder i kraft: </w:t>
      </w:r>
    </w:p>
    <w:p w14:paraId="35DD057B" w14:textId="77777777" w:rsidR="003A3D51" w:rsidRDefault="0002775A">
      <w:pPr>
        <w:pStyle w:val="P68B1DB1-Normal11"/>
        <w:keepNext/>
        <w:numPr>
          <w:ilvl w:val="0"/>
          <w:numId w:val="13"/>
        </w:numPr>
        <w:tabs>
          <w:tab w:val="left" w:pos="426"/>
        </w:tabs>
        <w:spacing w:after="200" w:line="276" w:lineRule="auto"/>
        <w:jc w:val="both"/>
        <w:rPr>
          <w:noProof/>
        </w:rPr>
      </w:pPr>
      <w:r>
        <w:rPr>
          <w:noProof/>
        </w:rPr>
        <w:t xml:space="preserve">förordningen om tjänsteområden, </w:t>
      </w:r>
    </w:p>
    <w:p w14:paraId="7B2816AC" w14:textId="77777777" w:rsidR="003A3D51" w:rsidRDefault="0002775A">
      <w:pPr>
        <w:pStyle w:val="P68B1DB1-Normal11"/>
        <w:keepNext/>
        <w:numPr>
          <w:ilvl w:val="0"/>
          <w:numId w:val="13"/>
        </w:numPr>
        <w:tabs>
          <w:tab w:val="left" w:pos="426"/>
        </w:tabs>
        <w:spacing w:after="200" w:line="276" w:lineRule="auto"/>
        <w:jc w:val="both"/>
        <w:rPr>
          <w:noProof/>
        </w:rPr>
      </w:pPr>
      <w:r>
        <w:rPr>
          <w:noProof/>
        </w:rPr>
        <w:t>förordningen om prestandautvärdering av vattenoperatörer, inbegripet inrättandet av riktmärkningssystemet</w:t>
      </w:r>
    </w:p>
    <w:p w14:paraId="4BFAC044" w14:textId="77777777" w:rsidR="003A3D51" w:rsidRDefault="0002775A">
      <w:pPr>
        <w:pStyle w:val="P68B1DB1-Normal11"/>
        <w:keepNext/>
        <w:numPr>
          <w:ilvl w:val="0"/>
          <w:numId w:val="13"/>
        </w:numPr>
        <w:tabs>
          <w:tab w:val="left" w:pos="426"/>
        </w:tabs>
        <w:spacing w:after="200" w:line="276" w:lineRule="auto"/>
        <w:jc w:val="both"/>
        <w:rPr>
          <w:noProof/>
        </w:rPr>
      </w:pPr>
      <w:r>
        <w:rPr>
          <w:noProof/>
        </w:rPr>
        <w:t xml:space="preserve">förordningen om metoden för att fastställa prissättningen på vattentjänster, och </w:t>
      </w:r>
    </w:p>
    <w:p w14:paraId="6DAECD3D" w14:textId="77777777" w:rsidR="003A3D51" w:rsidRDefault="0002775A">
      <w:pPr>
        <w:pStyle w:val="P68B1DB1-Normal11"/>
        <w:keepNext/>
        <w:numPr>
          <w:ilvl w:val="0"/>
          <w:numId w:val="13"/>
        </w:numPr>
        <w:tabs>
          <w:tab w:val="left" w:pos="426"/>
        </w:tabs>
        <w:spacing w:after="200" w:line="276" w:lineRule="auto"/>
        <w:jc w:val="both"/>
        <w:rPr>
          <w:noProof/>
        </w:rPr>
      </w:pPr>
      <w:r>
        <w:rPr>
          <w:noProof/>
        </w:rPr>
        <w:t>förordningen om särskilda villkor för tillhandahållande av vattentjänster.</w:t>
      </w:r>
    </w:p>
    <w:p w14:paraId="66048383" w14:textId="77777777" w:rsidR="003A3D51" w:rsidRDefault="0002775A">
      <w:pPr>
        <w:pStyle w:val="P68B1DB1-Normal3"/>
        <w:spacing w:before="120" w:after="120" w:line="240" w:lineRule="auto"/>
        <w:jc w:val="both"/>
        <w:rPr>
          <w:noProof/>
        </w:rPr>
      </w:pPr>
      <w:r>
        <w:rPr>
          <w:noProof/>
        </w:rPr>
        <w:t>Reformen ska omfatta utarbetandet av ett flerårigt investeringsprogram för infrastruktur för vatten och avloppsvatten för att säkerställa ett enhetligt genomförande av investeringarna C1.3 R1 – I1 och C1.3 R1 – I2 samt komplementaritet med annan EU-finansiering.</w:t>
      </w:r>
    </w:p>
    <w:p w14:paraId="56361739" w14:textId="27D46BA3" w:rsidR="003A3D51" w:rsidRDefault="0002775A">
      <w:pPr>
        <w:pStyle w:val="P68B1DB1-Normal3"/>
        <w:spacing w:before="120" w:after="120" w:line="240" w:lineRule="auto"/>
        <w:jc w:val="both"/>
        <w:rPr>
          <w:noProof/>
        </w:rPr>
      </w:pPr>
      <w:r>
        <w:rPr>
          <w:noProof/>
        </w:rPr>
        <w:t>Reformen ska vara genomförd senast den 31 december 2024.</w:t>
      </w:r>
    </w:p>
    <w:p w14:paraId="7425CF5A" w14:textId="77777777" w:rsidR="003A3D51" w:rsidRDefault="0002775A">
      <w:pPr>
        <w:pStyle w:val="P68B1DB1-Normal19"/>
        <w:keepNext/>
        <w:tabs>
          <w:tab w:val="num" w:pos="850"/>
        </w:tabs>
        <w:spacing w:after="200" w:line="276" w:lineRule="auto"/>
        <w:ind w:left="851"/>
        <w:jc w:val="both"/>
        <w:outlineLvl w:val="2"/>
        <w:rPr>
          <w:rFonts w:ascii="Calibri" w:eastAsia="Calibri" w:hAnsi="Calibri" w:cs="Arial"/>
          <w:noProof/>
        </w:rPr>
      </w:pPr>
      <w:r>
        <w:rPr>
          <w:rFonts w:ascii="Times New Roman" w:eastAsia="SimSun" w:hAnsi="Times New Roman" w:cs="Times New Roman"/>
          <w:noProof/>
          <w:sz w:val="24"/>
        </w:rPr>
        <w:t xml:space="preserve">Investering C.1.3 R1-I1 – </w:t>
      </w:r>
      <w:r>
        <w:rPr>
          <w:rFonts w:ascii="Calibri" w:eastAsia="Calibri" w:hAnsi="Calibri" w:cs="Arial"/>
          <w:noProof/>
        </w:rPr>
        <w:t xml:space="preserve">Program för utveckling av offentligt avloppsvatten </w:t>
      </w:r>
    </w:p>
    <w:p w14:paraId="6990B43E" w14:textId="39DD4BD8" w:rsidR="003A3D51" w:rsidRDefault="0002775A">
      <w:pPr>
        <w:pStyle w:val="P68B1DB1-Normal3"/>
        <w:spacing w:before="120" w:after="120" w:line="240" w:lineRule="auto"/>
        <w:jc w:val="both"/>
        <w:rPr>
          <w:noProof/>
        </w:rPr>
      </w:pPr>
      <w:r>
        <w:rPr>
          <w:noProof/>
        </w:rPr>
        <w:t>Syftet med denna investering är att renovera och återställa 775 km allmänna avloppsnät. samt uppförande och idrifttagande av 12 avloppsreningsverk för att säkerställa tillgång till lämplig rening av avloppsvatten för ytterligare 200.000 invånare.</w:t>
      </w:r>
    </w:p>
    <w:p w14:paraId="6F5F94CC" w14:textId="77777777" w:rsidR="003A3D51" w:rsidRDefault="0002775A">
      <w:pPr>
        <w:pStyle w:val="P68B1DB1-Normal3"/>
        <w:spacing w:before="120" w:after="120" w:line="240" w:lineRule="auto"/>
        <w:jc w:val="both"/>
        <w:rPr>
          <w:noProof/>
        </w:rPr>
      </w:pPr>
      <w:r>
        <w:rPr>
          <w:noProof/>
        </w:rPr>
        <w:t xml:space="preserve">Investeringen ska finansiera följande två delåtgärder: </w:t>
      </w:r>
    </w:p>
    <w:p w14:paraId="40DC53FD" w14:textId="77777777" w:rsidR="003A3D51" w:rsidRDefault="0002775A">
      <w:pPr>
        <w:pStyle w:val="P68B1DB1-Normal3"/>
        <w:numPr>
          <w:ilvl w:val="0"/>
          <w:numId w:val="13"/>
        </w:numPr>
        <w:spacing w:before="120" w:after="120" w:line="240" w:lineRule="auto"/>
        <w:jc w:val="both"/>
        <w:rPr>
          <w:noProof/>
        </w:rPr>
      </w:pPr>
      <w:r>
        <w:rPr>
          <w:noProof/>
        </w:rPr>
        <w:t xml:space="preserve">Förbättring av den offentliga avloppsinfrastrukturen, inklusive inköp av utrustning, inrättande av kontrollsystem och geografiska informationssystem samt övervakning av arbetet. Finansieringen ska tillhandahållas av faciliteten för återhämtning och resiliens tillsammans med projektstödmottagarna, linjeministeriet och det nationella vattenföretaget, Kroatiens vatten. </w:t>
      </w:r>
    </w:p>
    <w:p w14:paraId="5F8EF0BE" w14:textId="77777777" w:rsidR="003A3D51" w:rsidRDefault="0002775A">
      <w:pPr>
        <w:pStyle w:val="P68B1DB1-Normal3"/>
        <w:numPr>
          <w:ilvl w:val="0"/>
          <w:numId w:val="13"/>
        </w:numPr>
        <w:spacing w:before="120" w:after="120" w:line="240" w:lineRule="auto"/>
        <w:jc w:val="both"/>
        <w:rPr>
          <w:noProof/>
        </w:rPr>
      </w:pPr>
      <w:r>
        <w:rPr>
          <w:noProof/>
        </w:rPr>
        <w:t>Uppgraderingar av berörda delar av avloppssystemet, inklusive utbyggnad och ombyggnad av delar av avloppsnätet. En del av finansieringen ska öronmärkas särskilt för utveckling av landsbygdsområden där kvaliteten på vattentjänsterna släpar efter det nationella genomsnittet. Finansieringen ska tillhandahållas genom faciliteten för återhämtning och resiliens tillsammans med stödmottagaren och de kroatiska vattnen.</w:t>
      </w:r>
    </w:p>
    <w:p w14:paraId="09B68F14" w14:textId="77777777" w:rsidR="003A3D51" w:rsidRDefault="0002775A">
      <w:pPr>
        <w:pStyle w:val="P68B1DB1-Normal3"/>
        <w:spacing w:before="120" w:after="120" w:line="240" w:lineRule="auto"/>
        <w:jc w:val="both"/>
        <w:rPr>
          <w:noProof/>
        </w:rPr>
      </w:pPr>
      <w:r>
        <w:rPr>
          <w:noProof/>
        </w:rPr>
        <w:t xml:space="preserve">Denna investering ska genomföras genom bidrag till kommuner, med prioritering av mogna projekt. Investeringsprogrammet för utveckling av infrastruktur för vatten och avloppsvatten (reform C1.3 R1) ska fastställa prioriteringen av projekten och användningen av all annan finansiering, inbegripet från unionsprogram. </w:t>
      </w:r>
    </w:p>
    <w:p w14:paraId="3B9BB4E1"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5F76E192"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C.1.3 R1-I2 – Utvecklingsprogram för offentlig vattenförsörjning</w:t>
      </w:r>
    </w:p>
    <w:p w14:paraId="6EB882F7" w14:textId="77777777" w:rsidR="003A3D51" w:rsidRDefault="0002775A">
      <w:pPr>
        <w:pStyle w:val="P68B1DB1-Normal3"/>
        <w:spacing w:before="120" w:after="120" w:line="240" w:lineRule="auto"/>
        <w:jc w:val="both"/>
        <w:rPr>
          <w:noProof/>
        </w:rPr>
      </w:pPr>
      <w:r>
        <w:rPr>
          <w:noProof/>
        </w:rPr>
        <w:t xml:space="preserve">Syftet med denna investering är att renovera och återställa 956 km allmänna vattenförsörjningsnät i Kroatien för att förbättra dricksvattenförsörjningen och minska vattenförlusterna. Investeringen ska omfatta att utrusta 526 vattenuttagsanläggningar med den utrustning som krävs för att säkerställa spårning och rationellt utnyttjande av vattenresurserna. Denna investering är avsedd att skapa tillgång till dricksvatten via de förbättrade offentliga vattenförsörjningssystemen för omkring 45 000 personer, samtidigt som vattenförlusterna i de offentliga vattenförsörjningssystem som stöds av faciliteten för återhämtning och resiliens minskas med 25 %. På nationell nivå ska vattenförlusterna minskas med 7 %. </w:t>
      </w:r>
    </w:p>
    <w:p w14:paraId="37853145" w14:textId="77777777" w:rsidR="003A3D51" w:rsidRDefault="0002775A">
      <w:pPr>
        <w:pStyle w:val="P68B1DB1-Normal3"/>
        <w:spacing w:before="120" w:after="120" w:line="240" w:lineRule="auto"/>
        <w:jc w:val="both"/>
        <w:rPr>
          <w:noProof/>
        </w:rPr>
      </w:pPr>
      <w:r>
        <w:rPr>
          <w:noProof/>
        </w:rPr>
        <w:t>Denna investering består av två delåtgärder:</w:t>
      </w:r>
    </w:p>
    <w:p w14:paraId="0BC00181" w14:textId="77777777" w:rsidR="003A3D51" w:rsidRDefault="0002775A">
      <w:pPr>
        <w:pStyle w:val="P68B1DB1-Normal3"/>
        <w:numPr>
          <w:ilvl w:val="0"/>
          <w:numId w:val="13"/>
        </w:numPr>
        <w:spacing w:before="120" w:after="120" w:line="240" w:lineRule="auto"/>
        <w:jc w:val="both"/>
        <w:rPr>
          <w:noProof/>
        </w:rPr>
      </w:pPr>
      <w:r>
        <w:rPr>
          <w:noProof/>
        </w:rPr>
        <w:t>Inköp och installation av mätutrustning för vattenuttag. Finansieringen ska tillhandahållas genom faciliteten för återhämtning och resiliens tillsammans med de kroatiska vattnen.</w:t>
      </w:r>
    </w:p>
    <w:p w14:paraId="600678BE" w14:textId="77777777" w:rsidR="003A3D51" w:rsidRDefault="0002775A">
      <w:pPr>
        <w:pStyle w:val="P68B1DB1-Normal3"/>
        <w:numPr>
          <w:ilvl w:val="0"/>
          <w:numId w:val="13"/>
        </w:numPr>
        <w:spacing w:before="120" w:after="120" w:line="240" w:lineRule="auto"/>
        <w:jc w:val="both"/>
        <w:rPr>
          <w:noProof/>
        </w:rPr>
      </w:pPr>
      <w:r>
        <w:rPr>
          <w:noProof/>
        </w:rPr>
        <w:t xml:space="preserve">Utveckling av vattenförsörjningen i Kroatien, inbegripet återställande av vattenförsörjningsnät i landsbygdsområden, bergsområden och demografiskt missgynnade områden. Finansieringen ska tillhandahållas genom faciliteten för återhämtning och resiliens tillsammans med stödmottagaren och de kroatiska vattnen. </w:t>
      </w:r>
    </w:p>
    <w:p w14:paraId="73530AC7" w14:textId="77777777" w:rsidR="003A3D51" w:rsidRDefault="0002775A">
      <w:pPr>
        <w:pStyle w:val="P68B1DB1-Normal3"/>
        <w:spacing w:before="120" w:after="120" w:line="240" w:lineRule="auto"/>
        <w:jc w:val="both"/>
        <w:rPr>
          <w:noProof/>
        </w:rPr>
      </w:pPr>
      <w:r>
        <w:rPr>
          <w:noProof/>
        </w:rPr>
        <w:t xml:space="preserve">Denna investering ska genomföras genom bidrag till kommuner. Investeringsprogrammet för utveckling av infrastruktur för vatten och avloppsvatten som definieras i reform C1.3 R1 ska fastställa prioriteringen av projekten och användningen av all annan finansiering, inbegripet från unionsprogram. </w:t>
      </w:r>
    </w:p>
    <w:p w14:paraId="53D17ADD" w14:textId="77777777" w:rsidR="003A3D51" w:rsidRDefault="0002775A">
      <w:pPr>
        <w:pStyle w:val="P68B1DB1-Normal3"/>
        <w:spacing w:before="120" w:after="120" w:line="240" w:lineRule="auto"/>
        <w:jc w:val="both"/>
        <w:rPr>
          <w:noProof/>
        </w:rPr>
      </w:pPr>
      <w:r>
        <w:rPr>
          <w:noProof/>
        </w:rPr>
        <w:t xml:space="preserve">Investeringen består av att bygga dricksvattensystem med en genomsnittlig energiförbrukning på ≤ 0,5 kWh eller ett infrastrukturläckageindex (ILI) på ≤ 1,5, och renovering av befintliga dricksvattenförsörjningssystem för att minska den genomsnittliga energiförbrukningen med mer än 20 % eller minska läckaget med mer än 20 %.  </w:t>
      </w:r>
    </w:p>
    <w:p w14:paraId="266352D1"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4B6CF04B" w14:textId="77777777" w:rsidR="003A3D51" w:rsidRDefault="0002775A">
      <w:pPr>
        <w:pStyle w:val="P68B1DB1-Normal18"/>
        <w:keepNext/>
        <w:spacing w:before="120" w:after="120" w:line="240" w:lineRule="auto"/>
        <w:ind w:left="851"/>
        <w:jc w:val="both"/>
        <w:outlineLvl w:val="2"/>
        <w:rPr>
          <w:i/>
          <w:noProof/>
        </w:rPr>
      </w:pPr>
      <w:r>
        <w:rPr>
          <w:noProof/>
        </w:rPr>
        <w:t>Investering C.1.3 R1 – I3 – Program för katastrofriskreducering</w:t>
      </w:r>
    </w:p>
    <w:p w14:paraId="2D4B5B51" w14:textId="77777777" w:rsidR="003A3D51" w:rsidRDefault="0002775A">
      <w:pPr>
        <w:pStyle w:val="P68B1DB1-Normal3"/>
        <w:spacing w:before="120" w:after="120" w:line="240" w:lineRule="auto"/>
        <w:jc w:val="both"/>
        <w:rPr>
          <w:noProof/>
          <w:u w:val="single"/>
        </w:rPr>
      </w:pPr>
      <w:r>
        <w:rPr>
          <w:noProof/>
        </w:rPr>
        <w:t>Syftet med denna investering är att förbättra översvämningsskyddet för 20 000 invånare i Kroatien, prioritera naturbaserade lösningar genom att blåsa nytt liv i vattendrag, koppla samman övergivna ärmar och skapa sekundära våtmarkslivsmiljöer samt avlägsna invasiva arter.</w:t>
      </w:r>
    </w:p>
    <w:p w14:paraId="3EFB05BF" w14:textId="77777777" w:rsidR="003A3D51" w:rsidRDefault="0002775A">
      <w:pPr>
        <w:pStyle w:val="P68B1DB1-Normal3"/>
        <w:spacing w:before="120" w:after="120" w:line="240" w:lineRule="auto"/>
        <w:jc w:val="both"/>
        <w:rPr>
          <w:noProof/>
        </w:rPr>
      </w:pPr>
      <w:r>
        <w:rPr>
          <w:noProof/>
        </w:rPr>
        <w:t>Denna investering ska omfatta två delåtgärder:</w:t>
      </w:r>
    </w:p>
    <w:p w14:paraId="3F1849A0" w14:textId="2BFF7AE6" w:rsidR="003A3D51" w:rsidRDefault="0002775A">
      <w:pPr>
        <w:pStyle w:val="NormalWeb"/>
        <w:numPr>
          <w:ilvl w:val="0"/>
          <w:numId w:val="13"/>
        </w:numPr>
        <w:spacing w:before="120" w:after="120" w:line="240" w:lineRule="auto"/>
        <w:jc w:val="both"/>
        <w:rPr>
          <w:rFonts w:eastAsia="Calibri"/>
          <w:noProof/>
        </w:rPr>
      </w:pPr>
      <w:r>
        <w:rPr>
          <w:noProof/>
        </w:rPr>
        <w:t>Programmet för att minska översvämningsriskerna kommer att inriktas på att minska översvämningsriskerna i de största kroatiska floderna i Donaus avrinningsområde, Adriatiska bäckenet och mindre torrensområden i städer, tätorter och landsbygdsområden. Åtgärderna för översvämningsskydd kommer att innebära defensiva vallar med vidsträckta översvämningsområden längs vattendrag, i linje med naturbaserade lösningar och principen om att ”ge utrymme åt floder”.</w:t>
      </w:r>
    </w:p>
    <w:p w14:paraId="21CD65C7" w14:textId="77777777" w:rsidR="003A3D51" w:rsidRDefault="0002775A">
      <w:pPr>
        <w:pStyle w:val="P68B1DB1-Normal3"/>
        <w:numPr>
          <w:ilvl w:val="0"/>
          <w:numId w:val="13"/>
        </w:numPr>
        <w:spacing w:before="120" w:after="120" w:line="240" w:lineRule="auto"/>
        <w:jc w:val="both"/>
        <w:rPr>
          <w:noProof/>
        </w:rPr>
      </w:pPr>
      <w:r>
        <w:rPr>
          <w:noProof/>
        </w:rPr>
        <w:t xml:space="preserve">Förnyelse av sötvattensystem, inbegripet regenerering och skydd av floden Mirna, Vransko och Trakoskansjön, samt avlägsnande av invasiva arter i det skyddade Neretva Delta. </w:t>
      </w:r>
    </w:p>
    <w:p w14:paraId="5FC65749"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570F7D1C"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 xml:space="preserve">Reform C1.3 R2. Genomförande av hållbar avfallshantering. </w:t>
      </w:r>
    </w:p>
    <w:p w14:paraId="083F831A" w14:textId="77777777" w:rsidR="003A3D51" w:rsidRDefault="0002775A">
      <w:pPr>
        <w:pStyle w:val="P68B1DB1-Normal3"/>
        <w:spacing w:before="120" w:after="120" w:line="240" w:lineRule="auto"/>
        <w:jc w:val="both"/>
        <w:rPr>
          <w:noProof/>
        </w:rPr>
      </w:pPr>
      <w:r>
        <w:rPr>
          <w:noProof/>
        </w:rPr>
        <w:t>Syftet med denna reform är att skapa en ny rättslig ram för att underlätta förebyggande, återanvändning och återvinning av avfall, i syfte att påskynda övergången till en cirkulär ekonomi. Reformen ska omfatta ikraftträdandet av den nya lagen om avfallshantering i syfte att minska andelen blandat kommunalt avfall och införandet av miljömodulering för system för utökat producentansvar.</w:t>
      </w:r>
    </w:p>
    <w:p w14:paraId="07952D74" w14:textId="77777777" w:rsidR="003A3D51" w:rsidRDefault="0002775A">
      <w:pPr>
        <w:pStyle w:val="P68B1DB1-Normal3"/>
        <w:spacing w:before="120" w:after="120" w:line="240" w:lineRule="auto"/>
        <w:jc w:val="both"/>
        <w:rPr>
          <w:noProof/>
        </w:rPr>
      </w:pPr>
      <w:r>
        <w:rPr>
          <w:noProof/>
        </w:rPr>
        <w:t xml:space="preserve">Reformen ska omfatta antagandet av två avfallshanteringsplaner för perioderna 2017–2022 och 2023–2029. </w:t>
      </w:r>
    </w:p>
    <w:p w14:paraId="00FD66AE" w14:textId="77777777" w:rsidR="003A3D51" w:rsidRDefault="0002775A">
      <w:pPr>
        <w:pStyle w:val="P68B1DB1-Normal3"/>
        <w:spacing w:before="120" w:after="120" w:line="240" w:lineRule="auto"/>
        <w:jc w:val="both"/>
        <w:rPr>
          <w:noProof/>
        </w:rPr>
      </w:pPr>
      <w:r>
        <w:rPr>
          <w:noProof/>
        </w:rPr>
        <w:t>Reformen ska vara genomförd senast den 31 december 2022.</w:t>
      </w:r>
    </w:p>
    <w:p w14:paraId="1458C2C8"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C1.3 R2 – I1 – Program för minskning av bortskaffande av avfall</w:t>
      </w:r>
    </w:p>
    <w:p w14:paraId="2C353485" w14:textId="1F5F6F8B" w:rsidR="003A3D51" w:rsidRDefault="0002775A">
      <w:pPr>
        <w:pStyle w:val="P68B1DB1-Normal3"/>
        <w:spacing w:before="120" w:after="120" w:line="240" w:lineRule="auto"/>
        <w:jc w:val="both"/>
        <w:rPr>
          <w:noProof/>
        </w:rPr>
      </w:pPr>
      <w:r>
        <w:rPr>
          <w:noProof/>
        </w:rPr>
        <w:t xml:space="preserve">Syftet med denna investering är att tillhandahålla den infrastruktur som krävs för att minska deponeringen och främja materialåtervinning, inbegripet uppförande och utrustning av sorteringsanläggningar för separat insamlat kommunalt avfall, anläggningar för separat insamlat biologiskt avfall, återvinningsanläggningar och återvinningsanläggningar för byggavfall samt inrättande av återanvändningscentrum. Denna investering förväntas minska andelen kommunalt avfall som skickas till deponier till 45 % senast den 31 december 2025. </w:t>
      </w:r>
    </w:p>
    <w:p w14:paraId="79EF2BAE" w14:textId="77777777" w:rsidR="003A3D51" w:rsidRDefault="0002775A">
      <w:pPr>
        <w:pStyle w:val="P68B1DB1-Normal20"/>
        <w:spacing w:before="120" w:after="120" w:line="240" w:lineRule="auto"/>
        <w:jc w:val="both"/>
        <w:rPr>
          <w:noProof/>
        </w:rPr>
      </w:pPr>
      <w:r>
        <w:rPr>
          <w:noProof/>
        </w:rPr>
        <w:t>Denna investering ska genomföras genom bidrag till kommuner och företag genom en öppen ansökningsomgång och med prioritering av mogna projekt. Investeringsprogrammet för infrastruktur för separat insamling och materialåtervinning som definieras i reform C1.3 R2 ska fastställa användningen av all annan finansiering, inbegripet från unionsprogram.</w:t>
      </w:r>
    </w:p>
    <w:p w14:paraId="102CAAB3" w14:textId="4E54FFC5" w:rsidR="003A3D51" w:rsidRDefault="0002775A">
      <w:pPr>
        <w:pStyle w:val="P68B1DB1-Normal3"/>
        <w:spacing w:before="120" w:after="120" w:line="240" w:lineRule="auto"/>
        <w:jc w:val="both"/>
        <w:rPr>
          <w:noProof/>
        </w:rPr>
      </w:pPr>
      <w:r>
        <w:rPr>
          <w:noProof/>
        </w:rPr>
        <w:t>Minst 30 delar av utrustning för återvinning och/eller återanvändning ska levereras och tas i drift senast den 31 december 2025.</w:t>
      </w:r>
    </w:p>
    <w:p w14:paraId="1C275927" w14:textId="5C514F20" w:rsidR="003A3D51" w:rsidRDefault="0002775A">
      <w:pPr>
        <w:pStyle w:val="P68B1DB1-Normal3"/>
        <w:spacing w:before="120" w:after="120" w:line="240" w:lineRule="auto"/>
        <w:jc w:val="both"/>
        <w:rPr>
          <w:noProof/>
          <w:shd w:val="clear" w:color="auto" w:fill="FFFFFF"/>
        </w:rPr>
      </w:pPr>
      <w:r>
        <w:rPr>
          <w:noProof/>
        </w:rPr>
        <w:t xml:space="preserve">Biowastrelaterad informations- och utbildningsverksamhet som riktar sig till medborgarna ska genomföras. </w:t>
      </w:r>
    </w:p>
    <w:p w14:paraId="1C9D3EBA" w14:textId="77777777" w:rsidR="003A3D51" w:rsidRDefault="0002775A">
      <w:pPr>
        <w:pStyle w:val="P68B1DB1-Normal20"/>
        <w:spacing w:before="120" w:after="120" w:line="240" w:lineRule="auto"/>
        <w:jc w:val="both"/>
        <w:rPr>
          <w:noProof/>
        </w:rPr>
      </w:pPr>
      <w:r>
        <w:rPr>
          <w:noProof/>
        </w:rPr>
        <w:t xml:space="preserve">Ansökningsomgången kommer att förvaltas av ministeriet för ekonomi och hållbar utveckling, miljöskyddsfonden och energieffektivitetsfonden, och finansieringen ska tillhandahållas av faciliteten för återhämtning och resiliens tillsammans med de stödmottagande kommunerna. </w:t>
      </w:r>
    </w:p>
    <w:p w14:paraId="577C2F69"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5233BC6D"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w:t>
      </w:r>
      <w:r>
        <w:rPr>
          <w:i/>
          <w:noProof/>
        </w:rPr>
        <w:t xml:space="preserve"> </w:t>
      </w:r>
      <w:r>
        <w:rPr>
          <w:noProof/>
        </w:rPr>
        <w:t>C.1.3 R2-I2</w:t>
      </w:r>
      <w:r>
        <w:rPr>
          <w:i/>
          <w:noProof/>
        </w:rPr>
        <w:t xml:space="preserve"> – </w:t>
      </w:r>
      <w:r>
        <w:rPr>
          <w:noProof/>
        </w:rPr>
        <w:t>Remedieringsprogram för stängda deponier och förorenade områden med farligt avfall</w:t>
      </w:r>
    </w:p>
    <w:p w14:paraId="25D08BB3" w14:textId="77777777" w:rsidR="003A3D51" w:rsidRDefault="0002775A">
      <w:pPr>
        <w:pStyle w:val="P68B1DB1-Normal3"/>
        <w:spacing w:before="120" w:after="120" w:line="240" w:lineRule="auto"/>
        <w:jc w:val="both"/>
        <w:rPr>
          <w:noProof/>
        </w:rPr>
      </w:pPr>
      <w:r>
        <w:rPr>
          <w:noProof/>
        </w:rPr>
        <w:t xml:space="preserve">Syftet med denna investering är att sanera tio stängda deponier i distrikten Istria, Lika-Senj, Šibenik-Knin och Koprivnica-Križevačka, för att förhindra ytterligare luft-, mark- och vattenföroreningar. Saneringsprogrammet ska omfatta åtgärder för bortskaffande och behandling av avfall och sanering av mark samt sanering av områden som förorenats med farligt avfall, i enlighet med kriterierna i direktiv 1999/31/EG. </w:t>
      </w:r>
    </w:p>
    <w:p w14:paraId="4C8C0D4C" w14:textId="77777777" w:rsidR="003A3D51" w:rsidRDefault="0002775A">
      <w:pPr>
        <w:pStyle w:val="P68B1DB1-Normal20"/>
        <w:spacing w:before="120" w:after="120" w:line="240" w:lineRule="auto"/>
        <w:jc w:val="both"/>
        <w:rPr>
          <w:noProof/>
        </w:rPr>
      </w:pPr>
      <w:r>
        <w:rPr>
          <w:noProof/>
        </w:rPr>
        <w:t>Denna investering ska genomföras genom bidrag till kommuner som ansvarar för förvaltning och övervakning av deponier genom en öppen ansökningsomgång. Ansökningsomgången kommer att förvaltas av ministeriet för ekonomi och hållbar utveckling, miljöskyddsfonden och energieffektivitetsfonden, och finansieringen ska tillhandahållas av faciliteten för återhämtning och resiliens tillsammans med de stödmottagande kommunerna.</w:t>
      </w:r>
    </w:p>
    <w:p w14:paraId="33E6EA16"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3CAF20CA" w14:textId="77777777" w:rsidR="003A3D51" w:rsidRDefault="003A3D51">
      <w:pPr>
        <w:rPr>
          <w:noProof/>
        </w:rPr>
        <w:sectPr w:rsidR="003A3D51" w:rsidSect="005D4B78">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08" w:footer="708" w:gutter="0"/>
          <w:cols w:space="708"/>
          <w:docGrid w:linePitch="360"/>
        </w:sectPr>
      </w:pPr>
    </w:p>
    <w:p w14:paraId="2589B436"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C.2 </w:t>
      </w:r>
      <w:r>
        <w:rPr>
          <w:noProof/>
        </w:rPr>
        <w:tab/>
        <w:t>Delmål, mål, indikatorer och tidsplan för övervakning och genomförande avseende icke återbetalningspliktigt ekonomiskt stöd</w:t>
      </w:r>
    </w:p>
    <w:tbl>
      <w:tblPr>
        <w:tblpPr w:leftFromText="180" w:rightFromText="180" w:vertAnchor="text" w:tblpXSpec="center" w:tblpY="1"/>
        <w:tblOverlap w:val="never"/>
        <w:tblW w:w="14629" w:type="dxa"/>
        <w:tblLayout w:type="fixed"/>
        <w:tblCellMar>
          <w:top w:w="28" w:type="dxa"/>
          <w:left w:w="28" w:type="dxa"/>
          <w:bottom w:w="28" w:type="dxa"/>
          <w:right w:w="28" w:type="dxa"/>
        </w:tblCellMar>
        <w:tblLook w:val="04A0" w:firstRow="1" w:lastRow="0" w:firstColumn="1" w:lastColumn="0" w:noHBand="0" w:noVBand="1"/>
      </w:tblPr>
      <w:tblGrid>
        <w:gridCol w:w="737"/>
        <w:gridCol w:w="826"/>
        <w:gridCol w:w="895"/>
        <w:gridCol w:w="2248"/>
        <w:gridCol w:w="1985"/>
        <w:gridCol w:w="992"/>
        <w:gridCol w:w="992"/>
        <w:gridCol w:w="873"/>
        <w:gridCol w:w="539"/>
        <w:gridCol w:w="856"/>
        <w:gridCol w:w="3686"/>
      </w:tblGrid>
      <w:tr w:rsidR="003A3D51" w14:paraId="504D6487" w14:textId="77777777">
        <w:trPr>
          <w:tblHead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D33264" w14:textId="77777777" w:rsidR="003A3D51" w:rsidRDefault="0002775A">
            <w:pPr>
              <w:pStyle w:val="P68B1DB1-Normal21"/>
              <w:spacing w:after="0" w:line="276" w:lineRule="auto"/>
              <w:jc w:val="center"/>
              <w:rPr>
                <w:noProof/>
              </w:rPr>
            </w:pPr>
            <w:r>
              <w:rPr>
                <w:noProof/>
              </w:rPr>
              <w:t>Antal</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40F7B2" w14:textId="77777777" w:rsidR="003A3D51" w:rsidRDefault="0002775A">
            <w:pPr>
              <w:pStyle w:val="P68B1DB1-Normal21"/>
              <w:spacing w:after="0" w:line="276" w:lineRule="auto"/>
              <w:jc w:val="center"/>
              <w:rPr>
                <w:noProof/>
              </w:rPr>
            </w:pPr>
            <w:r>
              <w:rPr>
                <w:noProof/>
              </w:rPr>
              <w:t>Åtgärd</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6B71E9" w14:textId="77777777" w:rsidR="003A3D51" w:rsidRDefault="0002775A">
            <w:pPr>
              <w:pStyle w:val="P68B1DB1-Normal21"/>
              <w:spacing w:after="0" w:line="276" w:lineRule="auto"/>
              <w:jc w:val="center"/>
              <w:rPr>
                <w:noProof/>
              </w:rPr>
            </w:pPr>
            <w:r>
              <w:rPr>
                <w:noProof/>
              </w:rPr>
              <w:t>Delmål/mål</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FDB011" w14:textId="77777777" w:rsidR="003A3D51" w:rsidRDefault="0002775A">
            <w:pPr>
              <w:pStyle w:val="P68B1DB1-Normal21"/>
              <w:spacing w:after="0" w:line="276" w:lineRule="auto"/>
              <w:jc w:val="center"/>
              <w:rPr>
                <w:noProof/>
              </w:rPr>
            </w:pPr>
            <w:r>
              <w:rPr>
                <w:noProof/>
              </w:rPr>
              <w:t>Namn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584D66" w14:textId="77777777" w:rsidR="003A3D51" w:rsidRDefault="0002775A">
            <w:pPr>
              <w:pStyle w:val="P68B1DB1-Normal13"/>
              <w:spacing w:after="0" w:line="276" w:lineRule="auto"/>
              <w:jc w:val="center"/>
              <w:rPr>
                <w:rFonts w:eastAsia="Times New Roman" w:cstheme="minorHAnsi"/>
                <w:b/>
                <w:noProof/>
              </w:rPr>
            </w:pPr>
            <w:r>
              <w:rPr>
                <w:rFonts w:eastAsia="Times New Roman" w:cstheme="minorHAnsi"/>
                <w:b/>
                <w:noProof/>
              </w:rPr>
              <w:t>Kvalitativa indikatorer</w:t>
            </w:r>
            <w:r>
              <w:rPr>
                <w:rFonts w:eastAsia="Calibri" w:cstheme="minorHAnsi"/>
                <w:noProof/>
              </w:rPr>
              <w:br/>
            </w:r>
            <w:r>
              <w:rPr>
                <w:rFonts w:eastAsia="Times New Roman" w:cstheme="minorHAnsi"/>
                <w:b/>
                <w:noProof/>
              </w:rPr>
              <w:t>(för delmål)</w:t>
            </w:r>
          </w:p>
        </w:tc>
        <w:tc>
          <w:tcPr>
            <w:tcW w:w="2857"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479E17FF" w14:textId="77777777" w:rsidR="003A3D51" w:rsidRDefault="0002775A">
            <w:pPr>
              <w:pStyle w:val="P68B1DB1-Normal13"/>
              <w:spacing w:after="0" w:line="276" w:lineRule="auto"/>
              <w:jc w:val="center"/>
              <w:rPr>
                <w:rFonts w:eastAsia="Times New Roman" w:cstheme="minorHAnsi"/>
                <w:b/>
                <w:noProof/>
              </w:rPr>
            </w:pPr>
            <w:r>
              <w:rPr>
                <w:rFonts w:eastAsia="Times New Roman" w:cstheme="minorHAnsi"/>
                <w:b/>
                <w:noProof/>
              </w:rPr>
              <w:t>Kvantitativa indikatorer</w:t>
            </w:r>
            <w:r>
              <w:rPr>
                <w:rFonts w:eastAsia="Calibri" w:cstheme="minorHAnsi"/>
                <w:noProof/>
              </w:rPr>
              <w:br/>
            </w:r>
            <w:r>
              <w:rPr>
                <w:rFonts w:eastAsia="Times New Roman" w:cstheme="minorHAnsi"/>
                <w:b/>
                <w:noProof/>
              </w:rPr>
              <w:t>(för mål)</w:t>
            </w:r>
          </w:p>
        </w:tc>
        <w:tc>
          <w:tcPr>
            <w:tcW w:w="1395" w:type="dxa"/>
            <w:gridSpan w:val="2"/>
            <w:tcBorders>
              <w:top w:val="single" w:sz="4" w:space="0" w:color="auto"/>
              <w:left w:val="single" w:sz="4" w:space="0" w:color="auto"/>
              <w:bottom w:val="single" w:sz="4" w:space="0" w:color="auto"/>
              <w:right w:val="single" w:sz="4" w:space="0" w:color="auto"/>
            </w:tcBorders>
            <w:shd w:val="clear" w:color="auto" w:fill="BDD7EE"/>
            <w:hideMark/>
          </w:tcPr>
          <w:p w14:paraId="170B7897" w14:textId="77777777" w:rsidR="003A3D51" w:rsidRDefault="0002775A">
            <w:pPr>
              <w:pStyle w:val="P68B1DB1-Normal21"/>
              <w:spacing w:after="0" w:line="276" w:lineRule="auto"/>
              <w:jc w:val="center"/>
              <w:rPr>
                <w:noProof/>
              </w:rPr>
            </w:pPr>
            <w:r>
              <w:rPr>
                <w:noProof/>
              </w:rPr>
              <w:t>Tid</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1E025D" w14:textId="77777777" w:rsidR="003A3D51" w:rsidRDefault="0002775A">
            <w:pPr>
              <w:pStyle w:val="P68B1DB1-Normal21"/>
              <w:spacing w:after="0" w:line="276" w:lineRule="auto"/>
              <w:jc w:val="center"/>
              <w:rPr>
                <w:noProof/>
              </w:rPr>
            </w:pPr>
            <w:r>
              <w:rPr>
                <w:noProof/>
              </w:rPr>
              <w:t>Beskrivning av varje delmål och mål</w:t>
            </w:r>
          </w:p>
        </w:tc>
      </w:tr>
      <w:tr w:rsidR="003A3D51" w14:paraId="75631DE5" w14:textId="77777777">
        <w:trPr>
          <w:tblHeader/>
        </w:trPr>
        <w:tc>
          <w:tcPr>
            <w:tcW w:w="737" w:type="dxa"/>
            <w:vMerge/>
            <w:tcBorders>
              <w:top w:val="single" w:sz="4" w:space="0" w:color="auto"/>
              <w:left w:val="single" w:sz="4" w:space="0" w:color="auto"/>
              <w:bottom w:val="single" w:sz="4" w:space="0" w:color="auto"/>
              <w:right w:val="single" w:sz="4" w:space="0" w:color="auto"/>
            </w:tcBorders>
            <w:hideMark/>
          </w:tcPr>
          <w:p w14:paraId="44167878" w14:textId="77777777" w:rsidR="003A3D51" w:rsidRDefault="003A3D51">
            <w:pPr>
              <w:spacing w:after="0" w:line="276" w:lineRule="auto"/>
              <w:rPr>
                <w:rFonts w:eastAsia="Times New Roman" w:cstheme="minorHAnsi"/>
                <w:b/>
                <w:noProof/>
                <w:sz w:val="20"/>
              </w:rPr>
            </w:pPr>
          </w:p>
        </w:tc>
        <w:tc>
          <w:tcPr>
            <w:tcW w:w="826" w:type="dxa"/>
            <w:vMerge/>
            <w:tcBorders>
              <w:top w:val="single" w:sz="4" w:space="0" w:color="auto"/>
              <w:left w:val="single" w:sz="4" w:space="0" w:color="auto"/>
              <w:bottom w:val="single" w:sz="4" w:space="0" w:color="auto"/>
              <w:right w:val="single" w:sz="4" w:space="0" w:color="auto"/>
            </w:tcBorders>
            <w:hideMark/>
          </w:tcPr>
          <w:p w14:paraId="2D185CE0" w14:textId="77777777" w:rsidR="003A3D51" w:rsidRDefault="003A3D51">
            <w:pPr>
              <w:spacing w:after="0" w:line="276" w:lineRule="auto"/>
              <w:jc w:val="center"/>
              <w:rPr>
                <w:rFonts w:eastAsia="Times New Roman" w:cstheme="minorHAnsi"/>
                <w:b/>
                <w:noProof/>
                <w:sz w:val="20"/>
              </w:rPr>
            </w:pPr>
          </w:p>
        </w:tc>
        <w:tc>
          <w:tcPr>
            <w:tcW w:w="895" w:type="dxa"/>
            <w:vMerge/>
            <w:tcBorders>
              <w:top w:val="single" w:sz="4" w:space="0" w:color="auto"/>
              <w:left w:val="single" w:sz="4" w:space="0" w:color="auto"/>
              <w:bottom w:val="single" w:sz="4" w:space="0" w:color="auto"/>
              <w:right w:val="single" w:sz="4" w:space="0" w:color="auto"/>
            </w:tcBorders>
            <w:hideMark/>
          </w:tcPr>
          <w:p w14:paraId="1AAFC994" w14:textId="77777777" w:rsidR="003A3D51" w:rsidRDefault="003A3D51">
            <w:pPr>
              <w:spacing w:after="0" w:line="276" w:lineRule="auto"/>
              <w:jc w:val="center"/>
              <w:rPr>
                <w:rFonts w:eastAsia="Times New Roman" w:cstheme="minorHAnsi"/>
                <w:b/>
                <w:noProof/>
                <w:sz w:val="20"/>
              </w:rPr>
            </w:pPr>
          </w:p>
        </w:tc>
        <w:tc>
          <w:tcPr>
            <w:tcW w:w="2248" w:type="dxa"/>
            <w:vMerge/>
            <w:tcBorders>
              <w:top w:val="single" w:sz="4" w:space="0" w:color="auto"/>
              <w:left w:val="single" w:sz="4" w:space="0" w:color="auto"/>
              <w:bottom w:val="single" w:sz="4" w:space="0" w:color="auto"/>
              <w:right w:val="single" w:sz="4" w:space="0" w:color="auto"/>
            </w:tcBorders>
            <w:hideMark/>
          </w:tcPr>
          <w:p w14:paraId="64D50230" w14:textId="77777777" w:rsidR="003A3D51" w:rsidRDefault="003A3D51">
            <w:pPr>
              <w:spacing w:after="0" w:line="276" w:lineRule="auto"/>
              <w:rPr>
                <w:rFonts w:eastAsia="Times New Roman" w:cstheme="minorHAnsi"/>
                <w:b/>
                <w:noProof/>
                <w:sz w:val="20"/>
              </w:rPr>
            </w:pPr>
          </w:p>
        </w:tc>
        <w:tc>
          <w:tcPr>
            <w:tcW w:w="1985" w:type="dxa"/>
            <w:vMerge/>
            <w:tcBorders>
              <w:top w:val="single" w:sz="4" w:space="0" w:color="auto"/>
              <w:left w:val="single" w:sz="4" w:space="0" w:color="auto"/>
              <w:bottom w:val="single" w:sz="4" w:space="0" w:color="auto"/>
              <w:right w:val="single" w:sz="4" w:space="0" w:color="auto"/>
            </w:tcBorders>
            <w:hideMark/>
          </w:tcPr>
          <w:p w14:paraId="5AC1D9F5" w14:textId="77777777" w:rsidR="003A3D51" w:rsidRDefault="003A3D51">
            <w:pPr>
              <w:spacing w:after="0" w:line="276" w:lineRule="auto"/>
              <w:rPr>
                <w:rFonts w:eastAsia="Times New Roman" w:cstheme="minorHAnsi"/>
                <w:b/>
                <w:noProof/>
                <w:sz w:val="20"/>
              </w:rPr>
            </w:pPr>
          </w:p>
        </w:tc>
        <w:tc>
          <w:tcPr>
            <w:tcW w:w="992" w:type="dxa"/>
            <w:tcBorders>
              <w:top w:val="single" w:sz="4" w:space="0" w:color="auto"/>
              <w:left w:val="single" w:sz="4" w:space="0" w:color="auto"/>
              <w:bottom w:val="single" w:sz="4" w:space="0" w:color="auto"/>
              <w:right w:val="single" w:sz="4" w:space="0" w:color="auto"/>
            </w:tcBorders>
            <w:shd w:val="clear" w:color="auto" w:fill="BDD7EE"/>
            <w:hideMark/>
          </w:tcPr>
          <w:p w14:paraId="59D362C5" w14:textId="77777777" w:rsidR="003A3D51" w:rsidRDefault="0002775A">
            <w:pPr>
              <w:pStyle w:val="P68B1DB1-Normal21"/>
              <w:spacing w:after="0" w:line="276" w:lineRule="auto"/>
              <w:jc w:val="center"/>
              <w:rPr>
                <w:noProof/>
              </w:rPr>
            </w:pPr>
            <w:r>
              <w:rPr>
                <w:noProof/>
              </w:rPr>
              <w:t>Enhet</w:t>
            </w:r>
          </w:p>
        </w:tc>
        <w:tc>
          <w:tcPr>
            <w:tcW w:w="992" w:type="dxa"/>
            <w:tcBorders>
              <w:top w:val="single" w:sz="4" w:space="0" w:color="auto"/>
              <w:left w:val="nil"/>
              <w:bottom w:val="single" w:sz="4" w:space="0" w:color="auto"/>
              <w:right w:val="single" w:sz="4" w:space="0" w:color="auto"/>
            </w:tcBorders>
            <w:shd w:val="clear" w:color="auto" w:fill="BDD7EE"/>
            <w:hideMark/>
          </w:tcPr>
          <w:p w14:paraId="1D810672" w14:textId="77777777" w:rsidR="003A3D51" w:rsidRDefault="0002775A">
            <w:pPr>
              <w:pStyle w:val="P68B1DB1-Normal21"/>
              <w:spacing w:after="0" w:line="276" w:lineRule="auto"/>
              <w:jc w:val="center"/>
              <w:rPr>
                <w:noProof/>
              </w:rPr>
            </w:pPr>
            <w:r>
              <w:rPr>
                <w:noProof/>
              </w:rPr>
              <w:t>Baslinjen</w:t>
            </w:r>
          </w:p>
        </w:tc>
        <w:tc>
          <w:tcPr>
            <w:tcW w:w="873" w:type="dxa"/>
            <w:tcBorders>
              <w:top w:val="single" w:sz="4" w:space="0" w:color="auto"/>
              <w:left w:val="nil"/>
              <w:bottom w:val="single" w:sz="4" w:space="0" w:color="auto"/>
              <w:right w:val="single" w:sz="4" w:space="0" w:color="auto"/>
            </w:tcBorders>
            <w:shd w:val="clear" w:color="auto" w:fill="BDD7EE"/>
            <w:hideMark/>
          </w:tcPr>
          <w:p w14:paraId="79E105F2" w14:textId="77777777" w:rsidR="003A3D51" w:rsidRDefault="0002775A">
            <w:pPr>
              <w:pStyle w:val="P68B1DB1-Normal21"/>
              <w:spacing w:after="0" w:line="276" w:lineRule="auto"/>
              <w:jc w:val="center"/>
              <w:rPr>
                <w:noProof/>
              </w:rPr>
            </w:pPr>
            <w:r>
              <w:rPr>
                <w:noProof/>
              </w:rPr>
              <w:t>Mål</w:t>
            </w:r>
          </w:p>
        </w:tc>
        <w:tc>
          <w:tcPr>
            <w:tcW w:w="539" w:type="dxa"/>
            <w:tcBorders>
              <w:top w:val="single" w:sz="4" w:space="0" w:color="auto"/>
              <w:left w:val="nil"/>
              <w:bottom w:val="single" w:sz="4" w:space="0" w:color="auto"/>
              <w:right w:val="single" w:sz="4" w:space="0" w:color="auto"/>
            </w:tcBorders>
            <w:shd w:val="clear" w:color="auto" w:fill="BDD7EE"/>
            <w:hideMark/>
          </w:tcPr>
          <w:p w14:paraId="48AE2081" w14:textId="77777777" w:rsidR="003A3D51" w:rsidRDefault="0002775A">
            <w:pPr>
              <w:pStyle w:val="P68B1DB1-Normal21"/>
              <w:spacing w:after="0" w:line="276" w:lineRule="auto"/>
              <w:jc w:val="center"/>
              <w:rPr>
                <w:noProof/>
              </w:rPr>
            </w:pPr>
            <w:r>
              <w:rPr>
                <w:noProof/>
              </w:rPr>
              <w:t>Q</w:t>
            </w:r>
          </w:p>
        </w:tc>
        <w:tc>
          <w:tcPr>
            <w:tcW w:w="856" w:type="dxa"/>
            <w:tcBorders>
              <w:top w:val="single" w:sz="4" w:space="0" w:color="auto"/>
              <w:left w:val="nil"/>
              <w:bottom w:val="single" w:sz="4" w:space="0" w:color="auto"/>
              <w:right w:val="single" w:sz="4" w:space="0" w:color="auto"/>
            </w:tcBorders>
            <w:shd w:val="clear" w:color="auto" w:fill="BDD7EE"/>
            <w:hideMark/>
          </w:tcPr>
          <w:p w14:paraId="5B21DDFD" w14:textId="77777777" w:rsidR="003A3D51" w:rsidRDefault="0002775A">
            <w:pPr>
              <w:pStyle w:val="P68B1DB1-Normal21"/>
              <w:spacing w:after="0" w:line="276" w:lineRule="auto"/>
              <w:jc w:val="center"/>
              <w:rPr>
                <w:noProof/>
              </w:rPr>
            </w:pPr>
            <w:r>
              <w:rPr>
                <w:noProof/>
              </w:rPr>
              <w:t>Året</w:t>
            </w:r>
          </w:p>
        </w:tc>
        <w:tc>
          <w:tcPr>
            <w:tcW w:w="3686" w:type="dxa"/>
            <w:vMerge/>
            <w:tcBorders>
              <w:top w:val="single" w:sz="4" w:space="0" w:color="auto"/>
              <w:bottom w:val="single" w:sz="4" w:space="0" w:color="auto"/>
              <w:right w:val="single" w:sz="4" w:space="0" w:color="auto"/>
            </w:tcBorders>
            <w:hideMark/>
          </w:tcPr>
          <w:p w14:paraId="3D4E06AE" w14:textId="77777777" w:rsidR="003A3D51" w:rsidRDefault="003A3D51">
            <w:pPr>
              <w:spacing w:after="0" w:line="276" w:lineRule="auto"/>
              <w:rPr>
                <w:rFonts w:eastAsia="Times New Roman" w:cstheme="minorHAnsi"/>
                <w:b/>
                <w:noProof/>
                <w:sz w:val="20"/>
              </w:rPr>
            </w:pPr>
          </w:p>
        </w:tc>
      </w:tr>
      <w:tr w:rsidR="003A3D51" w14:paraId="095970DB"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67ECE7A" w14:textId="77777777" w:rsidR="003A3D51" w:rsidRDefault="0002775A">
            <w:pPr>
              <w:pStyle w:val="P68B1DB1-Normal16"/>
              <w:spacing w:after="0" w:line="276" w:lineRule="auto"/>
              <w:jc w:val="center"/>
              <w:rPr>
                <w:noProof/>
              </w:rPr>
            </w:pPr>
            <w:r>
              <w:rPr>
                <w:noProof/>
              </w:rPr>
              <w:t>59</w:t>
            </w:r>
          </w:p>
        </w:tc>
        <w:tc>
          <w:tcPr>
            <w:tcW w:w="826" w:type="dxa"/>
            <w:tcBorders>
              <w:top w:val="single" w:sz="4" w:space="0" w:color="auto"/>
              <w:left w:val="nil"/>
              <w:bottom w:val="single" w:sz="4" w:space="0" w:color="auto"/>
              <w:right w:val="single" w:sz="4" w:space="0" w:color="auto"/>
            </w:tcBorders>
            <w:shd w:val="clear" w:color="auto" w:fill="C6EFCE"/>
            <w:noWrap/>
          </w:tcPr>
          <w:p w14:paraId="79C41AEC" w14:textId="77777777" w:rsidR="003A3D51" w:rsidRDefault="0002775A">
            <w:pPr>
              <w:pStyle w:val="P68B1DB1-Normal16"/>
              <w:spacing w:after="200" w:line="276" w:lineRule="auto"/>
              <w:jc w:val="center"/>
              <w:rPr>
                <w:noProof/>
              </w:rPr>
            </w:pPr>
            <w:r>
              <w:rPr>
                <w:noProof/>
              </w:rPr>
              <w:t>C1.3 R1</w:t>
            </w:r>
          </w:p>
        </w:tc>
        <w:tc>
          <w:tcPr>
            <w:tcW w:w="895" w:type="dxa"/>
            <w:tcBorders>
              <w:top w:val="single" w:sz="4" w:space="0" w:color="auto"/>
              <w:left w:val="nil"/>
              <w:bottom w:val="single" w:sz="4" w:space="0" w:color="auto"/>
              <w:right w:val="single" w:sz="4" w:space="0" w:color="auto"/>
            </w:tcBorders>
            <w:shd w:val="clear" w:color="auto" w:fill="C6EFCE"/>
            <w:noWrap/>
          </w:tcPr>
          <w:p w14:paraId="7349D2A2" w14:textId="77777777" w:rsidR="003A3D51" w:rsidRDefault="0002775A">
            <w:pPr>
              <w:pStyle w:val="P68B1DB1-Normal16"/>
              <w:spacing w:after="200" w:line="276" w:lineRule="auto"/>
              <w:jc w:val="center"/>
              <w:rPr>
                <w:noProof/>
              </w:rPr>
            </w:pPr>
            <w:r>
              <w:rPr>
                <w:noProof/>
              </w:rPr>
              <w:t>M</w:t>
            </w:r>
          </w:p>
        </w:tc>
        <w:tc>
          <w:tcPr>
            <w:tcW w:w="2248" w:type="dxa"/>
            <w:tcBorders>
              <w:top w:val="single" w:sz="4" w:space="0" w:color="auto"/>
              <w:left w:val="nil"/>
              <w:bottom w:val="single" w:sz="4" w:space="0" w:color="auto"/>
              <w:right w:val="single" w:sz="4" w:space="0" w:color="auto"/>
            </w:tcBorders>
            <w:shd w:val="clear" w:color="auto" w:fill="C6EFCE"/>
            <w:noWrap/>
          </w:tcPr>
          <w:p w14:paraId="72227747" w14:textId="77777777" w:rsidR="003A3D51" w:rsidRDefault="0002775A">
            <w:pPr>
              <w:pStyle w:val="P68B1DB1-Normal16"/>
              <w:spacing w:after="200" w:line="276" w:lineRule="auto"/>
              <w:rPr>
                <w:noProof/>
              </w:rPr>
            </w:pPr>
            <w:r>
              <w:rPr>
                <w:noProof/>
              </w:rPr>
              <w:t>Antagande av det fleråriga byggprogrammet för vattenrening och rening av avloppsvatten från tätbebyggelse</w:t>
            </w:r>
          </w:p>
        </w:tc>
        <w:tc>
          <w:tcPr>
            <w:tcW w:w="1985" w:type="dxa"/>
            <w:tcBorders>
              <w:top w:val="single" w:sz="4" w:space="0" w:color="auto"/>
              <w:left w:val="nil"/>
              <w:bottom w:val="single" w:sz="4" w:space="0" w:color="auto"/>
              <w:right w:val="single" w:sz="4" w:space="0" w:color="auto"/>
            </w:tcBorders>
            <w:shd w:val="clear" w:color="auto" w:fill="C6EFCE"/>
            <w:noWrap/>
          </w:tcPr>
          <w:p w14:paraId="2F46C452" w14:textId="77777777" w:rsidR="003A3D51" w:rsidRDefault="0002775A">
            <w:pPr>
              <w:pStyle w:val="P68B1DB1-Normal16"/>
              <w:spacing w:after="200" w:line="276" w:lineRule="auto"/>
              <w:rPr>
                <w:noProof/>
              </w:rPr>
            </w:pPr>
            <w:r>
              <w:rPr>
                <w:noProof/>
              </w:rPr>
              <w:t xml:space="preserve">Offentliggörande av det fleråriga byggprogrammet för vatten och avloppsvatten </w:t>
            </w:r>
          </w:p>
        </w:tc>
        <w:tc>
          <w:tcPr>
            <w:tcW w:w="992" w:type="dxa"/>
            <w:tcBorders>
              <w:top w:val="nil"/>
              <w:left w:val="nil"/>
              <w:bottom w:val="single" w:sz="4" w:space="0" w:color="auto"/>
              <w:right w:val="single" w:sz="4" w:space="0" w:color="auto"/>
            </w:tcBorders>
            <w:shd w:val="clear" w:color="auto" w:fill="C6EFCE"/>
            <w:noWrap/>
          </w:tcPr>
          <w:p w14:paraId="48E65C6C" w14:textId="77777777" w:rsidR="003A3D51" w:rsidRDefault="0002775A">
            <w:pPr>
              <w:pStyle w:val="P68B1DB1-Normal16"/>
              <w:spacing w:after="200" w:line="276" w:lineRule="auto"/>
              <w:jc w:val="center"/>
              <w:rPr>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487484E2" w14:textId="77777777" w:rsidR="003A3D51" w:rsidRDefault="0002775A">
            <w:pPr>
              <w:pStyle w:val="P68B1DB1-Normal16"/>
              <w:spacing w:after="200" w:line="276" w:lineRule="auto"/>
              <w:jc w:val="center"/>
              <w:rPr>
                <w:noProof/>
              </w:rPr>
            </w:pPr>
            <w:r>
              <w:rPr>
                <w:noProof/>
              </w:rPr>
              <w:t> </w:t>
            </w:r>
          </w:p>
        </w:tc>
        <w:tc>
          <w:tcPr>
            <w:tcW w:w="873" w:type="dxa"/>
            <w:tcBorders>
              <w:top w:val="nil"/>
              <w:left w:val="nil"/>
              <w:bottom w:val="single" w:sz="4" w:space="0" w:color="auto"/>
              <w:right w:val="single" w:sz="4" w:space="0" w:color="auto"/>
            </w:tcBorders>
            <w:shd w:val="clear" w:color="auto" w:fill="C6EFCE"/>
            <w:noWrap/>
          </w:tcPr>
          <w:p w14:paraId="391AB04A" w14:textId="77777777" w:rsidR="003A3D51" w:rsidRDefault="0002775A">
            <w:pPr>
              <w:pStyle w:val="P68B1DB1-Normal16"/>
              <w:spacing w:after="200" w:line="276" w:lineRule="auto"/>
              <w:jc w:val="center"/>
              <w:rPr>
                <w:noProof/>
              </w:rPr>
            </w:pPr>
            <w:r>
              <w:rPr>
                <w:noProof/>
              </w:rPr>
              <w:t> </w:t>
            </w:r>
          </w:p>
        </w:tc>
        <w:tc>
          <w:tcPr>
            <w:tcW w:w="539" w:type="dxa"/>
            <w:tcBorders>
              <w:top w:val="nil"/>
              <w:left w:val="nil"/>
              <w:bottom w:val="single" w:sz="4" w:space="0" w:color="auto"/>
              <w:right w:val="single" w:sz="4" w:space="0" w:color="auto"/>
            </w:tcBorders>
            <w:shd w:val="clear" w:color="auto" w:fill="C6EFCE"/>
            <w:noWrap/>
          </w:tcPr>
          <w:p w14:paraId="4FE9C6B9" w14:textId="77777777" w:rsidR="003A3D51" w:rsidRDefault="0002775A">
            <w:pPr>
              <w:pStyle w:val="P68B1DB1-Normal16"/>
              <w:spacing w:after="200" w:line="276" w:lineRule="auto"/>
              <w:jc w:val="center"/>
              <w:rPr>
                <w:noProof/>
              </w:rPr>
            </w:pPr>
            <w:r>
              <w:rPr>
                <w:noProof/>
              </w:rPr>
              <w:t>KVARTAL 4</w:t>
            </w:r>
          </w:p>
        </w:tc>
        <w:tc>
          <w:tcPr>
            <w:tcW w:w="856" w:type="dxa"/>
            <w:tcBorders>
              <w:top w:val="nil"/>
              <w:left w:val="nil"/>
              <w:bottom w:val="single" w:sz="4" w:space="0" w:color="auto"/>
              <w:right w:val="single" w:sz="4" w:space="0" w:color="auto"/>
            </w:tcBorders>
            <w:shd w:val="clear" w:color="auto" w:fill="C6EFCE"/>
            <w:noWrap/>
          </w:tcPr>
          <w:p w14:paraId="567977C1" w14:textId="77777777" w:rsidR="003A3D51" w:rsidRDefault="0002775A">
            <w:pPr>
              <w:pStyle w:val="P68B1DB1-Normal16"/>
              <w:spacing w:after="200" w:line="276" w:lineRule="auto"/>
              <w:jc w:val="center"/>
              <w:rPr>
                <w:noProof/>
              </w:rPr>
            </w:pPr>
            <w:r>
              <w:rPr>
                <w:noProof/>
              </w:rPr>
              <w:t>2021</w:t>
            </w:r>
          </w:p>
        </w:tc>
        <w:tc>
          <w:tcPr>
            <w:tcW w:w="3686" w:type="dxa"/>
            <w:tcBorders>
              <w:top w:val="single" w:sz="4" w:space="0" w:color="auto"/>
              <w:left w:val="nil"/>
              <w:bottom w:val="single" w:sz="4" w:space="0" w:color="auto"/>
              <w:right w:val="single" w:sz="4" w:space="0" w:color="auto"/>
            </w:tcBorders>
            <w:shd w:val="clear" w:color="auto" w:fill="C6EFCE"/>
            <w:noWrap/>
          </w:tcPr>
          <w:p w14:paraId="0CF40B12" w14:textId="77777777" w:rsidR="003A3D51" w:rsidRDefault="0002775A">
            <w:pPr>
              <w:pStyle w:val="P68B1DB1-Normal16"/>
              <w:spacing w:after="200" w:line="276" w:lineRule="auto"/>
              <w:rPr>
                <w:noProof/>
              </w:rPr>
            </w:pPr>
            <w:r>
              <w:rPr>
                <w:noProof/>
              </w:rPr>
              <w:t>Republiken Kroatiens regering ska anta det fleråriga byggnadsprogrammet för vatten och avloppsvatten, som ska omfatta nödvändiga investeringar, inbegripet prioritering, för att uppfylla kraven i direktivet om rening av avloppsvatten från tätbebyggelse. Planen ska också innehålla en bedömning av risker och riskreducerande åtgärder.</w:t>
            </w:r>
          </w:p>
        </w:tc>
      </w:tr>
      <w:tr w:rsidR="003A3D51" w14:paraId="78BFD085" w14:textId="77777777">
        <w:tc>
          <w:tcPr>
            <w:tcW w:w="737" w:type="dxa"/>
            <w:tcBorders>
              <w:top w:val="nil"/>
              <w:left w:val="single" w:sz="4" w:space="0" w:color="auto"/>
              <w:bottom w:val="single" w:sz="4" w:space="0" w:color="auto"/>
              <w:right w:val="single" w:sz="4" w:space="0" w:color="auto"/>
            </w:tcBorders>
            <w:shd w:val="clear" w:color="auto" w:fill="C6EFCE"/>
            <w:noWrap/>
          </w:tcPr>
          <w:p w14:paraId="474B47B1" w14:textId="77777777" w:rsidR="003A3D51" w:rsidRDefault="0002775A">
            <w:pPr>
              <w:pStyle w:val="P68B1DB1-Normal16"/>
              <w:spacing w:after="200" w:line="276" w:lineRule="auto"/>
              <w:jc w:val="center"/>
              <w:rPr>
                <w:noProof/>
              </w:rPr>
            </w:pPr>
            <w:r>
              <w:rPr>
                <w:noProof/>
              </w:rPr>
              <w:t>60</w:t>
            </w:r>
          </w:p>
        </w:tc>
        <w:tc>
          <w:tcPr>
            <w:tcW w:w="826" w:type="dxa"/>
            <w:tcBorders>
              <w:top w:val="nil"/>
              <w:left w:val="nil"/>
              <w:bottom w:val="single" w:sz="4" w:space="0" w:color="auto"/>
              <w:right w:val="single" w:sz="4" w:space="0" w:color="auto"/>
            </w:tcBorders>
            <w:shd w:val="clear" w:color="auto" w:fill="C6EFCE"/>
            <w:noWrap/>
          </w:tcPr>
          <w:p w14:paraId="2E0A2BBE" w14:textId="77777777" w:rsidR="003A3D51" w:rsidRDefault="0002775A">
            <w:pPr>
              <w:pStyle w:val="P68B1DB1-Normal16"/>
              <w:spacing w:after="200" w:line="276" w:lineRule="auto"/>
              <w:jc w:val="center"/>
              <w:rPr>
                <w:noProof/>
              </w:rPr>
            </w:pPr>
            <w:r>
              <w:rPr>
                <w:noProof/>
              </w:rPr>
              <w:t>C1.3 R1</w:t>
            </w:r>
          </w:p>
        </w:tc>
        <w:tc>
          <w:tcPr>
            <w:tcW w:w="895" w:type="dxa"/>
            <w:tcBorders>
              <w:top w:val="nil"/>
              <w:left w:val="nil"/>
              <w:bottom w:val="single" w:sz="4" w:space="0" w:color="auto"/>
              <w:right w:val="single" w:sz="4" w:space="0" w:color="auto"/>
            </w:tcBorders>
            <w:shd w:val="clear" w:color="auto" w:fill="C6EFCE"/>
            <w:noWrap/>
          </w:tcPr>
          <w:p w14:paraId="573CD4B7" w14:textId="77777777" w:rsidR="003A3D51" w:rsidRDefault="0002775A">
            <w:pPr>
              <w:pStyle w:val="P68B1DB1-Normal16"/>
              <w:spacing w:after="200" w:line="276" w:lineRule="auto"/>
              <w:jc w:val="center"/>
              <w:rPr>
                <w:noProof/>
              </w:rPr>
            </w:pPr>
            <w:r>
              <w:rPr>
                <w:noProof/>
              </w:rPr>
              <w:t>M</w:t>
            </w:r>
          </w:p>
        </w:tc>
        <w:tc>
          <w:tcPr>
            <w:tcW w:w="2248" w:type="dxa"/>
            <w:tcBorders>
              <w:top w:val="nil"/>
              <w:left w:val="nil"/>
              <w:bottom w:val="single" w:sz="4" w:space="0" w:color="auto"/>
              <w:right w:val="single" w:sz="4" w:space="0" w:color="auto"/>
            </w:tcBorders>
            <w:shd w:val="clear" w:color="auto" w:fill="C6EFCE"/>
            <w:noWrap/>
          </w:tcPr>
          <w:p w14:paraId="53B94F44" w14:textId="77777777" w:rsidR="003A3D51" w:rsidRDefault="0002775A">
            <w:pPr>
              <w:pStyle w:val="P68B1DB1-Normal16"/>
              <w:spacing w:after="200" w:line="276" w:lineRule="auto"/>
              <w:rPr>
                <w:noProof/>
              </w:rPr>
            </w:pPr>
            <w:r>
              <w:rPr>
                <w:noProof/>
              </w:rPr>
              <w:t xml:space="preserve">Ändringar av den rättsliga ramen för vattensektorn </w:t>
            </w:r>
          </w:p>
        </w:tc>
        <w:tc>
          <w:tcPr>
            <w:tcW w:w="1985" w:type="dxa"/>
            <w:tcBorders>
              <w:top w:val="nil"/>
              <w:left w:val="nil"/>
              <w:bottom w:val="single" w:sz="4" w:space="0" w:color="auto"/>
              <w:right w:val="single" w:sz="4" w:space="0" w:color="auto"/>
            </w:tcBorders>
            <w:shd w:val="clear" w:color="auto" w:fill="C6EFCE"/>
            <w:noWrap/>
          </w:tcPr>
          <w:p w14:paraId="0722B4EE" w14:textId="77777777" w:rsidR="003A3D51" w:rsidRDefault="0002775A">
            <w:pPr>
              <w:pStyle w:val="P68B1DB1-Normal16"/>
              <w:spacing w:after="200" w:line="276" w:lineRule="auto"/>
              <w:rPr>
                <w:noProof/>
              </w:rPr>
            </w:pPr>
            <w:r>
              <w:rPr>
                <w:noProof/>
              </w:rPr>
              <w:t xml:space="preserve">Fyra lagändringar träder i kraft för att i) Förordningen om tjänsteområden. </w:t>
            </w:r>
            <w:r>
              <w:rPr>
                <w:noProof/>
              </w:rPr>
              <w:br/>
              <w:t xml:space="preserve">II) Förordningen om utvärdering av vattenoperatörernas prestanda. III) Förordning om </w:t>
            </w:r>
            <w:r>
              <w:rPr>
                <w:noProof/>
              </w:rPr>
              <w:br/>
              <w:t xml:space="preserve">metoden för att fastställa prissättningen på vattentjänster. IV) Förordning om särskilda villkor för tillhandahållande av vattentjänster, som kommer att reformera offentliga vattenoperatörer. </w:t>
            </w:r>
          </w:p>
        </w:tc>
        <w:tc>
          <w:tcPr>
            <w:tcW w:w="992" w:type="dxa"/>
            <w:tcBorders>
              <w:top w:val="nil"/>
              <w:left w:val="nil"/>
              <w:bottom w:val="single" w:sz="4" w:space="0" w:color="auto"/>
              <w:right w:val="single" w:sz="4" w:space="0" w:color="auto"/>
            </w:tcBorders>
            <w:shd w:val="clear" w:color="auto" w:fill="C6EFCE"/>
            <w:noWrap/>
          </w:tcPr>
          <w:p w14:paraId="5983BE0A" w14:textId="77777777" w:rsidR="003A3D51" w:rsidRDefault="0002775A">
            <w:pPr>
              <w:pStyle w:val="P68B1DB1-Normal16"/>
              <w:spacing w:after="200" w:line="276" w:lineRule="auto"/>
              <w:jc w:val="center"/>
              <w:rPr>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2E1E6C96" w14:textId="77777777" w:rsidR="003A3D51" w:rsidRDefault="0002775A">
            <w:pPr>
              <w:pStyle w:val="P68B1DB1-Normal16"/>
              <w:spacing w:after="200" w:line="276" w:lineRule="auto"/>
              <w:jc w:val="center"/>
              <w:rPr>
                <w:noProof/>
              </w:rPr>
            </w:pPr>
            <w:r>
              <w:rPr>
                <w:noProof/>
              </w:rPr>
              <w:t> </w:t>
            </w:r>
          </w:p>
        </w:tc>
        <w:tc>
          <w:tcPr>
            <w:tcW w:w="873" w:type="dxa"/>
            <w:tcBorders>
              <w:top w:val="nil"/>
              <w:left w:val="nil"/>
              <w:bottom w:val="single" w:sz="4" w:space="0" w:color="auto"/>
              <w:right w:val="single" w:sz="4" w:space="0" w:color="auto"/>
            </w:tcBorders>
            <w:shd w:val="clear" w:color="auto" w:fill="C6EFCE"/>
            <w:noWrap/>
          </w:tcPr>
          <w:p w14:paraId="60387FFF" w14:textId="77777777" w:rsidR="003A3D51" w:rsidRDefault="0002775A">
            <w:pPr>
              <w:pStyle w:val="P68B1DB1-Normal16"/>
              <w:spacing w:after="200" w:line="276" w:lineRule="auto"/>
              <w:jc w:val="center"/>
              <w:rPr>
                <w:noProof/>
              </w:rPr>
            </w:pPr>
            <w:r>
              <w:rPr>
                <w:noProof/>
              </w:rPr>
              <w:t> </w:t>
            </w:r>
          </w:p>
        </w:tc>
        <w:tc>
          <w:tcPr>
            <w:tcW w:w="539" w:type="dxa"/>
            <w:tcBorders>
              <w:top w:val="nil"/>
              <w:left w:val="nil"/>
              <w:bottom w:val="single" w:sz="4" w:space="0" w:color="auto"/>
              <w:right w:val="single" w:sz="4" w:space="0" w:color="auto"/>
            </w:tcBorders>
            <w:shd w:val="clear" w:color="auto" w:fill="C6EFCE"/>
            <w:noWrap/>
          </w:tcPr>
          <w:p w14:paraId="72933ABE" w14:textId="77777777" w:rsidR="003A3D51" w:rsidRDefault="0002775A">
            <w:pPr>
              <w:pStyle w:val="P68B1DB1-Normal16"/>
              <w:spacing w:after="200" w:line="276" w:lineRule="auto"/>
              <w:jc w:val="center"/>
              <w:rPr>
                <w:noProof/>
              </w:rPr>
            </w:pPr>
            <w:r>
              <w:rPr>
                <w:noProof/>
              </w:rPr>
              <w:t>KVARTAL 4</w:t>
            </w:r>
          </w:p>
        </w:tc>
        <w:tc>
          <w:tcPr>
            <w:tcW w:w="856" w:type="dxa"/>
            <w:tcBorders>
              <w:top w:val="nil"/>
              <w:left w:val="nil"/>
              <w:bottom w:val="single" w:sz="4" w:space="0" w:color="auto"/>
              <w:right w:val="single" w:sz="4" w:space="0" w:color="auto"/>
            </w:tcBorders>
            <w:shd w:val="clear" w:color="auto" w:fill="C6EFCE"/>
            <w:noWrap/>
          </w:tcPr>
          <w:p w14:paraId="15417473" w14:textId="77777777" w:rsidR="003A3D51" w:rsidRDefault="0002775A">
            <w:pPr>
              <w:pStyle w:val="P68B1DB1-Normal16"/>
              <w:spacing w:after="200" w:line="276" w:lineRule="auto"/>
              <w:jc w:val="center"/>
              <w:rPr>
                <w:noProof/>
              </w:rPr>
            </w:pPr>
            <w:r>
              <w:rPr>
                <w:noProof/>
              </w:rPr>
              <w:t>2022</w:t>
            </w:r>
          </w:p>
        </w:tc>
        <w:tc>
          <w:tcPr>
            <w:tcW w:w="3686" w:type="dxa"/>
            <w:tcBorders>
              <w:top w:val="nil"/>
              <w:left w:val="nil"/>
              <w:bottom w:val="single" w:sz="4" w:space="0" w:color="auto"/>
              <w:right w:val="single" w:sz="4" w:space="0" w:color="auto"/>
            </w:tcBorders>
            <w:shd w:val="clear" w:color="auto" w:fill="C6EFCE"/>
            <w:noWrap/>
          </w:tcPr>
          <w:p w14:paraId="0B1D2923" w14:textId="77777777" w:rsidR="003A3D51" w:rsidRDefault="0002775A">
            <w:pPr>
              <w:pStyle w:val="P68B1DB1-Normal16"/>
              <w:spacing w:after="200" w:line="276" w:lineRule="auto"/>
              <w:rPr>
                <w:noProof/>
              </w:rPr>
            </w:pPr>
            <w:r>
              <w:rPr>
                <w:noProof/>
              </w:rPr>
              <w:t xml:space="preserve">Förordningen om tjänsteområden, förordningen om prestandautvärdering av vattenoperatörer, förordningen om metoder för att fastställa prissättningen på vattentjänster och förordningen om särskilda villkor för tillhandahållande av vattentjänster ska ändras för att skapa den rättsliga förutsättningen för konsolidering av vattenoperatörer. </w:t>
            </w:r>
            <w:r>
              <w:rPr>
                <w:noProof/>
              </w:rPr>
              <w:br/>
              <w:t xml:space="preserve">Förordningen om utvärdering av vattenoperatörers prestanda ska också innehålla den rättsliga grunden för inrättandet av ett obligatoriskt riktmärkningssystem för allmännyttiga företag, som ska offentliggöras, samt för att säkerställa att åtminstone sammanfattningar av de årliga granskade rapporterna från allmännyttiga företag görs tillgängliga för allmänheten. </w:t>
            </w:r>
          </w:p>
        </w:tc>
      </w:tr>
      <w:tr w:rsidR="003A3D51" w14:paraId="6933DD95" w14:textId="77777777">
        <w:tc>
          <w:tcPr>
            <w:tcW w:w="737" w:type="dxa"/>
            <w:tcBorders>
              <w:top w:val="nil"/>
              <w:left w:val="single" w:sz="4" w:space="0" w:color="auto"/>
              <w:bottom w:val="single" w:sz="4" w:space="0" w:color="auto"/>
              <w:right w:val="single" w:sz="4" w:space="0" w:color="auto"/>
            </w:tcBorders>
            <w:shd w:val="clear" w:color="auto" w:fill="C6EFCE"/>
            <w:noWrap/>
          </w:tcPr>
          <w:p w14:paraId="71AF6FFB" w14:textId="77777777" w:rsidR="003A3D51" w:rsidRDefault="0002775A">
            <w:pPr>
              <w:pStyle w:val="P68B1DB1-Normal16"/>
              <w:spacing w:after="200" w:line="276" w:lineRule="auto"/>
              <w:jc w:val="center"/>
              <w:rPr>
                <w:noProof/>
              </w:rPr>
            </w:pPr>
            <w:r>
              <w:rPr>
                <w:noProof/>
              </w:rPr>
              <w:t>61</w:t>
            </w:r>
          </w:p>
        </w:tc>
        <w:tc>
          <w:tcPr>
            <w:tcW w:w="826" w:type="dxa"/>
            <w:tcBorders>
              <w:top w:val="nil"/>
              <w:left w:val="nil"/>
              <w:bottom w:val="single" w:sz="4" w:space="0" w:color="auto"/>
              <w:right w:val="single" w:sz="4" w:space="0" w:color="auto"/>
            </w:tcBorders>
            <w:shd w:val="clear" w:color="auto" w:fill="C6EFCE"/>
            <w:noWrap/>
          </w:tcPr>
          <w:p w14:paraId="7267DF26" w14:textId="77777777" w:rsidR="003A3D51" w:rsidRDefault="0002775A">
            <w:pPr>
              <w:pStyle w:val="P68B1DB1-Normal16"/>
              <w:spacing w:after="200" w:line="276" w:lineRule="auto"/>
              <w:jc w:val="center"/>
              <w:rPr>
                <w:noProof/>
              </w:rPr>
            </w:pPr>
            <w:r>
              <w:rPr>
                <w:noProof/>
              </w:rPr>
              <w:t>C1.3 R1</w:t>
            </w:r>
          </w:p>
        </w:tc>
        <w:tc>
          <w:tcPr>
            <w:tcW w:w="895" w:type="dxa"/>
            <w:tcBorders>
              <w:top w:val="nil"/>
              <w:left w:val="nil"/>
              <w:bottom w:val="single" w:sz="4" w:space="0" w:color="auto"/>
              <w:right w:val="single" w:sz="4" w:space="0" w:color="auto"/>
            </w:tcBorders>
            <w:shd w:val="clear" w:color="auto" w:fill="C6EFCE"/>
            <w:noWrap/>
          </w:tcPr>
          <w:p w14:paraId="15E8B576" w14:textId="77777777" w:rsidR="003A3D51" w:rsidRDefault="0002775A">
            <w:pPr>
              <w:pStyle w:val="P68B1DB1-Normal16"/>
              <w:spacing w:after="200" w:line="276" w:lineRule="auto"/>
              <w:jc w:val="center"/>
              <w:rPr>
                <w:noProof/>
              </w:rPr>
            </w:pPr>
            <w:r>
              <w:rPr>
                <w:noProof/>
              </w:rPr>
              <w:t>T</w:t>
            </w:r>
          </w:p>
        </w:tc>
        <w:tc>
          <w:tcPr>
            <w:tcW w:w="2248" w:type="dxa"/>
            <w:tcBorders>
              <w:top w:val="nil"/>
              <w:left w:val="nil"/>
              <w:bottom w:val="single" w:sz="4" w:space="0" w:color="auto"/>
              <w:right w:val="single" w:sz="4" w:space="0" w:color="auto"/>
            </w:tcBorders>
            <w:shd w:val="clear" w:color="auto" w:fill="C6EFCE"/>
            <w:noWrap/>
          </w:tcPr>
          <w:p w14:paraId="1B861EB3" w14:textId="77777777" w:rsidR="003A3D51" w:rsidRDefault="0002775A">
            <w:pPr>
              <w:pStyle w:val="P68B1DB1-Normal16"/>
              <w:spacing w:after="200" w:line="276" w:lineRule="auto"/>
              <w:rPr>
                <w:noProof/>
              </w:rPr>
            </w:pPr>
            <w:r>
              <w:rPr>
                <w:noProof/>
              </w:rPr>
              <w:t xml:space="preserve">Integrering av leverantörer av vattentjänster  </w:t>
            </w:r>
          </w:p>
        </w:tc>
        <w:tc>
          <w:tcPr>
            <w:tcW w:w="1985" w:type="dxa"/>
            <w:tcBorders>
              <w:top w:val="nil"/>
              <w:left w:val="nil"/>
              <w:bottom w:val="single" w:sz="4" w:space="0" w:color="auto"/>
              <w:right w:val="single" w:sz="4" w:space="0" w:color="auto"/>
            </w:tcBorders>
            <w:shd w:val="clear" w:color="auto" w:fill="C6EFCE"/>
            <w:noWrap/>
          </w:tcPr>
          <w:p w14:paraId="035480AA" w14:textId="77777777" w:rsidR="003A3D51" w:rsidRDefault="0002775A">
            <w:pPr>
              <w:pStyle w:val="P68B1DB1-Normal16"/>
              <w:spacing w:after="200" w:line="276" w:lineRule="auto"/>
              <w:rPr>
                <w:noProof/>
              </w:rPr>
            </w:pPr>
            <w:r>
              <w:rPr>
                <w:noProof/>
              </w:rPr>
              <w:t xml:space="preserve"> </w:t>
            </w:r>
          </w:p>
        </w:tc>
        <w:tc>
          <w:tcPr>
            <w:tcW w:w="992" w:type="dxa"/>
            <w:tcBorders>
              <w:top w:val="nil"/>
              <w:left w:val="nil"/>
              <w:bottom w:val="single" w:sz="4" w:space="0" w:color="auto"/>
              <w:right w:val="single" w:sz="4" w:space="0" w:color="auto"/>
            </w:tcBorders>
            <w:shd w:val="clear" w:color="auto" w:fill="C6EFCE"/>
            <w:noWrap/>
          </w:tcPr>
          <w:p w14:paraId="5BD89FBF" w14:textId="77777777" w:rsidR="003A3D51" w:rsidRDefault="0002775A">
            <w:pPr>
              <w:pStyle w:val="P68B1DB1-Normal16"/>
              <w:spacing w:after="200" w:line="276" w:lineRule="auto"/>
              <w:jc w:val="center"/>
              <w:rPr>
                <w:noProof/>
              </w:rPr>
            </w:pPr>
            <w:r>
              <w:rPr>
                <w:noProof/>
              </w:rPr>
              <w:t>Antal</w:t>
            </w:r>
          </w:p>
        </w:tc>
        <w:tc>
          <w:tcPr>
            <w:tcW w:w="992" w:type="dxa"/>
            <w:tcBorders>
              <w:top w:val="nil"/>
              <w:left w:val="nil"/>
              <w:bottom w:val="single" w:sz="4" w:space="0" w:color="auto"/>
              <w:right w:val="single" w:sz="4" w:space="0" w:color="auto"/>
            </w:tcBorders>
            <w:shd w:val="clear" w:color="auto" w:fill="C6EFCE"/>
            <w:noWrap/>
          </w:tcPr>
          <w:p w14:paraId="20753FC1" w14:textId="77777777" w:rsidR="003A3D51" w:rsidRDefault="0002775A">
            <w:pPr>
              <w:pStyle w:val="P68B1DB1-Normal16"/>
              <w:spacing w:after="200" w:line="276" w:lineRule="auto"/>
              <w:jc w:val="center"/>
              <w:rPr>
                <w:noProof/>
              </w:rPr>
            </w:pPr>
            <w:r>
              <w:rPr>
                <w:noProof/>
              </w:rPr>
              <w:t>200</w:t>
            </w:r>
          </w:p>
        </w:tc>
        <w:tc>
          <w:tcPr>
            <w:tcW w:w="873" w:type="dxa"/>
            <w:tcBorders>
              <w:top w:val="nil"/>
              <w:left w:val="nil"/>
              <w:bottom w:val="single" w:sz="4" w:space="0" w:color="auto"/>
              <w:right w:val="single" w:sz="4" w:space="0" w:color="auto"/>
            </w:tcBorders>
            <w:shd w:val="clear" w:color="auto" w:fill="C6EFCE"/>
            <w:noWrap/>
          </w:tcPr>
          <w:p w14:paraId="4D1B7FAB" w14:textId="77777777" w:rsidR="003A3D51" w:rsidRDefault="0002775A">
            <w:pPr>
              <w:pStyle w:val="P68B1DB1-Normal16"/>
              <w:spacing w:after="200" w:line="276" w:lineRule="auto"/>
              <w:jc w:val="center"/>
              <w:rPr>
                <w:noProof/>
              </w:rPr>
            </w:pPr>
            <w:r>
              <w:rPr>
                <w:noProof/>
              </w:rPr>
              <w:t>40</w:t>
            </w:r>
          </w:p>
        </w:tc>
        <w:tc>
          <w:tcPr>
            <w:tcW w:w="539" w:type="dxa"/>
            <w:tcBorders>
              <w:top w:val="nil"/>
              <w:left w:val="nil"/>
              <w:bottom w:val="single" w:sz="4" w:space="0" w:color="auto"/>
              <w:right w:val="single" w:sz="4" w:space="0" w:color="auto"/>
            </w:tcBorders>
            <w:shd w:val="clear" w:color="auto" w:fill="C6EFCE"/>
            <w:noWrap/>
          </w:tcPr>
          <w:p w14:paraId="32FD9192" w14:textId="77777777" w:rsidR="003A3D51" w:rsidRDefault="0002775A">
            <w:pPr>
              <w:pStyle w:val="P68B1DB1-Normal16"/>
              <w:spacing w:after="200" w:line="276" w:lineRule="auto"/>
              <w:jc w:val="center"/>
              <w:rPr>
                <w:noProof/>
              </w:rPr>
            </w:pPr>
            <w:r>
              <w:rPr>
                <w:noProof/>
              </w:rPr>
              <w:t>KVARTAL 4</w:t>
            </w:r>
          </w:p>
        </w:tc>
        <w:tc>
          <w:tcPr>
            <w:tcW w:w="856" w:type="dxa"/>
            <w:tcBorders>
              <w:top w:val="nil"/>
              <w:left w:val="nil"/>
              <w:bottom w:val="single" w:sz="4" w:space="0" w:color="auto"/>
              <w:right w:val="single" w:sz="4" w:space="0" w:color="auto"/>
            </w:tcBorders>
            <w:shd w:val="clear" w:color="auto" w:fill="C6EFCE"/>
            <w:noWrap/>
          </w:tcPr>
          <w:p w14:paraId="44C66EB2" w14:textId="2351B9A7" w:rsidR="003A3D51" w:rsidRDefault="0002775A">
            <w:pPr>
              <w:pStyle w:val="P68B1DB1-Normal16"/>
              <w:spacing w:after="200" w:line="276" w:lineRule="auto"/>
              <w:jc w:val="center"/>
              <w:rPr>
                <w:noProof/>
              </w:rPr>
            </w:pPr>
            <w:r>
              <w:rPr>
                <w:noProof/>
              </w:rPr>
              <w:t>2024</w:t>
            </w:r>
          </w:p>
        </w:tc>
        <w:tc>
          <w:tcPr>
            <w:tcW w:w="3686" w:type="dxa"/>
            <w:tcBorders>
              <w:top w:val="nil"/>
              <w:left w:val="nil"/>
              <w:bottom w:val="single" w:sz="4" w:space="0" w:color="auto"/>
              <w:right w:val="single" w:sz="4" w:space="0" w:color="auto"/>
            </w:tcBorders>
            <w:shd w:val="clear" w:color="auto" w:fill="C6EFCE"/>
            <w:noWrap/>
          </w:tcPr>
          <w:p w14:paraId="0B9188A5" w14:textId="77777777" w:rsidR="003A3D51" w:rsidRDefault="0002775A">
            <w:pPr>
              <w:pStyle w:val="P68B1DB1-Normal16"/>
              <w:spacing w:after="200" w:line="276" w:lineRule="auto"/>
              <w:rPr>
                <w:noProof/>
              </w:rPr>
            </w:pPr>
            <w:r>
              <w:rPr>
                <w:noProof/>
              </w:rPr>
              <w:t>Integrering av de 200 befintliga offentliga leverantörerna i 40, i enlighet med principen om en vattenleverantör per tjänsteområde.</w:t>
            </w:r>
          </w:p>
        </w:tc>
      </w:tr>
      <w:tr w:rsidR="003A3D51" w14:paraId="234EFE0C" w14:textId="77777777">
        <w:tc>
          <w:tcPr>
            <w:tcW w:w="737" w:type="dxa"/>
            <w:tcBorders>
              <w:top w:val="nil"/>
              <w:left w:val="single" w:sz="4" w:space="0" w:color="auto"/>
              <w:bottom w:val="single" w:sz="4" w:space="0" w:color="auto"/>
              <w:right w:val="single" w:sz="4" w:space="0" w:color="auto"/>
            </w:tcBorders>
            <w:shd w:val="clear" w:color="auto" w:fill="C6EFCE"/>
            <w:noWrap/>
          </w:tcPr>
          <w:p w14:paraId="05C88D73" w14:textId="77777777" w:rsidR="003A3D51" w:rsidRDefault="0002775A">
            <w:pPr>
              <w:pStyle w:val="P68B1DB1-Normal16"/>
              <w:spacing w:after="200" w:line="276" w:lineRule="auto"/>
              <w:jc w:val="center"/>
              <w:rPr>
                <w:noProof/>
              </w:rPr>
            </w:pPr>
            <w:r>
              <w:rPr>
                <w:noProof/>
              </w:rPr>
              <w:t>62</w:t>
            </w:r>
          </w:p>
        </w:tc>
        <w:tc>
          <w:tcPr>
            <w:tcW w:w="826" w:type="dxa"/>
            <w:tcBorders>
              <w:top w:val="nil"/>
              <w:left w:val="nil"/>
              <w:bottom w:val="single" w:sz="4" w:space="0" w:color="auto"/>
              <w:right w:val="single" w:sz="4" w:space="0" w:color="auto"/>
            </w:tcBorders>
            <w:shd w:val="clear" w:color="auto" w:fill="C6EFCE"/>
            <w:noWrap/>
          </w:tcPr>
          <w:p w14:paraId="79E732F7" w14:textId="77777777" w:rsidR="003A3D51" w:rsidRDefault="0002775A">
            <w:pPr>
              <w:pStyle w:val="P68B1DB1-Normal16"/>
              <w:spacing w:after="200" w:line="276" w:lineRule="auto"/>
              <w:jc w:val="center"/>
              <w:rPr>
                <w:noProof/>
              </w:rPr>
            </w:pPr>
            <w:r>
              <w:rPr>
                <w:noProof/>
              </w:rPr>
              <w:t>C1.3 R1</w:t>
            </w:r>
          </w:p>
        </w:tc>
        <w:tc>
          <w:tcPr>
            <w:tcW w:w="895" w:type="dxa"/>
            <w:tcBorders>
              <w:top w:val="nil"/>
              <w:left w:val="nil"/>
              <w:bottom w:val="single" w:sz="4" w:space="0" w:color="auto"/>
              <w:right w:val="single" w:sz="4" w:space="0" w:color="auto"/>
            </w:tcBorders>
            <w:shd w:val="clear" w:color="auto" w:fill="C6EFCE"/>
            <w:noWrap/>
          </w:tcPr>
          <w:p w14:paraId="359B24CB" w14:textId="77777777" w:rsidR="003A3D51" w:rsidRDefault="0002775A">
            <w:pPr>
              <w:pStyle w:val="P68B1DB1-Normal16"/>
              <w:spacing w:after="200" w:line="276" w:lineRule="auto"/>
              <w:jc w:val="center"/>
              <w:rPr>
                <w:noProof/>
              </w:rPr>
            </w:pPr>
            <w:r>
              <w:rPr>
                <w:noProof/>
              </w:rPr>
              <w:t>T</w:t>
            </w:r>
          </w:p>
        </w:tc>
        <w:tc>
          <w:tcPr>
            <w:tcW w:w="2248" w:type="dxa"/>
            <w:tcBorders>
              <w:top w:val="nil"/>
              <w:left w:val="nil"/>
              <w:bottom w:val="single" w:sz="4" w:space="0" w:color="auto"/>
              <w:right w:val="single" w:sz="4" w:space="0" w:color="auto"/>
            </w:tcBorders>
            <w:shd w:val="clear" w:color="auto" w:fill="C6EFCE"/>
            <w:noWrap/>
          </w:tcPr>
          <w:p w14:paraId="1BDF4B5A" w14:textId="77777777" w:rsidR="003A3D51" w:rsidRDefault="0002775A">
            <w:pPr>
              <w:pStyle w:val="P68B1DB1-Normal16"/>
              <w:spacing w:after="200" w:line="276" w:lineRule="auto"/>
              <w:rPr>
                <w:noProof/>
              </w:rPr>
            </w:pPr>
            <w:r>
              <w:rPr>
                <w:noProof/>
              </w:rPr>
              <w:t xml:space="preserve">Minskning av förluster i offentliga vattenförsörjningssystem </w:t>
            </w:r>
          </w:p>
        </w:tc>
        <w:tc>
          <w:tcPr>
            <w:tcW w:w="1985" w:type="dxa"/>
            <w:tcBorders>
              <w:top w:val="nil"/>
              <w:left w:val="nil"/>
              <w:bottom w:val="single" w:sz="4" w:space="0" w:color="auto"/>
              <w:right w:val="single" w:sz="4" w:space="0" w:color="auto"/>
            </w:tcBorders>
            <w:shd w:val="clear" w:color="auto" w:fill="C6EFCE"/>
            <w:noWrap/>
          </w:tcPr>
          <w:p w14:paraId="605A79BC" w14:textId="77777777" w:rsidR="003A3D51" w:rsidRDefault="0002775A">
            <w:pPr>
              <w:pStyle w:val="P68B1DB1-Normal16"/>
              <w:spacing w:after="200" w:line="276" w:lineRule="auto"/>
              <w:rPr>
                <w:noProof/>
              </w:rPr>
            </w:pPr>
            <w:r>
              <w:rPr>
                <w:noProof/>
              </w:rPr>
              <w:t xml:space="preserve"> </w:t>
            </w:r>
          </w:p>
        </w:tc>
        <w:tc>
          <w:tcPr>
            <w:tcW w:w="992" w:type="dxa"/>
            <w:tcBorders>
              <w:top w:val="nil"/>
              <w:left w:val="nil"/>
              <w:bottom w:val="single" w:sz="4" w:space="0" w:color="auto"/>
              <w:right w:val="single" w:sz="4" w:space="0" w:color="auto"/>
            </w:tcBorders>
            <w:shd w:val="clear" w:color="auto" w:fill="C6EFCE"/>
            <w:noWrap/>
          </w:tcPr>
          <w:p w14:paraId="09FD0A6D" w14:textId="77777777" w:rsidR="003A3D51" w:rsidRDefault="0002775A">
            <w:pPr>
              <w:pStyle w:val="P68B1DB1-Normal16"/>
              <w:spacing w:after="200" w:line="276" w:lineRule="auto"/>
              <w:jc w:val="center"/>
              <w:rPr>
                <w:noProof/>
              </w:rPr>
            </w:pPr>
            <w:r>
              <w:rPr>
                <w:noProof/>
              </w:rPr>
              <w:t>% (i procent)</w:t>
            </w:r>
          </w:p>
        </w:tc>
        <w:tc>
          <w:tcPr>
            <w:tcW w:w="992" w:type="dxa"/>
            <w:tcBorders>
              <w:top w:val="nil"/>
              <w:left w:val="nil"/>
              <w:bottom w:val="single" w:sz="4" w:space="0" w:color="auto"/>
              <w:right w:val="single" w:sz="4" w:space="0" w:color="auto"/>
            </w:tcBorders>
            <w:shd w:val="clear" w:color="auto" w:fill="C6EFCE"/>
            <w:noWrap/>
          </w:tcPr>
          <w:p w14:paraId="4B85A501" w14:textId="77777777" w:rsidR="003A3D51" w:rsidRDefault="0002775A">
            <w:pPr>
              <w:pStyle w:val="P68B1DB1-Normal16"/>
              <w:spacing w:after="200" w:line="276" w:lineRule="auto"/>
              <w:jc w:val="center"/>
              <w:rPr>
                <w:noProof/>
              </w:rPr>
            </w:pPr>
            <w:r>
              <w:rPr>
                <w:noProof/>
              </w:rPr>
              <w:t>44</w:t>
            </w:r>
          </w:p>
        </w:tc>
        <w:tc>
          <w:tcPr>
            <w:tcW w:w="873" w:type="dxa"/>
            <w:tcBorders>
              <w:top w:val="nil"/>
              <w:left w:val="nil"/>
              <w:bottom w:val="single" w:sz="4" w:space="0" w:color="auto"/>
              <w:right w:val="single" w:sz="4" w:space="0" w:color="auto"/>
            </w:tcBorders>
            <w:shd w:val="clear" w:color="auto" w:fill="C6EFCE"/>
            <w:noWrap/>
          </w:tcPr>
          <w:p w14:paraId="6117F40C" w14:textId="77777777" w:rsidR="003A3D51" w:rsidRDefault="0002775A">
            <w:pPr>
              <w:pStyle w:val="P68B1DB1-Normal16"/>
              <w:spacing w:after="200" w:line="276" w:lineRule="auto"/>
              <w:jc w:val="center"/>
              <w:rPr>
                <w:noProof/>
              </w:rPr>
            </w:pPr>
            <w:r>
              <w:rPr>
                <w:noProof/>
              </w:rPr>
              <w:t>37</w:t>
            </w:r>
          </w:p>
        </w:tc>
        <w:tc>
          <w:tcPr>
            <w:tcW w:w="539" w:type="dxa"/>
            <w:tcBorders>
              <w:top w:val="nil"/>
              <w:left w:val="nil"/>
              <w:bottom w:val="single" w:sz="4" w:space="0" w:color="auto"/>
              <w:right w:val="single" w:sz="4" w:space="0" w:color="auto"/>
            </w:tcBorders>
            <w:shd w:val="clear" w:color="auto" w:fill="C6EFCE"/>
            <w:noWrap/>
          </w:tcPr>
          <w:p w14:paraId="6EFA64A5" w14:textId="77777777" w:rsidR="003A3D51" w:rsidRDefault="0002775A">
            <w:pPr>
              <w:pStyle w:val="P68B1DB1-Normal16"/>
              <w:spacing w:after="200" w:line="276" w:lineRule="auto"/>
              <w:jc w:val="center"/>
              <w:rPr>
                <w:noProof/>
              </w:rPr>
            </w:pPr>
            <w:r>
              <w:rPr>
                <w:noProof/>
              </w:rPr>
              <w:t>KVARTAL 2</w:t>
            </w:r>
          </w:p>
        </w:tc>
        <w:tc>
          <w:tcPr>
            <w:tcW w:w="856" w:type="dxa"/>
            <w:tcBorders>
              <w:top w:val="nil"/>
              <w:left w:val="nil"/>
              <w:bottom w:val="single" w:sz="4" w:space="0" w:color="auto"/>
              <w:right w:val="single" w:sz="4" w:space="0" w:color="auto"/>
            </w:tcBorders>
            <w:shd w:val="clear" w:color="auto" w:fill="C6EFCE"/>
            <w:noWrap/>
          </w:tcPr>
          <w:p w14:paraId="16F40A8D" w14:textId="77777777" w:rsidR="003A3D51" w:rsidRDefault="0002775A">
            <w:pPr>
              <w:pStyle w:val="P68B1DB1-Normal16"/>
              <w:spacing w:after="200" w:line="276" w:lineRule="auto"/>
              <w:jc w:val="center"/>
              <w:rPr>
                <w:noProof/>
              </w:rPr>
            </w:pPr>
            <w:r>
              <w:rPr>
                <w:noProof/>
              </w:rPr>
              <w:t>2026</w:t>
            </w:r>
          </w:p>
        </w:tc>
        <w:tc>
          <w:tcPr>
            <w:tcW w:w="3686" w:type="dxa"/>
            <w:tcBorders>
              <w:top w:val="nil"/>
              <w:left w:val="nil"/>
              <w:bottom w:val="single" w:sz="4" w:space="0" w:color="auto"/>
              <w:right w:val="single" w:sz="4" w:space="0" w:color="auto"/>
            </w:tcBorders>
            <w:shd w:val="clear" w:color="auto" w:fill="C6EFCE"/>
            <w:noWrap/>
          </w:tcPr>
          <w:p w14:paraId="2B457966" w14:textId="77777777" w:rsidR="003A3D51" w:rsidRDefault="0002775A">
            <w:pPr>
              <w:pStyle w:val="P68B1DB1-Normal16"/>
              <w:spacing w:after="200" w:line="276" w:lineRule="auto"/>
              <w:rPr>
                <w:noProof/>
              </w:rPr>
            </w:pPr>
            <w:r>
              <w:rPr>
                <w:noProof/>
              </w:rPr>
              <w:t>En minskning av förlusterna med minst 7 % på nationell nivå avser den procentuella minskningen av förluster i offentliga vattenförsörjningssystem som stöds av investeringar inom ramen för faciliteten för återhämtning och resiliens.</w:t>
            </w:r>
          </w:p>
        </w:tc>
      </w:tr>
      <w:tr w:rsidR="003A3D51" w14:paraId="07221F08"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874CA7C" w14:textId="77777777" w:rsidR="003A3D51" w:rsidRDefault="0002775A">
            <w:pPr>
              <w:pStyle w:val="P68B1DB1-Normal16"/>
              <w:spacing w:after="200" w:line="276" w:lineRule="auto"/>
              <w:jc w:val="center"/>
              <w:rPr>
                <w:noProof/>
              </w:rPr>
            </w:pPr>
            <w:r>
              <w:rPr>
                <w:noProof/>
              </w:rPr>
              <w:t>63</w:t>
            </w:r>
          </w:p>
        </w:tc>
        <w:tc>
          <w:tcPr>
            <w:tcW w:w="826" w:type="dxa"/>
            <w:tcBorders>
              <w:top w:val="single" w:sz="4" w:space="0" w:color="auto"/>
              <w:left w:val="nil"/>
              <w:bottom w:val="single" w:sz="4" w:space="0" w:color="auto"/>
              <w:right w:val="single" w:sz="4" w:space="0" w:color="auto"/>
            </w:tcBorders>
            <w:shd w:val="clear" w:color="auto" w:fill="C6EFCE"/>
            <w:noWrap/>
          </w:tcPr>
          <w:p w14:paraId="2388AC66" w14:textId="77777777" w:rsidR="003A3D51" w:rsidRDefault="0002775A">
            <w:pPr>
              <w:pStyle w:val="P68B1DB1-Normal16"/>
              <w:spacing w:after="200" w:line="276" w:lineRule="auto"/>
              <w:jc w:val="center"/>
              <w:rPr>
                <w:noProof/>
              </w:rPr>
            </w:pPr>
            <w:r>
              <w:rPr>
                <w:noProof/>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4D4A851E"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3EE1B55A" w14:textId="77777777" w:rsidR="003A3D51" w:rsidRDefault="0002775A">
            <w:pPr>
              <w:pStyle w:val="P68B1DB1-Normal16"/>
              <w:spacing w:after="200" w:line="276" w:lineRule="auto"/>
              <w:rPr>
                <w:noProof/>
              </w:rPr>
            </w:pPr>
            <w:r>
              <w:rPr>
                <w:noProof/>
              </w:rPr>
              <w:t xml:space="preserve">Offentligt avloppsnät som uppförts eller byggts om </w:t>
            </w:r>
          </w:p>
        </w:tc>
        <w:tc>
          <w:tcPr>
            <w:tcW w:w="1985" w:type="dxa"/>
            <w:tcBorders>
              <w:top w:val="single" w:sz="4" w:space="0" w:color="auto"/>
              <w:left w:val="nil"/>
              <w:bottom w:val="single" w:sz="4" w:space="0" w:color="auto"/>
              <w:right w:val="single" w:sz="4" w:space="0" w:color="auto"/>
            </w:tcBorders>
            <w:shd w:val="clear" w:color="auto" w:fill="C6EFCE"/>
            <w:noWrap/>
          </w:tcPr>
          <w:p w14:paraId="73F71549"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8F87852"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1F2CC3B9"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135D5332" w14:textId="77777777" w:rsidR="003A3D51" w:rsidRDefault="0002775A">
            <w:pPr>
              <w:pStyle w:val="P68B1DB1-Normal16"/>
              <w:spacing w:after="200" w:line="276" w:lineRule="auto"/>
              <w:jc w:val="center"/>
              <w:rPr>
                <w:noProof/>
              </w:rPr>
            </w:pPr>
            <w:r>
              <w:rPr>
                <w:noProof/>
              </w:rPr>
              <w:t>115</w:t>
            </w:r>
          </w:p>
        </w:tc>
        <w:tc>
          <w:tcPr>
            <w:tcW w:w="539" w:type="dxa"/>
            <w:tcBorders>
              <w:top w:val="single" w:sz="4" w:space="0" w:color="auto"/>
              <w:left w:val="nil"/>
              <w:bottom w:val="single" w:sz="4" w:space="0" w:color="auto"/>
              <w:right w:val="single" w:sz="4" w:space="0" w:color="auto"/>
            </w:tcBorders>
            <w:shd w:val="clear" w:color="auto" w:fill="C6EFCE"/>
            <w:noWrap/>
          </w:tcPr>
          <w:p w14:paraId="7E4D6779" w14:textId="77777777"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7A8783A4"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3BD21FFE" w14:textId="77777777" w:rsidR="003A3D51" w:rsidRDefault="0002775A">
            <w:pPr>
              <w:pStyle w:val="P68B1DB1-Normal16"/>
              <w:spacing w:after="200" w:line="276" w:lineRule="auto"/>
              <w:rPr>
                <w:noProof/>
              </w:rPr>
            </w:pPr>
            <w:r>
              <w:rPr>
                <w:noProof/>
              </w:rPr>
              <w:t xml:space="preserve">Minst 115 km offentligt avloppsnät har byggts eller byggts om. </w:t>
            </w:r>
            <w:r>
              <w:rPr>
                <w:noProof/>
              </w:rPr>
              <w:br/>
              <w:t>Investeringen ska säkerställa överensstämmelse med direktivet om rening av avloppsvatten från tätbebyggelse i ämnesområden, i linje med det fleråriga byggprogrammet för vatten och avloppsvatten.</w:t>
            </w:r>
          </w:p>
        </w:tc>
      </w:tr>
      <w:tr w:rsidR="003A3D51" w14:paraId="564A33CD"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30D1B85" w14:textId="77777777" w:rsidR="003A3D51" w:rsidRDefault="0002775A">
            <w:pPr>
              <w:pStyle w:val="P68B1DB1-Normal16"/>
              <w:spacing w:after="200" w:line="276" w:lineRule="auto"/>
              <w:jc w:val="center"/>
              <w:rPr>
                <w:noProof/>
              </w:rPr>
            </w:pPr>
            <w:r>
              <w:rPr>
                <w:noProof/>
              </w:rPr>
              <w:t>64</w:t>
            </w:r>
          </w:p>
        </w:tc>
        <w:tc>
          <w:tcPr>
            <w:tcW w:w="826" w:type="dxa"/>
            <w:tcBorders>
              <w:top w:val="single" w:sz="4" w:space="0" w:color="auto"/>
              <w:left w:val="nil"/>
              <w:bottom w:val="single" w:sz="4" w:space="0" w:color="auto"/>
              <w:right w:val="single" w:sz="4" w:space="0" w:color="auto"/>
            </w:tcBorders>
            <w:shd w:val="clear" w:color="auto" w:fill="C6EFCE"/>
            <w:noWrap/>
          </w:tcPr>
          <w:p w14:paraId="68E59E32" w14:textId="77777777" w:rsidR="003A3D51" w:rsidRDefault="0002775A">
            <w:pPr>
              <w:pStyle w:val="P68B1DB1-Normal16"/>
              <w:spacing w:after="200" w:line="276" w:lineRule="auto"/>
              <w:jc w:val="center"/>
              <w:rPr>
                <w:noProof/>
              </w:rPr>
            </w:pPr>
            <w:r>
              <w:rPr>
                <w:noProof/>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4BF2DF0C"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3F63A501" w14:textId="77777777" w:rsidR="003A3D51" w:rsidRDefault="0002775A">
            <w:pPr>
              <w:pStyle w:val="P68B1DB1-Normal16"/>
              <w:spacing w:after="200" w:line="276" w:lineRule="auto"/>
              <w:rPr>
                <w:noProof/>
              </w:rPr>
            </w:pPr>
            <w:r>
              <w:rPr>
                <w:noProof/>
              </w:rPr>
              <w:t xml:space="preserve">Bygg- och anläggningskontrakt som ingåtts för infrastrukturprojekt för avloppsvatten </w:t>
            </w:r>
          </w:p>
        </w:tc>
        <w:tc>
          <w:tcPr>
            <w:tcW w:w="1985" w:type="dxa"/>
            <w:tcBorders>
              <w:top w:val="single" w:sz="4" w:space="0" w:color="auto"/>
              <w:left w:val="nil"/>
              <w:bottom w:val="single" w:sz="4" w:space="0" w:color="auto"/>
              <w:right w:val="single" w:sz="4" w:space="0" w:color="auto"/>
            </w:tcBorders>
            <w:shd w:val="clear" w:color="auto" w:fill="C6EFCE"/>
            <w:noWrap/>
          </w:tcPr>
          <w:p w14:paraId="6CBDE270"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4BA4E30A"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FA6D652"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0E78B98B" w14:textId="77777777" w:rsidR="003A3D51" w:rsidRDefault="0002775A">
            <w:pPr>
              <w:pStyle w:val="P68B1DB1-Normal16"/>
              <w:spacing w:after="200" w:line="276" w:lineRule="auto"/>
              <w:jc w:val="center"/>
              <w:rPr>
                <w:noProof/>
              </w:rPr>
            </w:pPr>
            <w:r>
              <w:rPr>
                <w:noProof/>
              </w:rPr>
              <w:t>60</w:t>
            </w:r>
          </w:p>
        </w:tc>
        <w:tc>
          <w:tcPr>
            <w:tcW w:w="539" w:type="dxa"/>
            <w:tcBorders>
              <w:top w:val="single" w:sz="4" w:space="0" w:color="auto"/>
              <w:left w:val="nil"/>
              <w:bottom w:val="single" w:sz="4" w:space="0" w:color="auto"/>
              <w:right w:val="single" w:sz="4" w:space="0" w:color="auto"/>
            </w:tcBorders>
            <w:shd w:val="clear" w:color="auto" w:fill="C6EFCE"/>
            <w:noWrap/>
          </w:tcPr>
          <w:p w14:paraId="4872D459"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784945C7" w14:textId="77777777" w:rsidR="003A3D51" w:rsidRDefault="0002775A">
            <w:pPr>
              <w:pStyle w:val="P68B1DB1-Normal16"/>
              <w:spacing w:after="200" w:line="276" w:lineRule="auto"/>
              <w:jc w:val="center"/>
              <w:rPr>
                <w:noProof/>
              </w:rPr>
            </w:pPr>
            <w:r>
              <w:rPr>
                <w:noProof/>
              </w:rPr>
              <w:t>2023</w:t>
            </w:r>
          </w:p>
        </w:tc>
        <w:tc>
          <w:tcPr>
            <w:tcW w:w="3686" w:type="dxa"/>
            <w:tcBorders>
              <w:top w:val="single" w:sz="4" w:space="0" w:color="auto"/>
              <w:left w:val="nil"/>
              <w:bottom w:val="single" w:sz="4" w:space="0" w:color="auto"/>
              <w:right w:val="single" w:sz="4" w:space="0" w:color="auto"/>
            </w:tcBorders>
            <w:shd w:val="clear" w:color="auto" w:fill="C6EFCE"/>
            <w:noWrap/>
          </w:tcPr>
          <w:p w14:paraId="2E06CF44" w14:textId="77777777" w:rsidR="003A3D51" w:rsidRDefault="0002775A">
            <w:pPr>
              <w:pStyle w:val="P68B1DB1-Normal16"/>
              <w:spacing w:after="200" w:line="276" w:lineRule="auto"/>
              <w:rPr>
                <w:noProof/>
              </w:rPr>
            </w:pPr>
            <w:r>
              <w:rPr>
                <w:noProof/>
              </w:rPr>
              <w:t>Minst 60 byggentreprenadkontrakt ska undertecknas för infrastrukturprojekt för avloppsvatten som avser kontrakt som ska tilldelas före utgången av 2023.</w:t>
            </w:r>
            <w:r>
              <w:rPr>
                <w:noProof/>
              </w:rPr>
              <w:br/>
              <w:t>Miljökonsekvensbedömningen ska genomföras i enlighet med tillståndsförfarandena enligt MKB-direktivet i enlighet med direktiv 2011/92/EU och med behovsbedömning och/eller lämplig bedömning enligt artikel 6.3 i habitatdirektivet. Det ska styrkas att projektet inte på ett betydande sätt påverkar de berörda Natura 2000-områdenas integritet.</w:t>
            </w:r>
          </w:p>
        </w:tc>
      </w:tr>
      <w:tr w:rsidR="003A3D51" w14:paraId="374E2784"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7B21FFA" w14:textId="77777777" w:rsidR="003A3D51" w:rsidRDefault="0002775A">
            <w:pPr>
              <w:pStyle w:val="P68B1DB1-Normal16"/>
              <w:spacing w:after="200" w:line="276" w:lineRule="auto"/>
              <w:jc w:val="center"/>
              <w:rPr>
                <w:noProof/>
              </w:rPr>
            </w:pPr>
            <w:r>
              <w:rPr>
                <w:noProof/>
              </w:rPr>
              <w:t>65</w:t>
            </w:r>
          </w:p>
        </w:tc>
        <w:tc>
          <w:tcPr>
            <w:tcW w:w="826" w:type="dxa"/>
            <w:tcBorders>
              <w:top w:val="single" w:sz="4" w:space="0" w:color="auto"/>
              <w:left w:val="nil"/>
              <w:bottom w:val="single" w:sz="4" w:space="0" w:color="auto"/>
              <w:right w:val="single" w:sz="4" w:space="0" w:color="auto"/>
            </w:tcBorders>
            <w:shd w:val="clear" w:color="auto" w:fill="C6EFCE"/>
            <w:noWrap/>
          </w:tcPr>
          <w:p w14:paraId="0781B83A" w14:textId="77777777" w:rsidR="003A3D51" w:rsidRDefault="0002775A">
            <w:pPr>
              <w:pStyle w:val="P68B1DB1-Normal16"/>
              <w:spacing w:after="200" w:line="276" w:lineRule="auto"/>
              <w:jc w:val="center"/>
              <w:rPr>
                <w:noProof/>
              </w:rPr>
            </w:pPr>
            <w:r>
              <w:rPr>
                <w:noProof/>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16854D08"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12E8FC15" w14:textId="77777777" w:rsidR="003A3D51" w:rsidRDefault="0002775A">
            <w:pPr>
              <w:pStyle w:val="P68B1DB1-Normal16"/>
              <w:spacing w:after="200" w:line="276" w:lineRule="auto"/>
              <w:rPr>
                <w:noProof/>
              </w:rPr>
            </w:pPr>
            <w:r>
              <w:rPr>
                <w:noProof/>
              </w:rPr>
              <w:t>Avloppsreningsverk som byggts och tagits i drift</w:t>
            </w:r>
          </w:p>
        </w:tc>
        <w:tc>
          <w:tcPr>
            <w:tcW w:w="1985" w:type="dxa"/>
            <w:tcBorders>
              <w:top w:val="single" w:sz="4" w:space="0" w:color="auto"/>
              <w:left w:val="nil"/>
              <w:bottom w:val="single" w:sz="4" w:space="0" w:color="auto"/>
              <w:right w:val="single" w:sz="4" w:space="0" w:color="auto"/>
            </w:tcBorders>
            <w:shd w:val="clear" w:color="auto" w:fill="C6EFCE"/>
            <w:noWrap/>
          </w:tcPr>
          <w:p w14:paraId="0F1B72BF"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2B0DB6F2"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4830262C"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7A355207" w14:textId="77777777" w:rsidR="003A3D51" w:rsidRDefault="0002775A">
            <w:pPr>
              <w:pStyle w:val="P68B1DB1-Normal16"/>
              <w:spacing w:after="200" w:line="276" w:lineRule="auto"/>
              <w:jc w:val="center"/>
              <w:rPr>
                <w:noProof/>
              </w:rPr>
            </w:pPr>
            <w:r>
              <w:rPr>
                <w:noProof/>
              </w:rPr>
              <w:t>12</w:t>
            </w:r>
          </w:p>
        </w:tc>
        <w:tc>
          <w:tcPr>
            <w:tcW w:w="539" w:type="dxa"/>
            <w:tcBorders>
              <w:top w:val="single" w:sz="4" w:space="0" w:color="auto"/>
              <w:left w:val="nil"/>
              <w:bottom w:val="single" w:sz="4" w:space="0" w:color="auto"/>
              <w:right w:val="single" w:sz="4" w:space="0" w:color="auto"/>
            </w:tcBorders>
            <w:shd w:val="clear" w:color="auto" w:fill="C6EFCE"/>
            <w:noWrap/>
          </w:tcPr>
          <w:p w14:paraId="6A98D3E5"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405F40D"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737053DD" w14:textId="77777777" w:rsidR="003A3D51" w:rsidRDefault="0002775A">
            <w:pPr>
              <w:pStyle w:val="P68B1DB1-Normal13"/>
              <w:spacing w:after="200" w:line="276" w:lineRule="auto"/>
              <w:rPr>
                <w:rFonts w:eastAsia="Calibri" w:cstheme="minorHAnsi"/>
                <w:noProof/>
              </w:rPr>
            </w:pPr>
            <w:r>
              <w:rPr>
                <w:rFonts w:eastAsia="Calibri" w:cstheme="minorHAnsi"/>
                <w:noProof/>
                <w:color w:val="000000" w:themeColor="text1"/>
              </w:rPr>
              <w:t xml:space="preserve">Minst 12 avloppsreningsverk ska uppgraderas eller byggas och vara i drift. </w:t>
            </w:r>
            <w:r>
              <w:rPr>
                <w:rFonts w:cstheme="minorHAnsi"/>
                <w:noProof/>
              </w:rPr>
              <w:br/>
            </w:r>
            <w:r>
              <w:rPr>
                <w:rFonts w:eastAsia="Calibri" w:cstheme="minorHAnsi"/>
                <w:noProof/>
                <w:color w:val="000000" w:themeColor="text1"/>
              </w:rPr>
              <w:t xml:space="preserve">Investeringen kommer att säkerställa efterlevnad av direktivet om rening av avloppsvatten från tätbebyggelse i ämnesområden, i linje med det fleråriga byggprogrammet för vatten och avloppsvatten. </w:t>
            </w:r>
          </w:p>
        </w:tc>
      </w:tr>
      <w:tr w:rsidR="003A3D51" w14:paraId="4D5AB089"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C4ED1E3" w14:textId="77777777" w:rsidR="003A3D51" w:rsidRDefault="0002775A">
            <w:pPr>
              <w:pStyle w:val="P68B1DB1-Normal16"/>
              <w:spacing w:after="200" w:line="276" w:lineRule="auto"/>
              <w:jc w:val="center"/>
              <w:rPr>
                <w:noProof/>
              </w:rPr>
            </w:pPr>
            <w:r>
              <w:rPr>
                <w:noProof/>
              </w:rPr>
              <w:t>66</w:t>
            </w:r>
          </w:p>
        </w:tc>
        <w:tc>
          <w:tcPr>
            <w:tcW w:w="826" w:type="dxa"/>
            <w:tcBorders>
              <w:top w:val="single" w:sz="4" w:space="0" w:color="auto"/>
              <w:left w:val="nil"/>
              <w:bottom w:val="single" w:sz="4" w:space="0" w:color="auto"/>
              <w:right w:val="single" w:sz="4" w:space="0" w:color="auto"/>
            </w:tcBorders>
            <w:shd w:val="clear" w:color="auto" w:fill="C6EFCE"/>
            <w:noWrap/>
          </w:tcPr>
          <w:p w14:paraId="06D6D0A1" w14:textId="77777777" w:rsidR="003A3D51" w:rsidRDefault="0002775A">
            <w:pPr>
              <w:pStyle w:val="P68B1DB1-Normal16"/>
              <w:spacing w:after="200" w:line="276" w:lineRule="auto"/>
              <w:jc w:val="center"/>
              <w:rPr>
                <w:noProof/>
              </w:rPr>
            </w:pPr>
            <w:r>
              <w:rPr>
                <w:noProof/>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7A0E57D3"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134C215B" w14:textId="77777777" w:rsidR="003A3D51" w:rsidRDefault="0002775A">
            <w:pPr>
              <w:pStyle w:val="P68B1DB1-Normal16"/>
              <w:spacing w:after="200" w:line="276" w:lineRule="auto"/>
              <w:rPr>
                <w:noProof/>
              </w:rPr>
            </w:pPr>
            <w:r>
              <w:rPr>
                <w:noProof/>
              </w:rPr>
              <w:t xml:space="preserve">Offentligt avloppsnät som uppförts eller rekonstruerats </w:t>
            </w:r>
          </w:p>
        </w:tc>
        <w:tc>
          <w:tcPr>
            <w:tcW w:w="1985" w:type="dxa"/>
            <w:tcBorders>
              <w:top w:val="single" w:sz="4" w:space="0" w:color="auto"/>
              <w:left w:val="nil"/>
              <w:bottom w:val="single" w:sz="4" w:space="0" w:color="auto"/>
              <w:right w:val="single" w:sz="4" w:space="0" w:color="auto"/>
            </w:tcBorders>
            <w:shd w:val="clear" w:color="auto" w:fill="C6EFCE"/>
            <w:noWrap/>
          </w:tcPr>
          <w:p w14:paraId="6AA86285"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8D86693"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0E40294"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46438DD4" w14:textId="77777777" w:rsidR="003A3D51" w:rsidRDefault="0002775A">
            <w:pPr>
              <w:pStyle w:val="P68B1DB1-Normal16"/>
              <w:spacing w:after="200" w:line="276" w:lineRule="auto"/>
              <w:jc w:val="center"/>
              <w:rPr>
                <w:noProof/>
              </w:rPr>
            </w:pPr>
            <w:r>
              <w:rPr>
                <w:noProof/>
              </w:rPr>
              <w:t>775</w:t>
            </w:r>
          </w:p>
        </w:tc>
        <w:tc>
          <w:tcPr>
            <w:tcW w:w="539" w:type="dxa"/>
            <w:tcBorders>
              <w:top w:val="single" w:sz="4" w:space="0" w:color="auto"/>
              <w:left w:val="nil"/>
              <w:bottom w:val="single" w:sz="4" w:space="0" w:color="auto"/>
              <w:right w:val="single" w:sz="4" w:space="0" w:color="auto"/>
            </w:tcBorders>
            <w:shd w:val="clear" w:color="auto" w:fill="C6EFCE"/>
            <w:noWrap/>
          </w:tcPr>
          <w:p w14:paraId="28A4E259"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588C3796"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163D6BBB" w14:textId="77777777" w:rsidR="003A3D51" w:rsidRDefault="0002775A">
            <w:pPr>
              <w:pStyle w:val="P68B1DB1-Normal16"/>
              <w:spacing w:after="200" w:line="276" w:lineRule="auto"/>
              <w:rPr>
                <w:noProof/>
              </w:rPr>
            </w:pPr>
            <w:r>
              <w:rPr>
                <w:noProof/>
              </w:rPr>
              <w:t>Minst 775 km offentligt avloppsnät (dränering) byggs eller byggs om.</w:t>
            </w:r>
            <w:r>
              <w:rPr>
                <w:noProof/>
              </w:rPr>
              <w:br/>
              <w:t>Investeringen ska säkerställa efterlevnad av direktivet om rening av avloppsvatten från tätbebyggelse i ämnesområden, i linje med den fleråriga anläggningen av vatten och avloppsvatten.</w:t>
            </w:r>
          </w:p>
        </w:tc>
      </w:tr>
      <w:tr w:rsidR="003A3D51" w14:paraId="1515483B"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B335C2D" w14:textId="77777777" w:rsidR="003A3D51" w:rsidRDefault="0002775A">
            <w:pPr>
              <w:pStyle w:val="P68B1DB1-Normal16"/>
              <w:spacing w:after="200" w:line="276" w:lineRule="auto"/>
              <w:jc w:val="center"/>
              <w:rPr>
                <w:noProof/>
              </w:rPr>
            </w:pPr>
            <w:r>
              <w:rPr>
                <w:noProof/>
              </w:rPr>
              <w:t>67</w:t>
            </w:r>
          </w:p>
        </w:tc>
        <w:tc>
          <w:tcPr>
            <w:tcW w:w="826" w:type="dxa"/>
            <w:tcBorders>
              <w:top w:val="single" w:sz="4" w:space="0" w:color="auto"/>
              <w:left w:val="nil"/>
              <w:bottom w:val="single" w:sz="4" w:space="0" w:color="auto"/>
              <w:right w:val="single" w:sz="4" w:space="0" w:color="auto"/>
            </w:tcBorders>
            <w:shd w:val="clear" w:color="auto" w:fill="C6EFCE"/>
            <w:noWrap/>
          </w:tcPr>
          <w:p w14:paraId="6C63ED1B" w14:textId="77777777" w:rsidR="003A3D51" w:rsidRDefault="0002775A">
            <w:pPr>
              <w:pStyle w:val="P68B1DB1-Normal16"/>
              <w:spacing w:after="200" w:line="276" w:lineRule="auto"/>
              <w:jc w:val="center"/>
              <w:rPr>
                <w:noProof/>
              </w:rPr>
            </w:pPr>
            <w:r>
              <w:rPr>
                <w:noProof/>
              </w:rPr>
              <w:t>C1.3 R1-I1</w:t>
            </w:r>
          </w:p>
        </w:tc>
        <w:tc>
          <w:tcPr>
            <w:tcW w:w="895" w:type="dxa"/>
            <w:tcBorders>
              <w:top w:val="single" w:sz="4" w:space="0" w:color="auto"/>
              <w:left w:val="nil"/>
              <w:bottom w:val="single" w:sz="4" w:space="0" w:color="auto"/>
              <w:right w:val="single" w:sz="4" w:space="0" w:color="auto"/>
            </w:tcBorders>
            <w:shd w:val="clear" w:color="auto" w:fill="C6EFCE"/>
            <w:noWrap/>
          </w:tcPr>
          <w:p w14:paraId="508C1EF1"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2A8BE063" w14:textId="77777777" w:rsidR="003A3D51" w:rsidRDefault="0002775A">
            <w:pPr>
              <w:pStyle w:val="P68B1DB1-Normal16"/>
              <w:spacing w:after="200" w:line="276" w:lineRule="auto"/>
              <w:rPr>
                <w:noProof/>
              </w:rPr>
            </w:pPr>
            <w:r>
              <w:rPr>
                <w:noProof/>
              </w:rPr>
              <w:t>Befolkning som gynnas av förbättrad tillgång till ett förbättrat system för rening av avloppsvatten</w:t>
            </w:r>
          </w:p>
        </w:tc>
        <w:tc>
          <w:tcPr>
            <w:tcW w:w="1985" w:type="dxa"/>
            <w:tcBorders>
              <w:top w:val="single" w:sz="4" w:space="0" w:color="auto"/>
              <w:left w:val="nil"/>
              <w:bottom w:val="single" w:sz="4" w:space="0" w:color="auto"/>
              <w:right w:val="single" w:sz="4" w:space="0" w:color="auto"/>
            </w:tcBorders>
            <w:shd w:val="clear" w:color="auto" w:fill="C6EFCE"/>
            <w:noWrap/>
          </w:tcPr>
          <w:p w14:paraId="532C11D3"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CB4C004"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1D3736AB"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6A38F019" w14:textId="77777777" w:rsidR="003A3D51" w:rsidRDefault="0002775A">
            <w:pPr>
              <w:pStyle w:val="P68B1DB1-Normal16"/>
              <w:spacing w:after="200" w:line="276" w:lineRule="auto"/>
              <w:jc w:val="center"/>
              <w:rPr>
                <w:noProof/>
              </w:rPr>
            </w:pPr>
            <w:r>
              <w:rPr>
                <w:noProof/>
              </w:rPr>
              <w:t>200 000</w:t>
            </w:r>
          </w:p>
        </w:tc>
        <w:tc>
          <w:tcPr>
            <w:tcW w:w="539" w:type="dxa"/>
            <w:tcBorders>
              <w:top w:val="single" w:sz="4" w:space="0" w:color="auto"/>
              <w:left w:val="nil"/>
              <w:bottom w:val="single" w:sz="4" w:space="0" w:color="auto"/>
              <w:right w:val="single" w:sz="4" w:space="0" w:color="auto"/>
            </w:tcBorders>
            <w:shd w:val="clear" w:color="auto" w:fill="C6EFCE"/>
            <w:noWrap/>
          </w:tcPr>
          <w:p w14:paraId="255FCED8" w14:textId="77777777"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678EED30" w14:textId="77777777" w:rsidR="003A3D51" w:rsidRDefault="0002775A">
            <w:pPr>
              <w:pStyle w:val="P68B1DB1-Normal16"/>
              <w:spacing w:after="200" w:line="276" w:lineRule="auto"/>
              <w:jc w:val="center"/>
              <w:rPr>
                <w:noProof/>
              </w:rPr>
            </w:pPr>
            <w:r>
              <w:rPr>
                <w:noProof/>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712E3788" w14:textId="77777777" w:rsidR="003A3D51" w:rsidRDefault="0002775A">
            <w:pPr>
              <w:pStyle w:val="P68B1DB1-Normal16"/>
              <w:spacing w:after="200" w:line="276" w:lineRule="auto"/>
              <w:rPr>
                <w:noProof/>
              </w:rPr>
            </w:pPr>
            <w:r>
              <w:rPr>
                <w:noProof/>
              </w:rPr>
              <w:t>Antalet invånare vars avloppsvatten matas till ett avloppsreningsverk genom vattenbyggnader till följd av kapacitetsökningen (utvidgningen) i det system för uppsamling och rening av avloppsvatten som byggts/säkrats genom projektet. Detta avser en befolkning som inte tidigare har kopplats till ett offentligt dräneringssystem eller vars avloppsvatten inte har renats på lämplig nivå. Det omfattar också en ökning av avloppsvattenreningsnivån. Indikatorn avser den befolkning som faktiskt (och inte potentiellt) är ansluten till avloppsreningssystemet.</w:t>
            </w:r>
          </w:p>
        </w:tc>
      </w:tr>
      <w:tr w:rsidR="003A3D51" w14:paraId="676CB494"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6C80C198" w14:textId="77777777" w:rsidR="003A3D51" w:rsidRDefault="0002775A">
            <w:pPr>
              <w:pStyle w:val="P68B1DB1-Normal16"/>
              <w:spacing w:after="200" w:line="276" w:lineRule="auto"/>
              <w:jc w:val="center"/>
              <w:rPr>
                <w:noProof/>
              </w:rPr>
            </w:pPr>
            <w:r>
              <w:rPr>
                <w:noProof/>
              </w:rPr>
              <w:t>68</w:t>
            </w:r>
          </w:p>
        </w:tc>
        <w:tc>
          <w:tcPr>
            <w:tcW w:w="826" w:type="dxa"/>
            <w:tcBorders>
              <w:top w:val="single" w:sz="4" w:space="0" w:color="auto"/>
              <w:left w:val="nil"/>
              <w:bottom w:val="single" w:sz="4" w:space="0" w:color="auto"/>
              <w:right w:val="single" w:sz="4" w:space="0" w:color="auto"/>
            </w:tcBorders>
            <w:shd w:val="clear" w:color="auto" w:fill="C6EFCE"/>
            <w:noWrap/>
          </w:tcPr>
          <w:p w14:paraId="228FCCF8" w14:textId="77777777" w:rsidR="003A3D51" w:rsidRDefault="0002775A">
            <w:pPr>
              <w:pStyle w:val="P68B1DB1-Normal16"/>
              <w:spacing w:after="200" w:line="276" w:lineRule="auto"/>
              <w:jc w:val="center"/>
              <w:rPr>
                <w:noProof/>
              </w:rPr>
            </w:pPr>
            <w:r>
              <w:rPr>
                <w:noProof/>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01B71D8A"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68F4E9A2" w14:textId="77777777" w:rsidR="003A3D51" w:rsidRDefault="0002775A">
            <w:pPr>
              <w:pStyle w:val="P68B1DB1-Normal16"/>
              <w:spacing w:after="200" w:line="276" w:lineRule="auto"/>
              <w:rPr>
                <w:noProof/>
              </w:rPr>
            </w:pPr>
            <w:r>
              <w:rPr>
                <w:noProof/>
              </w:rPr>
              <w:t xml:space="preserve">Allmänt vattenförsörjningsnät konstruerat eller ombyggt </w:t>
            </w:r>
          </w:p>
        </w:tc>
        <w:tc>
          <w:tcPr>
            <w:tcW w:w="1985" w:type="dxa"/>
            <w:tcBorders>
              <w:top w:val="single" w:sz="4" w:space="0" w:color="auto"/>
              <w:left w:val="nil"/>
              <w:bottom w:val="single" w:sz="4" w:space="0" w:color="auto"/>
              <w:right w:val="single" w:sz="4" w:space="0" w:color="auto"/>
            </w:tcBorders>
            <w:shd w:val="clear" w:color="auto" w:fill="C6EFCE"/>
            <w:noWrap/>
          </w:tcPr>
          <w:p w14:paraId="16B3D608"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C26A3C9"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4166164F"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0472A8B3" w14:textId="77777777" w:rsidR="003A3D51" w:rsidRDefault="0002775A">
            <w:pPr>
              <w:pStyle w:val="P68B1DB1-Normal16"/>
              <w:spacing w:after="200" w:line="276" w:lineRule="auto"/>
              <w:jc w:val="center"/>
              <w:rPr>
                <w:noProof/>
              </w:rPr>
            </w:pPr>
            <w:r>
              <w:rPr>
                <w:noProof/>
              </w:rPr>
              <w:t>226</w:t>
            </w:r>
          </w:p>
        </w:tc>
        <w:tc>
          <w:tcPr>
            <w:tcW w:w="539" w:type="dxa"/>
            <w:tcBorders>
              <w:top w:val="single" w:sz="4" w:space="0" w:color="auto"/>
              <w:left w:val="nil"/>
              <w:bottom w:val="single" w:sz="4" w:space="0" w:color="auto"/>
              <w:right w:val="single" w:sz="4" w:space="0" w:color="auto"/>
            </w:tcBorders>
            <w:shd w:val="clear" w:color="auto" w:fill="C6EFCE"/>
            <w:noWrap/>
          </w:tcPr>
          <w:p w14:paraId="3DBE7FE4" w14:textId="77777777"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503D35C1"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5744047B" w14:textId="77777777" w:rsidR="003A3D51" w:rsidRDefault="0002775A">
            <w:pPr>
              <w:pStyle w:val="P68B1DB1-Normal16"/>
              <w:spacing w:after="200" w:line="276" w:lineRule="auto"/>
              <w:rPr>
                <w:noProof/>
              </w:rPr>
            </w:pPr>
            <w:r>
              <w:rPr>
                <w:noProof/>
              </w:rPr>
              <w:t>Minst 226 km av det allmänna vattenförsörjningsnätet har byggts eller byggts om.</w:t>
            </w:r>
            <w:r>
              <w:rPr>
                <w:noProof/>
              </w:rPr>
              <w:br/>
              <w:t xml:space="preserve">Investeringen består av att bygga dricksvattensystem med en genomsnittlig energiförbrukning på ≤ 0,5 kWh eller ett infrastrukturläckageindex (ILI) på ≤ 1,5, och renovering av befintliga dricksvattenförsörjningssystem för att minska den genomsnittliga energiförbrukningen med mer än 20 % eller minska läckaget med mer än 20 %.  </w:t>
            </w:r>
          </w:p>
        </w:tc>
      </w:tr>
      <w:tr w:rsidR="003A3D51" w14:paraId="68767545"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058800F" w14:textId="77777777" w:rsidR="003A3D51" w:rsidRDefault="0002775A">
            <w:pPr>
              <w:pStyle w:val="P68B1DB1-Normal16"/>
              <w:spacing w:after="200" w:line="276" w:lineRule="auto"/>
              <w:jc w:val="center"/>
              <w:rPr>
                <w:noProof/>
              </w:rPr>
            </w:pPr>
            <w:r>
              <w:rPr>
                <w:noProof/>
              </w:rPr>
              <w:t>69</w:t>
            </w:r>
          </w:p>
        </w:tc>
        <w:tc>
          <w:tcPr>
            <w:tcW w:w="826" w:type="dxa"/>
            <w:tcBorders>
              <w:top w:val="single" w:sz="4" w:space="0" w:color="auto"/>
              <w:left w:val="nil"/>
              <w:bottom w:val="single" w:sz="4" w:space="0" w:color="auto"/>
              <w:right w:val="single" w:sz="4" w:space="0" w:color="auto"/>
            </w:tcBorders>
            <w:shd w:val="clear" w:color="auto" w:fill="C6EFCE"/>
            <w:noWrap/>
          </w:tcPr>
          <w:p w14:paraId="6E35A7AC" w14:textId="77777777" w:rsidR="003A3D51" w:rsidRDefault="0002775A">
            <w:pPr>
              <w:pStyle w:val="P68B1DB1-Normal16"/>
              <w:spacing w:after="200" w:line="276" w:lineRule="auto"/>
              <w:jc w:val="center"/>
              <w:rPr>
                <w:noProof/>
              </w:rPr>
            </w:pPr>
            <w:r>
              <w:rPr>
                <w:noProof/>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1B6E64BA"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751AF521" w14:textId="77777777" w:rsidR="003A3D51" w:rsidRDefault="0002775A">
            <w:pPr>
              <w:pStyle w:val="P68B1DB1-Normal16"/>
              <w:spacing w:after="200" w:line="276" w:lineRule="auto"/>
              <w:rPr>
                <w:noProof/>
              </w:rPr>
            </w:pPr>
            <w:r>
              <w:rPr>
                <w:noProof/>
              </w:rPr>
              <w:t xml:space="preserve">Vattenmätare installerade på platser för vattenuttag </w:t>
            </w:r>
          </w:p>
        </w:tc>
        <w:tc>
          <w:tcPr>
            <w:tcW w:w="1985" w:type="dxa"/>
            <w:tcBorders>
              <w:top w:val="single" w:sz="4" w:space="0" w:color="auto"/>
              <w:left w:val="nil"/>
              <w:bottom w:val="single" w:sz="4" w:space="0" w:color="auto"/>
              <w:right w:val="single" w:sz="4" w:space="0" w:color="auto"/>
            </w:tcBorders>
            <w:shd w:val="clear" w:color="auto" w:fill="C6EFCE"/>
            <w:noWrap/>
          </w:tcPr>
          <w:p w14:paraId="263AF0B8"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3E3194E4"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F29C4B3"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506BC0A6" w14:textId="77777777" w:rsidR="003A3D51" w:rsidRDefault="0002775A">
            <w:pPr>
              <w:pStyle w:val="P68B1DB1-Normal16"/>
              <w:spacing w:after="200" w:line="276" w:lineRule="auto"/>
              <w:jc w:val="center"/>
              <w:rPr>
                <w:noProof/>
              </w:rPr>
            </w:pPr>
            <w:r>
              <w:rPr>
                <w:noProof/>
              </w:rPr>
              <w:t>526</w:t>
            </w:r>
          </w:p>
        </w:tc>
        <w:tc>
          <w:tcPr>
            <w:tcW w:w="539" w:type="dxa"/>
            <w:tcBorders>
              <w:top w:val="single" w:sz="4" w:space="0" w:color="auto"/>
              <w:left w:val="nil"/>
              <w:bottom w:val="single" w:sz="4" w:space="0" w:color="auto"/>
              <w:right w:val="single" w:sz="4" w:space="0" w:color="auto"/>
            </w:tcBorders>
            <w:shd w:val="clear" w:color="auto" w:fill="C6EFCE"/>
            <w:noWrap/>
          </w:tcPr>
          <w:p w14:paraId="50CA6DEE"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0E82433"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64C158BF" w14:textId="77777777" w:rsidR="003A3D51" w:rsidRDefault="0002775A">
            <w:pPr>
              <w:pStyle w:val="P68B1DB1-Normal16"/>
              <w:spacing w:after="200" w:line="276" w:lineRule="auto"/>
              <w:rPr>
                <w:noProof/>
              </w:rPr>
            </w:pPr>
            <w:r>
              <w:rPr>
                <w:noProof/>
              </w:rPr>
              <w:t xml:space="preserve">Minst 526 mätanordningar installerade på vattenuttagsanläggningar för mätning av vattenmängder. </w:t>
            </w:r>
          </w:p>
        </w:tc>
      </w:tr>
      <w:tr w:rsidR="003A3D51" w14:paraId="4FB7A715"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37DD43A" w14:textId="77777777" w:rsidR="003A3D51" w:rsidRDefault="0002775A">
            <w:pPr>
              <w:pStyle w:val="P68B1DB1-Normal16"/>
              <w:spacing w:after="200" w:line="276" w:lineRule="auto"/>
              <w:jc w:val="center"/>
              <w:rPr>
                <w:noProof/>
              </w:rPr>
            </w:pPr>
            <w:r>
              <w:rPr>
                <w:noProof/>
              </w:rPr>
              <w:t>70</w:t>
            </w:r>
          </w:p>
        </w:tc>
        <w:tc>
          <w:tcPr>
            <w:tcW w:w="826" w:type="dxa"/>
            <w:tcBorders>
              <w:top w:val="single" w:sz="4" w:space="0" w:color="auto"/>
              <w:left w:val="nil"/>
              <w:bottom w:val="single" w:sz="4" w:space="0" w:color="auto"/>
              <w:right w:val="single" w:sz="4" w:space="0" w:color="auto"/>
            </w:tcBorders>
            <w:shd w:val="clear" w:color="auto" w:fill="C6EFCE"/>
            <w:noWrap/>
          </w:tcPr>
          <w:p w14:paraId="2D4367B9" w14:textId="77777777" w:rsidR="003A3D51" w:rsidRDefault="0002775A">
            <w:pPr>
              <w:pStyle w:val="P68B1DB1-Normal16"/>
              <w:spacing w:after="200" w:line="276" w:lineRule="auto"/>
              <w:jc w:val="center"/>
              <w:rPr>
                <w:noProof/>
              </w:rPr>
            </w:pPr>
            <w:r>
              <w:rPr>
                <w:noProof/>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0DEEF5F5"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235E7200" w14:textId="77777777" w:rsidR="003A3D51" w:rsidRDefault="0002775A">
            <w:pPr>
              <w:pStyle w:val="P68B1DB1-Normal16"/>
              <w:spacing w:after="200" w:line="276" w:lineRule="auto"/>
              <w:rPr>
                <w:noProof/>
              </w:rPr>
            </w:pPr>
            <w:r>
              <w:rPr>
                <w:noProof/>
              </w:rPr>
              <w:t xml:space="preserve">Bygg- och anläggningskontrakt för vattenförsörjningsprojekt </w:t>
            </w:r>
          </w:p>
        </w:tc>
        <w:tc>
          <w:tcPr>
            <w:tcW w:w="1985" w:type="dxa"/>
            <w:tcBorders>
              <w:top w:val="single" w:sz="4" w:space="0" w:color="auto"/>
              <w:left w:val="nil"/>
              <w:bottom w:val="single" w:sz="4" w:space="0" w:color="auto"/>
              <w:right w:val="single" w:sz="4" w:space="0" w:color="auto"/>
            </w:tcBorders>
            <w:shd w:val="clear" w:color="auto" w:fill="C6EFCE"/>
            <w:noWrap/>
          </w:tcPr>
          <w:p w14:paraId="7948341A"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203BBEF"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444DAEA5"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7331BC37" w14:textId="77777777" w:rsidR="003A3D51" w:rsidRDefault="0002775A">
            <w:pPr>
              <w:pStyle w:val="P68B1DB1-Normal16"/>
              <w:spacing w:after="200" w:line="276" w:lineRule="auto"/>
              <w:jc w:val="center"/>
              <w:rPr>
                <w:noProof/>
              </w:rPr>
            </w:pPr>
            <w:r>
              <w:rPr>
                <w:noProof/>
              </w:rPr>
              <w:t>100</w:t>
            </w:r>
          </w:p>
        </w:tc>
        <w:tc>
          <w:tcPr>
            <w:tcW w:w="539" w:type="dxa"/>
            <w:tcBorders>
              <w:top w:val="single" w:sz="4" w:space="0" w:color="auto"/>
              <w:left w:val="nil"/>
              <w:bottom w:val="single" w:sz="4" w:space="0" w:color="auto"/>
              <w:right w:val="single" w:sz="4" w:space="0" w:color="auto"/>
            </w:tcBorders>
            <w:shd w:val="clear" w:color="auto" w:fill="C6EFCE"/>
            <w:noWrap/>
          </w:tcPr>
          <w:p w14:paraId="560E86BC"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653C4C6" w14:textId="77777777" w:rsidR="003A3D51" w:rsidRDefault="0002775A">
            <w:pPr>
              <w:pStyle w:val="P68B1DB1-Normal16"/>
              <w:spacing w:after="200" w:line="276" w:lineRule="auto"/>
              <w:jc w:val="center"/>
              <w:rPr>
                <w:noProof/>
              </w:rPr>
            </w:pPr>
            <w:r>
              <w:rPr>
                <w:noProof/>
              </w:rPr>
              <w:t>2023</w:t>
            </w:r>
          </w:p>
        </w:tc>
        <w:tc>
          <w:tcPr>
            <w:tcW w:w="3686" w:type="dxa"/>
            <w:tcBorders>
              <w:top w:val="single" w:sz="4" w:space="0" w:color="auto"/>
              <w:left w:val="nil"/>
              <w:bottom w:val="single" w:sz="4" w:space="0" w:color="auto"/>
              <w:right w:val="single" w:sz="4" w:space="0" w:color="auto"/>
            </w:tcBorders>
            <w:shd w:val="clear" w:color="auto" w:fill="C6EFCE"/>
            <w:noWrap/>
          </w:tcPr>
          <w:p w14:paraId="56B097AD" w14:textId="77777777" w:rsidR="003A3D51" w:rsidRDefault="0002775A">
            <w:pPr>
              <w:pStyle w:val="P68B1DB1-Normal16"/>
              <w:spacing w:after="200" w:line="276" w:lineRule="auto"/>
              <w:rPr>
                <w:noProof/>
              </w:rPr>
            </w:pPr>
            <w:r>
              <w:rPr>
                <w:noProof/>
              </w:rPr>
              <w:t>Antalet kontrakt för bygg- och anläggningsarbeten som undertecknats för vattenbaserade projekt avser kontrakt som ska tilldelas före utgången av 2023.</w:t>
            </w:r>
            <w:r>
              <w:rPr>
                <w:noProof/>
              </w:rPr>
              <w:br/>
              <w:t>Miljökonsekvensbedömningen ska genomföras i enlighet med tillståndsförfarandena enligt MKB-direktivet i enlighet med direktiv 2011/92/EU och med behovsbedömning och/eller lämplig bedömning enligt artikel 6.3 i habitatdirektivet. Det ska styrkas att projektet inte på ett betydande sätt påverkar de berörda Natura 2 000-områdenas integritet.</w:t>
            </w:r>
          </w:p>
        </w:tc>
      </w:tr>
      <w:tr w:rsidR="003A3D51" w14:paraId="6AE1F014"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391A54C" w14:textId="77777777" w:rsidR="003A3D51" w:rsidRDefault="0002775A">
            <w:pPr>
              <w:pStyle w:val="P68B1DB1-Normal16"/>
              <w:spacing w:after="200" w:line="276" w:lineRule="auto"/>
              <w:jc w:val="center"/>
              <w:rPr>
                <w:noProof/>
              </w:rPr>
            </w:pPr>
            <w:r>
              <w:rPr>
                <w:noProof/>
              </w:rPr>
              <w:t>71</w:t>
            </w:r>
          </w:p>
        </w:tc>
        <w:tc>
          <w:tcPr>
            <w:tcW w:w="826" w:type="dxa"/>
            <w:tcBorders>
              <w:top w:val="single" w:sz="4" w:space="0" w:color="auto"/>
              <w:left w:val="nil"/>
              <w:bottom w:val="single" w:sz="4" w:space="0" w:color="auto"/>
              <w:right w:val="single" w:sz="4" w:space="0" w:color="auto"/>
            </w:tcBorders>
            <w:shd w:val="clear" w:color="auto" w:fill="C6EFCE"/>
            <w:noWrap/>
          </w:tcPr>
          <w:p w14:paraId="157F3831" w14:textId="77777777" w:rsidR="003A3D51" w:rsidRDefault="0002775A">
            <w:pPr>
              <w:pStyle w:val="P68B1DB1-Normal16"/>
              <w:spacing w:after="200" w:line="276" w:lineRule="auto"/>
              <w:jc w:val="center"/>
              <w:rPr>
                <w:noProof/>
              </w:rPr>
            </w:pPr>
            <w:r>
              <w:rPr>
                <w:noProof/>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4C9B72A3"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0289B1F5" w14:textId="77777777" w:rsidR="003A3D51" w:rsidRDefault="0002775A">
            <w:pPr>
              <w:pStyle w:val="P68B1DB1-Normal16"/>
              <w:spacing w:after="200" w:line="276" w:lineRule="auto"/>
              <w:rPr>
                <w:noProof/>
              </w:rPr>
            </w:pPr>
            <w:r>
              <w:rPr>
                <w:noProof/>
              </w:rPr>
              <w:t xml:space="preserve">Allmänt vattenförsörjningsnät konstruerat eller ombyggt </w:t>
            </w:r>
          </w:p>
        </w:tc>
        <w:tc>
          <w:tcPr>
            <w:tcW w:w="1985" w:type="dxa"/>
            <w:tcBorders>
              <w:top w:val="single" w:sz="4" w:space="0" w:color="auto"/>
              <w:left w:val="nil"/>
              <w:bottom w:val="single" w:sz="4" w:space="0" w:color="auto"/>
              <w:right w:val="single" w:sz="4" w:space="0" w:color="auto"/>
            </w:tcBorders>
            <w:shd w:val="clear" w:color="auto" w:fill="C6EFCE"/>
            <w:noWrap/>
          </w:tcPr>
          <w:p w14:paraId="777CB634"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666DD8F"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334E7A50"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64B70DDA" w14:textId="4A69B509" w:rsidR="003A3D51" w:rsidRDefault="0002775A">
            <w:pPr>
              <w:pStyle w:val="P68B1DB1-Normal16"/>
              <w:spacing w:after="200" w:line="276" w:lineRule="auto"/>
              <w:jc w:val="center"/>
              <w:rPr>
                <w:noProof/>
              </w:rPr>
            </w:pPr>
            <w:r>
              <w:rPr>
                <w:noProof/>
              </w:rPr>
              <w:t>517</w:t>
            </w:r>
          </w:p>
        </w:tc>
        <w:tc>
          <w:tcPr>
            <w:tcW w:w="539" w:type="dxa"/>
            <w:tcBorders>
              <w:top w:val="single" w:sz="4" w:space="0" w:color="auto"/>
              <w:left w:val="nil"/>
              <w:bottom w:val="single" w:sz="4" w:space="0" w:color="auto"/>
              <w:right w:val="single" w:sz="4" w:space="0" w:color="auto"/>
            </w:tcBorders>
            <w:shd w:val="clear" w:color="auto" w:fill="C6EFCE"/>
            <w:noWrap/>
          </w:tcPr>
          <w:p w14:paraId="5D9B4646"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28E3E2B8" w14:textId="77777777" w:rsidR="003A3D51" w:rsidRDefault="0002775A">
            <w:pPr>
              <w:pStyle w:val="P68B1DB1-Normal16"/>
              <w:spacing w:after="200" w:line="276" w:lineRule="auto"/>
              <w:jc w:val="center"/>
              <w:rPr>
                <w:noProof/>
              </w:rPr>
            </w:pPr>
            <w:r>
              <w:rPr>
                <w:noProof/>
              </w:rPr>
              <w:t>2023</w:t>
            </w:r>
          </w:p>
        </w:tc>
        <w:tc>
          <w:tcPr>
            <w:tcW w:w="3686" w:type="dxa"/>
            <w:tcBorders>
              <w:top w:val="single" w:sz="4" w:space="0" w:color="auto"/>
              <w:left w:val="nil"/>
              <w:bottom w:val="single" w:sz="4" w:space="0" w:color="auto"/>
              <w:right w:val="single" w:sz="4" w:space="0" w:color="auto"/>
            </w:tcBorders>
            <w:shd w:val="clear" w:color="auto" w:fill="C6EFCE"/>
            <w:noWrap/>
          </w:tcPr>
          <w:p w14:paraId="497D66EA" w14:textId="6F6C586F" w:rsidR="003A3D51" w:rsidRDefault="0002775A">
            <w:pPr>
              <w:pStyle w:val="P68B1DB1-Normal16"/>
              <w:spacing w:after="200" w:line="276" w:lineRule="auto"/>
              <w:rPr>
                <w:noProof/>
              </w:rPr>
            </w:pPr>
            <w:r>
              <w:rPr>
                <w:noProof/>
              </w:rPr>
              <w:t>Minst 517 km av det allmänna vattenförsörjningsnätet har byggts eller byggts om.</w:t>
            </w:r>
            <w:r>
              <w:rPr>
                <w:noProof/>
              </w:rPr>
              <w:br/>
              <w:t xml:space="preserve">Investeringen består av att bygga dricksvattensystem med en genomsnittlig energiförbrukning på ≤ 0,5 kWh eller ett infrastrukturläckageindex (ILI) på ≤ 1,5, och renovering av befintliga dricksvattenförsörjningssystem för att minska den genomsnittliga energiförbrukningen med mer än 20 % eller minska läckaget med mer än 20 %.  </w:t>
            </w:r>
          </w:p>
        </w:tc>
      </w:tr>
      <w:tr w:rsidR="003A3D51" w14:paraId="06E623AC"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8C41DA2" w14:textId="77777777" w:rsidR="003A3D51" w:rsidRDefault="0002775A">
            <w:pPr>
              <w:pStyle w:val="P68B1DB1-Normal16"/>
              <w:spacing w:after="200" w:line="276" w:lineRule="auto"/>
              <w:jc w:val="center"/>
              <w:rPr>
                <w:noProof/>
              </w:rPr>
            </w:pPr>
            <w:r>
              <w:rPr>
                <w:noProof/>
              </w:rPr>
              <w:t>72</w:t>
            </w:r>
          </w:p>
        </w:tc>
        <w:tc>
          <w:tcPr>
            <w:tcW w:w="826" w:type="dxa"/>
            <w:tcBorders>
              <w:top w:val="single" w:sz="4" w:space="0" w:color="auto"/>
              <w:left w:val="nil"/>
              <w:bottom w:val="single" w:sz="4" w:space="0" w:color="auto"/>
              <w:right w:val="single" w:sz="4" w:space="0" w:color="auto"/>
            </w:tcBorders>
            <w:shd w:val="clear" w:color="auto" w:fill="C6EFCE"/>
            <w:noWrap/>
          </w:tcPr>
          <w:p w14:paraId="16B1BF1F" w14:textId="77777777" w:rsidR="003A3D51" w:rsidRDefault="0002775A">
            <w:pPr>
              <w:pStyle w:val="P68B1DB1-Normal16"/>
              <w:spacing w:after="200" w:line="276" w:lineRule="auto"/>
              <w:jc w:val="center"/>
              <w:rPr>
                <w:noProof/>
              </w:rPr>
            </w:pPr>
            <w:r>
              <w:rPr>
                <w:noProof/>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3BFDD810"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1456A273" w14:textId="77777777" w:rsidR="003A3D51" w:rsidRDefault="0002775A">
            <w:pPr>
              <w:pStyle w:val="P68B1DB1-Normal16"/>
              <w:spacing w:after="200" w:line="276" w:lineRule="auto"/>
              <w:rPr>
                <w:noProof/>
              </w:rPr>
            </w:pPr>
            <w:r>
              <w:rPr>
                <w:noProof/>
              </w:rPr>
              <w:t xml:space="preserve">Allmänt vattenförsörjningsnät konstruerat eller ombyggt </w:t>
            </w:r>
          </w:p>
        </w:tc>
        <w:tc>
          <w:tcPr>
            <w:tcW w:w="1985" w:type="dxa"/>
            <w:tcBorders>
              <w:top w:val="single" w:sz="4" w:space="0" w:color="auto"/>
              <w:left w:val="nil"/>
              <w:bottom w:val="single" w:sz="4" w:space="0" w:color="auto"/>
              <w:right w:val="single" w:sz="4" w:space="0" w:color="auto"/>
            </w:tcBorders>
            <w:shd w:val="clear" w:color="auto" w:fill="C6EFCE"/>
            <w:noWrap/>
          </w:tcPr>
          <w:p w14:paraId="5AA2D7F0"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3442FAF0"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8A1A07C"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3B96599D" w14:textId="77777777" w:rsidR="003A3D51" w:rsidRDefault="0002775A">
            <w:pPr>
              <w:pStyle w:val="P68B1DB1-Normal16"/>
              <w:spacing w:after="200" w:line="276" w:lineRule="auto"/>
              <w:jc w:val="center"/>
              <w:rPr>
                <w:noProof/>
              </w:rPr>
            </w:pPr>
            <w:r>
              <w:rPr>
                <w:noProof/>
              </w:rPr>
              <w:t>956</w:t>
            </w:r>
          </w:p>
        </w:tc>
        <w:tc>
          <w:tcPr>
            <w:tcW w:w="539" w:type="dxa"/>
            <w:tcBorders>
              <w:top w:val="single" w:sz="4" w:space="0" w:color="auto"/>
              <w:left w:val="nil"/>
              <w:bottom w:val="single" w:sz="4" w:space="0" w:color="auto"/>
              <w:right w:val="single" w:sz="4" w:space="0" w:color="auto"/>
            </w:tcBorders>
            <w:shd w:val="clear" w:color="auto" w:fill="C6EFCE"/>
            <w:noWrap/>
          </w:tcPr>
          <w:p w14:paraId="11F8A817"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B553BD9"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FE59DDD" w14:textId="77777777" w:rsidR="003A3D51" w:rsidRDefault="0002775A">
            <w:pPr>
              <w:pStyle w:val="P68B1DB1-Normal13"/>
              <w:spacing w:after="200" w:line="276" w:lineRule="auto"/>
              <w:rPr>
                <w:rFonts w:eastAsia="Calibri" w:cstheme="minorHAnsi"/>
                <w:noProof/>
              </w:rPr>
            </w:pPr>
            <w:r>
              <w:rPr>
                <w:rFonts w:eastAsia="Calibri" w:cstheme="minorHAnsi"/>
                <w:noProof/>
                <w:color w:val="000000" w:themeColor="text1"/>
              </w:rPr>
              <w:t xml:space="preserve">Minst 956 km av det allmänna vattenförsörjningsnätet har byggts eller byggts om. </w:t>
            </w:r>
            <w:r>
              <w:rPr>
                <w:rFonts w:cstheme="minorHAnsi"/>
                <w:noProof/>
              </w:rPr>
              <w:br/>
            </w:r>
            <w:r>
              <w:rPr>
                <w:rFonts w:eastAsia="Calibri" w:cstheme="minorHAnsi"/>
                <w:noProof/>
                <w:color w:val="000000" w:themeColor="text1"/>
              </w:rPr>
              <w:t xml:space="preserve"> Investeringen består av att bygga dricksvattensystem med en genomsnittlig energiförbrukning på ≤ 0,5 kWh eller ett infrastrukturläckageindex (ILI) på ≤ 1,5, och renovering av befintliga dricksvattenförsörjningssystem för att minska den genomsnittliga energiförbrukningen med mer än 20 % eller minska läckaget med mer än 20 %.  </w:t>
            </w:r>
          </w:p>
        </w:tc>
      </w:tr>
      <w:tr w:rsidR="003A3D51" w14:paraId="4B2D21EC"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5F31EAD" w14:textId="77777777" w:rsidR="003A3D51" w:rsidRDefault="0002775A">
            <w:pPr>
              <w:pStyle w:val="P68B1DB1-Normal16"/>
              <w:spacing w:after="200" w:line="276" w:lineRule="auto"/>
              <w:jc w:val="center"/>
              <w:rPr>
                <w:noProof/>
              </w:rPr>
            </w:pPr>
            <w:r>
              <w:rPr>
                <w:noProof/>
              </w:rPr>
              <w:t>73</w:t>
            </w:r>
          </w:p>
        </w:tc>
        <w:tc>
          <w:tcPr>
            <w:tcW w:w="826" w:type="dxa"/>
            <w:tcBorders>
              <w:top w:val="single" w:sz="4" w:space="0" w:color="auto"/>
              <w:left w:val="nil"/>
              <w:bottom w:val="single" w:sz="4" w:space="0" w:color="auto"/>
              <w:right w:val="single" w:sz="4" w:space="0" w:color="auto"/>
            </w:tcBorders>
            <w:shd w:val="clear" w:color="auto" w:fill="C6EFCE"/>
            <w:noWrap/>
          </w:tcPr>
          <w:p w14:paraId="1AECBE99" w14:textId="77777777" w:rsidR="003A3D51" w:rsidRDefault="0002775A">
            <w:pPr>
              <w:pStyle w:val="P68B1DB1-Normal16"/>
              <w:spacing w:after="200" w:line="276" w:lineRule="auto"/>
              <w:jc w:val="center"/>
              <w:rPr>
                <w:noProof/>
              </w:rPr>
            </w:pPr>
            <w:r>
              <w:rPr>
                <w:noProof/>
              </w:rPr>
              <w:t>C1.3 R1-I2</w:t>
            </w:r>
          </w:p>
        </w:tc>
        <w:tc>
          <w:tcPr>
            <w:tcW w:w="895" w:type="dxa"/>
            <w:tcBorders>
              <w:top w:val="single" w:sz="4" w:space="0" w:color="auto"/>
              <w:left w:val="nil"/>
              <w:bottom w:val="single" w:sz="4" w:space="0" w:color="auto"/>
              <w:right w:val="single" w:sz="4" w:space="0" w:color="auto"/>
            </w:tcBorders>
            <w:shd w:val="clear" w:color="auto" w:fill="C6EFCE"/>
            <w:noWrap/>
          </w:tcPr>
          <w:p w14:paraId="0758AEB4"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7032EEED" w14:textId="77777777" w:rsidR="003A3D51" w:rsidRDefault="0002775A">
            <w:pPr>
              <w:pStyle w:val="P68B1DB1-Normal16"/>
              <w:spacing w:after="200" w:line="276" w:lineRule="auto"/>
              <w:rPr>
                <w:noProof/>
              </w:rPr>
            </w:pPr>
            <w:r>
              <w:rPr>
                <w:noProof/>
              </w:rPr>
              <w:t>Befolkning med förbättrad tillgång till vatten</w:t>
            </w:r>
          </w:p>
        </w:tc>
        <w:tc>
          <w:tcPr>
            <w:tcW w:w="1985" w:type="dxa"/>
            <w:tcBorders>
              <w:top w:val="single" w:sz="4" w:space="0" w:color="auto"/>
              <w:left w:val="nil"/>
              <w:bottom w:val="single" w:sz="4" w:space="0" w:color="auto"/>
              <w:right w:val="single" w:sz="4" w:space="0" w:color="auto"/>
            </w:tcBorders>
            <w:shd w:val="clear" w:color="auto" w:fill="C6EFCE"/>
            <w:noWrap/>
          </w:tcPr>
          <w:p w14:paraId="6D04FB7F"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73312BA6"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40646A87"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6757942F" w14:textId="77777777" w:rsidR="003A3D51" w:rsidRDefault="0002775A">
            <w:pPr>
              <w:pStyle w:val="P68B1DB1-Normal16"/>
              <w:spacing w:after="200" w:line="276" w:lineRule="auto"/>
              <w:jc w:val="center"/>
              <w:rPr>
                <w:noProof/>
              </w:rPr>
            </w:pPr>
            <w:r>
              <w:rPr>
                <w:noProof/>
              </w:rPr>
              <w:t>45 000</w:t>
            </w:r>
          </w:p>
        </w:tc>
        <w:tc>
          <w:tcPr>
            <w:tcW w:w="539" w:type="dxa"/>
            <w:tcBorders>
              <w:top w:val="single" w:sz="4" w:space="0" w:color="auto"/>
              <w:left w:val="nil"/>
              <w:bottom w:val="single" w:sz="4" w:space="0" w:color="auto"/>
              <w:right w:val="single" w:sz="4" w:space="0" w:color="auto"/>
            </w:tcBorders>
            <w:shd w:val="clear" w:color="auto" w:fill="C6EFCE"/>
            <w:noWrap/>
          </w:tcPr>
          <w:p w14:paraId="25DCB26E" w14:textId="77777777"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1EB5FA42" w14:textId="77777777" w:rsidR="003A3D51" w:rsidRDefault="0002775A">
            <w:pPr>
              <w:pStyle w:val="P68B1DB1-Normal16"/>
              <w:spacing w:after="200" w:line="276" w:lineRule="auto"/>
              <w:jc w:val="center"/>
              <w:rPr>
                <w:noProof/>
              </w:rPr>
            </w:pPr>
            <w:r>
              <w:rPr>
                <w:noProof/>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64E76B7" w14:textId="77777777" w:rsidR="003A3D51" w:rsidRDefault="0002775A">
            <w:pPr>
              <w:pStyle w:val="P68B1DB1-Normal16"/>
              <w:spacing w:after="200" w:line="276" w:lineRule="auto"/>
              <w:rPr>
                <w:noProof/>
              </w:rPr>
            </w:pPr>
            <w:r>
              <w:rPr>
                <w:noProof/>
              </w:rPr>
              <w:t>Minst 45 000 invånare ska försörjas med dricksvatten genom allmän vattenförsörjning till följd av uppgraderingar och utökningar av vattenförsörjningsnätet. Detta avser en befolkning som inte tidigare var ansluten till ett offentligt vattenförsörjningssystem eller hade vatten av otillräcklig kvalitet. Det omfattar också boende med förbättrad dricksvattenkvalitet.</w:t>
            </w:r>
            <w:r>
              <w:rPr>
                <w:noProof/>
              </w:rPr>
              <w:br/>
              <w:t xml:space="preserve">Indikatorn avser den befolkning som faktiskt (och inte potentiellt) är ansluten till den offentliga vattenförsörjningen. Detta inbegriper återuppbyggnadsprojekt, men inte projekt som rör uppförande/förbättring av bevattningssystem.  </w:t>
            </w:r>
          </w:p>
        </w:tc>
      </w:tr>
      <w:tr w:rsidR="003A3D51" w14:paraId="67EC7165"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D7B339A" w14:textId="77777777" w:rsidR="003A3D51" w:rsidRDefault="0002775A">
            <w:pPr>
              <w:pStyle w:val="P68B1DB1-Normal16"/>
              <w:spacing w:after="200" w:line="276" w:lineRule="auto"/>
              <w:jc w:val="center"/>
              <w:rPr>
                <w:noProof/>
              </w:rPr>
            </w:pPr>
            <w:r>
              <w:rPr>
                <w:noProof/>
              </w:rPr>
              <w:t>74</w:t>
            </w:r>
          </w:p>
        </w:tc>
        <w:tc>
          <w:tcPr>
            <w:tcW w:w="826" w:type="dxa"/>
            <w:tcBorders>
              <w:top w:val="single" w:sz="4" w:space="0" w:color="auto"/>
              <w:left w:val="nil"/>
              <w:bottom w:val="single" w:sz="4" w:space="0" w:color="auto"/>
              <w:right w:val="single" w:sz="4" w:space="0" w:color="auto"/>
            </w:tcBorders>
            <w:shd w:val="clear" w:color="auto" w:fill="C6EFCE"/>
            <w:noWrap/>
          </w:tcPr>
          <w:p w14:paraId="1A775EC2"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07AFAB6"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38F107D6" w14:textId="77777777" w:rsidR="003A3D51" w:rsidRDefault="0002775A">
            <w:pPr>
              <w:pStyle w:val="P68B1DB1-Normal16"/>
              <w:spacing w:after="200" w:line="276" w:lineRule="auto"/>
              <w:rPr>
                <w:noProof/>
              </w:rPr>
            </w:pPr>
            <w:r>
              <w:rPr>
                <w:noProof/>
              </w:rPr>
              <w:t xml:space="preserve">Entreprenadkontrakt för översvämningsskyddsprojekt </w:t>
            </w:r>
          </w:p>
        </w:tc>
        <w:tc>
          <w:tcPr>
            <w:tcW w:w="1985" w:type="dxa"/>
            <w:tcBorders>
              <w:top w:val="single" w:sz="4" w:space="0" w:color="auto"/>
              <w:left w:val="nil"/>
              <w:bottom w:val="single" w:sz="4" w:space="0" w:color="auto"/>
              <w:right w:val="single" w:sz="4" w:space="0" w:color="auto"/>
            </w:tcBorders>
            <w:shd w:val="clear" w:color="auto" w:fill="C6EFCE"/>
            <w:noWrap/>
          </w:tcPr>
          <w:p w14:paraId="11C66FFE"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4C30F2F"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4A2A427C"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524562AB" w14:textId="77777777" w:rsidR="003A3D51" w:rsidRDefault="0002775A">
            <w:pPr>
              <w:pStyle w:val="P68B1DB1-Normal16"/>
              <w:spacing w:after="200" w:line="276" w:lineRule="auto"/>
              <w:jc w:val="center"/>
              <w:rPr>
                <w:noProof/>
              </w:rPr>
            </w:pPr>
            <w:r>
              <w:rPr>
                <w:noProof/>
              </w:rPr>
              <w:t>20</w:t>
            </w:r>
          </w:p>
        </w:tc>
        <w:tc>
          <w:tcPr>
            <w:tcW w:w="539" w:type="dxa"/>
            <w:tcBorders>
              <w:top w:val="single" w:sz="4" w:space="0" w:color="auto"/>
              <w:left w:val="nil"/>
              <w:bottom w:val="single" w:sz="4" w:space="0" w:color="auto"/>
              <w:right w:val="single" w:sz="4" w:space="0" w:color="auto"/>
            </w:tcBorders>
            <w:shd w:val="clear" w:color="auto" w:fill="C6EFCE"/>
            <w:noWrap/>
          </w:tcPr>
          <w:p w14:paraId="4AE708DF"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1C4C292F"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30D49F35" w14:textId="77777777" w:rsidR="003A3D51" w:rsidRDefault="0002775A">
            <w:pPr>
              <w:pStyle w:val="P68B1DB1-Normal16"/>
              <w:spacing w:after="200" w:line="276" w:lineRule="auto"/>
              <w:rPr>
                <w:noProof/>
              </w:rPr>
            </w:pPr>
            <w:r>
              <w:rPr>
                <w:noProof/>
              </w:rPr>
              <w:t xml:space="preserve">Minst 20 bygg- och anläggningskontrakt har ingåtts för projekt inom översvämningsskyddssektorn och avser kontrakt som ska tilldelas före utgången av 2022. </w:t>
            </w:r>
            <w:r>
              <w:rPr>
                <w:noProof/>
              </w:rPr>
              <w:br/>
              <w:t>Anbudskriterierna ska inriktas på naturbaserade lösningsåtgärder och grön infrastruktur. Kontrakten ska säkerställa att projekten genomförs i enlighet med EU:s regelverk och miljöförordningar och bilagorna till kommissionens delegerade förordning (C (2021) 2800 final) om komplettering av förordning (EU) 2020/852.</w:t>
            </w:r>
            <w:r>
              <w:rPr>
                <w:noProof/>
              </w:rPr>
              <w:br/>
              <w:t>Denna åtgärd förväntas inte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 All verksamhet ska uppfylla kraven i EU:s vattenlagstiftning såsom den införlivats i kroatisk lagstiftning. Miljökonsekvensbedömningen ska genomföras i enlighet med tillståndsförfarandena enligt MKB-direktivet i enlighet med direktiv 2011/92/EU och med behovsbedömning och/eller lämplig bedömning enligt artikel 6.3 i habitatdirektivet. Det ska styrkas att projektet inte på ett betydande sätt påverkar de berörda Natura 2 000-områdenas integritet.</w:t>
            </w:r>
          </w:p>
        </w:tc>
      </w:tr>
      <w:tr w:rsidR="003A3D51" w14:paraId="04B25258"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4C711EB" w14:textId="77777777" w:rsidR="003A3D51" w:rsidRDefault="0002775A">
            <w:pPr>
              <w:pStyle w:val="P68B1DB1-Normal16"/>
              <w:spacing w:after="200" w:line="276" w:lineRule="auto"/>
              <w:jc w:val="center"/>
              <w:rPr>
                <w:noProof/>
              </w:rPr>
            </w:pPr>
            <w:r>
              <w:rPr>
                <w:noProof/>
              </w:rPr>
              <w:t>75</w:t>
            </w:r>
          </w:p>
        </w:tc>
        <w:tc>
          <w:tcPr>
            <w:tcW w:w="826" w:type="dxa"/>
            <w:tcBorders>
              <w:top w:val="single" w:sz="4" w:space="0" w:color="auto"/>
              <w:left w:val="nil"/>
              <w:bottom w:val="single" w:sz="4" w:space="0" w:color="auto"/>
              <w:right w:val="single" w:sz="4" w:space="0" w:color="auto"/>
            </w:tcBorders>
            <w:shd w:val="clear" w:color="auto" w:fill="C6EFCE"/>
            <w:noWrap/>
          </w:tcPr>
          <w:p w14:paraId="14076999"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B6AC48E"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4A0381B5" w14:textId="77777777" w:rsidR="003A3D51" w:rsidRDefault="0002775A">
            <w:pPr>
              <w:pStyle w:val="P68B1DB1-Normal16"/>
              <w:spacing w:after="200" w:line="276" w:lineRule="auto"/>
              <w:rPr>
                <w:noProof/>
              </w:rPr>
            </w:pPr>
            <w:r>
              <w:rPr>
                <w:noProof/>
              </w:rPr>
              <w:t xml:space="preserve">Anläggning av översvämningsskydd </w:t>
            </w:r>
          </w:p>
        </w:tc>
        <w:tc>
          <w:tcPr>
            <w:tcW w:w="1985" w:type="dxa"/>
            <w:tcBorders>
              <w:top w:val="single" w:sz="4" w:space="0" w:color="auto"/>
              <w:left w:val="nil"/>
              <w:bottom w:val="single" w:sz="4" w:space="0" w:color="auto"/>
              <w:right w:val="single" w:sz="4" w:space="0" w:color="auto"/>
            </w:tcBorders>
            <w:shd w:val="clear" w:color="auto" w:fill="C6EFCE"/>
            <w:noWrap/>
          </w:tcPr>
          <w:p w14:paraId="0393DBFE"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A6B4D94"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618C0A58"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5475BB2B" w14:textId="77777777" w:rsidR="003A3D51" w:rsidRDefault="0002775A">
            <w:pPr>
              <w:pStyle w:val="P68B1DB1-Normal16"/>
              <w:spacing w:after="200" w:line="276" w:lineRule="auto"/>
              <w:jc w:val="center"/>
              <w:rPr>
                <w:noProof/>
              </w:rPr>
            </w:pPr>
            <w:r>
              <w:rPr>
                <w:noProof/>
              </w:rPr>
              <w:t>13</w:t>
            </w:r>
          </w:p>
        </w:tc>
        <w:tc>
          <w:tcPr>
            <w:tcW w:w="539" w:type="dxa"/>
            <w:tcBorders>
              <w:top w:val="single" w:sz="4" w:space="0" w:color="auto"/>
              <w:left w:val="nil"/>
              <w:bottom w:val="single" w:sz="4" w:space="0" w:color="auto"/>
              <w:right w:val="single" w:sz="4" w:space="0" w:color="auto"/>
            </w:tcBorders>
            <w:shd w:val="clear" w:color="auto" w:fill="C6EFCE"/>
            <w:noWrap/>
          </w:tcPr>
          <w:p w14:paraId="439A3B5C"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EE410FE"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5E6C8835" w14:textId="77777777" w:rsidR="003A3D51" w:rsidRDefault="0002775A">
            <w:pPr>
              <w:pStyle w:val="P68B1DB1-Normal16"/>
              <w:spacing w:after="200" w:line="276" w:lineRule="auto"/>
              <w:rPr>
                <w:noProof/>
              </w:rPr>
            </w:pPr>
            <w:r>
              <w:rPr>
                <w:noProof/>
              </w:rPr>
              <w:t>Minst 13 km översvämningsskydd har byggts för att skydda mot skadliga effekter av vatten.</w:t>
            </w:r>
          </w:p>
        </w:tc>
      </w:tr>
      <w:tr w:rsidR="003A3D51" w14:paraId="0808FEB0"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80D9B76" w14:textId="77777777" w:rsidR="003A3D51" w:rsidRDefault="0002775A">
            <w:pPr>
              <w:pStyle w:val="P68B1DB1-Normal16"/>
              <w:spacing w:after="200" w:line="276" w:lineRule="auto"/>
              <w:jc w:val="center"/>
              <w:rPr>
                <w:noProof/>
              </w:rPr>
            </w:pPr>
            <w:r>
              <w:rPr>
                <w:noProof/>
              </w:rPr>
              <w:t>76</w:t>
            </w:r>
          </w:p>
        </w:tc>
        <w:tc>
          <w:tcPr>
            <w:tcW w:w="826" w:type="dxa"/>
            <w:tcBorders>
              <w:top w:val="single" w:sz="4" w:space="0" w:color="auto"/>
              <w:left w:val="nil"/>
              <w:bottom w:val="single" w:sz="4" w:space="0" w:color="auto"/>
              <w:right w:val="single" w:sz="4" w:space="0" w:color="auto"/>
            </w:tcBorders>
            <w:shd w:val="clear" w:color="auto" w:fill="C6EFCE"/>
            <w:noWrap/>
          </w:tcPr>
          <w:p w14:paraId="4D11DF20"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41A99F9F"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235D7E2A" w14:textId="77777777" w:rsidR="003A3D51" w:rsidRDefault="0002775A">
            <w:pPr>
              <w:pStyle w:val="P68B1DB1-Normal16"/>
              <w:spacing w:after="200" w:line="276" w:lineRule="auto"/>
              <w:rPr>
                <w:noProof/>
              </w:rPr>
            </w:pPr>
            <w:r>
              <w:rPr>
                <w:noProof/>
              </w:rPr>
              <w:t xml:space="preserve">Vitaliserade vattendrag </w:t>
            </w:r>
          </w:p>
        </w:tc>
        <w:tc>
          <w:tcPr>
            <w:tcW w:w="1985" w:type="dxa"/>
            <w:tcBorders>
              <w:top w:val="single" w:sz="4" w:space="0" w:color="auto"/>
              <w:left w:val="nil"/>
              <w:bottom w:val="single" w:sz="4" w:space="0" w:color="auto"/>
              <w:right w:val="single" w:sz="4" w:space="0" w:color="auto"/>
            </w:tcBorders>
            <w:shd w:val="clear" w:color="auto" w:fill="C6EFCE"/>
            <w:noWrap/>
          </w:tcPr>
          <w:p w14:paraId="54BDDE35"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3028600"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62DB734F"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17E37837" w14:textId="77777777" w:rsidR="003A3D51" w:rsidRDefault="0002775A">
            <w:pPr>
              <w:pStyle w:val="P68B1DB1-Normal16"/>
              <w:spacing w:after="200" w:line="276" w:lineRule="auto"/>
              <w:jc w:val="center"/>
              <w:rPr>
                <w:noProof/>
              </w:rPr>
            </w:pPr>
            <w:r>
              <w:rPr>
                <w:noProof/>
              </w:rPr>
              <w:t>2</w:t>
            </w:r>
          </w:p>
        </w:tc>
        <w:tc>
          <w:tcPr>
            <w:tcW w:w="539" w:type="dxa"/>
            <w:tcBorders>
              <w:top w:val="single" w:sz="4" w:space="0" w:color="auto"/>
              <w:left w:val="nil"/>
              <w:bottom w:val="single" w:sz="4" w:space="0" w:color="auto"/>
              <w:right w:val="single" w:sz="4" w:space="0" w:color="auto"/>
            </w:tcBorders>
            <w:shd w:val="clear" w:color="auto" w:fill="C6EFCE"/>
            <w:noWrap/>
          </w:tcPr>
          <w:p w14:paraId="0C8799A5"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491E033E"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1F6F331F" w14:textId="77777777" w:rsidR="003A3D51" w:rsidRDefault="0002775A">
            <w:pPr>
              <w:pStyle w:val="P68B1DB1-Normal16"/>
              <w:spacing w:after="200" w:line="276" w:lineRule="auto"/>
              <w:rPr>
                <w:noProof/>
              </w:rPr>
            </w:pPr>
            <w:r>
              <w:rPr>
                <w:noProof/>
              </w:rPr>
              <w:t>Minst 2 km restaurerade vattendrag, inklusive vitalisering av övergivna ärmar, ständig kontakt mellan floder och muffar och investeringar i tillhörande infrastruktur.</w:t>
            </w:r>
          </w:p>
        </w:tc>
      </w:tr>
      <w:tr w:rsidR="003A3D51" w14:paraId="6873EA13"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C1F51EB" w14:textId="77777777" w:rsidR="003A3D51" w:rsidRDefault="0002775A">
            <w:pPr>
              <w:pStyle w:val="P68B1DB1-Normal16"/>
              <w:spacing w:after="200" w:line="276" w:lineRule="auto"/>
              <w:jc w:val="center"/>
              <w:rPr>
                <w:noProof/>
              </w:rPr>
            </w:pPr>
            <w:r>
              <w:rPr>
                <w:noProof/>
              </w:rPr>
              <w:t>77</w:t>
            </w:r>
          </w:p>
        </w:tc>
        <w:tc>
          <w:tcPr>
            <w:tcW w:w="826" w:type="dxa"/>
            <w:tcBorders>
              <w:top w:val="single" w:sz="4" w:space="0" w:color="auto"/>
              <w:left w:val="nil"/>
              <w:bottom w:val="single" w:sz="4" w:space="0" w:color="auto"/>
              <w:right w:val="single" w:sz="4" w:space="0" w:color="auto"/>
            </w:tcBorders>
            <w:shd w:val="clear" w:color="auto" w:fill="C6EFCE"/>
            <w:noWrap/>
          </w:tcPr>
          <w:p w14:paraId="3896961D"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0409A60A"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01337666" w14:textId="77777777" w:rsidR="003A3D51" w:rsidRDefault="0002775A">
            <w:pPr>
              <w:pStyle w:val="P68B1DB1-Normal16"/>
              <w:spacing w:after="200" w:line="276" w:lineRule="auto"/>
              <w:rPr>
                <w:noProof/>
              </w:rPr>
            </w:pPr>
            <w:r>
              <w:rPr>
                <w:noProof/>
              </w:rPr>
              <w:t xml:space="preserve">Anläggning av översvämningsskydd </w:t>
            </w:r>
          </w:p>
        </w:tc>
        <w:tc>
          <w:tcPr>
            <w:tcW w:w="1985" w:type="dxa"/>
            <w:tcBorders>
              <w:top w:val="single" w:sz="4" w:space="0" w:color="auto"/>
              <w:left w:val="nil"/>
              <w:bottom w:val="single" w:sz="4" w:space="0" w:color="auto"/>
              <w:right w:val="single" w:sz="4" w:space="0" w:color="auto"/>
            </w:tcBorders>
            <w:shd w:val="clear" w:color="auto" w:fill="C6EFCE"/>
            <w:noWrap/>
          </w:tcPr>
          <w:p w14:paraId="2E51D357"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425717F"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7B7FDFA6"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73B3E8F0" w14:textId="77777777" w:rsidR="003A3D51" w:rsidRDefault="0002775A">
            <w:pPr>
              <w:pStyle w:val="P68B1DB1-Normal16"/>
              <w:spacing w:after="200" w:line="276" w:lineRule="auto"/>
              <w:jc w:val="center"/>
              <w:rPr>
                <w:noProof/>
              </w:rPr>
            </w:pPr>
            <w:r>
              <w:rPr>
                <w:noProof/>
              </w:rPr>
              <w:t>65</w:t>
            </w:r>
          </w:p>
        </w:tc>
        <w:tc>
          <w:tcPr>
            <w:tcW w:w="539" w:type="dxa"/>
            <w:tcBorders>
              <w:top w:val="single" w:sz="4" w:space="0" w:color="auto"/>
              <w:left w:val="nil"/>
              <w:bottom w:val="single" w:sz="4" w:space="0" w:color="auto"/>
              <w:right w:val="single" w:sz="4" w:space="0" w:color="auto"/>
            </w:tcBorders>
            <w:shd w:val="clear" w:color="auto" w:fill="C6EFCE"/>
            <w:noWrap/>
          </w:tcPr>
          <w:p w14:paraId="57FC2A8F" w14:textId="079B7045"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7FF99506" w14:textId="5B40BA0C" w:rsidR="003A3D51" w:rsidRDefault="0002775A">
            <w:pPr>
              <w:pStyle w:val="P68B1DB1-Normal16"/>
              <w:spacing w:after="200" w:line="276" w:lineRule="auto"/>
              <w:jc w:val="center"/>
              <w:rPr>
                <w:noProof/>
              </w:rPr>
            </w:pPr>
            <w:r>
              <w:rPr>
                <w:noProof/>
              </w:rPr>
              <w:t>2024</w:t>
            </w:r>
          </w:p>
        </w:tc>
        <w:tc>
          <w:tcPr>
            <w:tcW w:w="3686" w:type="dxa"/>
            <w:tcBorders>
              <w:top w:val="single" w:sz="4" w:space="0" w:color="auto"/>
              <w:left w:val="nil"/>
              <w:bottom w:val="single" w:sz="4" w:space="0" w:color="auto"/>
              <w:right w:val="single" w:sz="4" w:space="0" w:color="auto"/>
            </w:tcBorders>
            <w:shd w:val="clear" w:color="auto" w:fill="C6EFCE"/>
            <w:noWrap/>
          </w:tcPr>
          <w:p w14:paraId="24D708A8" w14:textId="77777777" w:rsidR="003A3D51" w:rsidRDefault="0002775A">
            <w:pPr>
              <w:pStyle w:val="P68B1DB1-Normal16"/>
              <w:spacing w:after="200" w:line="276" w:lineRule="auto"/>
              <w:rPr>
                <w:noProof/>
                <w:color w:val="000000" w:themeColor="text1"/>
              </w:rPr>
            </w:pPr>
            <w:r>
              <w:rPr>
                <w:noProof/>
              </w:rPr>
              <w:t>Minst 65 km översvämningsskydd har byggts för att skydda mot skadliga effekter av vatten.</w:t>
            </w:r>
          </w:p>
        </w:tc>
      </w:tr>
      <w:tr w:rsidR="003A3D51" w14:paraId="4288F380"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1E7BAF6" w14:textId="77777777" w:rsidR="003A3D51" w:rsidRDefault="0002775A">
            <w:pPr>
              <w:pStyle w:val="P68B1DB1-Normal16"/>
              <w:spacing w:after="200" w:line="276" w:lineRule="auto"/>
              <w:jc w:val="center"/>
              <w:rPr>
                <w:noProof/>
              </w:rPr>
            </w:pPr>
            <w:r>
              <w:rPr>
                <w:noProof/>
              </w:rPr>
              <w:t>78</w:t>
            </w:r>
          </w:p>
        </w:tc>
        <w:tc>
          <w:tcPr>
            <w:tcW w:w="826" w:type="dxa"/>
            <w:tcBorders>
              <w:top w:val="single" w:sz="4" w:space="0" w:color="auto"/>
              <w:left w:val="nil"/>
              <w:bottom w:val="single" w:sz="4" w:space="0" w:color="auto"/>
              <w:right w:val="single" w:sz="4" w:space="0" w:color="auto"/>
            </w:tcBorders>
            <w:shd w:val="clear" w:color="auto" w:fill="C6EFCE"/>
            <w:noWrap/>
          </w:tcPr>
          <w:p w14:paraId="71FC43F5"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5C810FA"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17403425" w14:textId="77777777" w:rsidR="003A3D51" w:rsidRDefault="0002775A">
            <w:pPr>
              <w:pStyle w:val="P68B1DB1-Normal16"/>
              <w:spacing w:after="200" w:line="276" w:lineRule="auto"/>
              <w:rPr>
                <w:noProof/>
              </w:rPr>
            </w:pPr>
            <w:r>
              <w:rPr>
                <w:noProof/>
              </w:rPr>
              <w:t xml:space="preserve">Vitaliserade vattendrag </w:t>
            </w:r>
          </w:p>
        </w:tc>
        <w:tc>
          <w:tcPr>
            <w:tcW w:w="1985" w:type="dxa"/>
            <w:tcBorders>
              <w:top w:val="single" w:sz="4" w:space="0" w:color="auto"/>
              <w:left w:val="nil"/>
              <w:bottom w:val="single" w:sz="4" w:space="0" w:color="auto"/>
              <w:right w:val="single" w:sz="4" w:space="0" w:color="auto"/>
            </w:tcBorders>
            <w:shd w:val="clear" w:color="auto" w:fill="C6EFCE"/>
            <w:noWrap/>
          </w:tcPr>
          <w:p w14:paraId="151D2385"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9E86203"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304C584"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691A03CF" w14:textId="77777777" w:rsidR="003A3D51" w:rsidRDefault="0002775A">
            <w:pPr>
              <w:pStyle w:val="P68B1DB1-Normal16"/>
              <w:spacing w:after="200" w:line="276" w:lineRule="auto"/>
              <w:jc w:val="center"/>
              <w:rPr>
                <w:noProof/>
              </w:rPr>
            </w:pPr>
            <w:r>
              <w:rPr>
                <w:noProof/>
              </w:rPr>
              <w:t>16</w:t>
            </w:r>
          </w:p>
        </w:tc>
        <w:tc>
          <w:tcPr>
            <w:tcW w:w="539" w:type="dxa"/>
            <w:tcBorders>
              <w:top w:val="single" w:sz="4" w:space="0" w:color="auto"/>
              <w:left w:val="nil"/>
              <w:bottom w:val="single" w:sz="4" w:space="0" w:color="auto"/>
              <w:right w:val="single" w:sz="4" w:space="0" w:color="auto"/>
            </w:tcBorders>
            <w:shd w:val="clear" w:color="auto" w:fill="C6EFCE"/>
            <w:noWrap/>
          </w:tcPr>
          <w:p w14:paraId="26111882" w14:textId="25D606C6"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78E60AD1" w14:textId="3930793D"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2C39DABB" w14:textId="77777777" w:rsidR="003A3D51" w:rsidRDefault="0002775A">
            <w:pPr>
              <w:pStyle w:val="P68B1DB1-Normal16"/>
              <w:spacing w:after="200" w:line="276" w:lineRule="auto"/>
              <w:rPr>
                <w:noProof/>
              </w:rPr>
            </w:pPr>
            <w:r>
              <w:rPr>
                <w:noProof/>
              </w:rPr>
              <w:t>Minst 16 km restaurerade vattendrag, inklusive vitalisering av övergivna ärmar, ständig kontakt mellan floder och muffar och investeringar i tillhörande infrastruktur.</w:t>
            </w:r>
          </w:p>
        </w:tc>
      </w:tr>
      <w:tr w:rsidR="003A3D51" w14:paraId="72247D85"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AF25EDA" w14:textId="77777777" w:rsidR="003A3D51" w:rsidRDefault="0002775A">
            <w:pPr>
              <w:pStyle w:val="P68B1DB1-Normal16"/>
              <w:spacing w:after="200" w:line="276" w:lineRule="auto"/>
              <w:jc w:val="center"/>
              <w:rPr>
                <w:noProof/>
              </w:rPr>
            </w:pPr>
            <w:r>
              <w:rPr>
                <w:noProof/>
              </w:rPr>
              <w:t>79</w:t>
            </w:r>
          </w:p>
        </w:tc>
        <w:tc>
          <w:tcPr>
            <w:tcW w:w="826" w:type="dxa"/>
            <w:tcBorders>
              <w:top w:val="single" w:sz="4" w:space="0" w:color="auto"/>
              <w:left w:val="nil"/>
              <w:bottom w:val="single" w:sz="4" w:space="0" w:color="auto"/>
              <w:right w:val="single" w:sz="4" w:space="0" w:color="auto"/>
            </w:tcBorders>
            <w:shd w:val="clear" w:color="auto" w:fill="C6EFCE"/>
            <w:noWrap/>
          </w:tcPr>
          <w:p w14:paraId="5F2D9381"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7280B28C"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4E4E9A45" w14:textId="77777777" w:rsidR="003A3D51" w:rsidRDefault="0002775A">
            <w:pPr>
              <w:pStyle w:val="P68B1DB1-Normal16"/>
              <w:spacing w:after="200" w:line="276" w:lineRule="auto"/>
              <w:rPr>
                <w:noProof/>
              </w:rPr>
            </w:pPr>
            <w:r>
              <w:rPr>
                <w:noProof/>
              </w:rPr>
              <w:t xml:space="preserve">Anläggning av översvämningsskydd </w:t>
            </w:r>
          </w:p>
        </w:tc>
        <w:tc>
          <w:tcPr>
            <w:tcW w:w="1985" w:type="dxa"/>
            <w:tcBorders>
              <w:top w:val="single" w:sz="4" w:space="0" w:color="auto"/>
              <w:left w:val="nil"/>
              <w:bottom w:val="single" w:sz="4" w:space="0" w:color="auto"/>
              <w:right w:val="single" w:sz="4" w:space="0" w:color="auto"/>
            </w:tcBorders>
            <w:shd w:val="clear" w:color="auto" w:fill="C6EFCE"/>
            <w:noWrap/>
          </w:tcPr>
          <w:p w14:paraId="38813B2F"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0C8460D"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2E34419B"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25C5ABD4" w14:textId="77777777" w:rsidR="003A3D51" w:rsidRDefault="0002775A">
            <w:pPr>
              <w:pStyle w:val="P68B1DB1-Normal16"/>
              <w:spacing w:after="200" w:line="276" w:lineRule="auto"/>
              <w:jc w:val="center"/>
              <w:rPr>
                <w:noProof/>
              </w:rPr>
            </w:pPr>
            <w:r>
              <w:rPr>
                <w:noProof/>
              </w:rPr>
              <w:t>77</w:t>
            </w:r>
          </w:p>
        </w:tc>
        <w:tc>
          <w:tcPr>
            <w:tcW w:w="539" w:type="dxa"/>
            <w:tcBorders>
              <w:top w:val="single" w:sz="4" w:space="0" w:color="auto"/>
              <w:left w:val="nil"/>
              <w:bottom w:val="single" w:sz="4" w:space="0" w:color="auto"/>
              <w:right w:val="single" w:sz="4" w:space="0" w:color="auto"/>
            </w:tcBorders>
            <w:shd w:val="clear" w:color="auto" w:fill="C6EFCE"/>
            <w:noWrap/>
          </w:tcPr>
          <w:p w14:paraId="2B5DB9A9"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45A85379"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659722F2" w14:textId="77777777" w:rsidR="003A3D51" w:rsidRDefault="0002775A">
            <w:pPr>
              <w:pStyle w:val="P68B1DB1-Normal16"/>
              <w:spacing w:after="200" w:line="276" w:lineRule="auto"/>
              <w:rPr>
                <w:noProof/>
                <w:color w:val="000000" w:themeColor="text1"/>
              </w:rPr>
            </w:pPr>
            <w:r>
              <w:rPr>
                <w:noProof/>
              </w:rPr>
              <w:t>Minst 77 km översvämningsskydd har byggts för att skydda mot skadliga effekter av vatten.</w:t>
            </w:r>
          </w:p>
        </w:tc>
      </w:tr>
      <w:tr w:rsidR="003A3D51" w14:paraId="6E615540"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CF04ED3" w14:textId="77777777" w:rsidR="003A3D51" w:rsidRDefault="0002775A">
            <w:pPr>
              <w:pStyle w:val="P68B1DB1-Normal16"/>
              <w:spacing w:after="200" w:line="276" w:lineRule="auto"/>
              <w:jc w:val="center"/>
              <w:rPr>
                <w:noProof/>
              </w:rPr>
            </w:pPr>
            <w:r>
              <w:rPr>
                <w:noProof/>
              </w:rPr>
              <w:t>80</w:t>
            </w:r>
          </w:p>
        </w:tc>
        <w:tc>
          <w:tcPr>
            <w:tcW w:w="826" w:type="dxa"/>
            <w:tcBorders>
              <w:top w:val="single" w:sz="4" w:space="0" w:color="auto"/>
              <w:left w:val="nil"/>
              <w:bottom w:val="single" w:sz="4" w:space="0" w:color="auto"/>
              <w:right w:val="single" w:sz="4" w:space="0" w:color="auto"/>
            </w:tcBorders>
            <w:shd w:val="clear" w:color="auto" w:fill="C6EFCE"/>
            <w:noWrap/>
          </w:tcPr>
          <w:p w14:paraId="2A0CEA11" w14:textId="77777777" w:rsidR="003A3D51" w:rsidRDefault="0002775A">
            <w:pPr>
              <w:pStyle w:val="P68B1DB1-Normal16"/>
              <w:spacing w:after="200" w:line="276" w:lineRule="auto"/>
              <w:jc w:val="center"/>
              <w:rPr>
                <w:noProof/>
              </w:rPr>
            </w:pPr>
            <w:r>
              <w:rPr>
                <w:noProof/>
              </w:rPr>
              <w:t>C1.3 R1-I3</w:t>
            </w:r>
          </w:p>
        </w:tc>
        <w:tc>
          <w:tcPr>
            <w:tcW w:w="895" w:type="dxa"/>
            <w:tcBorders>
              <w:top w:val="single" w:sz="4" w:space="0" w:color="auto"/>
              <w:left w:val="nil"/>
              <w:bottom w:val="single" w:sz="4" w:space="0" w:color="auto"/>
              <w:right w:val="single" w:sz="4" w:space="0" w:color="auto"/>
            </w:tcBorders>
            <w:shd w:val="clear" w:color="auto" w:fill="C6EFCE"/>
            <w:noWrap/>
          </w:tcPr>
          <w:p w14:paraId="4C7C59EE"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5992CB70" w14:textId="77777777" w:rsidR="003A3D51" w:rsidRDefault="0002775A">
            <w:pPr>
              <w:pStyle w:val="P68B1DB1-Normal16"/>
              <w:spacing w:after="200" w:line="276" w:lineRule="auto"/>
              <w:rPr>
                <w:noProof/>
              </w:rPr>
            </w:pPr>
            <w:r>
              <w:rPr>
                <w:noProof/>
              </w:rPr>
              <w:t>Boende som omfattas av förbättrade översvämningsskyddsåtgärder</w:t>
            </w:r>
          </w:p>
        </w:tc>
        <w:tc>
          <w:tcPr>
            <w:tcW w:w="1985" w:type="dxa"/>
            <w:tcBorders>
              <w:top w:val="single" w:sz="4" w:space="0" w:color="auto"/>
              <w:left w:val="nil"/>
              <w:bottom w:val="single" w:sz="4" w:space="0" w:color="auto"/>
              <w:right w:val="single" w:sz="4" w:space="0" w:color="auto"/>
            </w:tcBorders>
            <w:shd w:val="clear" w:color="auto" w:fill="C6EFCE"/>
            <w:noWrap/>
          </w:tcPr>
          <w:p w14:paraId="6F936891"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051F7D90"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2420AC98"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148A0E4D" w14:textId="77777777" w:rsidR="003A3D51" w:rsidRDefault="0002775A">
            <w:pPr>
              <w:pStyle w:val="P68B1DB1-Normal16"/>
              <w:spacing w:after="200" w:line="276" w:lineRule="auto"/>
              <w:jc w:val="center"/>
              <w:rPr>
                <w:noProof/>
              </w:rPr>
            </w:pPr>
            <w:r>
              <w:rPr>
                <w:noProof/>
              </w:rPr>
              <w:t>20 000</w:t>
            </w:r>
          </w:p>
        </w:tc>
        <w:tc>
          <w:tcPr>
            <w:tcW w:w="539" w:type="dxa"/>
            <w:tcBorders>
              <w:top w:val="single" w:sz="4" w:space="0" w:color="auto"/>
              <w:left w:val="nil"/>
              <w:bottom w:val="single" w:sz="4" w:space="0" w:color="auto"/>
              <w:right w:val="single" w:sz="4" w:space="0" w:color="auto"/>
            </w:tcBorders>
            <w:shd w:val="clear" w:color="auto" w:fill="C6EFCE"/>
            <w:noWrap/>
          </w:tcPr>
          <w:p w14:paraId="0F53539A" w14:textId="77777777"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0ABAF432" w14:textId="77777777" w:rsidR="003A3D51" w:rsidRDefault="0002775A">
            <w:pPr>
              <w:pStyle w:val="P68B1DB1-Normal16"/>
              <w:spacing w:after="200" w:line="276" w:lineRule="auto"/>
              <w:jc w:val="center"/>
              <w:rPr>
                <w:noProof/>
              </w:rPr>
            </w:pPr>
            <w:r>
              <w:rPr>
                <w:noProof/>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136CCF3" w14:textId="77777777" w:rsidR="003A3D51" w:rsidRDefault="0002775A">
            <w:pPr>
              <w:pStyle w:val="P68B1DB1-Normal16"/>
              <w:spacing w:after="200" w:line="276" w:lineRule="auto"/>
              <w:rPr>
                <w:noProof/>
              </w:rPr>
            </w:pPr>
            <w:r>
              <w:rPr>
                <w:noProof/>
              </w:rPr>
              <w:t xml:space="preserve">Minst 20 000 invånare som omfattas av förbättrade översvämningsskyddsåtgärder               </w:t>
            </w:r>
          </w:p>
        </w:tc>
      </w:tr>
      <w:tr w:rsidR="003A3D51" w14:paraId="20385DF7"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7106353" w14:textId="77777777" w:rsidR="003A3D51" w:rsidRDefault="0002775A">
            <w:pPr>
              <w:pStyle w:val="P68B1DB1-Normal16"/>
              <w:spacing w:after="200" w:line="276" w:lineRule="auto"/>
              <w:jc w:val="center"/>
              <w:rPr>
                <w:noProof/>
              </w:rPr>
            </w:pPr>
            <w:r>
              <w:rPr>
                <w:noProof/>
              </w:rPr>
              <w:t>81</w:t>
            </w:r>
          </w:p>
        </w:tc>
        <w:tc>
          <w:tcPr>
            <w:tcW w:w="826" w:type="dxa"/>
            <w:tcBorders>
              <w:top w:val="single" w:sz="4" w:space="0" w:color="auto"/>
              <w:left w:val="nil"/>
              <w:bottom w:val="single" w:sz="4" w:space="0" w:color="auto"/>
              <w:right w:val="single" w:sz="4" w:space="0" w:color="auto"/>
            </w:tcBorders>
            <w:shd w:val="clear" w:color="auto" w:fill="C6EFCE"/>
            <w:noWrap/>
          </w:tcPr>
          <w:p w14:paraId="3ABF305C" w14:textId="77777777" w:rsidR="003A3D51" w:rsidRDefault="0002775A">
            <w:pPr>
              <w:pStyle w:val="P68B1DB1-Normal16"/>
              <w:spacing w:after="200" w:line="276" w:lineRule="auto"/>
              <w:jc w:val="center"/>
              <w:rPr>
                <w:noProof/>
              </w:rPr>
            </w:pPr>
            <w:r>
              <w:rPr>
                <w:noProof/>
              </w:rPr>
              <w:t>C1.3 R2</w:t>
            </w:r>
          </w:p>
        </w:tc>
        <w:tc>
          <w:tcPr>
            <w:tcW w:w="895" w:type="dxa"/>
            <w:tcBorders>
              <w:top w:val="single" w:sz="4" w:space="0" w:color="auto"/>
              <w:left w:val="nil"/>
              <w:bottom w:val="single" w:sz="4" w:space="0" w:color="auto"/>
              <w:right w:val="single" w:sz="4" w:space="0" w:color="auto"/>
            </w:tcBorders>
            <w:shd w:val="clear" w:color="auto" w:fill="C6EFCE"/>
            <w:noWrap/>
          </w:tcPr>
          <w:p w14:paraId="53AEFEA8" w14:textId="77777777" w:rsidR="003A3D51" w:rsidRDefault="0002775A">
            <w:pPr>
              <w:pStyle w:val="P68B1DB1-Normal16"/>
              <w:spacing w:after="200" w:line="276" w:lineRule="auto"/>
              <w:jc w:val="center"/>
              <w:rPr>
                <w:noProof/>
              </w:rPr>
            </w:pPr>
            <w:r>
              <w:rPr>
                <w:noProof/>
              </w:rPr>
              <w:t>M</w:t>
            </w:r>
          </w:p>
        </w:tc>
        <w:tc>
          <w:tcPr>
            <w:tcW w:w="2248" w:type="dxa"/>
            <w:tcBorders>
              <w:top w:val="single" w:sz="4" w:space="0" w:color="auto"/>
              <w:left w:val="nil"/>
              <w:bottom w:val="single" w:sz="4" w:space="0" w:color="auto"/>
              <w:right w:val="single" w:sz="4" w:space="0" w:color="auto"/>
            </w:tcBorders>
            <w:shd w:val="clear" w:color="auto" w:fill="C6EFCE"/>
            <w:noWrap/>
          </w:tcPr>
          <w:p w14:paraId="7B6C4693" w14:textId="77777777" w:rsidR="003A3D51" w:rsidRDefault="0002775A">
            <w:pPr>
              <w:pStyle w:val="P68B1DB1-Normal16"/>
              <w:spacing w:after="200" w:line="276" w:lineRule="auto"/>
              <w:rPr>
                <w:noProof/>
              </w:rPr>
            </w:pPr>
            <w:r>
              <w:rPr>
                <w:noProof/>
              </w:rPr>
              <w:t xml:space="preserve">Antagande av lagen om avfallshantering </w:t>
            </w:r>
          </w:p>
        </w:tc>
        <w:tc>
          <w:tcPr>
            <w:tcW w:w="1985" w:type="dxa"/>
            <w:tcBorders>
              <w:top w:val="single" w:sz="4" w:space="0" w:color="auto"/>
              <w:left w:val="nil"/>
              <w:bottom w:val="single" w:sz="4" w:space="0" w:color="auto"/>
              <w:right w:val="single" w:sz="4" w:space="0" w:color="auto"/>
            </w:tcBorders>
            <w:shd w:val="clear" w:color="auto" w:fill="C6EFCE"/>
            <w:noWrap/>
          </w:tcPr>
          <w:p w14:paraId="03DC638D" w14:textId="77777777" w:rsidR="003A3D51" w:rsidRDefault="0002775A">
            <w:pPr>
              <w:pStyle w:val="P68B1DB1-Normal16"/>
              <w:spacing w:after="200" w:line="276" w:lineRule="auto"/>
              <w:rPr>
                <w:noProof/>
              </w:rPr>
            </w:pPr>
            <w:r>
              <w:rPr>
                <w:noProof/>
              </w:rPr>
              <w:t xml:space="preserve">Avfallslagens ikraftträdande </w:t>
            </w:r>
          </w:p>
        </w:tc>
        <w:tc>
          <w:tcPr>
            <w:tcW w:w="992" w:type="dxa"/>
            <w:tcBorders>
              <w:top w:val="single" w:sz="4" w:space="0" w:color="auto"/>
              <w:left w:val="nil"/>
              <w:bottom w:val="single" w:sz="4" w:space="0" w:color="auto"/>
              <w:right w:val="single" w:sz="4" w:space="0" w:color="auto"/>
            </w:tcBorders>
            <w:shd w:val="clear" w:color="auto" w:fill="C6EFCE"/>
            <w:noWrap/>
          </w:tcPr>
          <w:p w14:paraId="38E3CC4C" w14:textId="77777777" w:rsidR="003A3D51" w:rsidRDefault="0002775A">
            <w:pPr>
              <w:pStyle w:val="P68B1DB1-Normal16"/>
              <w:spacing w:after="200" w:line="276" w:lineRule="auto"/>
              <w:jc w:val="center"/>
              <w:rPr>
                <w:noProof/>
              </w:rPr>
            </w:pPr>
            <w:r>
              <w:rPr>
                <w:noProof/>
              </w:rPr>
              <w:t> </w:t>
            </w:r>
          </w:p>
        </w:tc>
        <w:tc>
          <w:tcPr>
            <w:tcW w:w="992" w:type="dxa"/>
            <w:tcBorders>
              <w:top w:val="single" w:sz="4" w:space="0" w:color="auto"/>
              <w:left w:val="nil"/>
              <w:bottom w:val="single" w:sz="4" w:space="0" w:color="auto"/>
              <w:right w:val="single" w:sz="4" w:space="0" w:color="auto"/>
            </w:tcBorders>
            <w:shd w:val="clear" w:color="auto" w:fill="C6EFCE"/>
            <w:noWrap/>
          </w:tcPr>
          <w:p w14:paraId="162162AB" w14:textId="77777777" w:rsidR="003A3D51" w:rsidRDefault="0002775A">
            <w:pPr>
              <w:pStyle w:val="P68B1DB1-Normal16"/>
              <w:spacing w:after="200" w:line="276" w:lineRule="auto"/>
              <w:jc w:val="center"/>
              <w:rPr>
                <w:noProof/>
              </w:rPr>
            </w:pPr>
            <w:r>
              <w:rPr>
                <w:noProof/>
              </w:rPr>
              <w:t> </w:t>
            </w:r>
          </w:p>
        </w:tc>
        <w:tc>
          <w:tcPr>
            <w:tcW w:w="873" w:type="dxa"/>
            <w:tcBorders>
              <w:top w:val="single" w:sz="4" w:space="0" w:color="auto"/>
              <w:left w:val="nil"/>
              <w:bottom w:val="single" w:sz="4" w:space="0" w:color="auto"/>
              <w:right w:val="single" w:sz="4" w:space="0" w:color="auto"/>
            </w:tcBorders>
            <w:shd w:val="clear" w:color="auto" w:fill="C6EFCE"/>
            <w:noWrap/>
          </w:tcPr>
          <w:p w14:paraId="19D2F28B" w14:textId="77777777" w:rsidR="003A3D51" w:rsidRDefault="0002775A">
            <w:pPr>
              <w:pStyle w:val="P68B1DB1-Normal16"/>
              <w:spacing w:after="200" w:line="276" w:lineRule="auto"/>
              <w:jc w:val="center"/>
              <w:rPr>
                <w:noProof/>
              </w:rPr>
            </w:pPr>
            <w:r>
              <w:rPr>
                <w:noProof/>
              </w:rPr>
              <w:t> </w:t>
            </w:r>
          </w:p>
        </w:tc>
        <w:tc>
          <w:tcPr>
            <w:tcW w:w="539" w:type="dxa"/>
            <w:tcBorders>
              <w:top w:val="single" w:sz="4" w:space="0" w:color="auto"/>
              <w:left w:val="nil"/>
              <w:bottom w:val="single" w:sz="4" w:space="0" w:color="auto"/>
              <w:right w:val="single" w:sz="4" w:space="0" w:color="auto"/>
            </w:tcBorders>
            <w:shd w:val="clear" w:color="auto" w:fill="C6EFCE"/>
            <w:noWrap/>
          </w:tcPr>
          <w:p w14:paraId="4CAF8FB8" w14:textId="77777777" w:rsidR="003A3D51" w:rsidRDefault="0002775A">
            <w:pPr>
              <w:pStyle w:val="P68B1DB1-Normal16"/>
              <w:spacing w:after="200" w:line="276" w:lineRule="auto"/>
              <w:jc w:val="center"/>
              <w:rPr>
                <w:noProof/>
              </w:rPr>
            </w:pPr>
            <w:r>
              <w:rPr>
                <w:noProof/>
              </w:rPr>
              <w:t>KVARTAL 3</w:t>
            </w:r>
          </w:p>
        </w:tc>
        <w:tc>
          <w:tcPr>
            <w:tcW w:w="856" w:type="dxa"/>
            <w:tcBorders>
              <w:top w:val="single" w:sz="4" w:space="0" w:color="auto"/>
              <w:left w:val="nil"/>
              <w:bottom w:val="single" w:sz="4" w:space="0" w:color="auto"/>
              <w:right w:val="single" w:sz="4" w:space="0" w:color="auto"/>
            </w:tcBorders>
            <w:shd w:val="clear" w:color="auto" w:fill="C6EFCE"/>
            <w:noWrap/>
          </w:tcPr>
          <w:p w14:paraId="06295BCA" w14:textId="77777777" w:rsidR="003A3D51" w:rsidRDefault="0002775A">
            <w:pPr>
              <w:pStyle w:val="P68B1DB1-Normal16"/>
              <w:spacing w:after="200" w:line="276" w:lineRule="auto"/>
              <w:jc w:val="center"/>
              <w:rPr>
                <w:noProof/>
              </w:rPr>
            </w:pPr>
            <w:r>
              <w:rPr>
                <w:noProof/>
              </w:rPr>
              <w:t>2021</w:t>
            </w:r>
          </w:p>
        </w:tc>
        <w:tc>
          <w:tcPr>
            <w:tcW w:w="3686" w:type="dxa"/>
            <w:tcBorders>
              <w:top w:val="single" w:sz="4" w:space="0" w:color="auto"/>
              <w:left w:val="nil"/>
              <w:bottom w:val="single" w:sz="4" w:space="0" w:color="auto"/>
              <w:right w:val="single" w:sz="4" w:space="0" w:color="auto"/>
            </w:tcBorders>
            <w:shd w:val="clear" w:color="auto" w:fill="C6EFCE"/>
            <w:noWrap/>
          </w:tcPr>
          <w:p w14:paraId="7BB314F8" w14:textId="77777777" w:rsidR="003A3D51" w:rsidRDefault="0002775A">
            <w:pPr>
              <w:pStyle w:val="P68B1DB1-Normal16"/>
              <w:spacing w:after="200" w:line="276" w:lineRule="auto"/>
              <w:rPr>
                <w:noProof/>
              </w:rPr>
            </w:pPr>
            <w:r>
              <w:rPr>
                <w:noProof/>
              </w:rPr>
              <w:t>Den nya lagen om avfallshantering ska reglera förebyggande av avfall, förberedelse för återanvändning och materialåtervinning i linje med begreppet cirkulär ekonomi och den europeiska gröna given. Lagen kommer att innehålla särskilda åtgärder för att stödja den cirkulära ekonomin, dvs. utveckling av en färdplan för den cirkulära ekonomin, system för utökat producentansvar och system för pay-as-you throw. Lagen kommer att behandla alla kommissionens rekommendationer i 2018 års rapport om tidig varning för Kroatien.</w:t>
            </w:r>
          </w:p>
        </w:tc>
      </w:tr>
      <w:tr w:rsidR="003A3D51" w14:paraId="46D28A20"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D79878D" w14:textId="77777777" w:rsidR="003A3D51" w:rsidRDefault="0002775A">
            <w:pPr>
              <w:pStyle w:val="P68B1DB1-Normal16"/>
              <w:spacing w:after="200" w:line="276" w:lineRule="auto"/>
              <w:jc w:val="center"/>
              <w:rPr>
                <w:noProof/>
              </w:rPr>
            </w:pPr>
            <w:r>
              <w:rPr>
                <w:noProof/>
              </w:rPr>
              <w:t>82</w:t>
            </w:r>
          </w:p>
        </w:tc>
        <w:tc>
          <w:tcPr>
            <w:tcW w:w="826" w:type="dxa"/>
            <w:tcBorders>
              <w:top w:val="single" w:sz="4" w:space="0" w:color="auto"/>
              <w:left w:val="nil"/>
              <w:bottom w:val="single" w:sz="4" w:space="0" w:color="auto"/>
              <w:right w:val="single" w:sz="4" w:space="0" w:color="auto"/>
            </w:tcBorders>
            <w:shd w:val="clear" w:color="auto" w:fill="C6EFCE"/>
            <w:noWrap/>
          </w:tcPr>
          <w:p w14:paraId="2A51F641" w14:textId="77777777" w:rsidR="003A3D51" w:rsidRDefault="0002775A">
            <w:pPr>
              <w:pStyle w:val="P68B1DB1-Normal16"/>
              <w:spacing w:after="200" w:line="276" w:lineRule="auto"/>
              <w:jc w:val="center"/>
              <w:rPr>
                <w:noProof/>
              </w:rPr>
            </w:pPr>
            <w:r>
              <w:rPr>
                <w:noProof/>
              </w:rPr>
              <w:t>C1.3 R2</w:t>
            </w:r>
          </w:p>
        </w:tc>
        <w:tc>
          <w:tcPr>
            <w:tcW w:w="895" w:type="dxa"/>
            <w:tcBorders>
              <w:top w:val="single" w:sz="4" w:space="0" w:color="auto"/>
              <w:left w:val="nil"/>
              <w:bottom w:val="single" w:sz="4" w:space="0" w:color="auto"/>
              <w:right w:val="single" w:sz="4" w:space="0" w:color="auto"/>
            </w:tcBorders>
            <w:shd w:val="clear" w:color="auto" w:fill="C6EFCE"/>
            <w:noWrap/>
          </w:tcPr>
          <w:p w14:paraId="2560E0C6" w14:textId="77777777" w:rsidR="003A3D51" w:rsidRDefault="0002775A">
            <w:pPr>
              <w:pStyle w:val="P68B1DB1-Normal16"/>
              <w:spacing w:after="200" w:line="276" w:lineRule="auto"/>
              <w:jc w:val="center"/>
              <w:rPr>
                <w:noProof/>
              </w:rPr>
            </w:pPr>
            <w:r>
              <w:rPr>
                <w:noProof/>
              </w:rPr>
              <w:t>M</w:t>
            </w:r>
          </w:p>
        </w:tc>
        <w:tc>
          <w:tcPr>
            <w:tcW w:w="2248" w:type="dxa"/>
            <w:tcBorders>
              <w:top w:val="single" w:sz="4" w:space="0" w:color="auto"/>
              <w:left w:val="nil"/>
              <w:bottom w:val="single" w:sz="4" w:space="0" w:color="auto"/>
              <w:right w:val="single" w:sz="4" w:space="0" w:color="auto"/>
            </w:tcBorders>
            <w:shd w:val="clear" w:color="auto" w:fill="C6EFCE"/>
            <w:noWrap/>
          </w:tcPr>
          <w:p w14:paraId="109BD882" w14:textId="77777777" w:rsidR="003A3D51" w:rsidRDefault="0002775A">
            <w:pPr>
              <w:pStyle w:val="P68B1DB1-Normal16"/>
              <w:spacing w:after="200" w:line="276" w:lineRule="auto"/>
              <w:rPr>
                <w:noProof/>
              </w:rPr>
            </w:pPr>
            <w:r>
              <w:rPr>
                <w:noProof/>
              </w:rPr>
              <w:t>Översyn av Republiken Kroatiens avfallshanteringsplan för perioden 2017–2022</w:t>
            </w:r>
          </w:p>
        </w:tc>
        <w:tc>
          <w:tcPr>
            <w:tcW w:w="1985" w:type="dxa"/>
            <w:tcBorders>
              <w:top w:val="single" w:sz="4" w:space="0" w:color="auto"/>
              <w:left w:val="nil"/>
              <w:bottom w:val="single" w:sz="4" w:space="0" w:color="auto"/>
              <w:right w:val="single" w:sz="4" w:space="0" w:color="auto"/>
            </w:tcBorders>
            <w:shd w:val="clear" w:color="auto" w:fill="C6EFCE"/>
            <w:noWrap/>
          </w:tcPr>
          <w:p w14:paraId="45CDBF21" w14:textId="77777777" w:rsidR="003A3D51" w:rsidRDefault="0002775A">
            <w:pPr>
              <w:pStyle w:val="P68B1DB1-Normal16"/>
              <w:spacing w:after="200" w:line="276" w:lineRule="auto"/>
              <w:rPr>
                <w:noProof/>
              </w:rPr>
            </w:pPr>
            <w:r>
              <w:rPr>
                <w:noProof/>
              </w:rPr>
              <w:t>Offentliggörande i Kroatiens officiella tidning av ändringar av Republiken Kroatiens avfallshanteringsplan för perioden 2017–2022</w:t>
            </w:r>
          </w:p>
        </w:tc>
        <w:tc>
          <w:tcPr>
            <w:tcW w:w="992" w:type="dxa"/>
            <w:tcBorders>
              <w:top w:val="single" w:sz="4" w:space="0" w:color="auto"/>
              <w:left w:val="nil"/>
              <w:bottom w:val="single" w:sz="4" w:space="0" w:color="auto"/>
              <w:right w:val="single" w:sz="4" w:space="0" w:color="auto"/>
            </w:tcBorders>
            <w:shd w:val="clear" w:color="auto" w:fill="C6EFCE"/>
            <w:noWrap/>
          </w:tcPr>
          <w:p w14:paraId="012A2EE8" w14:textId="77777777" w:rsidR="003A3D51" w:rsidRDefault="0002775A">
            <w:pPr>
              <w:pStyle w:val="P68B1DB1-Normal16"/>
              <w:spacing w:after="200" w:line="276" w:lineRule="auto"/>
              <w:jc w:val="center"/>
              <w:rPr>
                <w:noProof/>
              </w:rPr>
            </w:pPr>
            <w:r>
              <w:rPr>
                <w:noProof/>
              </w:rPr>
              <w:t> </w:t>
            </w:r>
          </w:p>
        </w:tc>
        <w:tc>
          <w:tcPr>
            <w:tcW w:w="992" w:type="dxa"/>
            <w:tcBorders>
              <w:top w:val="single" w:sz="4" w:space="0" w:color="auto"/>
              <w:left w:val="nil"/>
              <w:bottom w:val="single" w:sz="4" w:space="0" w:color="auto"/>
              <w:right w:val="single" w:sz="4" w:space="0" w:color="auto"/>
            </w:tcBorders>
            <w:shd w:val="clear" w:color="auto" w:fill="C6EFCE"/>
            <w:noWrap/>
          </w:tcPr>
          <w:p w14:paraId="4A562C8F" w14:textId="77777777" w:rsidR="003A3D51" w:rsidRDefault="0002775A">
            <w:pPr>
              <w:pStyle w:val="P68B1DB1-Normal16"/>
              <w:spacing w:after="200" w:line="276" w:lineRule="auto"/>
              <w:jc w:val="center"/>
              <w:rPr>
                <w:noProof/>
              </w:rPr>
            </w:pPr>
            <w:r>
              <w:rPr>
                <w:noProof/>
              </w:rPr>
              <w:t> </w:t>
            </w:r>
          </w:p>
        </w:tc>
        <w:tc>
          <w:tcPr>
            <w:tcW w:w="873" w:type="dxa"/>
            <w:tcBorders>
              <w:top w:val="single" w:sz="4" w:space="0" w:color="auto"/>
              <w:left w:val="nil"/>
              <w:bottom w:val="single" w:sz="4" w:space="0" w:color="auto"/>
              <w:right w:val="single" w:sz="4" w:space="0" w:color="auto"/>
            </w:tcBorders>
            <w:shd w:val="clear" w:color="auto" w:fill="C6EFCE"/>
            <w:noWrap/>
          </w:tcPr>
          <w:p w14:paraId="66F83F37" w14:textId="77777777" w:rsidR="003A3D51" w:rsidRDefault="0002775A">
            <w:pPr>
              <w:pStyle w:val="P68B1DB1-Normal16"/>
              <w:spacing w:after="200" w:line="276" w:lineRule="auto"/>
              <w:jc w:val="center"/>
              <w:rPr>
                <w:noProof/>
              </w:rPr>
            </w:pPr>
            <w:r>
              <w:rPr>
                <w:noProof/>
              </w:rPr>
              <w:t> </w:t>
            </w:r>
          </w:p>
        </w:tc>
        <w:tc>
          <w:tcPr>
            <w:tcW w:w="539" w:type="dxa"/>
            <w:tcBorders>
              <w:top w:val="single" w:sz="4" w:space="0" w:color="auto"/>
              <w:left w:val="nil"/>
              <w:bottom w:val="single" w:sz="4" w:space="0" w:color="auto"/>
              <w:right w:val="single" w:sz="4" w:space="0" w:color="auto"/>
            </w:tcBorders>
            <w:shd w:val="clear" w:color="auto" w:fill="C6EFCE"/>
            <w:noWrap/>
          </w:tcPr>
          <w:p w14:paraId="5C9E2168"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3974795C" w14:textId="77777777" w:rsidR="003A3D51" w:rsidRDefault="0002775A">
            <w:pPr>
              <w:pStyle w:val="P68B1DB1-Normal16"/>
              <w:spacing w:after="200" w:line="276" w:lineRule="auto"/>
              <w:jc w:val="center"/>
              <w:rPr>
                <w:noProof/>
              </w:rPr>
            </w:pPr>
            <w:r>
              <w:rPr>
                <w:noProof/>
              </w:rPr>
              <w:t>2021</w:t>
            </w:r>
          </w:p>
        </w:tc>
        <w:tc>
          <w:tcPr>
            <w:tcW w:w="3686" w:type="dxa"/>
            <w:tcBorders>
              <w:top w:val="single" w:sz="4" w:space="0" w:color="auto"/>
              <w:left w:val="nil"/>
              <w:bottom w:val="single" w:sz="4" w:space="0" w:color="auto"/>
              <w:right w:val="single" w:sz="4" w:space="0" w:color="auto"/>
            </w:tcBorders>
            <w:shd w:val="clear" w:color="auto" w:fill="C6EFCE"/>
            <w:noWrap/>
          </w:tcPr>
          <w:p w14:paraId="44608B73" w14:textId="77777777" w:rsidR="003A3D51" w:rsidRDefault="0002775A">
            <w:pPr>
              <w:pStyle w:val="P68B1DB1-Normal16"/>
              <w:spacing w:after="200" w:line="276" w:lineRule="auto"/>
              <w:rPr>
                <w:noProof/>
              </w:rPr>
            </w:pPr>
            <w:r>
              <w:rPr>
                <w:noProof/>
              </w:rPr>
              <w:t>Antagande och offentliggörande av Kroatiens reviderade avfallshanteringsplan 2017–2022 i linje med den nya handlingsplanen för den cirkulära ekonomin, efter offentliga samråd. Den reviderade planen ska innehålla ett mål på 50 % för återvinning, sortering, återanvändning och reparation av avfall senast 2022, samt ett separat mål för insamling och materialåtervinning av biologiskt avfall. Den ska också omfatta särskilda åtgärder för att uppmuntra lokala och regionala enheters ambitioner, såsom kommunikationsåtgärder för att säkerställa effektiv separat insamling vid källan, eller digitala aspekter. Planen ska innehålla en bedömning av den aktuella situationen, befintliga insamlingssystem och en bedömning av investeringsgapet för nedläggning av deponier. Den ska tillhandahålla en prioriteringslista för planerade avfallsinvesteringar, kapaciteten hos framtida anläggningar för avfallshantering samt information om hur de framtida platserna kommer att fastställas. Planen ska också beakta stöd till kapacitetsuppbyggnad för genomförande av infrastrukturprojekt.</w:t>
            </w:r>
          </w:p>
        </w:tc>
      </w:tr>
      <w:tr w:rsidR="003A3D51" w14:paraId="495BED9C"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609D52E" w14:textId="77777777" w:rsidR="003A3D51" w:rsidRDefault="0002775A">
            <w:pPr>
              <w:pStyle w:val="P68B1DB1-Normal16"/>
              <w:spacing w:after="200" w:line="276" w:lineRule="auto"/>
              <w:jc w:val="center"/>
              <w:rPr>
                <w:noProof/>
              </w:rPr>
            </w:pPr>
            <w:r>
              <w:rPr>
                <w:noProof/>
              </w:rPr>
              <w:t>83</w:t>
            </w:r>
          </w:p>
        </w:tc>
        <w:tc>
          <w:tcPr>
            <w:tcW w:w="826" w:type="dxa"/>
            <w:tcBorders>
              <w:top w:val="single" w:sz="4" w:space="0" w:color="auto"/>
              <w:left w:val="nil"/>
              <w:bottom w:val="single" w:sz="4" w:space="0" w:color="auto"/>
              <w:right w:val="single" w:sz="4" w:space="0" w:color="auto"/>
            </w:tcBorders>
            <w:shd w:val="clear" w:color="auto" w:fill="C6EFCE"/>
            <w:noWrap/>
          </w:tcPr>
          <w:p w14:paraId="1243FA3D" w14:textId="77777777" w:rsidR="003A3D51" w:rsidRDefault="0002775A">
            <w:pPr>
              <w:pStyle w:val="P68B1DB1-Normal16"/>
              <w:spacing w:after="200" w:line="276" w:lineRule="auto"/>
              <w:jc w:val="center"/>
              <w:rPr>
                <w:noProof/>
              </w:rPr>
            </w:pPr>
            <w:r>
              <w:rPr>
                <w:noProof/>
              </w:rPr>
              <w:t>C1.3 R2</w:t>
            </w:r>
          </w:p>
        </w:tc>
        <w:tc>
          <w:tcPr>
            <w:tcW w:w="895" w:type="dxa"/>
            <w:tcBorders>
              <w:top w:val="single" w:sz="4" w:space="0" w:color="auto"/>
              <w:left w:val="nil"/>
              <w:bottom w:val="single" w:sz="4" w:space="0" w:color="auto"/>
              <w:right w:val="single" w:sz="4" w:space="0" w:color="auto"/>
            </w:tcBorders>
            <w:shd w:val="clear" w:color="auto" w:fill="C6EFCE"/>
            <w:noWrap/>
          </w:tcPr>
          <w:p w14:paraId="54E3B64C" w14:textId="77777777" w:rsidR="003A3D51" w:rsidRDefault="0002775A">
            <w:pPr>
              <w:pStyle w:val="P68B1DB1-Normal16"/>
              <w:spacing w:after="200" w:line="276" w:lineRule="auto"/>
              <w:jc w:val="center"/>
              <w:rPr>
                <w:noProof/>
              </w:rPr>
            </w:pPr>
            <w:r>
              <w:rPr>
                <w:noProof/>
              </w:rPr>
              <w:t>M</w:t>
            </w:r>
          </w:p>
        </w:tc>
        <w:tc>
          <w:tcPr>
            <w:tcW w:w="2248" w:type="dxa"/>
            <w:tcBorders>
              <w:top w:val="single" w:sz="4" w:space="0" w:color="auto"/>
              <w:left w:val="nil"/>
              <w:bottom w:val="single" w:sz="4" w:space="0" w:color="auto"/>
              <w:right w:val="single" w:sz="4" w:space="0" w:color="auto"/>
            </w:tcBorders>
            <w:shd w:val="clear" w:color="auto" w:fill="C6EFCE"/>
            <w:noWrap/>
          </w:tcPr>
          <w:p w14:paraId="3ED56E08" w14:textId="77777777" w:rsidR="003A3D51" w:rsidRDefault="0002775A">
            <w:pPr>
              <w:pStyle w:val="P68B1DB1-Normal16"/>
              <w:spacing w:after="200" w:line="276" w:lineRule="auto"/>
              <w:rPr>
                <w:noProof/>
              </w:rPr>
            </w:pPr>
            <w:r>
              <w:rPr>
                <w:noProof/>
              </w:rPr>
              <w:t>Antagande av Republiken Kroatiens avfallshanteringsplan för perioden 2023–2029</w:t>
            </w:r>
          </w:p>
        </w:tc>
        <w:tc>
          <w:tcPr>
            <w:tcW w:w="1985" w:type="dxa"/>
            <w:tcBorders>
              <w:top w:val="single" w:sz="4" w:space="0" w:color="auto"/>
              <w:left w:val="nil"/>
              <w:bottom w:val="single" w:sz="4" w:space="0" w:color="auto"/>
              <w:right w:val="single" w:sz="4" w:space="0" w:color="auto"/>
            </w:tcBorders>
            <w:shd w:val="clear" w:color="auto" w:fill="C6EFCE"/>
            <w:noWrap/>
          </w:tcPr>
          <w:p w14:paraId="1CEAFC61" w14:textId="77777777" w:rsidR="003A3D51" w:rsidRDefault="0002775A">
            <w:pPr>
              <w:pStyle w:val="P68B1DB1-Normal16"/>
              <w:spacing w:after="200" w:line="276" w:lineRule="auto"/>
              <w:rPr>
                <w:noProof/>
              </w:rPr>
            </w:pPr>
            <w:r>
              <w:rPr>
                <w:noProof/>
              </w:rPr>
              <w:t>Offentliggörande av Kroatiens avfallshanteringsplan 2023–2029 i Kroatiens officiella tidning</w:t>
            </w:r>
          </w:p>
        </w:tc>
        <w:tc>
          <w:tcPr>
            <w:tcW w:w="992" w:type="dxa"/>
            <w:tcBorders>
              <w:top w:val="single" w:sz="4" w:space="0" w:color="auto"/>
              <w:left w:val="nil"/>
              <w:bottom w:val="single" w:sz="4" w:space="0" w:color="auto"/>
              <w:right w:val="single" w:sz="4" w:space="0" w:color="auto"/>
            </w:tcBorders>
            <w:shd w:val="clear" w:color="auto" w:fill="C6EFCE"/>
            <w:noWrap/>
          </w:tcPr>
          <w:p w14:paraId="7DE0D60C" w14:textId="77777777" w:rsidR="003A3D51" w:rsidRDefault="0002775A">
            <w:pPr>
              <w:pStyle w:val="P68B1DB1-Normal16"/>
              <w:spacing w:after="200" w:line="276" w:lineRule="auto"/>
              <w:jc w:val="center"/>
              <w:rPr>
                <w:noProof/>
              </w:rPr>
            </w:pPr>
            <w:r>
              <w:rPr>
                <w:noProof/>
              </w:rPr>
              <w:t> </w:t>
            </w:r>
          </w:p>
        </w:tc>
        <w:tc>
          <w:tcPr>
            <w:tcW w:w="992" w:type="dxa"/>
            <w:tcBorders>
              <w:top w:val="single" w:sz="4" w:space="0" w:color="auto"/>
              <w:left w:val="nil"/>
              <w:bottom w:val="single" w:sz="4" w:space="0" w:color="auto"/>
              <w:right w:val="single" w:sz="4" w:space="0" w:color="auto"/>
            </w:tcBorders>
            <w:shd w:val="clear" w:color="auto" w:fill="C6EFCE"/>
            <w:noWrap/>
          </w:tcPr>
          <w:p w14:paraId="35808F22" w14:textId="77777777" w:rsidR="003A3D51" w:rsidRDefault="0002775A">
            <w:pPr>
              <w:pStyle w:val="P68B1DB1-Normal16"/>
              <w:spacing w:after="200" w:line="276" w:lineRule="auto"/>
              <w:jc w:val="center"/>
              <w:rPr>
                <w:noProof/>
              </w:rPr>
            </w:pPr>
            <w:r>
              <w:rPr>
                <w:noProof/>
              </w:rPr>
              <w:t> </w:t>
            </w:r>
          </w:p>
        </w:tc>
        <w:tc>
          <w:tcPr>
            <w:tcW w:w="873" w:type="dxa"/>
            <w:tcBorders>
              <w:top w:val="single" w:sz="4" w:space="0" w:color="auto"/>
              <w:left w:val="nil"/>
              <w:bottom w:val="single" w:sz="4" w:space="0" w:color="auto"/>
              <w:right w:val="single" w:sz="4" w:space="0" w:color="auto"/>
            </w:tcBorders>
            <w:shd w:val="clear" w:color="auto" w:fill="C6EFCE"/>
            <w:noWrap/>
          </w:tcPr>
          <w:p w14:paraId="1FFFE019" w14:textId="77777777" w:rsidR="003A3D51" w:rsidRDefault="0002775A">
            <w:pPr>
              <w:pStyle w:val="P68B1DB1-Normal16"/>
              <w:spacing w:after="200" w:line="276" w:lineRule="auto"/>
              <w:jc w:val="center"/>
              <w:rPr>
                <w:noProof/>
              </w:rPr>
            </w:pPr>
            <w:r>
              <w:rPr>
                <w:noProof/>
              </w:rPr>
              <w:t> </w:t>
            </w:r>
          </w:p>
        </w:tc>
        <w:tc>
          <w:tcPr>
            <w:tcW w:w="539" w:type="dxa"/>
            <w:tcBorders>
              <w:top w:val="single" w:sz="4" w:space="0" w:color="auto"/>
              <w:left w:val="nil"/>
              <w:bottom w:val="single" w:sz="4" w:space="0" w:color="auto"/>
              <w:right w:val="single" w:sz="4" w:space="0" w:color="auto"/>
            </w:tcBorders>
            <w:shd w:val="clear" w:color="auto" w:fill="C6EFCE"/>
            <w:noWrap/>
          </w:tcPr>
          <w:p w14:paraId="3644E345"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BCF8CC9"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3458AFC5" w14:textId="77777777" w:rsidR="003A3D51" w:rsidRDefault="0002775A">
            <w:pPr>
              <w:pStyle w:val="P68B1DB1-Normal16"/>
              <w:spacing w:after="200" w:line="276" w:lineRule="auto"/>
              <w:rPr>
                <w:noProof/>
              </w:rPr>
            </w:pPr>
            <w:r>
              <w:rPr>
                <w:noProof/>
              </w:rPr>
              <w:t>Antagande och offentliggörande av Kroatiens avfallshanteringsplan för perioden 2023–2029 tillsammans med de nya mål som fastställs i lagen om avfallshantering och handlingsplanen för den cirkulära ekonomin, efter offentliga samråd. Planen ska innehålla ett mål på minst 55 % för materialåtervinning, sortering, återanvändning och reparation av avfall senast 2025, och ett mål för insamling och materialåtervinning av biologiskt avfall.</w:t>
            </w:r>
          </w:p>
        </w:tc>
      </w:tr>
      <w:tr w:rsidR="003A3D51" w14:paraId="1636A296"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66B759BA" w14:textId="77777777" w:rsidR="003A3D51" w:rsidRDefault="0002775A">
            <w:pPr>
              <w:pStyle w:val="P68B1DB1-Normal16"/>
              <w:spacing w:after="200" w:line="276" w:lineRule="auto"/>
              <w:jc w:val="center"/>
              <w:rPr>
                <w:noProof/>
              </w:rPr>
            </w:pPr>
            <w:r>
              <w:rPr>
                <w:noProof/>
              </w:rPr>
              <w:t>84</w:t>
            </w:r>
          </w:p>
        </w:tc>
        <w:tc>
          <w:tcPr>
            <w:tcW w:w="826" w:type="dxa"/>
            <w:tcBorders>
              <w:top w:val="single" w:sz="4" w:space="0" w:color="auto"/>
              <w:left w:val="nil"/>
              <w:bottom w:val="single" w:sz="4" w:space="0" w:color="auto"/>
              <w:right w:val="single" w:sz="4" w:space="0" w:color="auto"/>
            </w:tcBorders>
            <w:shd w:val="clear" w:color="auto" w:fill="C6EFCE"/>
            <w:noWrap/>
          </w:tcPr>
          <w:p w14:paraId="22FA2F88"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72FE2AA7"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1BB735FE" w14:textId="77777777" w:rsidR="003A3D51" w:rsidRDefault="0002775A">
            <w:pPr>
              <w:pStyle w:val="P68B1DB1-Normal16"/>
              <w:spacing w:after="200" w:line="276" w:lineRule="auto"/>
              <w:rPr>
                <w:noProof/>
              </w:rPr>
            </w:pPr>
            <w:r>
              <w:rPr>
                <w:noProof/>
              </w:rPr>
              <w:t>Minskning av andelen kommunalt avfall som skickas för bortskaffande (49 %)</w:t>
            </w:r>
          </w:p>
        </w:tc>
        <w:tc>
          <w:tcPr>
            <w:tcW w:w="1985" w:type="dxa"/>
            <w:tcBorders>
              <w:top w:val="single" w:sz="4" w:space="0" w:color="auto"/>
              <w:left w:val="nil"/>
              <w:bottom w:val="single" w:sz="4" w:space="0" w:color="auto"/>
              <w:right w:val="single" w:sz="4" w:space="0" w:color="auto"/>
            </w:tcBorders>
            <w:shd w:val="clear" w:color="auto" w:fill="C6EFCE"/>
            <w:noWrap/>
          </w:tcPr>
          <w:p w14:paraId="5E9F0559"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59D0A64" w14:textId="77777777" w:rsidR="003A3D51" w:rsidRDefault="0002775A">
            <w:pPr>
              <w:pStyle w:val="P68B1DB1-Normal16"/>
              <w:spacing w:after="200" w:line="276" w:lineRule="auto"/>
              <w:jc w:val="center"/>
              <w:rPr>
                <w:noProof/>
              </w:rPr>
            </w:pPr>
            <w:r>
              <w:rPr>
                <w:noProof/>
              </w:rPr>
              <w:t>% (i procent)</w:t>
            </w:r>
          </w:p>
        </w:tc>
        <w:tc>
          <w:tcPr>
            <w:tcW w:w="992" w:type="dxa"/>
            <w:tcBorders>
              <w:top w:val="single" w:sz="4" w:space="0" w:color="auto"/>
              <w:left w:val="nil"/>
              <w:bottom w:val="single" w:sz="4" w:space="0" w:color="auto"/>
              <w:right w:val="single" w:sz="4" w:space="0" w:color="auto"/>
            </w:tcBorders>
            <w:shd w:val="clear" w:color="auto" w:fill="C6EFCE"/>
            <w:noWrap/>
          </w:tcPr>
          <w:p w14:paraId="44A456C0" w14:textId="77777777" w:rsidR="003A3D51" w:rsidRDefault="0002775A">
            <w:pPr>
              <w:pStyle w:val="P68B1DB1-Normal16"/>
              <w:spacing w:after="200" w:line="276" w:lineRule="auto"/>
              <w:jc w:val="center"/>
              <w:rPr>
                <w:noProof/>
              </w:rPr>
            </w:pPr>
            <w:r>
              <w:rPr>
                <w:noProof/>
              </w:rPr>
              <w:t>66</w:t>
            </w:r>
          </w:p>
        </w:tc>
        <w:tc>
          <w:tcPr>
            <w:tcW w:w="873" w:type="dxa"/>
            <w:tcBorders>
              <w:top w:val="single" w:sz="4" w:space="0" w:color="auto"/>
              <w:left w:val="nil"/>
              <w:bottom w:val="single" w:sz="4" w:space="0" w:color="auto"/>
              <w:right w:val="single" w:sz="4" w:space="0" w:color="auto"/>
            </w:tcBorders>
            <w:shd w:val="clear" w:color="auto" w:fill="C6EFCE"/>
            <w:noWrap/>
          </w:tcPr>
          <w:p w14:paraId="6FA0D4F8" w14:textId="77777777" w:rsidR="003A3D51" w:rsidRDefault="0002775A">
            <w:pPr>
              <w:pStyle w:val="P68B1DB1-Normal16"/>
              <w:spacing w:after="200" w:line="276" w:lineRule="auto"/>
              <w:jc w:val="center"/>
              <w:rPr>
                <w:noProof/>
              </w:rPr>
            </w:pPr>
            <w:r>
              <w:rPr>
                <w:noProof/>
              </w:rPr>
              <w:t>49</w:t>
            </w:r>
          </w:p>
        </w:tc>
        <w:tc>
          <w:tcPr>
            <w:tcW w:w="539" w:type="dxa"/>
            <w:tcBorders>
              <w:top w:val="single" w:sz="4" w:space="0" w:color="auto"/>
              <w:left w:val="nil"/>
              <w:bottom w:val="single" w:sz="4" w:space="0" w:color="auto"/>
              <w:right w:val="single" w:sz="4" w:space="0" w:color="auto"/>
            </w:tcBorders>
            <w:shd w:val="clear" w:color="auto" w:fill="C6EFCE"/>
            <w:noWrap/>
          </w:tcPr>
          <w:p w14:paraId="08172A67"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7BC27214" w14:textId="77777777" w:rsidR="003A3D51" w:rsidRDefault="0002775A">
            <w:pPr>
              <w:pStyle w:val="P68B1DB1-Normal16"/>
              <w:spacing w:after="200" w:line="276" w:lineRule="auto"/>
              <w:jc w:val="center"/>
              <w:rPr>
                <w:noProof/>
              </w:rPr>
            </w:pPr>
            <w:r>
              <w:rPr>
                <w:noProof/>
              </w:rPr>
              <w:t>2022</w:t>
            </w:r>
          </w:p>
        </w:tc>
        <w:tc>
          <w:tcPr>
            <w:tcW w:w="3686" w:type="dxa"/>
            <w:tcBorders>
              <w:top w:val="single" w:sz="4" w:space="0" w:color="auto"/>
              <w:left w:val="nil"/>
              <w:bottom w:val="single" w:sz="4" w:space="0" w:color="auto"/>
              <w:right w:val="single" w:sz="4" w:space="0" w:color="auto"/>
            </w:tcBorders>
            <w:shd w:val="clear" w:color="auto" w:fill="C6EFCE"/>
            <w:noWrap/>
          </w:tcPr>
          <w:p w14:paraId="6D9F6019" w14:textId="77777777" w:rsidR="003A3D51" w:rsidRDefault="0002775A">
            <w:pPr>
              <w:pStyle w:val="P68B1DB1-Normal16"/>
              <w:spacing w:after="200" w:line="276" w:lineRule="auto"/>
              <w:rPr>
                <w:noProof/>
              </w:rPr>
            </w:pPr>
            <w:r>
              <w:rPr>
                <w:noProof/>
              </w:rPr>
              <w:t>Andelen kommunalt avfall som skickas för bortskaffande ska minskas till 49 % till följd av investeringar i infrastruktur för att minska deponeringen, inbegripet inrättande av återvinningscentraler, uppförande av sorteringsanläggningar för separat insamlat kommunalt avfall, uppförande av anläggningar för biologisk behandling för separat insamlat bioavfall, uppförande och utrustning av återvinningsanläggningar för byggavfall, förvärv av utrustning för separat insamling av användbara fraktioner av kommunalt avfall.</w:t>
            </w:r>
          </w:p>
        </w:tc>
      </w:tr>
      <w:tr w:rsidR="003A3D51" w14:paraId="5F3C4EBC"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907FF93" w14:textId="77777777" w:rsidR="003A3D51" w:rsidRDefault="0002775A">
            <w:pPr>
              <w:pStyle w:val="P68B1DB1-Normal16"/>
              <w:spacing w:after="200" w:line="276" w:lineRule="auto"/>
              <w:jc w:val="center"/>
              <w:rPr>
                <w:noProof/>
              </w:rPr>
            </w:pPr>
            <w:r>
              <w:rPr>
                <w:noProof/>
              </w:rPr>
              <w:t>85</w:t>
            </w:r>
          </w:p>
        </w:tc>
        <w:tc>
          <w:tcPr>
            <w:tcW w:w="826" w:type="dxa"/>
            <w:tcBorders>
              <w:top w:val="single" w:sz="4" w:space="0" w:color="auto"/>
              <w:left w:val="nil"/>
              <w:bottom w:val="single" w:sz="4" w:space="0" w:color="auto"/>
              <w:right w:val="single" w:sz="4" w:space="0" w:color="auto"/>
            </w:tcBorders>
            <w:shd w:val="clear" w:color="auto" w:fill="C6EFCE"/>
            <w:noWrap/>
          </w:tcPr>
          <w:p w14:paraId="52E49540"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263E92D7"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49940CBC" w14:textId="5B8223CF" w:rsidR="003A3D51" w:rsidRDefault="0002775A">
            <w:pPr>
              <w:pStyle w:val="P68B1DB1-Normal16"/>
              <w:spacing w:after="200" w:line="276" w:lineRule="auto"/>
              <w:rPr>
                <w:noProof/>
              </w:rPr>
            </w:pPr>
            <w:r>
              <w:rPr>
                <w:noProof/>
              </w:rPr>
              <w:t>Minskning av andelen kommunalt avfall som skickas för bortskaffande (51 %)</w:t>
            </w:r>
          </w:p>
        </w:tc>
        <w:tc>
          <w:tcPr>
            <w:tcW w:w="1985" w:type="dxa"/>
            <w:tcBorders>
              <w:top w:val="single" w:sz="4" w:space="0" w:color="auto"/>
              <w:left w:val="nil"/>
              <w:bottom w:val="single" w:sz="4" w:space="0" w:color="auto"/>
              <w:right w:val="single" w:sz="4" w:space="0" w:color="auto"/>
            </w:tcBorders>
            <w:shd w:val="clear" w:color="auto" w:fill="C6EFCE"/>
            <w:noWrap/>
          </w:tcPr>
          <w:p w14:paraId="4FB95ED7"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15783014" w14:textId="77777777" w:rsidR="003A3D51" w:rsidRDefault="0002775A">
            <w:pPr>
              <w:pStyle w:val="P68B1DB1-Normal16"/>
              <w:spacing w:after="200" w:line="276" w:lineRule="auto"/>
              <w:jc w:val="center"/>
              <w:rPr>
                <w:noProof/>
              </w:rPr>
            </w:pPr>
            <w:r>
              <w:rPr>
                <w:noProof/>
              </w:rPr>
              <w:t>% (i procent)</w:t>
            </w:r>
          </w:p>
        </w:tc>
        <w:tc>
          <w:tcPr>
            <w:tcW w:w="992" w:type="dxa"/>
            <w:tcBorders>
              <w:top w:val="single" w:sz="4" w:space="0" w:color="auto"/>
              <w:left w:val="nil"/>
              <w:bottom w:val="single" w:sz="4" w:space="0" w:color="auto"/>
              <w:right w:val="single" w:sz="4" w:space="0" w:color="auto"/>
            </w:tcBorders>
            <w:shd w:val="clear" w:color="auto" w:fill="C6EFCE"/>
            <w:noWrap/>
          </w:tcPr>
          <w:p w14:paraId="3ED93E2A" w14:textId="78430778" w:rsidR="003A3D51" w:rsidRDefault="0002775A">
            <w:pPr>
              <w:pStyle w:val="P68B1DB1-Normal16"/>
              <w:spacing w:after="200" w:line="276" w:lineRule="auto"/>
              <w:jc w:val="center"/>
              <w:rPr>
                <w:noProof/>
              </w:rPr>
            </w:pPr>
            <w:r>
              <w:rPr>
                <w:noProof/>
              </w:rPr>
              <w:t>56</w:t>
            </w:r>
          </w:p>
        </w:tc>
        <w:tc>
          <w:tcPr>
            <w:tcW w:w="873" w:type="dxa"/>
            <w:tcBorders>
              <w:top w:val="single" w:sz="4" w:space="0" w:color="auto"/>
              <w:left w:val="nil"/>
              <w:bottom w:val="single" w:sz="4" w:space="0" w:color="auto"/>
              <w:right w:val="single" w:sz="4" w:space="0" w:color="auto"/>
            </w:tcBorders>
            <w:shd w:val="clear" w:color="auto" w:fill="C6EFCE"/>
            <w:noWrap/>
          </w:tcPr>
          <w:p w14:paraId="2F32B55D" w14:textId="3FA8ED09" w:rsidR="003A3D51" w:rsidRDefault="0002775A">
            <w:pPr>
              <w:pStyle w:val="P68B1DB1-Normal16"/>
              <w:spacing w:after="200" w:line="276" w:lineRule="auto"/>
              <w:jc w:val="center"/>
              <w:rPr>
                <w:noProof/>
                <w:color w:val="000000" w:themeColor="text1"/>
              </w:rPr>
            </w:pPr>
            <w:r>
              <w:rPr>
                <w:noProof/>
              </w:rPr>
              <w:t>51</w:t>
            </w:r>
          </w:p>
        </w:tc>
        <w:tc>
          <w:tcPr>
            <w:tcW w:w="539" w:type="dxa"/>
            <w:tcBorders>
              <w:top w:val="single" w:sz="4" w:space="0" w:color="auto"/>
              <w:left w:val="nil"/>
              <w:bottom w:val="single" w:sz="4" w:space="0" w:color="auto"/>
              <w:right w:val="single" w:sz="4" w:space="0" w:color="auto"/>
            </w:tcBorders>
            <w:shd w:val="clear" w:color="auto" w:fill="C6EFCE"/>
            <w:noWrap/>
          </w:tcPr>
          <w:p w14:paraId="47647E09"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75440385" w14:textId="77777777" w:rsidR="003A3D51" w:rsidRDefault="0002775A">
            <w:pPr>
              <w:pStyle w:val="P68B1DB1-Normal16"/>
              <w:spacing w:after="200" w:line="276" w:lineRule="auto"/>
              <w:jc w:val="center"/>
              <w:rPr>
                <w:noProof/>
              </w:rPr>
            </w:pPr>
            <w:r>
              <w:rPr>
                <w:noProof/>
              </w:rPr>
              <w:t>2024</w:t>
            </w:r>
          </w:p>
        </w:tc>
        <w:tc>
          <w:tcPr>
            <w:tcW w:w="3686" w:type="dxa"/>
            <w:tcBorders>
              <w:top w:val="single" w:sz="4" w:space="0" w:color="auto"/>
              <w:left w:val="nil"/>
              <w:bottom w:val="single" w:sz="4" w:space="0" w:color="auto"/>
              <w:right w:val="single" w:sz="4" w:space="0" w:color="auto"/>
            </w:tcBorders>
            <w:shd w:val="clear" w:color="auto" w:fill="C6EFCE"/>
            <w:noWrap/>
          </w:tcPr>
          <w:p w14:paraId="4D4806DE" w14:textId="637CDF0C" w:rsidR="003A3D51" w:rsidRDefault="0002775A">
            <w:pPr>
              <w:pStyle w:val="P68B1DB1-Normal22"/>
              <w:spacing w:after="200" w:line="276" w:lineRule="auto"/>
              <w:rPr>
                <w:noProof/>
              </w:rPr>
            </w:pPr>
            <w:r>
              <w:rPr>
                <w:noProof/>
              </w:rPr>
              <w:t>Andelen kommunalt avfall som skickas för bortskaffande ska minskas till 51 % från det referensvärde på 56 % som rapporterades 2022, till följd av investeringar i infrastruktur för att minska deponeringen, inbegripet inrättande av återvinningscentraler, uppförande av sorteringsanläggningar för separat insamlat kommunalt avfall, uppförande av anläggningar för biobehandling för separat insamlat biologiskt avfall, uppförande och utrustning av återvinningsanläggningar för byggavfall, förvärv av utrustning för separat insamling av användbara fraktioner av kommunalt avfall. Andelen kommunalt avfall som skickas för bortskaffande ska beräknas i enlighet med den beräkningsmetod som föreskrivs i genomförandebeslut 2019/1004 – Regler för beräkning, verifiering och rapportering av uppgifter om avfall i enlighet med direktiv 2008/98/EG.</w:t>
            </w:r>
          </w:p>
        </w:tc>
      </w:tr>
      <w:tr w:rsidR="003A3D51" w14:paraId="11853CCD"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7A56534" w14:textId="77777777" w:rsidR="003A3D51" w:rsidRDefault="0002775A">
            <w:pPr>
              <w:pStyle w:val="P68B1DB1-Normal16"/>
              <w:spacing w:after="200" w:line="276" w:lineRule="auto"/>
              <w:jc w:val="center"/>
              <w:rPr>
                <w:noProof/>
              </w:rPr>
            </w:pPr>
            <w:r>
              <w:rPr>
                <w:noProof/>
              </w:rPr>
              <w:t>86</w:t>
            </w:r>
          </w:p>
        </w:tc>
        <w:tc>
          <w:tcPr>
            <w:tcW w:w="826" w:type="dxa"/>
            <w:tcBorders>
              <w:top w:val="single" w:sz="4" w:space="0" w:color="auto"/>
              <w:left w:val="nil"/>
              <w:bottom w:val="single" w:sz="4" w:space="0" w:color="auto"/>
              <w:right w:val="single" w:sz="4" w:space="0" w:color="auto"/>
            </w:tcBorders>
            <w:shd w:val="clear" w:color="auto" w:fill="C6EFCE"/>
            <w:noWrap/>
          </w:tcPr>
          <w:p w14:paraId="0F284CBE"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1814C821"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704E48D1" w14:textId="77777777" w:rsidR="003A3D51" w:rsidRDefault="0002775A">
            <w:pPr>
              <w:pStyle w:val="P68B1DB1-Normal16"/>
              <w:spacing w:after="200" w:line="276" w:lineRule="auto"/>
              <w:rPr>
                <w:noProof/>
              </w:rPr>
            </w:pPr>
            <w:r>
              <w:rPr>
                <w:noProof/>
              </w:rPr>
              <w:t>Uppförda sorteringsanläggningar</w:t>
            </w:r>
          </w:p>
        </w:tc>
        <w:tc>
          <w:tcPr>
            <w:tcW w:w="1985" w:type="dxa"/>
            <w:tcBorders>
              <w:top w:val="single" w:sz="4" w:space="0" w:color="auto"/>
              <w:left w:val="nil"/>
              <w:bottom w:val="single" w:sz="4" w:space="0" w:color="auto"/>
              <w:right w:val="single" w:sz="4" w:space="0" w:color="auto"/>
            </w:tcBorders>
            <w:shd w:val="clear" w:color="auto" w:fill="C6EFCE"/>
            <w:noWrap/>
          </w:tcPr>
          <w:p w14:paraId="064C67ED"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3C3B9516"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54D34A5A"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48D844F9" w14:textId="77777777" w:rsidR="003A3D51" w:rsidRDefault="0002775A">
            <w:pPr>
              <w:pStyle w:val="P68B1DB1-Normal16"/>
              <w:spacing w:after="200" w:line="276" w:lineRule="auto"/>
              <w:jc w:val="center"/>
              <w:rPr>
                <w:noProof/>
              </w:rPr>
            </w:pPr>
            <w:r>
              <w:rPr>
                <w:noProof/>
              </w:rPr>
              <w:t>6</w:t>
            </w:r>
          </w:p>
        </w:tc>
        <w:tc>
          <w:tcPr>
            <w:tcW w:w="539" w:type="dxa"/>
            <w:tcBorders>
              <w:top w:val="single" w:sz="4" w:space="0" w:color="auto"/>
              <w:left w:val="nil"/>
              <w:bottom w:val="single" w:sz="4" w:space="0" w:color="auto"/>
              <w:right w:val="single" w:sz="4" w:space="0" w:color="auto"/>
            </w:tcBorders>
            <w:shd w:val="clear" w:color="auto" w:fill="C6EFCE"/>
            <w:noWrap/>
          </w:tcPr>
          <w:p w14:paraId="2BDADBFA" w14:textId="054F743A"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0635BF4B"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6F85FEF" w14:textId="77777777" w:rsidR="003A3D51" w:rsidRDefault="0002775A">
            <w:pPr>
              <w:pStyle w:val="P68B1DB1-Normal16"/>
              <w:spacing w:after="200" w:line="276" w:lineRule="auto"/>
              <w:rPr>
                <w:noProof/>
              </w:rPr>
            </w:pPr>
            <w:r>
              <w:rPr>
                <w:noProof/>
              </w:rPr>
              <w:t>Minst 6 sorteringsanläggningar har byggts och tagits i drift i det kommunala avfallshanteringssystemet.</w:t>
            </w:r>
            <w:r>
              <w:rPr>
                <w:noProof/>
              </w:rPr>
              <w:br/>
              <w:t>Bevis ska läggas fram för att tillståndsförfarandena enligt MKB-direktivet följs i enlighet med direktiv 2011/92/EU.</w:t>
            </w:r>
          </w:p>
        </w:tc>
      </w:tr>
      <w:tr w:rsidR="003A3D51" w14:paraId="7EDE821F"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F7A4A4E" w14:textId="77777777" w:rsidR="003A3D51" w:rsidRDefault="0002775A">
            <w:pPr>
              <w:pStyle w:val="P68B1DB1-Normal16"/>
              <w:spacing w:after="200" w:line="276" w:lineRule="auto"/>
              <w:jc w:val="center"/>
              <w:rPr>
                <w:noProof/>
              </w:rPr>
            </w:pPr>
            <w:r>
              <w:rPr>
                <w:noProof/>
              </w:rPr>
              <w:t>87</w:t>
            </w:r>
          </w:p>
        </w:tc>
        <w:tc>
          <w:tcPr>
            <w:tcW w:w="826" w:type="dxa"/>
            <w:tcBorders>
              <w:top w:val="single" w:sz="4" w:space="0" w:color="auto"/>
              <w:left w:val="nil"/>
              <w:bottom w:val="single" w:sz="4" w:space="0" w:color="auto"/>
              <w:right w:val="single" w:sz="4" w:space="0" w:color="auto"/>
            </w:tcBorders>
            <w:shd w:val="clear" w:color="auto" w:fill="C6EFCE"/>
            <w:noWrap/>
          </w:tcPr>
          <w:p w14:paraId="51817743"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6EC938E0"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3897ED06" w14:textId="77777777" w:rsidR="003A3D51" w:rsidRDefault="0002775A">
            <w:pPr>
              <w:pStyle w:val="P68B1DB1-Normal16"/>
              <w:spacing w:after="200" w:line="276" w:lineRule="auto"/>
              <w:rPr>
                <w:noProof/>
              </w:rPr>
            </w:pPr>
            <w:r>
              <w:rPr>
                <w:noProof/>
              </w:rPr>
              <w:t>Byggda anläggningar för behandling av separat insamlat biologiskt avfall</w:t>
            </w:r>
          </w:p>
        </w:tc>
        <w:tc>
          <w:tcPr>
            <w:tcW w:w="1985" w:type="dxa"/>
            <w:tcBorders>
              <w:top w:val="single" w:sz="4" w:space="0" w:color="auto"/>
              <w:left w:val="nil"/>
              <w:bottom w:val="single" w:sz="4" w:space="0" w:color="auto"/>
              <w:right w:val="single" w:sz="4" w:space="0" w:color="auto"/>
            </w:tcBorders>
            <w:shd w:val="clear" w:color="auto" w:fill="C6EFCE"/>
            <w:noWrap/>
          </w:tcPr>
          <w:p w14:paraId="376CDE90"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6A31CEB"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1A993EB6"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04078FB5" w14:textId="009EC2D8" w:rsidR="003A3D51" w:rsidRDefault="0002775A">
            <w:pPr>
              <w:pStyle w:val="P68B1DB1-Normal16"/>
              <w:spacing w:after="200" w:line="276" w:lineRule="auto"/>
              <w:jc w:val="center"/>
              <w:rPr>
                <w:noProof/>
              </w:rPr>
            </w:pPr>
            <w:r>
              <w:rPr>
                <w:noProof/>
              </w:rPr>
              <w:t>3</w:t>
            </w:r>
          </w:p>
        </w:tc>
        <w:tc>
          <w:tcPr>
            <w:tcW w:w="539" w:type="dxa"/>
            <w:tcBorders>
              <w:top w:val="single" w:sz="4" w:space="0" w:color="auto"/>
              <w:left w:val="nil"/>
              <w:bottom w:val="single" w:sz="4" w:space="0" w:color="auto"/>
              <w:right w:val="single" w:sz="4" w:space="0" w:color="auto"/>
            </w:tcBorders>
            <w:shd w:val="clear" w:color="auto" w:fill="C6EFCE"/>
            <w:noWrap/>
          </w:tcPr>
          <w:p w14:paraId="3120C016" w14:textId="43C45DB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5075E1B6"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560D52A" w14:textId="33A15723" w:rsidR="003A3D51" w:rsidRDefault="0002775A">
            <w:pPr>
              <w:pStyle w:val="P68B1DB1-Normal13"/>
              <w:spacing w:after="200" w:line="276" w:lineRule="auto"/>
              <w:rPr>
                <w:rFonts w:eastAsia="Calibri" w:cstheme="minorHAnsi"/>
                <w:noProof/>
              </w:rPr>
            </w:pPr>
            <w:r>
              <w:rPr>
                <w:rFonts w:eastAsia="Calibri" w:cstheme="minorHAnsi"/>
                <w:noProof/>
                <w:color w:val="000000" w:themeColor="text1"/>
              </w:rPr>
              <w:t>Minst 3 anläggningar har byggts och tagits i drift för behandling av separat insamlat biologiskt avfall.</w:t>
            </w:r>
            <w:r>
              <w:rPr>
                <w:rFonts w:cstheme="minorHAnsi"/>
                <w:noProof/>
              </w:rPr>
              <w:br/>
            </w:r>
            <w:r>
              <w:rPr>
                <w:rFonts w:eastAsia="Calibri" w:cstheme="minorHAnsi"/>
                <w:noProof/>
                <w:color w:val="000000" w:themeColor="text1"/>
              </w:rPr>
              <w:t>Bevis ska läggas fram för att tillståndsförfarandena enligt MKB har följts i enlighet med direktiv 2011/92/EU.</w:t>
            </w:r>
          </w:p>
        </w:tc>
      </w:tr>
      <w:tr w:rsidR="003A3D51" w14:paraId="6D556C66"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932E59C" w14:textId="77777777" w:rsidR="003A3D51" w:rsidRDefault="0002775A">
            <w:pPr>
              <w:pStyle w:val="P68B1DB1-Normal16"/>
              <w:spacing w:after="200" w:line="276" w:lineRule="auto"/>
              <w:jc w:val="center"/>
              <w:rPr>
                <w:noProof/>
              </w:rPr>
            </w:pPr>
            <w:r>
              <w:rPr>
                <w:noProof/>
              </w:rPr>
              <w:t>88</w:t>
            </w:r>
          </w:p>
        </w:tc>
        <w:tc>
          <w:tcPr>
            <w:tcW w:w="826" w:type="dxa"/>
            <w:tcBorders>
              <w:top w:val="single" w:sz="4" w:space="0" w:color="auto"/>
              <w:left w:val="nil"/>
              <w:bottom w:val="single" w:sz="4" w:space="0" w:color="auto"/>
              <w:right w:val="single" w:sz="4" w:space="0" w:color="auto"/>
            </w:tcBorders>
            <w:shd w:val="clear" w:color="auto" w:fill="C6EFCE"/>
            <w:noWrap/>
          </w:tcPr>
          <w:p w14:paraId="709F5F5F"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2D1AA737"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728DAB70" w14:textId="77777777" w:rsidR="003A3D51" w:rsidRDefault="0002775A">
            <w:pPr>
              <w:pStyle w:val="P68B1DB1-Normal16"/>
              <w:spacing w:after="200" w:line="276" w:lineRule="auto"/>
              <w:rPr>
                <w:noProof/>
              </w:rPr>
            </w:pPr>
            <w:r>
              <w:rPr>
                <w:noProof/>
              </w:rPr>
              <w:t>Funktionell fast/mobil sorteringsanläggning för avfall</w:t>
            </w:r>
          </w:p>
        </w:tc>
        <w:tc>
          <w:tcPr>
            <w:tcW w:w="1985" w:type="dxa"/>
            <w:tcBorders>
              <w:top w:val="single" w:sz="4" w:space="0" w:color="auto"/>
              <w:left w:val="nil"/>
              <w:bottom w:val="single" w:sz="4" w:space="0" w:color="auto"/>
              <w:right w:val="single" w:sz="4" w:space="0" w:color="auto"/>
            </w:tcBorders>
            <w:shd w:val="clear" w:color="auto" w:fill="C6EFCE"/>
            <w:noWrap/>
          </w:tcPr>
          <w:p w14:paraId="3FF6EC50"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7ED48004"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39401A2E"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6B3932F2" w14:textId="77777777" w:rsidR="003A3D51" w:rsidRDefault="0002775A">
            <w:pPr>
              <w:pStyle w:val="P68B1DB1-Normal16"/>
              <w:spacing w:after="200" w:line="276" w:lineRule="auto"/>
              <w:jc w:val="center"/>
              <w:rPr>
                <w:noProof/>
              </w:rPr>
            </w:pPr>
            <w:r>
              <w:rPr>
                <w:noProof/>
              </w:rPr>
              <w:t>20</w:t>
            </w:r>
          </w:p>
        </w:tc>
        <w:tc>
          <w:tcPr>
            <w:tcW w:w="539" w:type="dxa"/>
            <w:tcBorders>
              <w:top w:val="single" w:sz="4" w:space="0" w:color="auto"/>
              <w:left w:val="nil"/>
              <w:bottom w:val="single" w:sz="4" w:space="0" w:color="auto"/>
              <w:right w:val="single" w:sz="4" w:space="0" w:color="auto"/>
            </w:tcBorders>
            <w:shd w:val="clear" w:color="auto" w:fill="C6EFCE"/>
            <w:noWrap/>
          </w:tcPr>
          <w:p w14:paraId="0C645EC2" w14:textId="77777777" w:rsidR="003A3D51" w:rsidRDefault="0002775A">
            <w:pPr>
              <w:pStyle w:val="P68B1DB1-Normal16"/>
              <w:spacing w:after="200" w:line="276" w:lineRule="auto"/>
              <w:jc w:val="center"/>
              <w:rPr>
                <w:noProof/>
              </w:rPr>
            </w:pPr>
            <w:r>
              <w:rPr>
                <w:noProof/>
              </w:rPr>
              <w:t>KVARTAL 3</w:t>
            </w:r>
          </w:p>
        </w:tc>
        <w:tc>
          <w:tcPr>
            <w:tcW w:w="856" w:type="dxa"/>
            <w:tcBorders>
              <w:top w:val="single" w:sz="4" w:space="0" w:color="auto"/>
              <w:left w:val="nil"/>
              <w:bottom w:val="single" w:sz="4" w:space="0" w:color="auto"/>
              <w:right w:val="single" w:sz="4" w:space="0" w:color="auto"/>
            </w:tcBorders>
            <w:shd w:val="clear" w:color="auto" w:fill="C6EFCE"/>
            <w:noWrap/>
          </w:tcPr>
          <w:p w14:paraId="0194013C"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26001C96" w14:textId="77777777" w:rsidR="003A3D51" w:rsidRDefault="0002775A">
            <w:pPr>
              <w:pStyle w:val="P68B1DB1-Normal16"/>
              <w:spacing w:after="200" w:line="276" w:lineRule="auto"/>
              <w:rPr>
                <w:noProof/>
              </w:rPr>
            </w:pPr>
            <w:r>
              <w:rPr>
                <w:noProof/>
              </w:rPr>
              <w:t xml:space="preserve">Minst 20 fasta/mobila avfallssorteringsanläggningar köps in och är i drift, främst i kust- och ökommuner. </w:t>
            </w:r>
            <w:r>
              <w:rPr>
                <w:noProof/>
              </w:rPr>
              <w:br/>
              <w:t>Bevis ska läggas fram för att tillståndsförfarandena enligt MKB-direktivet följs i enlighet med direktiv 2011/92/EU.</w:t>
            </w:r>
          </w:p>
        </w:tc>
      </w:tr>
      <w:tr w:rsidR="003A3D51" w14:paraId="5980F60A"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12C7C75" w14:textId="77777777" w:rsidR="003A3D51" w:rsidRDefault="0002775A">
            <w:pPr>
              <w:pStyle w:val="P68B1DB1-Normal16"/>
              <w:spacing w:after="200" w:line="276" w:lineRule="auto"/>
              <w:jc w:val="center"/>
              <w:rPr>
                <w:noProof/>
              </w:rPr>
            </w:pPr>
            <w:r>
              <w:rPr>
                <w:noProof/>
              </w:rPr>
              <w:t>89</w:t>
            </w:r>
          </w:p>
        </w:tc>
        <w:tc>
          <w:tcPr>
            <w:tcW w:w="826" w:type="dxa"/>
            <w:tcBorders>
              <w:top w:val="single" w:sz="4" w:space="0" w:color="auto"/>
              <w:left w:val="nil"/>
              <w:bottom w:val="single" w:sz="4" w:space="0" w:color="auto"/>
              <w:right w:val="single" w:sz="4" w:space="0" w:color="auto"/>
            </w:tcBorders>
            <w:shd w:val="clear" w:color="auto" w:fill="C6EFCE"/>
            <w:noWrap/>
          </w:tcPr>
          <w:p w14:paraId="22AF45E2"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3918BD7A"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0529D684" w14:textId="77949BA7" w:rsidR="003A3D51" w:rsidRDefault="0002775A">
            <w:pPr>
              <w:pStyle w:val="P68B1DB1-Normal16"/>
              <w:spacing w:after="200" w:line="276" w:lineRule="auto"/>
              <w:rPr>
                <w:noProof/>
              </w:rPr>
            </w:pPr>
            <w:r>
              <w:rPr>
                <w:noProof/>
              </w:rPr>
              <w:t>Minskning av andelen kommunalt avfall som skickas för bortskaffande (45 %)</w:t>
            </w:r>
          </w:p>
        </w:tc>
        <w:tc>
          <w:tcPr>
            <w:tcW w:w="1985" w:type="dxa"/>
            <w:tcBorders>
              <w:top w:val="single" w:sz="4" w:space="0" w:color="auto"/>
              <w:left w:val="nil"/>
              <w:bottom w:val="single" w:sz="4" w:space="0" w:color="auto"/>
              <w:right w:val="single" w:sz="4" w:space="0" w:color="auto"/>
            </w:tcBorders>
            <w:shd w:val="clear" w:color="auto" w:fill="C6EFCE"/>
            <w:noWrap/>
          </w:tcPr>
          <w:p w14:paraId="31173203"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61E66F6F" w14:textId="77777777" w:rsidR="003A3D51" w:rsidRDefault="0002775A">
            <w:pPr>
              <w:pStyle w:val="P68B1DB1-Normal16"/>
              <w:spacing w:after="200" w:line="276" w:lineRule="auto"/>
              <w:jc w:val="center"/>
              <w:rPr>
                <w:noProof/>
              </w:rPr>
            </w:pPr>
            <w:r>
              <w:rPr>
                <w:noProof/>
              </w:rPr>
              <w:t>% (i procent)</w:t>
            </w:r>
          </w:p>
        </w:tc>
        <w:tc>
          <w:tcPr>
            <w:tcW w:w="992" w:type="dxa"/>
            <w:tcBorders>
              <w:top w:val="single" w:sz="4" w:space="0" w:color="auto"/>
              <w:left w:val="nil"/>
              <w:bottom w:val="single" w:sz="4" w:space="0" w:color="auto"/>
              <w:right w:val="single" w:sz="4" w:space="0" w:color="auto"/>
            </w:tcBorders>
            <w:shd w:val="clear" w:color="auto" w:fill="C6EFCE"/>
            <w:noWrap/>
          </w:tcPr>
          <w:p w14:paraId="604DE710" w14:textId="36695CAE" w:rsidR="003A3D51" w:rsidRDefault="0002775A">
            <w:pPr>
              <w:pStyle w:val="P68B1DB1-Normal16"/>
              <w:spacing w:after="200" w:line="276" w:lineRule="auto"/>
              <w:jc w:val="center"/>
              <w:rPr>
                <w:noProof/>
              </w:rPr>
            </w:pPr>
            <w:r>
              <w:rPr>
                <w:noProof/>
              </w:rPr>
              <w:t>56</w:t>
            </w:r>
          </w:p>
        </w:tc>
        <w:tc>
          <w:tcPr>
            <w:tcW w:w="873" w:type="dxa"/>
            <w:tcBorders>
              <w:top w:val="single" w:sz="4" w:space="0" w:color="auto"/>
              <w:left w:val="nil"/>
              <w:bottom w:val="single" w:sz="4" w:space="0" w:color="auto"/>
              <w:right w:val="single" w:sz="4" w:space="0" w:color="auto"/>
            </w:tcBorders>
            <w:shd w:val="clear" w:color="auto" w:fill="C6EFCE"/>
            <w:noWrap/>
          </w:tcPr>
          <w:p w14:paraId="27A646AD" w14:textId="753A7AFD" w:rsidR="003A3D51" w:rsidRDefault="0002775A">
            <w:pPr>
              <w:pStyle w:val="P68B1DB1-Normal16"/>
              <w:spacing w:after="200" w:line="276" w:lineRule="auto"/>
              <w:jc w:val="center"/>
              <w:rPr>
                <w:noProof/>
              </w:rPr>
            </w:pPr>
            <w:r>
              <w:rPr>
                <w:noProof/>
              </w:rPr>
              <w:t>45</w:t>
            </w:r>
          </w:p>
        </w:tc>
        <w:tc>
          <w:tcPr>
            <w:tcW w:w="539" w:type="dxa"/>
            <w:tcBorders>
              <w:top w:val="single" w:sz="4" w:space="0" w:color="auto"/>
              <w:left w:val="nil"/>
              <w:bottom w:val="single" w:sz="4" w:space="0" w:color="auto"/>
              <w:right w:val="single" w:sz="4" w:space="0" w:color="auto"/>
            </w:tcBorders>
            <w:shd w:val="clear" w:color="auto" w:fill="C6EFCE"/>
            <w:noWrap/>
          </w:tcPr>
          <w:p w14:paraId="30F229F9" w14:textId="787857B6"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5541081A" w14:textId="2A983144"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3AE0B4B2" w14:textId="377C8510" w:rsidR="003A3D51" w:rsidRDefault="0002775A">
            <w:pPr>
              <w:pStyle w:val="P68B1DB1-Normal22"/>
              <w:spacing w:after="200" w:line="276" w:lineRule="auto"/>
              <w:rPr>
                <w:noProof/>
              </w:rPr>
            </w:pPr>
            <w:r>
              <w:rPr>
                <w:noProof/>
              </w:rPr>
              <w:t>Andelen kommunalt avfall som skickas för bortskaffande ska minskas till 45 % från det referensvärde på 56 % som rapporterades 2022 till följd av investeringar i infrastruktur för att minska deponeringen, inbegripet inrättande av återvinningscentraler, uppförande av sorteringsanläggningar för separat insamlat kommunalt avfall, uppförande av anläggningar för biobehandling för separat insamlat biologiskt avfall, uppförande och utrustning av återvinningsanläggningar för byggavfall, förvärv av utrustning för separat insamling av användbara fraktioner av kommunalt avfall. Andelen kommunalt avfall som skickas för bortskaffande ska beräknas i enlighet med den beräkningsmetod som föreskrivs i genomförandebeslut 2019/1004 – Regler för beräkning, verifiering och rapportering av uppgifter om avfall i enlighet med direktiv 2008/98/EG.</w:t>
            </w:r>
          </w:p>
        </w:tc>
      </w:tr>
      <w:tr w:rsidR="003A3D51" w14:paraId="66029367"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36BD49E" w14:textId="77777777" w:rsidR="003A3D51" w:rsidRDefault="0002775A">
            <w:pPr>
              <w:pStyle w:val="P68B1DB1-Normal16"/>
              <w:spacing w:after="200" w:line="276" w:lineRule="auto"/>
              <w:jc w:val="center"/>
              <w:rPr>
                <w:noProof/>
              </w:rPr>
            </w:pPr>
            <w:r>
              <w:rPr>
                <w:noProof/>
              </w:rPr>
              <w:t>90</w:t>
            </w:r>
          </w:p>
        </w:tc>
        <w:tc>
          <w:tcPr>
            <w:tcW w:w="826" w:type="dxa"/>
            <w:tcBorders>
              <w:top w:val="single" w:sz="4" w:space="0" w:color="auto"/>
              <w:left w:val="nil"/>
              <w:bottom w:val="single" w:sz="4" w:space="0" w:color="auto"/>
              <w:right w:val="single" w:sz="4" w:space="0" w:color="auto"/>
            </w:tcBorders>
            <w:shd w:val="clear" w:color="auto" w:fill="C6EFCE"/>
            <w:noWrap/>
          </w:tcPr>
          <w:p w14:paraId="1AC89C53" w14:textId="77777777" w:rsidR="003A3D51" w:rsidRDefault="0002775A">
            <w:pPr>
              <w:pStyle w:val="P68B1DB1-Normal16"/>
              <w:spacing w:after="200" w:line="276" w:lineRule="auto"/>
              <w:jc w:val="center"/>
              <w:rPr>
                <w:noProof/>
              </w:rPr>
            </w:pPr>
            <w:r>
              <w:rPr>
                <w:noProof/>
              </w:rPr>
              <w:t>C1.3 R2-I2</w:t>
            </w:r>
          </w:p>
        </w:tc>
        <w:tc>
          <w:tcPr>
            <w:tcW w:w="895" w:type="dxa"/>
            <w:tcBorders>
              <w:top w:val="single" w:sz="4" w:space="0" w:color="auto"/>
              <w:left w:val="nil"/>
              <w:bottom w:val="single" w:sz="4" w:space="0" w:color="auto"/>
              <w:right w:val="single" w:sz="4" w:space="0" w:color="auto"/>
            </w:tcBorders>
            <w:shd w:val="clear" w:color="auto" w:fill="C6EFCE"/>
            <w:noWrap/>
          </w:tcPr>
          <w:p w14:paraId="1D21D759"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364F37D7" w14:textId="77777777" w:rsidR="003A3D51" w:rsidRDefault="0002775A">
            <w:pPr>
              <w:pStyle w:val="P68B1DB1-Normal16"/>
              <w:spacing w:after="200" w:line="276" w:lineRule="auto"/>
              <w:rPr>
                <w:noProof/>
              </w:rPr>
            </w:pPr>
            <w:r>
              <w:rPr>
                <w:noProof/>
              </w:rPr>
              <w:t>Sanering av stängda deponier</w:t>
            </w:r>
          </w:p>
        </w:tc>
        <w:tc>
          <w:tcPr>
            <w:tcW w:w="1985" w:type="dxa"/>
            <w:tcBorders>
              <w:top w:val="single" w:sz="4" w:space="0" w:color="auto"/>
              <w:left w:val="nil"/>
              <w:bottom w:val="single" w:sz="4" w:space="0" w:color="auto"/>
              <w:right w:val="single" w:sz="4" w:space="0" w:color="auto"/>
            </w:tcBorders>
            <w:shd w:val="clear" w:color="auto" w:fill="C6EFCE"/>
            <w:noWrap/>
          </w:tcPr>
          <w:p w14:paraId="181E0A06" w14:textId="77777777" w:rsidR="003A3D51" w:rsidRDefault="0002775A">
            <w:pPr>
              <w:pStyle w:val="P68B1DB1-Normal16"/>
              <w:spacing w:after="200" w:line="276" w:lineRule="auto"/>
              <w:rPr>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537356A1"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ACF3F26"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4BB6546B" w14:textId="77777777" w:rsidR="003A3D51" w:rsidRDefault="0002775A">
            <w:pPr>
              <w:pStyle w:val="P68B1DB1-Normal16"/>
              <w:spacing w:after="200" w:line="276" w:lineRule="auto"/>
              <w:jc w:val="center"/>
              <w:rPr>
                <w:noProof/>
              </w:rPr>
            </w:pPr>
            <w:r>
              <w:rPr>
                <w:noProof/>
              </w:rPr>
              <w:t>10</w:t>
            </w:r>
          </w:p>
        </w:tc>
        <w:tc>
          <w:tcPr>
            <w:tcW w:w="539" w:type="dxa"/>
            <w:tcBorders>
              <w:top w:val="single" w:sz="4" w:space="0" w:color="auto"/>
              <w:left w:val="nil"/>
              <w:bottom w:val="single" w:sz="4" w:space="0" w:color="auto"/>
              <w:right w:val="single" w:sz="4" w:space="0" w:color="auto"/>
            </w:tcBorders>
            <w:shd w:val="clear" w:color="auto" w:fill="C6EFCE"/>
            <w:noWrap/>
          </w:tcPr>
          <w:p w14:paraId="2CD16EE1" w14:textId="77777777" w:rsidR="003A3D51" w:rsidRDefault="0002775A">
            <w:pPr>
              <w:pStyle w:val="P68B1DB1-Normal16"/>
              <w:spacing w:after="200" w:line="276" w:lineRule="auto"/>
              <w:jc w:val="center"/>
              <w:rPr>
                <w:noProof/>
              </w:rPr>
            </w:pPr>
            <w:r>
              <w:rPr>
                <w:noProof/>
              </w:rPr>
              <w:t>KVARTAL 2</w:t>
            </w:r>
          </w:p>
        </w:tc>
        <w:tc>
          <w:tcPr>
            <w:tcW w:w="856" w:type="dxa"/>
            <w:tcBorders>
              <w:top w:val="single" w:sz="4" w:space="0" w:color="auto"/>
              <w:left w:val="nil"/>
              <w:bottom w:val="single" w:sz="4" w:space="0" w:color="auto"/>
              <w:right w:val="single" w:sz="4" w:space="0" w:color="auto"/>
            </w:tcBorders>
            <w:shd w:val="clear" w:color="auto" w:fill="C6EFCE"/>
            <w:noWrap/>
          </w:tcPr>
          <w:p w14:paraId="799777B0" w14:textId="77777777" w:rsidR="003A3D51" w:rsidRDefault="0002775A">
            <w:pPr>
              <w:pStyle w:val="P68B1DB1-Normal16"/>
              <w:spacing w:after="200" w:line="276" w:lineRule="auto"/>
              <w:jc w:val="center"/>
              <w:rPr>
                <w:noProof/>
              </w:rPr>
            </w:pPr>
            <w:r>
              <w:rPr>
                <w:noProof/>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2D7A5DB" w14:textId="77777777" w:rsidR="003A3D51" w:rsidRDefault="0002775A">
            <w:pPr>
              <w:pStyle w:val="P68B1DB1-Normal16"/>
              <w:spacing w:after="200" w:line="276" w:lineRule="auto"/>
              <w:rPr>
                <w:noProof/>
              </w:rPr>
            </w:pPr>
            <w:r>
              <w:rPr>
                <w:noProof/>
              </w:rPr>
              <w:t>Minst 10 renade deponier/platser. Investeringarna ska omfatta sanering av stängda deponier som måste saneras på ett sådant sätt att de uppfyller kriterierna i direktiv 1999/31/EG, samt sanering av områden som är förorenade med farligt avfall, bland annat verksamhet för bortskaffande och behandling av avfall och sanering av mark.</w:t>
            </w:r>
          </w:p>
        </w:tc>
      </w:tr>
      <w:tr w:rsidR="003A3D51" w14:paraId="1360E07F"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13F7939" w14:textId="77777777" w:rsidR="003A3D51" w:rsidRDefault="0002775A">
            <w:pPr>
              <w:pStyle w:val="P68B1DB1-Normal16"/>
              <w:spacing w:after="200" w:line="276" w:lineRule="auto"/>
              <w:jc w:val="center"/>
              <w:rPr>
                <w:noProof/>
              </w:rPr>
            </w:pPr>
            <w:r>
              <w:rPr>
                <w:noProof/>
              </w:rPr>
              <w:t>378</w:t>
            </w:r>
          </w:p>
        </w:tc>
        <w:tc>
          <w:tcPr>
            <w:tcW w:w="826" w:type="dxa"/>
            <w:tcBorders>
              <w:top w:val="single" w:sz="4" w:space="0" w:color="auto"/>
              <w:left w:val="nil"/>
              <w:bottom w:val="single" w:sz="4" w:space="0" w:color="auto"/>
              <w:right w:val="single" w:sz="4" w:space="0" w:color="auto"/>
            </w:tcBorders>
            <w:shd w:val="clear" w:color="auto" w:fill="C6EFCE"/>
            <w:noWrap/>
          </w:tcPr>
          <w:p w14:paraId="3B1A5D85" w14:textId="77777777" w:rsidR="003A3D51" w:rsidRDefault="0002775A">
            <w:pPr>
              <w:pStyle w:val="P68B1DB1-Normal16"/>
              <w:spacing w:after="200" w:line="276" w:lineRule="auto"/>
              <w:jc w:val="center"/>
              <w:rPr>
                <w:noProof/>
              </w:rPr>
            </w:pPr>
            <w:r>
              <w:rPr>
                <w:noProof/>
              </w:rPr>
              <w:t>C1.3 R2-I1</w:t>
            </w:r>
          </w:p>
          <w:p w14:paraId="7D827AAC" w14:textId="77777777" w:rsidR="003A3D51" w:rsidRDefault="003A3D51">
            <w:pPr>
              <w:spacing w:after="200" w:line="276" w:lineRule="auto"/>
              <w:jc w:val="center"/>
              <w:rPr>
                <w:rFonts w:eastAsia="Calibri" w:cstheme="minorHAnsi"/>
                <w:noProof/>
                <w:color w:val="000000"/>
                <w:sz w:val="20"/>
              </w:rPr>
            </w:pPr>
          </w:p>
        </w:tc>
        <w:tc>
          <w:tcPr>
            <w:tcW w:w="895" w:type="dxa"/>
            <w:tcBorders>
              <w:top w:val="single" w:sz="4" w:space="0" w:color="auto"/>
              <w:left w:val="nil"/>
              <w:bottom w:val="single" w:sz="4" w:space="0" w:color="auto"/>
              <w:right w:val="single" w:sz="4" w:space="0" w:color="auto"/>
            </w:tcBorders>
            <w:shd w:val="clear" w:color="auto" w:fill="C6EFCE"/>
            <w:noWrap/>
          </w:tcPr>
          <w:p w14:paraId="11A92401" w14:textId="77777777" w:rsidR="003A3D51" w:rsidRDefault="0002775A">
            <w:pPr>
              <w:pStyle w:val="P68B1DB1-Normal16"/>
              <w:spacing w:after="200" w:line="276" w:lineRule="auto"/>
              <w:jc w:val="center"/>
              <w:rPr>
                <w:noProof/>
              </w:rPr>
            </w:pPr>
            <w:r>
              <w:rPr>
                <w:noProof/>
              </w:rPr>
              <w:t>M</w:t>
            </w:r>
          </w:p>
        </w:tc>
        <w:tc>
          <w:tcPr>
            <w:tcW w:w="2248" w:type="dxa"/>
            <w:tcBorders>
              <w:top w:val="single" w:sz="4" w:space="0" w:color="auto"/>
              <w:left w:val="nil"/>
              <w:bottom w:val="single" w:sz="4" w:space="0" w:color="auto"/>
              <w:right w:val="single" w:sz="4" w:space="0" w:color="auto"/>
            </w:tcBorders>
            <w:shd w:val="clear" w:color="auto" w:fill="C6EFCE"/>
            <w:noWrap/>
          </w:tcPr>
          <w:p w14:paraId="20D6F63C" w14:textId="77777777" w:rsidR="003A3D51" w:rsidRDefault="0002775A">
            <w:pPr>
              <w:pStyle w:val="P68B1DB1-Normal16"/>
              <w:spacing w:after="200" w:line="276" w:lineRule="auto"/>
              <w:rPr>
                <w:noProof/>
              </w:rPr>
            </w:pPr>
            <w:r>
              <w:rPr>
                <w:noProof/>
              </w:rPr>
              <w:t>Ikraftträdande av förordningen om deponeringsskatt</w:t>
            </w:r>
          </w:p>
          <w:p w14:paraId="71B1144A" w14:textId="77777777" w:rsidR="003A3D51" w:rsidRDefault="003A3D51">
            <w:pPr>
              <w:spacing w:after="200" w:line="276" w:lineRule="auto"/>
              <w:rPr>
                <w:rFonts w:eastAsia="Calibri" w:cstheme="minorHAnsi"/>
                <w:noProof/>
                <w:color w:val="000000"/>
                <w:sz w:val="20"/>
              </w:rPr>
            </w:pPr>
          </w:p>
        </w:tc>
        <w:tc>
          <w:tcPr>
            <w:tcW w:w="1985" w:type="dxa"/>
            <w:tcBorders>
              <w:top w:val="single" w:sz="4" w:space="0" w:color="auto"/>
              <w:left w:val="nil"/>
              <w:bottom w:val="single" w:sz="4" w:space="0" w:color="auto"/>
              <w:right w:val="single" w:sz="4" w:space="0" w:color="auto"/>
            </w:tcBorders>
            <w:shd w:val="clear" w:color="auto" w:fill="C6EFCE"/>
            <w:noWrap/>
          </w:tcPr>
          <w:p w14:paraId="31645970" w14:textId="77777777" w:rsidR="003A3D51" w:rsidRDefault="0002775A">
            <w:pPr>
              <w:pStyle w:val="P68B1DB1-Normal16"/>
              <w:spacing w:after="200" w:line="276" w:lineRule="auto"/>
              <w:rPr>
                <w:noProof/>
              </w:rPr>
            </w:pPr>
            <w:r>
              <w:rPr>
                <w:noProof/>
              </w:rPr>
              <w:t>Bestämmelse i en förordning om deponeringsskatt som anger dess ikraftträdande</w:t>
            </w:r>
          </w:p>
        </w:tc>
        <w:tc>
          <w:tcPr>
            <w:tcW w:w="992" w:type="dxa"/>
            <w:tcBorders>
              <w:top w:val="single" w:sz="4" w:space="0" w:color="auto"/>
              <w:left w:val="nil"/>
              <w:bottom w:val="single" w:sz="4" w:space="0" w:color="auto"/>
              <w:right w:val="single" w:sz="4" w:space="0" w:color="auto"/>
            </w:tcBorders>
            <w:shd w:val="clear" w:color="auto" w:fill="C6EFCE"/>
            <w:noWrap/>
          </w:tcPr>
          <w:p w14:paraId="71C7EF95" w14:textId="77777777" w:rsidR="003A3D51" w:rsidRDefault="003A3D51">
            <w:pPr>
              <w:spacing w:after="200" w:line="276" w:lineRule="auto"/>
              <w:jc w:val="center"/>
              <w:rPr>
                <w:rFonts w:eastAsia="Calibri" w:cstheme="minorHAnsi"/>
                <w:noProof/>
                <w:color w:val="000000"/>
                <w:sz w:val="20"/>
              </w:rPr>
            </w:pPr>
          </w:p>
        </w:tc>
        <w:tc>
          <w:tcPr>
            <w:tcW w:w="992" w:type="dxa"/>
            <w:tcBorders>
              <w:top w:val="single" w:sz="4" w:space="0" w:color="auto"/>
              <w:left w:val="nil"/>
              <w:bottom w:val="single" w:sz="4" w:space="0" w:color="auto"/>
              <w:right w:val="single" w:sz="4" w:space="0" w:color="auto"/>
            </w:tcBorders>
            <w:shd w:val="clear" w:color="auto" w:fill="C6EFCE"/>
            <w:noWrap/>
          </w:tcPr>
          <w:p w14:paraId="1E3F156D" w14:textId="77777777" w:rsidR="003A3D51" w:rsidRDefault="003A3D51">
            <w:pPr>
              <w:spacing w:after="200" w:line="276" w:lineRule="auto"/>
              <w:jc w:val="center"/>
              <w:rPr>
                <w:rFonts w:eastAsia="Calibri" w:cstheme="minorHAnsi"/>
                <w:noProof/>
                <w:color w:val="000000"/>
                <w:sz w:val="20"/>
              </w:rPr>
            </w:pPr>
          </w:p>
        </w:tc>
        <w:tc>
          <w:tcPr>
            <w:tcW w:w="873" w:type="dxa"/>
            <w:tcBorders>
              <w:top w:val="single" w:sz="4" w:space="0" w:color="auto"/>
              <w:left w:val="nil"/>
              <w:bottom w:val="single" w:sz="4" w:space="0" w:color="auto"/>
              <w:right w:val="single" w:sz="4" w:space="0" w:color="auto"/>
            </w:tcBorders>
            <w:shd w:val="clear" w:color="auto" w:fill="C6EFCE"/>
            <w:noWrap/>
          </w:tcPr>
          <w:p w14:paraId="7525B875" w14:textId="77777777" w:rsidR="003A3D51" w:rsidRDefault="003A3D51">
            <w:pPr>
              <w:spacing w:after="200" w:line="276" w:lineRule="auto"/>
              <w:jc w:val="center"/>
              <w:rPr>
                <w:rFonts w:eastAsia="Calibri" w:cstheme="minorHAnsi"/>
                <w:noProof/>
                <w:color w:val="000000"/>
                <w:sz w:val="20"/>
              </w:rPr>
            </w:pPr>
          </w:p>
        </w:tc>
        <w:tc>
          <w:tcPr>
            <w:tcW w:w="539" w:type="dxa"/>
            <w:tcBorders>
              <w:top w:val="single" w:sz="4" w:space="0" w:color="auto"/>
              <w:left w:val="nil"/>
              <w:bottom w:val="single" w:sz="4" w:space="0" w:color="auto"/>
              <w:right w:val="single" w:sz="4" w:space="0" w:color="auto"/>
            </w:tcBorders>
            <w:shd w:val="clear" w:color="auto" w:fill="C6EFCE"/>
            <w:noWrap/>
          </w:tcPr>
          <w:p w14:paraId="432253BE"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16F387F4" w14:textId="77777777" w:rsidR="003A3D51" w:rsidRDefault="0002775A">
            <w:pPr>
              <w:pStyle w:val="P68B1DB1-Normal16"/>
              <w:spacing w:after="200" w:line="276" w:lineRule="auto"/>
              <w:jc w:val="center"/>
              <w:rPr>
                <w:noProof/>
              </w:rPr>
            </w:pPr>
            <w:r>
              <w:rPr>
                <w:noProof/>
              </w:rPr>
              <w:t>2024</w:t>
            </w:r>
          </w:p>
          <w:p w14:paraId="17B34CA6" w14:textId="77777777" w:rsidR="003A3D51" w:rsidRDefault="003A3D51">
            <w:pPr>
              <w:spacing w:after="200" w:line="276" w:lineRule="auto"/>
              <w:jc w:val="center"/>
              <w:rPr>
                <w:rFonts w:eastAsia="Calibri" w:cstheme="minorHAnsi"/>
                <w:noProof/>
                <w:color w:val="000000"/>
                <w:sz w:val="20"/>
              </w:rPr>
            </w:pPr>
          </w:p>
        </w:tc>
        <w:tc>
          <w:tcPr>
            <w:tcW w:w="3686" w:type="dxa"/>
            <w:tcBorders>
              <w:top w:val="single" w:sz="4" w:space="0" w:color="auto"/>
              <w:left w:val="nil"/>
              <w:bottom w:val="single" w:sz="4" w:space="0" w:color="auto"/>
              <w:right w:val="single" w:sz="4" w:space="0" w:color="auto"/>
            </w:tcBorders>
            <w:shd w:val="clear" w:color="auto" w:fill="C6EFCE"/>
            <w:noWrap/>
          </w:tcPr>
          <w:p w14:paraId="549027D6" w14:textId="77777777" w:rsidR="003A3D51" w:rsidRDefault="0002775A">
            <w:pPr>
              <w:pStyle w:val="P68B1DB1-Normal16"/>
              <w:spacing w:after="200" w:line="276" w:lineRule="auto"/>
              <w:rPr>
                <w:noProof/>
              </w:rPr>
            </w:pPr>
            <w:r>
              <w:rPr>
                <w:noProof/>
              </w:rPr>
              <w:t>Förordningen om deponeringsskatt träder i kraft och föreskriver en enhetsavgift som gör det möjligt att beräkna deponeringsskatten enligt avfallshanteringslagen.</w:t>
            </w:r>
          </w:p>
          <w:p w14:paraId="39552B0A" w14:textId="77777777" w:rsidR="003A3D51" w:rsidRDefault="0002775A">
            <w:pPr>
              <w:pStyle w:val="P68B1DB1-Normal16"/>
              <w:spacing w:after="200" w:line="276" w:lineRule="auto"/>
              <w:rPr>
                <w:noProof/>
              </w:rPr>
            </w:pPr>
            <w:r>
              <w:rPr>
                <w:noProof/>
              </w:rPr>
              <w:t>Förordningen ska innehålla bestämmelser om gradvis höjning av deponeringsskatten för att fasa ut deponering av återvinningsbart och återvinningsbart avfall och att intäkterna ska användas i enlighet med avfallshanteringslagen.</w:t>
            </w:r>
          </w:p>
        </w:tc>
      </w:tr>
      <w:tr w:rsidR="003A3D51" w14:paraId="2149FC0B"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6913504" w14:textId="77777777" w:rsidR="003A3D51" w:rsidRDefault="0002775A">
            <w:pPr>
              <w:pStyle w:val="P68B1DB1-Normal16"/>
              <w:spacing w:after="200" w:line="276" w:lineRule="auto"/>
              <w:jc w:val="center"/>
              <w:rPr>
                <w:noProof/>
              </w:rPr>
            </w:pPr>
            <w:r>
              <w:rPr>
                <w:noProof/>
              </w:rPr>
              <w:t>379</w:t>
            </w:r>
          </w:p>
        </w:tc>
        <w:tc>
          <w:tcPr>
            <w:tcW w:w="826" w:type="dxa"/>
            <w:tcBorders>
              <w:top w:val="single" w:sz="4" w:space="0" w:color="auto"/>
              <w:left w:val="nil"/>
              <w:bottom w:val="single" w:sz="4" w:space="0" w:color="auto"/>
              <w:right w:val="single" w:sz="4" w:space="0" w:color="auto"/>
            </w:tcBorders>
            <w:shd w:val="clear" w:color="auto" w:fill="C6EFCE"/>
            <w:noWrap/>
          </w:tcPr>
          <w:p w14:paraId="0BAB9BDE"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51875D14" w14:textId="77777777" w:rsidR="003A3D51" w:rsidRDefault="0002775A">
            <w:pPr>
              <w:pStyle w:val="P68B1DB1-Normal16"/>
              <w:spacing w:after="200" w:line="276" w:lineRule="auto"/>
              <w:jc w:val="center"/>
              <w:rPr>
                <w:noProof/>
              </w:rPr>
            </w:pPr>
            <w:r>
              <w:rPr>
                <w:noProof/>
              </w:rPr>
              <w:t>M</w:t>
            </w:r>
          </w:p>
        </w:tc>
        <w:tc>
          <w:tcPr>
            <w:tcW w:w="2248" w:type="dxa"/>
            <w:tcBorders>
              <w:top w:val="single" w:sz="4" w:space="0" w:color="auto"/>
              <w:left w:val="nil"/>
              <w:bottom w:val="single" w:sz="4" w:space="0" w:color="auto"/>
              <w:right w:val="single" w:sz="4" w:space="0" w:color="auto"/>
            </w:tcBorders>
            <w:shd w:val="clear" w:color="auto" w:fill="C6EFCE"/>
            <w:noWrap/>
          </w:tcPr>
          <w:p w14:paraId="510AA267" w14:textId="77777777" w:rsidR="003A3D51" w:rsidRDefault="0002775A">
            <w:pPr>
              <w:pStyle w:val="P68B1DB1-Normal16"/>
              <w:spacing w:after="200" w:line="276" w:lineRule="auto"/>
              <w:rPr>
                <w:noProof/>
              </w:rPr>
            </w:pPr>
            <w:r>
              <w:rPr>
                <w:noProof/>
              </w:rPr>
              <w:t>Förbättrad behandling och insamling av bioavfall</w:t>
            </w:r>
          </w:p>
          <w:p w14:paraId="200536F7" w14:textId="77777777" w:rsidR="003A3D51" w:rsidRDefault="003A3D51">
            <w:pPr>
              <w:spacing w:after="200" w:line="276" w:lineRule="auto"/>
              <w:rPr>
                <w:rFonts w:eastAsia="Calibri" w:cstheme="minorHAnsi"/>
                <w:noProof/>
                <w:color w:val="000000"/>
                <w:sz w:val="20"/>
              </w:rPr>
            </w:pPr>
          </w:p>
        </w:tc>
        <w:tc>
          <w:tcPr>
            <w:tcW w:w="1985" w:type="dxa"/>
            <w:tcBorders>
              <w:top w:val="single" w:sz="4" w:space="0" w:color="auto"/>
              <w:left w:val="nil"/>
              <w:bottom w:val="single" w:sz="4" w:space="0" w:color="auto"/>
              <w:right w:val="single" w:sz="4" w:space="0" w:color="auto"/>
            </w:tcBorders>
            <w:shd w:val="clear" w:color="auto" w:fill="C6EFCE"/>
            <w:noWrap/>
          </w:tcPr>
          <w:p w14:paraId="031A6AA4" w14:textId="77777777" w:rsidR="003A3D51" w:rsidRDefault="0002775A">
            <w:pPr>
              <w:pStyle w:val="P68B1DB1-Normal16"/>
              <w:spacing w:after="200" w:line="276" w:lineRule="auto"/>
              <w:rPr>
                <w:noProof/>
              </w:rPr>
            </w:pPr>
            <w:r>
              <w:rPr>
                <w:noProof/>
              </w:rPr>
              <w:t>Antagande och offentliggörande av en handlingsplan för den cirkulära ekonomin för bioavfall</w:t>
            </w:r>
          </w:p>
        </w:tc>
        <w:tc>
          <w:tcPr>
            <w:tcW w:w="992" w:type="dxa"/>
            <w:tcBorders>
              <w:top w:val="single" w:sz="4" w:space="0" w:color="auto"/>
              <w:left w:val="nil"/>
              <w:bottom w:val="single" w:sz="4" w:space="0" w:color="auto"/>
              <w:right w:val="single" w:sz="4" w:space="0" w:color="auto"/>
            </w:tcBorders>
            <w:shd w:val="clear" w:color="auto" w:fill="C6EFCE"/>
            <w:noWrap/>
          </w:tcPr>
          <w:p w14:paraId="2779BEF1" w14:textId="77777777" w:rsidR="003A3D51" w:rsidRDefault="003A3D51">
            <w:pPr>
              <w:spacing w:after="200" w:line="276" w:lineRule="auto"/>
              <w:jc w:val="center"/>
              <w:rPr>
                <w:rFonts w:eastAsia="Calibri" w:cstheme="minorHAnsi"/>
                <w:noProof/>
                <w:color w:val="000000"/>
                <w:sz w:val="20"/>
              </w:rPr>
            </w:pPr>
          </w:p>
        </w:tc>
        <w:tc>
          <w:tcPr>
            <w:tcW w:w="992" w:type="dxa"/>
            <w:tcBorders>
              <w:top w:val="single" w:sz="4" w:space="0" w:color="auto"/>
              <w:left w:val="nil"/>
              <w:bottom w:val="single" w:sz="4" w:space="0" w:color="auto"/>
              <w:right w:val="single" w:sz="4" w:space="0" w:color="auto"/>
            </w:tcBorders>
            <w:shd w:val="clear" w:color="auto" w:fill="C6EFCE"/>
            <w:noWrap/>
          </w:tcPr>
          <w:p w14:paraId="049EE139" w14:textId="77777777" w:rsidR="003A3D51" w:rsidRDefault="003A3D51">
            <w:pPr>
              <w:spacing w:after="200" w:line="276" w:lineRule="auto"/>
              <w:jc w:val="center"/>
              <w:rPr>
                <w:rFonts w:eastAsia="Calibri" w:cstheme="minorHAnsi"/>
                <w:noProof/>
                <w:color w:val="000000"/>
                <w:sz w:val="20"/>
              </w:rPr>
            </w:pPr>
          </w:p>
        </w:tc>
        <w:tc>
          <w:tcPr>
            <w:tcW w:w="873" w:type="dxa"/>
            <w:tcBorders>
              <w:top w:val="single" w:sz="4" w:space="0" w:color="auto"/>
              <w:left w:val="nil"/>
              <w:bottom w:val="single" w:sz="4" w:space="0" w:color="auto"/>
              <w:right w:val="single" w:sz="4" w:space="0" w:color="auto"/>
            </w:tcBorders>
            <w:shd w:val="clear" w:color="auto" w:fill="C6EFCE"/>
            <w:noWrap/>
          </w:tcPr>
          <w:p w14:paraId="5E32FEA1" w14:textId="77777777" w:rsidR="003A3D51" w:rsidRDefault="003A3D51">
            <w:pPr>
              <w:spacing w:after="200" w:line="276" w:lineRule="auto"/>
              <w:jc w:val="center"/>
              <w:rPr>
                <w:rFonts w:eastAsia="Calibri" w:cstheme="minorHAnsi"/>
                <w:noProof/>
                <w:color w:val="000000"/>
                <w:sz w:val="20"/>
              </w:rPr>
            </w:pPr>
          </w:p>
        </w:tc>
        <w:tc>
          <w:tcPr>
            <w:tcW w:w="539" w:type="dxa"/>
            <w:tcBorders>
              <w:top w:val="single" w:sz="4" w:space="0" w:color="auto"/>
              <w:left w:val="nil"/>
              <w:bottom w:val="single" w:sz="4" w:space="0" w:color="auto"/>
              <w:right w:val="single" w:sz="4" w:space="0" w:color="auto"/>
            </w:tcBorders>
            <w:shd w:val="clear" w:color="auto" w:fill="C6EFCE"/>
            <w:noWrap/>
          </w:tcPr>
          <w:p w14:paraId="655F45CC"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13057EC0"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54DC44D8" w14:textId="77777777" w:rsidR="003A3D51" w:rsidRDefault="0002775A">
            <w:pPr>
              <w:pStyle w:val="P68B1DB1-Normal16"/>
              <w:spacing w:after="200" w:line="276" w:lineRule="auto"/>
              <w:rPr>
                <w:noProof/>
              </w:rPr>
            </w:pPr>
            <w:r>
              <w:rPr>
                <w:noProof/>
              </w:rPr>
              <w:t>Efter offentliga samråd ska handlingsplanen för bioavfall för den cirkulära ekonomin antas, i linje med handlingsplanen för den cirkulära ekonomin. Planen ska inbegripa berörda parter i genomförandet av handlingsplanen för den cirkulära ekonomin för bioavfall.</w:t>
            </w:r>
          </w:p>
        </w:tc>
      </w:tr>
      <w:tr w:rsidR="003A3D51" w14:paraId="4DDF290F"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E570937" w14:textId="77777777" w:rsidR="003A3D51" w:rsidRDefault="0002775A">
            <w:pPr>
              <w:pStyle w:val="P68B1DB1-Normal16"/>
              <w:spacing w:after="200" w:line="276" w:lineRule="auto"/>
              <w:jc w:val="center"/>
              <w:rPr>
                <w:noProof/>
              </w:rPr>
            </w:pPr>
            <w:r>
              <w:rPr>
                <w:noProof/>
              </w:rPr>
              <w:t xml:space="preserve">380 </w:t>
            </w:r>
          </w:p>
        </w:tc>
        <w:tc>
          <w:tcPr>
            <w:tcW w:w="826" w:type="dxa"/>
            <w:tcBorders>
              <w:top w:val="single" w:sz="4" w:space="0" w:color="auto"/>
              <w:left w:val="nil"/>
              <w:bottom w:val="single" w:sz="4" w:space="0" w:color="auto"/>
              <w:right w:val="single" w:sz="4" w:space="0" w:color="auto"/>
            </w:tcBorders>
            <w:shd w:val="clear" w:color="auto" w:fill="C6EFCE"/>
            <w:noWrap/>
          </w:tcPr>
          <w:p w14:paraId="5C0946F0"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6AF35BB9"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1512AFB0" w14:textId="77777777" w:rsidR="003A3D51" w:rsidRDefault="0002775A">
            <w:pPr>
              <w:pStyle w:val="P68B1DB1-Normal16"/>
              <w:spacing w:after="200" w:line="276" w:lineRule="auto"/>
              <w:rPr>
                <w:noProof/>
              </w:rPr>
            </w:pPr>
            <w:r>
              <w:rPr>
                <w:noProof/>
              </w:rPr>
              <w:t>Utrustning för behandling av biologiskt avfall</w:t>
            </w:r>
          </w:p>
          <w:p w14:paraId="08EAA093" w14:textId="77777777" w:rsidR="003A3D51" w:rsidRDefault="003A3D51">
            <w:pPr>
              <w:spacing w:after="200" w:line="276" w:lineRule="auto"/>
              <w:rPr>
                <w:rFonts w:eastAsia="Calibri" w:cstheme="minorHAnsi"/>
                <w:noProof/>
                <w:color w:val="000000"/>
                <w:sz w:val="20"/>
              </w:rPr>
            </w:pPr>
          </w:p>
        </w:tc>
        <w:tc>
          <w:tcPr>
            <w:tcW w:w="1985" w:type="dxa"/>
            <w:tcBorders>
              <w:top w:val="single" w:sz="4" w:space="0" w:color="auto"/>
              <w:left w:val="nil"/>
              <w:bottom w:val="single" w:sz="4" w:space="0" w:color="auto"/>
              <w:right w:val="single" w:sz="4" w:space="0" w:color="auto"/>
            </w:tcBorders>
            <w:shd w:val="clear" w:color="auto" w:fill="C6EFCE"/>
            <w:noWrap/>
          </w:tcPr>
          <w:p w14:paraId="2C1ECC45" w14:textId="77777777" w:rsidR="003A3D51" w:rsidRDefault="003A3D51">
            <w:pPr>
              <w:spacing w:after="200" w:line="276" w:lineRule="auto"/>
              <w:rPr>
                <w:rFonts w:eastAsia="Calibri" w:cstheme="minorHAnsi"/>
                <w:noProof/>
                <w:color w:val="000000"/>
                <w:sz w:val="20"/>
              </w:rPr>
            </w:pPr>
          </w:p>
        </w:tc>
        <w:tc>
          <w:tcPr>
            <w:tcW w:w="992" w:type="dxa"/>
            <w:tcBorders>
              <w:top w:val="single" w:sz="4" w:space="0" w:color="auto"/>
              <w:left w:val="nil"/>
              <w:bottom w:val="single" w:sz="4" w:space="0" w:color="auto"/>
              <w:right w:val="single" w:sz="4" w:space="0" w:color="auto"/>
            </w:tcBorders>
            <w:shd w:val="clear" w:color="auto" w:fill="C6EFCE"/>
            <w:noWrap/>
          </w:tcPr>
          <w:p w14:paraId="348F34A1"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74E2DBDA"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3E193275" w14:textId="77777777" w:rsidR="003A3D51" w:rsidRDefault="0002775A">
            <w:pPr>
              <w:pStyle w:val="P68B1DB1-Normal16"/>
              <w:spacing w:after="200" w:line="276" w:lineRule="auto"/>
              <w:jc w:val="center"/>
              <w:rPr>
                <w:noProof/>
              </w:rPr>
            </w:pPr>
            <w:r>
              <w:rPr>
                <w:noProof/>
              </w:rPr>
              <w:t>20</w:t>
            </w:r>
          </w:p>
        </w:tc>
        <w:tc>
          <w:tcPr>
            <w:tcW w:w="539" w:type="dxa"/>
            <w:tcBorders>
              <w:top w:val="single" w:sz="4" w:space="0" w:color="auto"/>
              <w:left w:val="nil"/>
              <w:bottom w:val="single" w:sz="4" w:space="0" w:color="auto"/>
              <w:right w:val="single" w:sz="4" w:space="0" w:color="auto"/>
            </w:tcBorders>
            <w:shd w:val="clear" w:color="auto" w:fill="C6EFCE"/>
            <w:noWrap/>
          </w:tcPr>
          <w:p w14:paraId="67B17A82" w14:textId="77777777" w:rsidR="003A3D51" w:rsidRDefault="0002775A">
            <w:pPr>
              <w:pStyle w:val="P68B1DB1-Normal16"/>
              <w:spacing w:after="200" w:line="276" w:lineRule="auto"/>
              <w:jc w:val="center"/>
              <w:rPr>
                <w:noProof/>
              </w:rPr>
            </w:pPr>
            <w:r>
              <w:rPr>
                <w:noProof/>
              </w:rPr>
              <w:t>KVARTAL 4</w:t>
            </w:r>
          </w:p>
        </w:tc>
        <w:tc>
          <w:tcPr>
            <w:tcW w:w="856" w:type="dxa"/>
            <w:tcBorders>
              <w:top w:val="single" w:sz="4" w:space="0" w:color="auto"/>
              <w:left w:val="nil"/>
              <w:bottom w:val="single" w:sz="4" w:space="0" w:color="auto"/>
              <w:right w:val="single" w:sz="4" w:space="0" w:color="auto"/>
            </w:tcBorders>
            <w:shd w:val="clear" w:color="auto" w:fill="C6EFCE"/>
            <w:noWrap/>
          </w:tcPr>
          <w:p w14:paraId="1EB5BC6C" w14:textId="77777777" w:rsidR="003A3D51" w:rsidRDefault="0002775A">
            <w:pPr>
              <w:pStyle w:val="P68B1DB1-Normal16"/>
              <w:spacing w:after="200" w:line="276" w:lineRule="auto"/>
              <w:jc w:val="center"/>
              <w:rPr>
                <w:noProof/>
              </w:rPr>
            </w:pPr>
            <w:r>
              <w:rPr>
                <w:noProof/>
              </w:rPr>
              <w:t>2025</w:t>
            </w:r>
          </w:p>
        </w:tc>
        <w:tc>
          <w:tcPr>
            <w:tcW w:w="3686" w:type="dxa"/>
            <w:tcBorders>
              <w:top w:val="single" w:sz="4" w:space="0" w:color="auto"/>
              <w:left w:val="nil"/>
              <w:bottom w:val="single" w:sz="4" w:space="0" w:color="auto"/>
              <w:right w:val="single" w:sz="4" w:space="0" w:color="auto"/>
            </w:tcBorders>
            <w:shd w:val="clear" w:color="auto" w:fill="C6EFCE"/>
            <w:noWrap/>
          </w:tcPr>
          <w:p w14:paraId="3D0A43FE" w14:textId="77777777" w:rsidR="003A3D51" w:rsidRDefault="0002775A">
            <w:pPr>
              <w:pStyle w:val="P68B1DB1-Normal16"/>
              <w:spacing w:after="200" w:line="276" w:lineRule="auto"/>
              <w:rPr>
                <w:noProof/>
              </w:rPr>
            </w:pPr>
            <w:r>
              <w:rPr>
                <w:noProof/>
              </w:rPr>
              <w:t>Efter inbjudan att lämna förslag ska minst 20 utrustningar för behandling av bioavfall (t.ex. kompostorer eller biostabilisatorer) levereras och vara i drift.</w:t>
            </w:r>
          </w:p>
        </w:tc>
      </w:tr>
      <w:tr w:rsidR="003A3D51" w14:paraId="6DC6162B" w14:textId="77777777">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53710B9" w14:textId="77777777" w:rsidR="003A3D51" w:rsidRDefault="0002775A">
            <w:pPr>
              <w:pStyle w:val="P68B1DB1-Normal16"/>
              <w:spacing w:after="200" w:line="276" w:lineRule="auto"/>
              <w:jc w:val="center"/>
              <w:rPr>
                <w:noProof/>
              </w:rPr>
            </w:pPr>
            <w:r>
              <w:rPr>
                <w:noProof/>
              </w:rPr>
              <w:t xml:space="preserve">381 </w:t>
            </w:r>
          </w:p>
        </w:tc>
        <w:tc>
          <w:tcPr>
            <w:tcW w:w="826" w:type="dxa"/>
            <w:tcBorders>
              <w:top w:val="single" w:sz="4" w:space="0" w:color="auto"/>
              <w:left w:val="nil"/>
              <w:bottom w:val="single" w:sz="4" w:space="0" w:color="auto"/>
              <w:right w:val="single" w:sz="4" w:space="0" w:color="auto"/>
            </w:tcBorders>
            <w:shd w:val="clear" w:color="auto" w:fill="C6EFCE"/>
            <w:noWrap/>
          </w:tcPr>
          <w:p w14:paraId="2C894EBE" w14:textId="77777777" w:rsidR="003A3D51" w:rsidRDefault="0002775A">
            <w:pPr>
              <w:pStyle w:val="P68B1DB1-Normal16"/>
              <w:spacing w:after="200" w:line="276" w:lineRule="auto"/>
              <w:jc w:val="center"/>
              <w:rPr>
                <w:noProof/>
              </w:rPr>
            </w:pPr>
            <w:r>
              <w:rPr>
                <w:noProof/>
              </w:rPr>
              <w:t>C1.3 R2-I1</w:t>
            </w:r>
          </w:p>
        </w:tc>
        <w:tc>
          <w:tcPr>
            <w:tcW w:w="895" w:type="dxa"/>
            <w:tcBorders>
              <w:top w:val="single" w:sz="4" w:space="0" w:color="auto"/>
              <w:left w:val="nil"/>
              <w:bottom w:val="single" w:sz="4" w:space="0" w:color="auto"/>
              <w:right w:val="single" w:sz="4" w:space="0" w:color="auto"/>
            </w:tcBorders>
            <w:shd w:val="clear" w:color="auto" w:fill="C6EFCE"/>
            <w:noWrap/>
          </w:tcPr>
          <w:p w14:paraId="2A9E9815" w14:textId="77777777" w:rsidR="003A3D51" w:rsidRDefault="0002775A">
            <w:pPr>
              <w:pStyle w:val="P68B1DB1-Normal16"/>
              <w:spacing w:after="200" w:line="276" w:lineRule="auto"/>
              <w:jc w:val="center"/>
              <w:rPr>
                <w:noProof/>
              </w:rPr>
            </w:pPr>
            <w:r>
              <w:rPr>
                <w:noProof/>
              </w:rPr>
              <w:t>T</w:t>
            </w:r>
          </w:p>
        </w:tc>
        <w:tc>
          <w:tcPr>
            <w:tcW w:w="2248" w:type="dxa"/>
            <w:tcBorders>
              <w:top w:val="single" w:sz="4" w:space="0" w:color="auto"/>
              <w:left w:val="nil"/>
              <w:bottom w:val="single" w:sz="4" w:space="0" w:color="auto"/>
              <w:right w:val="single" w:sz="4" w:space="0" w:color="auto"/>
            </w:tcBorders>
            <w:shd w:val="clear" w:color="auto" w:fill="C6EFCE"/>
            <w:noWrap/>
          </w:tcPr>
          <w:p w14:paraId="213D14EE" w14:textId="77777777" w:rsidR="003A3D51" w:rsidRDefault="0002775A">
            <w:pPr>
              <w:pStyle w:val="P68B1DB1-Normal16"/>
              <w:spacing w:after="200" w:line="276" w:lineRule="auto"/>
              <w:rPr>
                <w:noProof/>
              </w:rPr>
            </w:pPr>
            <w:r>
              <w:rPr>
                <w:noProof/>
              </w:rPr>
              <w:t xml:space="preserve">Uppförande av stationer för transport av avfall  </w:t>
            </w:r>
          </w:p>
        </w:tc>
        <w:tc>
          <w:tcPr>
            <w:tcW w:w="1985" w:type="dxa"/>
            <w:tcBorders>
              <w:top w:val="single" w:sz="4" w:space="0" w:color="auto"/>
              <w:left w:val="nil"/>
              <w:bottom w:val="single" w:sz="4" w:space="0" w:color="auto"/>
              <w:right w:val="single" w:sz="4" w:space="0" w:color="auto"/>
            </w:tcBorders>
            <w:shd w:val="clear" w:color="auto" w:fill="C6EFCE"/>
            <w:noWrap/>
          </w:tcPr>
          <w:p w14:paraId="3F58A3E3" w14:textId="77777777" w:rsidR="003A3D51" w:rsidRDefault="003A3D51">
            <w:pPr>
              <w:spacing w:after="200" w:line="276" w:lineRule="auto"/>
              <w:rPr>
                <w:rFonts w:eastAsia="Calibri" w:cstheme="minorHAnsi"/>
                <w:noProof/>
                <w:color w:val="000000"/>
                <w:sz w:val="20"/>
              </w:rPr>
            </w:pPr>
          </w:p>
        </w:tc>
        <w:tc>
          <w:tcPr>
            <w:tcW w:w="992" w:type="dxa"/>
            <w:tcBorders>
              <w:top w:val="single" w:sz="4" w:space="0" w:color="auto"/>
              <w:left w:val="nil"/>
              <w:bottom w:val="single" w:sz="4" w:space="0" w:color="auto"/>
              <w:right w:val="single" w:sz="4" w:space="0" w:color="auto"/>
            </w:tcBorders>
            <w:shd w:val="clear" w:color="auto" w:fill="C6EFCE"/>
            <w:noWrap/>
          </w:tcPr>
          <w:p w14:paraId="4694027F" w14:textId="77777777" w:rsidR="003A3D51" w:rsidRDefault="0002775A">
            <w:pPr>
              <w:pStyle w:val="P68B1DB1-Normal16"/>
              <w:spacing w:after="200" w:line="276" w:lineRule="auto"/>
              <w:jc w:val="center"/>
              <w:rPr>
                <w:noProof/>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3730A378" w14:textId="77777777" w:rsidR="003A3D51" w:rsidRDefault="0002775A">
            <w:pPr>
              <w:pStyle w:val="P68B1DB1-Normal16"/>
              <w:spacing w:after="200" w:line="276" w:lineRule="auto"/>
              <w:jc w:val="center"/>
              <w:rPr>
                <w:noProof/>
              </w:rPr>
            </w:pPr>
            <w:r>
              <w:rPr>
                <w:noProof/>
              </w:rPr>
              <w:t>0</w:t>
            </w:r>
          </w:p>
        </w:tc>
        <w:tc>
          <w:tcPr>
            <w:tcW w:w="873" w:type="dxa"/>
            <w:tcBorders>
              <w:top w:val="single" w:sz="4" w:space="0" w:color="auto"/>
              <w:left w:val="nil"/>
              <w:bottom w:val="single" w:sz="4" w:space="0" w:color="auto"/>
              <w:right w:val="single" w:sz="4" w:space="0" w:color="auto"/>
            </w:tcBorders>
            <w:shd w:val="clear" w:color="auto" w:fill="C6EFCE"/>
            <w:noWrap/>
          </w:tcPr>
          <w:p w14:paraId="5FFC0A8F" w14:textId="77777777" w:rsidR="003A3D51" w:rsidRDefault="0002775A">
            <w:pPr>
              <w:pStyle w:val="P68B1DB1-Normal16"/>
              <w:spacing w:after="200" w:line="276" w:lineRule="auto"/>
              <w:jc w:val="center"/>
              <w:rPr>
                <w:noProof/>
              </w:rPr>
            </w:pPr>
            <w:r>
              <w:rPr>
                <w:noProof/>
              </w:rPr>
              <w:t>15</w:t>
            </w:r>
          </w:p>
        </w:tc>
        <w:tc>
          <w:tcPr>
            <w:tcW w:w="539" w:type="dxa"/>
            <w:tcBorders>
              <w:top w:val="single" w:sz="4" w:space="0" w:color="auto"/>
              <w:left w:val="nil"/>
              <w:bottom w:val="single" w:sz="4" w:space="0" w:color="auto"/>
              <w:right w:val="single" w:sz="4" w:space="0" w:color="auto"/>
            </w:tcBorders>
            <w:shd w:val="clear" w:color="auto" w:fill="C6EFCE"/>
            <w:noWrap/>
          </w:tcPr>
          <w:p w14:paraId="632DF33A" w14:textId="77777777" w:rsidR="003A3D51" w:rsidRDefault="0002775A">
            <w:pPr>
              <w:pStyle w:val="P68B1DB1-Normal16"/>
              <w:spacing w:after="200" w:line="276" w:lineRule="auto"/>
              <w:jc w:val="center"/>
              <w:rPr>
                <w:noProof/>
              </w:rPr>
            </w:pPr>
            <w:r>
              <w:rPr>
                <w:noProof/>
              </w:rPr>
              <w:t>KVARTAL 1</w:t>
            </w:r>
          </w:p>
        </w:tc>
        <w:tc>
          <w:tcPr>
            <w:tcW w:w="856" w:type="dxa"/>
            <w:tcBorders>
              <w:top w:val="single" w:sz="4" w:space="0" w:color="auto"/>
              <w:left w:val="nil"/>
              <w:bottom w:val="single" w:sz="4" w:space="0" w:color="auto"/>
              <w:right w:val="single" w:sz="4" w:space="0" w:color="auto"/>
            </w:tcBorders>
            <w:shd w:val="clear" w:color="auto" w:fill="C6EFCE"/>
            <w:noWrap/>
          </w:tcPr>
          <w:p w14:paraId="74D8EBC2" w14:textId="77777777" w:rsidR="003A3D51" w:rsidRDefault="0002775A">
            <w:pPr>
              <w:pStyle w:val="P68B1DB1-Normal16"/>
              <w:spacing w:after="200" w:line="276" w:lineRule="auto"/>
              <w:jc w:val="center"/>
              <w:rPr>
                <w:noProof/>
              </w:rPr>
            </w:pPr>
            <w:r>
              <w:rPr>
                <w:noProof/>
              </w:rPr>
              <w:t>2026</w:t>
            </w:r>
          </w:p>
        </w:tc>
        <w:tc>
          <w:tcPr>
            <w:tcW w:w="3686" w:type="dxa"/>
            <w:tcBorders>
              <w:top w:val="single" w:sz="4" w:space="0" w:color="auto"/>
              <w:left w:val="nil"/>
              <w:bottom w:val="single" w:sz="4" w:space="0" w:color="auto"/>
              <w:right w:val="single" w:sz="4" w:space="0" w:color="auto"/>
            </w:tcBorders>
            <w:shd w:val="clear" w:color="auto" w:fill="C6EFCE"/>
            <w:noWrap/>
          </w:tcPr>
          <w:p w14:paraId="40D95CB3" w14:textId="77777777" w:rsidR="003A3D51" w:rsidRDefault="0002775A">
            <w:pPr>
              <w:pStyle w:val="P68B1DB1-Normal16"/>
              <w:spacing w:after="200" w:line="276" w:lineRule="auto"/>
              <w:rPr>
                <w:noProof/>
              </w:rPr>
            </w:pPr>
            <w:r>
              <w:rPr>
                <w:noProof/>
              </w:rPr>
              <w:t>Minst 15 omlastningsstationer för avfall ska byggas och vara i drift.</w:t>
            </w:r>
          </w:p>
        </w:tc>
      </w:tr>
    </w:tbl>
    <w:p w14:paraId="29D881A2" w14:textId="031D9E46" w:rsidR="003A3D51" w:rsidRDefault="003A3D51">
      <w:pPr>
        <w:rPr>
          <w:noProof/>
        </w:rPr>
      </w:pPr>
    </w:p>
    <w:p w14:paraId="0A80B1AD" w14:textId="77777777" w:rsidR="003A3D51" w:rsidRDefault="003A3D51">
      <w:pPr>
        <w:rPr>
          <w:noProof/>
        </w:rPr>
        <w:sectPr w:rsidR="003A3D51" w:rsidSect="0001477B">
          <w:headerReference w:type="even" r:id="rId60"/>
          <w:headerReference w:type="default" r:id="rId61"/>
          <w:footerReference w:type="even" r:id="rId62"/>
          <w:footerReference w:type="default" r:id="rId63"/>
          <w:headerReference w:type="first" r:id="rId64"/>
          <w:footerReference w:type="first" r:id="rId65"/>
          <w:pgSz w:w="15840" w:h="12240" w:orient="landscape"/>
          <w:pgMar w:top="1440" w:right="1440" w:bottom="1440" w:left="1440" w:header="708" w:footer="708" w:gutter="0"/>
          <w:cols w:space="708"/>
          <w:docGrid w:linePitch="360"/>
        </w:sectPr>
      </w:pPr>
    </w:p>
    <w:p w14:paraId="062CE77C"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C.3 </w:t>
      </w:r>
      <w:r>
        <w:rPr>
          <w:noProof/>
        </w:rPr>
        <w:tab/>
      </w:r>
      <w:r>
        <w:rPr>
          <w:rStyle w:val="normaltextrun"/>
          <w:b/>
          <w:noProof/>
        </w:rPr>
        <w:t xml:space="preserve">Beskrivning av reformerna och investeringarna för lånet </w:t>
      </w:r>
      <w:r>
        <w:rPr>
          <w:rStyle w:val="eop"/>
          <w:noProof/>
        </w:rPr>
        <w:t xml:space="preserve"> </w:t>
      </w:r>
    </w:p>
    <w:p w14:paraId="03B924EA" w14:textId="77777777" w:rsidR="003A3D51" w:rsidRDefault="0002775A">
      <w:pPr>
        <w:pStyle w:val="paragraph"/>
        <w:spacing w:before="0" w:beforeAutospacing="0" w:after="0" w:afterAutospacing="0"/>
        <w:ind w:left="840"/>
        <w:jc w:val="both"/>
        <w:textAlignment w:val="baseline"/>
        <w:rPr>
          <w:rStyle w:val="eop"/>
          <w:noProof/>
        </w:rPr>
      </w:pPr>
      <w:r>
        <w:rPr>
          <w:rStyle w:val="normaltextrun"/>
          <w:noProof/>
        </w:rPr>
        <w:t>  </w:t>
      </w:r>
    </w:p>
    <w:p w14:paraId="70C9E691"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0C9F4669" w14:textId="1EBF24B6" w:rsidR="003A3D51" w:rsidRDefault="0002775A">
      <w:pPr>
        <w:pStyle w:val="P68B1DB1-Normal18"/>
        <w:keepNext/>
        <w:tabs>
          <w:tab w:val="num" w:pos="850"/>
        </w:tabs>
        <w:spacing w:after="200" w:line="276" w:lineRule="auto"/>
        <w:ind w:left="840"/>
        <w:jc w:val="both"/>
        <w:outlineLvl w:val="2"/>
        <w:rPr>
          <w:rFonts w:ascii="Calibri" w:eastAsia="Calibri" w:hAnsi="Calibri" w:cs="Arial"/>
          <w:noProof/>
        </w:rPr>
      </w:pPr>
      <w:r>
        <w:rPr>
          <w:noProof/>
        </w:rPr>
        <w:t>Reform C1.3 R3 – Ytterligare genomförande av vattenförvaltningsprogrammet</w:t>
      </w:r>
    </w:p>
    <w:p w14:paraId="555CD5D4" w14:textId="77777777" w:rsidR="003A3D51" w:rsidRDefault="0002775A">
      <w:pPr>
        <w:pStyle w:val="paragraph"/>
        <w:spacing w:before="0" w:beforeAutospacing="0" w:after="0" w:afterAutospacing="0"/>
        <w:jc w:val="both"/>
        <w:rPr>
          <w:noProof/>
        </w:rPr>
      </w:pPr>
      <w:r>
        <w:rPr>
          <w:noProof/>
        </w:rPr>
        <w:t>Reformen tar ytterligare itu med de viktigaste utmaningarna med stora vattenförluster i Kroatien. Reformen omfattar utarbetande och antagande av en nationell plan för att minska vattenförlusterna i offentliga vattenförsörjningssystem, följt av utarbetande och antagande av enskilda planer för att minska vattenförlusterna hos vattenoperatörerna. En nationell myndighet för övervakning av vattenförluster ska inrättas. Reformen förbättrar också vattentillsynsmyndighetens kapacitet och öppenhet genom att förordningen om rådet för vattentjänster träder i kraft.</w:t>
      </w:r>
      <w:bookmarkStart w:id="2" w:name="_Int_Ui6Z29Gk"/>
      <w:bookmarkEnd w:id="2"/>
    </w:p>
    <w:p w14:paraId="6583FBE2" w14:textId="77777777" w:rsidR="003A3D51" w:rsidRDefault="003A3D51">
      <w:pPr>
        <w:spacing w:after="0" w:line="240" w:lineRule="auto"/>
        <w:jc w:val="both"/>
        <w:rPr>
          <w:rFonts w:ascii="Times New Roman" w:eastAsia="Times New Roman" w:hAnsi="Times New Roman" w:cs="Times New Roman"/>
          <w:noProof/>
          <w:sz w:val="24"/>
        </w:rPr>
      </w:pPr>
    </w:p>
    <w:p w14:paraId="1362ED16" w14:textId="77777777" w:rsidR="003A3D51" w:rsidRDefault="0002775A">
      <w:pPr>
        <w:pStyle w:val="paragraph"/>
        <w:spacing w:before="0" w:beforeAutospacing="0" w:after="0" w:afterAutospacing="0"/>
        <w:jc w:val="both"/>
        <w:rPr>
          <w:noProof/>
        </w:rPr>
      </w:pPr>
      <w:r>
        <w:rPr>
          <w:noProof/>
        </w:rPr>
        <w:t>Genomförandet av reformen ska vara slutfört senast den 31 december 2025.</w:t>
      </w:r>
    </w:p>
    <w:p w14:paraId="552E329E" w14:textId="77777777" w:rsidR="003A3D51" w:rsidRDefault="003A3D51">
      <w:pPr>
        <w:spacing w:after="0" w:line="240" w:lineRule="auto"/>
        <w:jc w:val="both"/>
        <w:rPr>
          <w:rFonts w:eastAsia="Calibri"/>
          <w:noProof/>
          <w:color w:val="2B579A"/>
        </w:rPr>
      </w:pPr>
    </w:p>
    <w:p w14:paraId="6858B821" w14:textId="38439906" w:rsidR="003A3D51" w:rsidRDefault="0002775A">
      <w:pPr>
        <w:pStyle w:val="P68B1DB1-Normal18"/>
        <w:keepNext/>
        <w:tabs>
          <w:tab w:val="num" w:pos="850"/>
        </w:tabs>
        <w:spacing w:after="200" w:line="276" w:lineRule="auto"/>
        <w:ind w:left="840"/>
        <w:jc w:val="both"/>
        <w:rPr>
          <w:noProof/>
        </w:rPr>
      </w:pPr>
      <w:r>
        <w:rPr>
          <w:noProof/>
        </w:rPr>
        <w:t>Investering C.1.3 R3-I1 – Ytterligare investeringar i det offentliga programmet för utveckling av avloppsvatten</w:t>
      </w:r>
    </w:p>
    <w:p w14:paraId="2E9CB6EF" w14:textId="77777777" w:rsidR="003A3D51" w:rsidRDefault="0002775A">
      <w:pPr>
        <w:pStyle w:val="P68B1DB1-paragraph23"/>
        <w:spacing w:before="0" w:beforeAutospacing="0" w:after="0" w:afterAutospacing="0"/>
        <w:jc w:val="both"/>
        <w:rPr>
          <w:noProof/>
        </w:rPr>
      </w:pPr>
      <w:r>
        <w:rPr>
          <w:noProof/>
        </w:rPr>
        <w:t>Med tanke på det stora investeringsgapet inom vattensektorn omfattar denna åtgärd ytterligare investeringar i utveckling av avloppsnät och avloppsreningsverk.</w:t>
      </w:r>
    </w:p>
    <w:p w14:paraId="4D22CCB5" w14:textId="77777777" w:rsidR="003A3D51" w:rsidRDefault="003A3D51">
      <w:pPr>
        <w:pStyle w:val="paragraph"/>
        <w:spacing w:before="0" w:beforeAutospacing="0" w:after="0" w:afterAutospacing="0"/>
        <w:jc w:val="both"/>
        <w:rPr>
          <w:rFonts w:eastAsia="Calibri"/>
          <w:noProof/>
        </w:rPr>
      </w:pPr>
    </w:p>
    <w:p w14:paraId="4B142C72" w14:textId="77777777" w:rsidR="003A3D51" w:rsidRDefault="0002775A">
      <w:pPr>
        <w:pStyle w:val="P68B1DB1-paragraph23"/>
        <w:spacing w:before="0" w:beforeAutospacing="0" w:after="0" w:afterAutospacing="0"/>
        <w:jc w:val="both"/>
        <w:rPr>
          <w:noProof/>
        </w:rPr>
      </w:pPr>
      <w:r>
        <w:rPr>
          <w:noProof/>
        </w:rPr>
        <w:t xml:space="preserve">Syftet med denna åtgärd är att genomföra ytterligare investeringar i det offentliga programmet för utveckling av avloppsvatten. Denna åtgärd ska omfatta renovering och återställande av ytterligare 76 km av det offentliga avloppsnätet och uppförande och idrifttagande av ytterligare 19 avloppsreningsverk, vilket ska säkerställa tillgång till förbättrade avloppstjänster för ytterligare 20.000 invånare. </w:t>
      </w:r>
    </w:p>
    <w:p w14:paraId="5FF9F272" w14:textId="77777777" w:rsidR="003A3D51" w:rsidRDefault="0002775A">
      <w:pPr>
        <w:pStyle w:val="P68B1DB1-paragraph23"/>
        <w:spacing w:before="0" w:beforeAutospacing="0" w:after="0" w:afterAutospacing="0"/>
        <w:jc w:val="both"/>
        <w:rPr>
          <w:noProof/>
        </w:rPr>
      </w:pPr>
      <w:r>
        <w:rPr>
          <w:noProof/>
        </w:rPr>
        <w:t xml:space="preserve"> </w:t>
      </w:r>
    </w:p>
    <w:p w14:paraId="12D6E1DF" w14:textId="77777777" w:rsidR="003A3D51" w:rsidRDefault="0002775A">
      <w:pPr>
        <w:pStyle w:val="P68B1DB1-paragraph23"/>
        <w:spacing w:before="0" w:beforeAutospacing="0" w:after="0" w:afterAutospacing="0"/>
        <w:jc w:val="both"/>
        <w:rPr>
          <w:noProof/>
        </w:rPr>
      </w:pPr>
      <w:r>
        <w:rPr>
          <w:noProof/>
        </w:rPr>
        <w:t xml:space="preserve">Denna investering ska genomföras genom bidrag till vattenoperatörer, med prioritering av mogna projekt. Finansieringen ska tillhandahållas av faciliteten för återhämtning och resiliens tillsammans med stödmottagaren och det nationella vattenföretaget, de kroatiska vattnen. </w:t>
      </w:r>
    </w:p>
    <w:p w14:paraId="58A3F569" w14:textId="77777777" w:rsidR="003A3D51" w:rsidRDefault="003A3D51">
      <w:pPr>
        <w:pStyle w:val="paragraph"/>
        <w:spacing w:before="0" w:beforeAutospacing="0" w:after="0" w:afterAutospacing="0"/>
        <w:jc w:val="both"/>
        <w:rPr>
          <w:rFonts w:eastAsia="Calibri"/>
          <w:noProof/>
        </w:rPr>
      </w:pPr>
    </w:p>
    <w:p w14:paraId="250AAF56" w14:textId="77777777" w:rsidR="003A3D51" w:rsidRDefault="0002775A">
      <w:pPr>
        <w:pStyle w:val="P68B1DB1-paragraph23"/>
        <w:spacing w:before="0" w:beforeAutospacing="0" w:after="0" w:afterAutospacing="0"/>
        <w:jc w:val="both"/>
        <w:rPr>
          <w:noProof/>
        </w:rPr>
      </w:pPr>
      <w:r>
        <w:rPr>
          <w:noProof/>
        </w:rPr>
        <w:t>Investeringen ska vara genomförd senast den 30 juni 2026.</w:t>
      </w:r>
    </w:p>
    <w:p w14:paraId="25F54931" w14:textId="77777777" w:rsidR="003A3D51" w:rsidRDefault="003A3D51">
      <w:pPr>
        <w:spacing w:before="120" w:after="120" w:line="240" w:lineRule="auto"/>
        <w:jc w:val="both"/>
        <w:rPr>
          <w:rFonts w:ascii="Times New Roman" w:eastAsia="Calibri" w:hAnsi="Times New Roman" w:cs="Times New Roman"/>
          <w:noProof/>
          <w:sz w:val="24"/>
        </w:rPr>
      </w:pPr>
    </w:p>
    <w:p w14:paraId="4E059333" w14:textId="310EE2CF" w:rsidR="003A3D51" w:rsidRDefault="0002775A">
      <w:pPr>
        <w:pStyle w:val="P68B1DB1-Normal18"/>
        <w:spacing w:after="200" w:line="276" w:lineRule="auto"/>
        <w:ind w:left="840"/>
        <w:jc w:val="both"/>
        <w:rPr>
          <w:noProof/>
        </w:rPr>
      </w:pPr>
      <w:r>
        <w:rPr>
          <w:noProof/>
        </w:rPr>
        <w:t>Investering C.1.3 R3-I2 – Ytterligare investeringar i det offentliga utvecklingsprogrammet för vattenförsörjning</w:t>
      </w:r>
    </w:p>
    <w:p w14:paraId="46ECE06C" w14:textId="77777777" w:rsidR="003A3D51" w:rsidRDefault="0002775A">
      <w:pPr>
        <w:pStyle w:val="P68B1DB1-Normal11"/>
        <w:spacing w:after="0"/>
        <w:jc w:val="both"/>
        <w:rPr>
          <w:noProof/>
        </w:rPr>
      </w:pPr>
      <w:r>
        <w:rPr>
          <w:noProof/>
        </w:rPr>
        <w:t>Med tanke på det stora investeringsgapet inom vattensektorn omfattar denna åtgärd ytterligare investeringar i utveckling av vattenförsörjningsnät.</w:t>
      </w:r>
    </w:p>
    <w:p w14:paraId="66CC790D" w14:textId="309E7BD2" w:rsidR="003A3D51" w:rsidRDefault="0002775A">
      <w:pPr>
        <w:pStyle w:val="paragraph"/>
        <w:keepNext/>
        <w:spacing w:before="120" w:after="120"/>
        <w:jc w:val="both"/>
        <w:rPr>
          <w:noProof/>
        </w:rPr>
      </w:pPr>
      <w:r>
        <w:rPr>
          <w:noProof/>
        </w:rPr>
        <w:t xml:space="preserve">Syftet med denna åtgärd är att genomföra ytterligare investeringar i utvecklingsprogrammet för offentlig vattenförsörjning. Denna åtgärd ska omfatta uppförande och återuppbyggnad av ytterligare 131 km allmänna vattenförsörjningsnät i Kroatien, för att på så sätt förbättra dricksvattenförsörjningen och minska vattenförlusterna, vilket ska ge bättre tillgång till offentliga vattenförsörjningstjänster för ytterligare 26.000 invånare. </w:t>
      </w:r>
    </w:p>
    <w:p w14:paraId="4D4CDC3C" w14:textId="77777777" w:rsidR="003A3D51" w:rsidRDefault="0002775A">
      <w:pPr>
        <w:pStyle w:val="P68B1DB1-paragraph23"/>
        <w:spacing w:before="0" w:beforeAutospacing="0" w:after="0" w:afterAutospacing="0"/>
        <w:jc w:val="both"/>
        <w:rPr>
          <w:noProof/>
        </w:rPr>
      </w:pPr>
      <w:r>
        <w:rPr>
          <w:noProof/>
        </w:rPr>
        <w:t>Denna investering ska genomföras genom bidrag till vattenoperatörer, med prioritering av mogna projekt. Finansieringen ska tillhandahållas av faciliteten för återhämtning och resiliens tillsammans med stödmottagaren och det nationella vattenföretaget, de kroatiska vattnen.</w:t>
      </w:r>
    </w:p>
    <w:p w14:paraId="18A9D4F2" w14:textId="77777777" w:rsidR="003A3D51" w:rsidRDefault="003A3D51">
      <w:pPr>
        <w:spacing w:after="0" w:line="240" w:lineRule="auto"/>
        <w:jc w:val="both"/>
        <w:rPr>
          <w:rFonts w:ascii="Times New Roman" w:eastAsia="Times New Roman" w:hAnsi="Times New Roman" w:cs="Times New Roman"/>
          <w:noProof/>
          <w:sz w:val="24"/>
        </w:rPr>
      </w:pPr>
    </w:p>
    <w:p w14:paraId="465B1803" w14:textId="77777777" w:rsidR="003A3D51" w:rsidRDefault="0002775A">
      <w:pPr>
        <w:pStyle w:val="paragraph"/>
        <w:spacing w:before="0" w:beforeAutospacing="0" w:after="0" w:afterAutospacing="0"/>
        <w:jc w:val="both"/>
        <w:rPr>
          <w:noProof/>
        </w:rPr>
      </w:pPr>
      <w:r>
        <w:rPr>
          <w:noProof/>
        </w:rPr>
        <w:t>Investeringen består av att bygga dricksvattensystem med en genomsnittlig energiförbrukning på ≤ 0,5 kWh eller ett infrastrukturläckageindex (ILI) på ≤ 1.5, och renovering av befintliga dricksvattenförsörjningssystem för att minska den genomsnittliga energiförbrukningen med mer än 20 % eller minska läckaget med mer än 20 %.</w:t>
      </w:r>
    </w:p>
    <w:p w14:paraId="2FB50B99" w14:textId="77777777" w:rsidR="003A3D51" w:rsidRDefault="003A3D51">
      <w:pPr>
        <w:pStyle w:val="paragraph"/>
        <w:spacing w:before="0" w:beforeAutospacing="0" w:after="0" w:afterAutospacing="0"/>
        <w:jc w:val="both"/>
        <w:rPr>
          <w:noProof/>
        </w:rPr>
      </w:pPr>
    </w:p>
    <w:p w14:paraId="4F8AC49F" w14:textId="77777777" w:rsidR="003A3D51" w:rsidRDefault="0002775A">
      <w:pPr>
        <w:pStyle w:val="paragraph"/>
        <w:spacing w:before="0" w:beforeAutospacing="0" w:after="0" w:afterAutospacing="0"/>
        <w:jc w:val="both"/>
        <w:rPr>
          <w:noProof/>
        </w:rPr>
      </w:pPr>
      <w:r>
        <w:rPr>
          <w:noProof/>
        </w:rPr>
        <w:t>Investeringen ska vara genomförd senast den 30 juni 2026.</w:t>
      </w:r>
    </w:p>
    <w:p w14:paraId="19A5F203" w14:textId="77777777" w:rsidR="003A3D51" w:rsidRDefault="003A3D51">
      <w:pPr>
        <w:pStyle w:val="paragraph"/>
        <w:spacing w:before="0" w:beforeAutospacing="0" w:after="0" w:afterAutospacing="0"/>
        <w:jc w:val="both"/>
        <w:rPr>
          <w:rFonts w:eastAsia="Calibri"/>
          <w:noProof/>
        </w:rPr>
        <w:sectPr w:rsidR="003A3D51" w:rsidSect="0001477B">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08" w:footer="708" w:gutter="0"/>
          <w:cols w:space="708"/>
          <w:docGrid w:linePitch="360"/>
        </w:sectPr>
      </w:pPr>
    </w:p>
    <w:p w14:paraId="0E42264C"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C.4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1AC3F6D9"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eop"/>
          <w:noProof/>
          <w:color w:val="4F81BD"/>
        </w:rPr>
        <w:t> </w:t>
      </w:r>
    </w:p>
    <w:tbl>
      <w:tblPr>
        <w:tblW w:w="14882"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
        <w:gridCol w:w="1172"/>
        <w:gridCol w:w="1039"/>
        <w:gridCol w:w="2341"/>
        <w:gridCol w:w="1888"/>
        <w:gridCol w:w="909"/>
        <w:gridCol w:w="1090"/>
        <w:gridCol w:w="942"/>
        <w:gridCol w:w="845"/>
        <w:gridCol w:w="805"/>
        <w:gridCol w:w="3002"/>
      </w:tblGrid>
      <w:tr w:rsidR="003A3D51" w14:paraId="46E4ED45" w14:textId="77777777">
        <w:trPr>
          <w:trHeight w:val="561"/>
          <w:tblHeader/>
        </w:trPr>
        <w:tc>
          <w:tcPr>
            <w:tcW w:w="9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E19003" w14:textId="049EBB8F" w:rsidR="003A3D51" w:rsidRDefault="0002775A">
            <w:pPr>
              <w:pStyle w:val="P68B1DB1-Normal21"/>
              <w:spacing w:after="0" w:line="276" w:lineRule="auto"/>
              <w:jc w:val="center"/>
              <w:rPr>
                <w:noProof/>
              </w:rPr>
            </w:pPr>
            <w:r>
              <w:rPr>
                <w:noProof/>
              </w:rPr>
              <w:t xml:space="preserve"> Antal </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5EB13B" w14:textId="588E064F" w:rsidR="003A3D51" w:rsidRDefault="0002775A">
            <w:pPr>
              <w:pStyle w:val="P68B1DB1-Normal21"/>
              <w:spacing w:after="0" w:line="276" w:lineRule="auto"/>
              <w:jc w:val="center"/>
              <w:rPr>
                <w:noProof/>
              </w:rPr>
            </w:pPr>
            <w:r>
              <w:rPr>
                <w:noProof/>
              </w:rPr>
              <w:t xml:space="preserve">Relaterad åtgärd </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C2253C" w14:textId="77777777" w:rsidR="003A3D51" w:rsidRDefault="0002775A">
            <w:pPr>
              <w:pStyle w:val="P68B1DB1-Normal21"/>
              <w:spacing w:after="0" w:line="276" w:lineRule="auto"/>
              <w:jc w:val="center"/>
              <w:rPr>
                <w:noProof/>
              </w:rPr>
            </w:pPr>
            <w:r>
              <w:rPr>
                <w:noProof/>
              </w:rPr>
              <w:t>Delmål/mål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1B51DB" w14:textId="77777777" w:rsidR="003A3D51" w:rsidRDefault="0002775A">
            <w:pPr>
              <w:pStyle w:val="P68B1DB1-Normal21"/>
              <w:spacing w:after="0" w:line="276" w:lineRule="auto"/>
              <w:jc w:val="center"/>
              <w:rPr>
                <w:noProof/>
              </w:rPr>
            </w:pPr>
            <w:r>
              <w:rPr>
                <w:noProof/>
              </w:rPr>
              <w:t>Namn </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F1FF6FB" w14:textId="77777777" w:rsidR="003A3D51" w:rsidRDefault="0002775A">
            <w:pPr>
              <w:pStyle w:val="P68B1DB1-Normal21"/>
              <w:spacing w:after="0" w:line="276" w:lineRule="auto"/>
              <w:jc w:val="center"/>
              <w:rPr>
                <w:noProof/>
              </w:rPr>
            </w:pPr>
            <w:r>
              <w:rPr>
                <w:noProof/>
              </w:rPr>
              <w:t>Kvalitativa indikatorer  </w:t>
            </w:r>
            <w:r>
              <w:rPr>
                <w:noProof/>
              </w:rPr>
              <w:br/>
              <w:t>(för delmål) </w:t>
            </w:r>
          </w:p>
        </w:tc>
        <w:tc>
          <w:tcPr>
            <w:tcW w:w="3059" w:type="dxa"/>
            <w:gridSpan w:val="3"/>
            <w:tcBorders>
              <w:top w:val="single" w:sz="6" w:space="0" w:color="auto"/>
              <w:left w:val="single" w:sz="4" w:space="0" w:color="auto"/>
              <w:bottom w:val="single" w:sz="6" w:space="0" w:color="auto"/>
              <w:right w:val="single" w:sz="6" w:space="0" w:color="auto"/>
            </w:tcBorders>
            <w:shd w:val="clear" w:color="auto" w:fill="BDD7EE"/>
            <w:vAlign w:val="center"/>
            <w:hideMark/>
          </w:tcPr>
          <w:p w14:paraId="7852CC67" w14:textId="77777777" w:rsidR="003A3D51" w:rsidRDefault="0002775A">
            <w:pPr>
              <w:pStyle w:val="P68B1DB1-Normal21"/>
              <w:spacing w:after="0" w:line="276" w:lineRule="auto"/>
              <w:jc w:val="center"/>
              <w:rPr>
                <w:noProof/>
              </w:rPr>
            </w:pPr>
            <w:r>
              <w:rPr>
                <w:noProof/>
              </w:rPr>
              <w:t>Kvantitativa indikatorer  </w:t>
            </w:r>
            <w:r>
              <w:rPr>
                <w:noProof/>
              </w:rPr>
              <w:br/>
              <w:t>(för mål) </w:t>
            </w:r>
          </w:p>
        </w:tc>
        <w:tc>
          <w:tcPr>
            <w:tcW w:w="1335" w:type="dxa"/>
            <w:gridSpan w:val="2"/>
            <w:tcBorders>
              <w:top w:val="single" w:sz="6" w:space="0" w:color="auto"/>
              <w:left w:val="nil"/>
              <w:bottom w:val="single" w:sz="6" w:space="0" w:color="auto"/>
              <w:right w:val="single" w:sz="4" w:space="0" w:color="auto"/>
            </w:tcBorders>
            <w:shd w:val="clear" w:color="auto" w:fill="BDD7EE"/>
            <w:vAlign w:val="center"/>
            <w:hideMark/>
          </w:tcPr>
          <w:p w14:paraId="1B7887BA" w14:textId="2CB229DC" w:rsidR="003A3D51" w:rsidRDefault="0002775A">
            <w:pPr>
              <w:pStyle w:val="P68B1DB1-Normal21"/>
              <w:spacing w:after="0" w:line="276" w:lineRule="auto"/>
              <w:jc w:val="center"/>
              <w:rPr>
                <w:noProof/>
              </w:rPr>
            </w:pPr>
            <w:r>
              <w:rPr>
                <w:noProof/>
              </w:rPr>
              <w:t>Tid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FBAB3B" w14:textId="77777777" w:rsidR="003A3D51" w:rsidRDefault="0002775A">
            <w:pPr>
              <w:pStyle w:val="P68B1DB1-Normal24"/>
              <w:spacing w:after="0" w:line="276" w:lineRule="auto"/>
              <w:jc w:val="center"/>
              <w:rPr>
                <w:noProof/>
              </w:rPr>
            </w:pPr>
            <w:r>
              <w:rPr>
                <w:b/>
                <w:noProof/>
              </w:rPr>
              <w:t>Beskrivning av varje delmål och mål</w:t>
            </w:r>
            <w:r>
              <w:rPr>
                <w:noProof/>
              </w:rPr>
              <w:t> </w:t>
            </w:r>
          </w:p>
        </w:tc>
      </w:tr>
      <w:tr w:rsidR="003A3D51" w14:paraId="39D333D8" w14:textId="77777777">
        <w:trPr>
          <w:trHeight w:val="271"/>
          <w:tblHead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76F4D33" w14:textId="77777777" w:rsidR="003A3D51" w:rsidRDefault="003A3D51">
            <w:pPr>
              <w:spacing w:after="0" w:line="276" w:lineRule="auto"/>
              <w:jc w:val="center"/>
              <w:rPr>
                <w:rFonts w:eastAsia="Times New Roman" w:cstheme="minorHAnsi"/>
                <w:b/>
                <w:noProof/>
                <w:sz w:val="20"/>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63F19543" w14:textId="77777777" w:rsidR="003A3D51" w:rsidRDefault="003A3D51">
            <w:pPr>
              <w:spacing w:after="0" w:line="276" w:lineRule="auto"/>
              <w:jc w:val="center"/>
              <w:rPr>
                <w:rFonts w:eastAsia="Times New Roman" w:cstheme="minorHAnsi"/>
                <w:b/>
                <w:noProof/>
                <w:sz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45F80F38" w14:textId="77777777" w:rsidR="003A3D51" w:rsidRDefault="003A3D51">
            <w:pPr>
              <w:spacing w:after="0" w:line="276" w:lineRule="auto"/>
              <w:jc w:val="center"/>
              <w:rPr>
                <w:rFonts w:eastAsia="Times New Roman" w:cstheme="minorHAnsi"/>
                <w:b/>
                <w:noProof/>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6CB60D" w14:textId="77777777" w:rsidR="003A3D51" w:rsidRDefault="003A3D51">
            <w:pPr>
              <w:spacing w:after="0" w:line="276" w:lineRule="auto"/>
              <w:jc w:val="center"/>
              <w:rPr>
                <w:rFonts w:eastAsia="Times New Roman" w:cstheme="minorHAnsi"/>
                <w:b/>
                <w:noProof/>
                <w:sz w:val="2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D910157" w14:textId="77777777" w:rsidR="003A3D51" w:rsidRDefault="003A3D51">
            <w:pPr>
              <w:spacing w:after="0" w:line="276" w:lineRule="auto"/>
              <w:jc w:val="center"/>
              <w:rPr>
                <w:rFonts w:eastAsia="Times New Roman" w:cstheme="minorHAnsi"/>
                <w:b/>
                <w:noProof/>
                <w:sz w:val="20"/>
              </w:rPr>
            </w:pPr>
          </w:p>
        </w:tc>
        <w:tc>
          <w:tcPr>
            <w:tcW w:w="955" w:type="dxa"/>
            <w:tcBorders>
              <w:top w:val="nil"/>
              <w:left w:val="single" w:sz="4" w:space="0" w:color="auto"/>
              <w:bottom w:val="single" w:sz="6" w:space="0" w:color="auto"/>
              <w:right w:val="single" w:sz="6" w:space="0" w:color="auto"/>
            </w:tcBorders>
            <w:shd w:val="clear" w:color="auto" w:fill="BDD7EE"/>
            <w:vAlign w:val="center"/>
            <w:hideMark/>
          </w:tcPr>
          <w:p w14:paraId="1EED40AC" w14:textId="23BB3367" w:rsidR="003A3D51" w:rsidRDefault="0002775A">
            <w:pPr>
              <w:pStyle w:val="P68B1DB1-Normal21"/>
              <w:spacing w:after="0" w:line="276" w:lineRule="auto"/>
              <w:jc w:val="center"/>
              <w:textAlignment w:val="baseline"/>
              <w:rPr>
                <w:noProof/>
              </w:rPr>
            </w:pPr>
            <w:r>
              <w:rPr>
                <w:noProof/>
              </w:rPr>
              <w:t>Enhet  </w:t>
            </w:r>
          </w:p>
        </w:tc>
        <w:tc>
          <w:tcPr>
            <w:tcW w:w="1123" w:type="dxa"/>
            <w:tcBorders>
              <w:top w:val="nil"/>
              <w:left w:val="nil"/>
              <w:bottom w:val="single" w:sz="6" w:space="0" w:color="auto"/>
              <w:right w:val="single" w:sz="6" w:space="0" w:color="auto"/>
            </w:tcBorders>
            <w:shd w:val="clear" w:color="auto" w:fill="BDD7EE"/>
            <w:vAlign w:val="center"/>
            <w:hideMark/>
          </w:tcPr>
          <w:p w14:paraId="0ED6C6B4" w14:textId="77777777" w:rsidR="003A3D51" w:rsidRDefault="0002775A">
            <w:pPr>
              <w:pStyle w:val="P68B1DB1-Normal21"/>
              <w:spacing w:after="0" w:line="276" w:lineRule="auto"/>
              <w:jc w:val="center"/>
              <w:textAlignment w:val="baseline"/>
              <w:rPr>
                <w:noProof/>
              </w:rPr>
            </w:pPr>
            <w:r>
              <w:rPr>
                <w:noProof/>
              </w:rPr>
              <w:t>Baslinjen  </w:t>
            </w:r>
          </w:p>
        </w:tc>
        <w:tc>
          <w:tcPr>
            <w:tcW w:w="981" w:type="dxa"/>
            <w:tcBorders>
              <w:top w:val="nil"/>
              <w:left w:val="nil"/>
              <w:bottom w:val="single" w:sz="6" w:space="0" w:color="auto"/>
              <w:right w:val="single" w:sz="6" w:space="0" w:color="auto"/>
            </w:tcBorders>
            <w:shd w:val="clear" w:color="auto" w:fill="BDD7EE"/>
            <w:vAlign w:val="center"/>
            <w:hideMark/>
          </w:tcPr>
          <w:p w14:paraId="60918E0D" w14:textId="77777777" w:rsidR="003A3D51" w:rsidRDefault="0002775A">
            <w:pPr>
              <w:pStyle w:val="P68B1DB1-Normal21"/>
              <w:spacing w:after="0" w:line="276" w:lineRule="auto"/>
              <w:jc w:val="center"/>
              <w:textAlignment w:val="baseline"/>
              <w:rPr>
                <w:noProof/>
              </w:rPr>
            </w:pPr>
            <w:r>
              <w:rPr>
                <w:noProof/>
              </w:rPr>
              <w:t>Mål  </w:t>
            </w:r>
          </w:p>
        </w:tc>
        <w:tc>
          <w:tcPr>
            <w:tcW w:w="488" w:type="dxa"/>
            <w:tcBorders>
              <w:top w:val="nil"/>
              <w:left w:val="nil"/>
              <w:bottom w:val="single" w:sz="6" w:space="0" w:color="auto"/>
              <w:right w:val="single" w:sz="6" w:space="0" w:color="auto"/>
            </w:tcBorders>
            <w:shd w:val="clear" w:color="auto" w:fill="BDD7EE"/>
            <w:vAlign w:val="center"/>
            <w:hideMark/>
          </w:tcPr>
          <w:p w14:paraId="4B037E6F" w14:textId="399AE7A5" w:rsidR="003A3D51" w:rsidRDefault="0002775A">
            <w:pPr>
              <w:pStyle w:val="P68B1DB1-Normal21"/>
              <w:spacing w:after="0" w:line="276" w:lineRule="auto"/>
              <w:jc w:val="center"/>
              <w:textAlignment w:val="baseline"/>
              <w:rPr>
                <w:noProof/>
              </w:rPr>
            </w:pPr>
            <w:r>
              <w:rPr>
                <w:noProof/>
              </w:rPr>
              <w:t>Q </w:t>
            </w:r>
          </w:p>
        </w:tc>
        <w:tc>
          <w:tcPr>
            <w:tcW w:w="847" w:type="dxa"/>
            <w:tcBorders>
              <w:top w:val="nil"/>
              <w:left w:val="nil"/>
              <w:bottom w:val="single" w:sz="6" w:space="0" w:color="auto"/>
              <w:right w:val="single" w:sz="4" w:space="0" w:color="auto"/>
            </w:tcBorders>
            <w:shd w:val="clear" w:color="auto" w:fill="BDD7EE"/>
            <w:vAlign w:val="center"/>
            <w:hideMark/>
          </w:tcPr>
          <w:p w14:paraId="60164FE0" w14:textId="77777777" w:rsidR="003A3D51" w:rsidRDefault="0002775A">
            <w:pPr>
              <w:pStyle w:val="P68B1DB1-Normal21"/>
              <w:spacing w:after="0" w:line="276" w:lineRule="auto"/>
              <w:jc w:val="center"/>
              <w:textAlignment w:val="baseline"/>
              <w:rPr>
                <w:noProof/>
              </w:rPr>
            </w:pPr>
            <w:r>
              <w:rPr>
                <w:noProof/>
              </w:rPr>
              <w:t>Året </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3031F43" w14:textId="77777777" w:rsidR="003A3D51" w:rsidRDefault="003A3D51">
            <w:pPr>
              <w:spacing w:after="0" w:line="240" w:lineRule="auto"/>
              <w:rPr>
                <w:rFonts w:eastAsia="Times New Roman" w:cstheme="minorHAnsi"/>
                <w:noProof/>
                <w:sz w:val="20"/>
              </w:rPr>
            </w:pPr>
          </w:p>
        </w:tc>
      </w:tr>
      <w:tr w:rsidR="003A3D51" w14:paraId="4ECF2705" w14:textId="77777777">
        <w:trPr>
          <w:trHeight w:val="300"/>
        </w:trPr>
        <w:tc>
          <w:tcPr>
            <w:tcW w:w="900" w:type="dxa"/>
            <w:tcBorders>
              <w:top w:val="single" w:sz="4" w:space="0" w:color="auto"/>
              <w:left w:val="single" w:sz="6" w:space="0" w:color="auto"/>
              <w:bottom w:val="single" w:sz="6" w:space="0" w:color="auto"/>
              <w:right w:val="single" w:sz="6" w:space="0" w:color="auto"/>
            </w:tcBorders>
            <w:shd w:val="clear" w:color="auto" w:fill="C6EFCE"/>
            <w:hideMark/>
          </w:tcPr>
          <w:p w14:paraId="7678AB86" w14:textId="5CBBCC9B" w:rsidR="003A3D51" w:rsidRDefault="0002775A">
            <w:pPr>
              <w:pStyle w:val="P68B1DB1-Normal25"/>
              <w:spacing w:after="0" w:line="240" w:lineRule="auto"/>
              <w:jc w:val="center"/>
              <w:textAlignment w:val="baseline"/>
              <w:rPr>
                <w:rFonts w:eastAsia="Times New Roman"/>
                <w:noProof/>
              </w:rPr>
            </w:pPr>
            <w:r>
              <w:rPr>
                <w:noProof/>
              </w:rPr>
              <w:t>382</w:t>
            </w:r>
          </w:p>
        </w:tc>
        <w:tc>
          <w:tcPr>
            <w:tcW w:w="1223" w:type="dxa"/>
            <w:tcBorders>
              <w:top w:val="single" w:sz="4" w:space="0" w:color="auto"/>
              <w:left w:val="nil"/>
              <w:bottom w:val="single" w:sz="6" w:space="0" w:color="auto"/>
              <w:right w:val="single" w:sz="6" w:space="0" w:color="auto"/>
            </w:tcBorders>
            <w:shd w:val="clear" w:color="auto" w:fill="C6EFCE"/>
            <w:hideMark/>
          </w:tcPr>
          <w:p w14:paraId="0E592D84" w14:textId="2A859B3F" w:rsidR="003A3D51" w:rsidRDefault="0002775A">
            <w:pPr>
              <w:pStyle w:val="P68B1DB1-Normal24"/>
              <w:spacing w:after="0" w:line="240" w:lineRule="auto"/>
              <w:jc w:val="center"/>
              <w:textAlignment w:val="baseline"/>
              <w:rPr>
                <w:noProof/>
              </w:rPr>
            </w:pPr>
            <w:r>
              <w:rPr>
                <w:noProof/>
              </w:rPr>
              <w:t>C1.3 R3</w:t>
            </w:r>
          </w:p>
        </w:tc>
        <w:tc>
          <w:tcPr>
            <w:tcW w:w="855" w:type="dxa"/>
            <w:tcBorders>
              <w:top w:val="single" w:sz="4" w:space="0" w:color="auto"/>
              <w:left w:val="nil"/>
              <w:bottom w:val="single" w:sz="6" w:space="0" w:color="auto"/>
              <w:right w:val="single" w:sz="6" w:space="0" w:color="auto"/>
            </w:tcBorders>
            <w:shd w:val="clear" w:color="auto" w:fill="C6EFCE"/>
          </w:tcPr>
          <w:p w14:paraId="0E33E1EB" w14:textId="1D6DA77D" w:rsidR="003A3D51" w:rsidRDefault="0002775A">
            <w:pPr>
              <w:pStyle w:val="P68B1DB1-Normal25"/>
              <w:spacing w:after="0" w:line="240" w:lineRule="auto"/>
              <w:jc w:val="center"/>
              <w:textAlignment w:val="baseline"/>
              <w:rPr>
                <w:noProof/>
              </w:rPr>
            </w:pPr>
            <w:r>
              <w:rPr>
                <w:noProof/>
              </w:rPr>
              <w:t>M</w:t>
            </w:r>
          </w:p>
        </w:tc>
        <w:tc>
          <w:tcPr>
            <w:tcW w:w="2410" w:type="dxa"/>
            <w:tcBorders>
              <w:top w:val="single" w:sz="4" w:space="0" w:color="auto"/>
              <w:left w:val="nil"/>
              <w:bottom w:val="single" w:sz="6" w:space="0" w:color="auto"/>
              <w:right w:val="single" w:sz="6" w:space="0" w:color="auto"/>
            </w:tcBorders>
            <w:shd w:val="clear" w:color="auto" w:fill="C6EFCE"/>
          </w:tcPr>
          <w:p w14:paraId="776EBA5A" w14:textId="77777777" w:rsidR="003A3D51" w:rsidRDefault="0002775A">
            <w:pPr>
              <w:pStyle w:val="P68B1DB1-Normal25"/>
              <w:spacing w:after="0" w:line="240" w:lineRule="auto"/>
              <w:textAlignment w:val="baseline"/>
              <w:rPr>
                <w:noProof/>
              </w:rPr>
            </w:pPr>
            <w:r>
              <w:rPr>
                <w:noProof/>
              </w:rPr>
              <w:t>Antagande av en nationell handlingsplan för minskning av vattenförluster</w:t>
            </w:r>
          </w:p>
        </w:tc>
        <w:tc>
          <w:tcPr>
            <w:tcW w:w="1981" w:type="dxa"/>
            <w:tcBorders>
              <w:top w:val="single" w:sz="4" w:space="0" w:color="auto"/>
              <w:left w:val="nil"/>
              <w:bottom w:val="single" w:sz="6" w:space="0" w:color="auto"/>
              <w:right w:val="single" w:sz="6" w:space="0" w:color="auto"/>
            </w:tcBorders>
            <w:shd w:val="clear" w:color="auto" w:fill="C6EFCE"/>
          </w:tcPr>
          <w:p w14:paraId="6DF0018F" w14:textId="77777777" w:rsidR="003A3D51" w:rsidRDefault="0002775A">
            <w:pPr>
              <w:pStyle w:val="P68B1DB1-Normal25"/>
              <w:spacing w:after="0" w:line="240" w:lineRule="auto"/>
              <w:textAlignment w:val="baseline"/>
              <w:rPr>
                <w:noProof/>
              </w:rPr>
            </w:pPr>
            <w:r>
              <w:rPr>
                <w:noProof/>
              </w:rPr>
              <w:t>Nationell handlingsplan för minskning av förluster antagen av kroatiska vatten</w:t>
            </w:r>
          </w:p>
        </w:tc>
        <w:tc>
          <w:tcPr>
            <w:tcW w:w="955" w:type="dxa"/>
            <w:tcBorders>
              <w:top w:val="nil"/>
              <w:left w:val="nil"/>
              <w:bottom w:val="single" w:sz="6" w:space="0" w:color="auto"/>
              <w:right w:val="single" w:sz="6" w:space="0" w:color="auto"/>
            </w:tcBorders>
            <w:shd w:val="clear" w:color="auto" w:fill="C6EFCE"/>
          </w:tcPr>
          <w:p w14:paraId="2B78B653" w14:textId="77777777" w:rsidR="003A3D51" w:rsidRDefault="003A3D51">
            <w:pPr>
              <w:spacing w:after="0" w:line="240" w:lineRule="auto"/>
              <w:jc w:val="both"/>
              <w:textAlignment w:val="baseline"/>
              <w:rPr>
                <w:rFonts w:cstheme="minorHAnsi"/>
                <w:noProof/>
                <w:sz w:val="20"/>
              </w:rPr>
            </w:pPr>
          </w:p>
        </w:tc>
        <w:tc>
          <w:tcPr>
            <w:tcW w:w="1123" w:type="dxa"/>
            <w:tcBorders>
              <w:top w:val="nil"/>
              <w:left w:val="nil"/>
              <w:bottom w:val="single" w:sz="6" w:space="0" w:color="auto"/>
              <w:right w:val="single" w:sz="6" w:space="0" w:color="auto"/>
            </w:tcBorders>
            <w:shd w:val="clear" w:color="auto" w:fill="C6EFCE"/>
          </w:tcPr>
          <w:p w14:paraId="50F74CDE" w14:textId="77777777" w:rsidR="003A3D51" w:rsidRDefault="003A3D51">
            <w:pPr>
              <w:spacing w:after="0" w:line="240" w:lineRule="auto"/>
              <w:jc w:val="right"/>
              <w:textAlignment w:val="baseline"/>
              <w:rPr>
                <w:rFonts w:cstheme="minorHAnsi"/>
                <w:noProof/>
                <w:sz w:val="20"/>
              </w:rPr>
            </w:pPr>
          </w:p>
        </w:tc>
        <w:tc>
          <w:tcPr>
            <w:tcW w:w="981" w:type="dxa"/>
            <w:tcBorders>
              <w:top w:val="nil"/>
              <w:left w:val="nil"/>
              <w:bottom w:val="single" w:sz="6" w:space="0" w:color="auto"/>
              <w:right w:val="single" w:sz="6" w:space="0" w:color="auto"/>
            </w:tcBorders>
            <w:shd w:val="clear" w:color="auto" w:fill="C6EFCE"/>
          </w:tcPr>
          <w:p w14:paraId="3A4CBBC3" w14:textId="77777777" w:rsidR="003A3D51" w:rsidRDefault="003A3D51">
            <w:pPr>
              <w:spacing w:after="0" w:line="240" w:lineRule="auto"/>
              <w:jc w:val="right"/>
              <w:textAlignment w:val="baseline"/>
              <w:rPr>
                <w:rFonts w:cstheme="minorHAnsi"/>
                <w:noProof/>
                <w:sz w:val="20"/>
              </w:rPr>
            </w:pPr>
          </w:p>
        </w:tc>
        <w:tc>
          <w:tcPr>
            <w:tcW w:w="488" w:type="dxa"/>
            <w:tcBorders>
              <w:top w:val="nil"/>
              <w:left w:val="nil"/>
              <w:bottom w:val="single" w:sz="6" w:space="0" w:color="auto"/>
              <w:right w:val="single" w:sz="6" w:space="0" w:color="auto"/>
            </w:tcBorders>
            <w:shd w:val="clear" w:color="auto" w:fill="C6EFCE"/>
          </w:tcPr>
          <w:p w14:paraId="2CCBFCE3" w14:textId="77777777" w:rsidR="003A3D51" w:rsidRDefault="0002775A">
            <w:pPr>
              <w:pStyle w:val="P68B1DB1-Normal25"/>
              <w:spacing w:after="0" w:line="240" w:lineRule="auto"/>
              <w:jc w:val="center"/>
              <w:textAlignment w:val="baseline"/>
              <w:rPr>
                <w:noProof/>
              </w:rPr>
            </w:pPr>
            <w:r>
              <w:rPr>
                <w:noProof/>
              </w:rPr>
              <w:t>KVARTAL 2</w:t>
            </w:r>
          </w:p>
        </w:tc>
        <w:tc>
          <w:tcPr>
            <w:tcW w:w="847" w:type="dxa"/>
            <w:tcBorders>
              <w:top w:val="nil"/>
              <w:left w:val="nil"/>
              <w:bottom w:val="single" w:sz="6" w:space="0" w:color="auto"/>
              <w:right w:val="single" w:sz="6" w:space="0" w:color="auto"/>
            </w:tcBorders>
            <w:shd w:val="clear" w:color="auto" w:fill="C6EFCE"/>
          </w:tcPr>
          <w:p w14:paraId="28B14A29" w14:textId="77777777" w:rsidR="003A3D51" w:rsidRDefault="0002775A">
            <w:pPr>
              <w:pStyle w:val="P68B1DB1-Normal25"/>
              <w:spacing w:after="0" w:line="240" w:lineRule="auto"/>
              <w:jc w:val="center"/>
              <w:textAlignment w:val="baseline"/>
              <w:rPr>
                <w:noProof/>
              </w:rPr>
            </w:pPr>
            <w:r>
              <w:rPr>
                <w:noProof/>
              </w:rPr>
              <w:t>2024</w:t>
            </w:r>
          </w:p>
        </w:tc>
        <w:tc>
          <w:tcPr>
            <w:tcW w:w="3119" w:type="dxa"/>
            <w:tcBorders>
              <w:top w:val="single" w:sz="4" w:space="0" w:color="auto"/>
              <w:left w:val="nil"/>
              <w:bottom w:val="single" w:sz="6" w:space="0" w:color="auto"/>
              <w:right w:val="single" w:sz="6" w:space="0" w:color="auto"/>
            </w:tcBorders>
            <w:shd w:val="clear" w:color="auto" w:fill="C6EFCE"/>
          </w:tcPr>
          <w:p w14:paraId="3476DB7D" w14:textId="77777777" w:rsidR="003A3D51" w:rsidRDefault="0002775A">
            <w:pPr>
              <w:pStyle w:val="P68B1DB1-Normal17"/>
              <w:spacing w:after="200" w:line="276" w:lineRule="auto"/>
              <w:rPr>
                <w:noProof/>
              </w:rPr>
            </w:pPr>
            <w:r>
              <w:rPr>
                <w:noProof/>
              </w:rPr>
              <w:t>Kroatiska vatten ska anta den nationella handlingsplanen för minskning av förluster och offentliggöra den på sin webbplats. Den nationella handlingsplanen ska innehålla en förteckning över planerade åtgärder för att minska vattenförlusterna, inklusive investeringsberäkningar och finansieringskällor. Planen ska omfatta perioden 2024–2026, med ett perspektiv fram till 2030 i linje med 2030 års fleråriga byggprogram för vattenrening och rening av avloppsvatten från tätbebyggelse.</w:t>
            </w:r>
          </w:p>
        </w:tc>
      </w:tr>
      <w:tr w:rsidR="003A3D51" w14:paraId="194ABA08" w14:textId="77777777">
        <w:trPr>
          <w:trHeight w:val="300"/>
        </w:trPr>
        <w:tc>
          <w:tcPr>
            <w:tcW w:w="900" w:type="dxa"/>
            <w:tcBorders>
              <w:top w:val="nil"/>
              <w:left w:val="single" w:sz="6" w:space="0" w:color="auto"/>
              <w:bottom w:val="single" w:sz="6" w:space="0" w:color="auto"/>
              <w:right w:val="single" w:sz="6" w:space="0" w:color="auto"/>
            </w:tcBorders>
            <w:shd w:val="clear" w:color="auto" w:fill="C6EFCE"/>
          </w:tcPr>
          <w:p w14:paraId="7C18D822" w14:textId="09BA2A63" w:rsidR="003A3D51" w:rsidRDefault="0002775A">
            <w:pPr>
              <w:pStyle w:val="FootnoteText"/>
              <w:jc w:val="center"/>
              <w:textAlignment w:val="baseline"/>
              <w:rPr>
                <w:rFonts w:eastAsia="Times New Roman"/>
                <w:noProof/>
              </w:rPr>
            </w:pPr>
            <w:r>
              <w:rPr>
                <w:noProof/>
              </w:rPr>
              <w:t>383</w:t>
            </w:r>
          </w:p>
          <w:p w14:paraId="60289114" w14:textId="77777777" w:rsidR="003A3D51" w:rsidRDefault="003A3D51">
            <w:pPr>
              <w:spacing w:after="0" w:line="240" w:lineRule="auto"/>
              <w:jc w:val="center"/>
              <w:textAlignment w:val="baseline"/>
              <w:rPr>
                <w:rFonts w:cstheme="minorHAnsi"/>
                <w:noProof/>
                <w:sz w:val="20"/>
                <w:highlight w:val="yellow"/>
              </w:rPr>
            </w:pPr>
          </w:p>
        </w:tc>
        <w:tc>
          <w:tcPr>
            <w:tcW w:w="1223" w:type="dxa"/>
            <w:tcBorders>
              <w:top w:val="nil"/>
              <w:left w:val="nil"/>
              <w:bottom w:val="single" w:sz="6" w:space="0" w:color="auto"/>
              <w:right w:val="single" w:sz="6" w:space="0" w:color="auto"/>
            </w:tcBorders>
            <w:shd w:val="clear" w:color="auto" w:fill="C6EFCE"/>
          </w:tcPr>
          <w:p w14:paraId="0F528881" w14:textId="593F06D3" w:rsidR="003A3D51" w:rsidRDefault="0002775A">
            <w:pPr>
              <w:pStyle w:val="P68B1DB1-Normal24"/>
              <w:spacing w:after="0" w:line="240" w:lineRule="auto"/>
              <w:jc w:val="center"/>
              <w:textAlignment w:val="baseline"/>
              <w:rPr>
                <w:noProof/>
              </w:rPr>
            </w:pPr>
            <w:r>
              <w:rPr>
                <w:noProof/>
              </w:rPr>
              <w:t xml:space="preserve">C1.3 R3 </w:t>
            </w:r>
          </w:p>
        </w:tc>
        <w:tc>
          <w:tcPr>
            <w:tcW w:w="855" w:type="dxa"/>
            <w:tcBorders>
              <w:top w:val="nil"/>
              <w:left w:val="nil"/>
              <w:bottom w:val="single" w:sz="6" w:space="0" w:color="auto"/>
              <w:right w:val="single" w:sz="6" w:space="0" w:color="auto"/>
            </w:tcBorders>
            <w:shd w:val="clear" w:color="auto" w:fill="C6EFCE"/>
          </w:tcPr>
          <w:p w14:paraId="6C4B8757" w14:textId="66CF13F4" w:rsidR="003A3D51" w:rsidRDefault="0002775A">
            <w:pPr>
              <w:pStyle w:val="P68B1DB1-Normal25"/>
              <w:spacing w:after="0" w:line="240" w:lineRule="auto"/>
              <w:jc w:val="center"/>
              <w:textAlignment w:val="baseline"/>
              <w:rPr>
                <w:noProof/>
              </w:rPr>
            </w:pPr>
            <w:r>
              <w:rPr>
                <w:noProof/>
              </w:rPr>
              <w:t>M</w:t>
            </w:r>
          </w:p>
        </w:tc>
        <w:tc>
          <w:tcPr>
            <w:tcW w:w="2410" w:type="dxa"/>
            <w:tcBorders>
              <w:top w:val="nil"/>
              <w:left w:val="nil"/>
              <w:bottom w:val="single" w:sz="6" w:space="0" w:color="auto"/>
              <w:right w:val="single" w:sz="6" w:space="0" w:color="auto"/>
            </w:tcBorders>
            <w:shd w:val="clear" w:color="auto" w:fill="C6EFCE"/>
          </w:tcPr>
          <w:p w14:paraId="28940393" w14:textId="77777777" w:rsidR="003A3D51" w:rsidRDefault="0002775A">
            <w:pPr>
              <w:pStyle w:val="P68B1DB1-Normal25"/>
              <w:spacing w:after="0" w:line="240" w:lineRule="auto"/>
              <w:textAlignment w:val="baseline"/>
              <w:rPr>
                <w:noProof/>
              </w:rPr>
            </w:pPr>
            <w:r>
              <w:rPr>
                <w:noProof/>
              </w:rPr>
              <w:t>Nationell myndighet för övervakning av vattenförluster</w:t>
            </w:r>
          </w:p>
        </w:tc>
        <w:tc>
          <w:tcPr>
            <w:tcW w:w="1981" w:type="dxa"/>
            <w:tcBorders>
              <w:top w:val="nil"/>
              <w:left w:val="nil"/>
              <w:bottom w:val="single" w:sz="6" w:space="0" w:color="auto"/>
              <w:right w:val="single" w:sz="6" w:space="0" w:color="auto"/>
            </w:tcBorders>
            <w:shd w:val="clear" w:color="auto" w:fill="C6EFCE"/>
          </w:tcPr>
          <w:p w14:paraId="69EE85B1" w14:textId="04EE3B4F" w:rsidR="003A3D51" w:rsidRDefault="0002775A">
            <w:pPr>
              <w:pStyle w:val="FootnoteText"/>
              <w:textAlignment w:val="baseline"/>
              <w:rPr>
                <w:noProof/>
              </w:rPr>
            </w:pPr>
            <w:r>
              <w:rPr>
                <w:noProof/>
              </w:rPr>
              <w:t>Inrättande av en nationell myndighet för övervakning av vattenförluster</w:t>
            </w:r>
          </w:p>
          <w:p w14:paraId="5159F8B1" w14:textId="6F18D849" w:rsidR="003A3D51" w:rsidRDefault="003A3D51">
            <w:pPr>
              <w:spacing w:after="0" w:line="240" w:lineRule="auto"/>
              <w:textAlignment w:val="baseline"/>
              <w:rPr>
                <w:noProof/>
                <w:sz w:val="20"/>
              </w:rPr>
            </w:pPr>
          </w:p>
        </w:tc>
        <w:tc>
          <w:tcPr>
            <w:tcW w:w="955" w:type="dxa"/>
            <w:tcBorders>
              <w:top w:val="nil"/>
              <w:left w:val="nil"/>
              <w:bottom w:val="single" w:sz="6" w:space="0" w:color="auto"/>
              <w:right w:val="single" w:sz="6" w:space="0" w:color="auto"/>
            </w:tcBorders>
            <w:shd w:val="clear" w:color="auto" w:fill="C6EFCE"/>
          </w:tcPr>
          <w:p w14:paraId="03A6736C" w14:textId="77777777" w:rsidR="003A3D51" w:rsidRDefault="003A3D51">
            <w:pPr>
              <w:spacing w:after="0" w:line="240" w:lineRule="auto"/>
              <w:jc w:val="both"/>
              <w:textAlignment w:val="baseline"/>
              <w:rPr>
                <w:rFonts w:cstheme="minorHAnsi"/>
                <w:noProof/>
                <w:sz w:val="20"/>
              </w:rPr>
            </w:pPr>
          </w:p>
        </w:tc>
        <w:tc>
          <w:tcPr>
            <w:tcW w:w="1123" w:type="dxa"/>
            <w:tcBorders>
              <w:top w:val="nil"/>
              <w:left w:val="nil"/>
              <w:bottom w:val="single" w:sz="6" w:space="0" w:color="auto"/>
              <w:right w:val="single" w:sz="6" w:space="0" w:color="auto"/>
            </w:tcBorders>
            <w:shd w:val="clear" w:color="auto" w:fill="C6EFCE"/>
          </w:tcPr>
          <w:p w14:paraId="23A6B6E6" w14:textId="77777777" w:rsidR="003A3D51" w:rsidRDefault="003A3D51">
            <w:pPr>
              <w:spacing w:after="0" w:line="240" w:lineRule="auto"/>
              <w:jc w:val="right"/>
              <w:textAlignment w:val="baseline"/>
              <w:rPr>
                <w:rFonts w:cstheme="minorHAnsi"/>
                <w:noProof/>
                <w:sz w:val="20"/>
              </w:rPr>
            </w:pPr>
          </w:p>
        </w:tc>
        <w:tc>
          <w:tcPr>
            <w:tcW w:w="981" w:type="dxa"/>
            <w:tcBorders>
              <w:top w:val="nil"/>
              <w:left w:val="nil"/>
              <w:bottom w:val="single" w:sz="6" w:space="0" w:color="auto"/>
              <w:right w:val="single" w:sz="6" w:space="0" w:color="auto"/>
            </w:tcBorders>
            <w:shd w:val="clear" w:color="auto" w:fill="C6EFCE"/>
          </w:tcPr>
          <w:p w14:paraId="4DC36607" w14:textId="77777777" w:rsidR="003A3D51" w:rsidRDefault="003A3D51">
            <w:pPr>
              <w:spacing w:after="0" w:line="240" w:lineRule="auto"/>
              <w:jc w:val="right"/>
              <w:textAlignment w:val="baseline"/>
              <w:rPr>
                <w:rFonts w:cstheme="minorHAnsi"/>
                <w:noProof/>
                <w:sz w:val="20"/>
              </w:rPr>
            </w:pPr>
          </w:p>
        </w:tc>
        <w:tc>
          <w:tcPr>
            <w:tcW w:w="488" w:type="dxa"/>
            <w:tcBorders>
              <w:top w:val="nil"/>
              <w:left w:val="nil"/>
              <w:bottom w:val="single" w:sz="6" w:space="0" w:color="auto"/>
              <w:right w:val="single" w:sz="6" w:space="0" w:color="auto"/>
            </w:tcBorders>
            <w:shd w:val="clear" w:color="auto" w:fill="C6EFCE"/>
          </w:tcPr>
          <w:p w14:paraId="5C2DF787" w14:textId="77777777" w:rsidR="003A3D51" w:rsidRDefault="0002775A">
            <w:pPr>
              <w:pStyle w:val="P68B1DB1-Normal25"/>
              <w:spacing w:after="0" w:line="240" w:lineRule="auto"/>
              <w:jc w:val="center"/>
              <w:textAlignment w:val="baseline"/>
              <w:rPr>
                <w:noProof/>
              </w:rPr>
            </w:pPr>
            <w:r>
              <w:rPr>
                <w:noProof/>
              </w:rPr>
              <w:t>KVARTAL 4</w:t>
            </w:r>
          </w:p>
        </w:tc>
        <w:tc>
          <w:tcPr>
            <w:tcW w:w="847" w:type="dxa"/>
            <w:tcBorders>
              <w:top w:val="nil"/>
              <w:left w:val="nil"/>
              <w:bottom w:val="single" w:sz="6" w:space="0" w:color="auto"/>
              <w:right w:val="single" w:sz="6" w:space="0" w:color="auto"/>
            </w:tcBorders>
            <w:shd w:val="clear" w:color="auto" w:fill="C6EFCE"/>
          </w:tcPr>
          <w:p w14:paraId="6A7DDFD7" w14:textId="77777777" w:rsidR="003A3D51" w:rsidRDefault="0002775A">
            <w:pPr>
              <w:pStyle w:val="P68B1DB1-Normal25"/>
              <w:spacing w:after="0" w:line="240" w:lineRule="auto"/>
              <w:jc w:val="center"/>
              <w:textAlignment w:val="baseline"/>
              <w:rPr>
                <w:noProof/>
              </w:rPr>
            </w:pPr>
            <w:r>
              <w:rPr>
                <w:noProof/>
              </w:rPr>
              <w:t>2024</w:t>
            </w:r>
          </w:p>
        </w:tc>
        <w:tc>
          <w:tcPr>
            <w:tcW w:w="3119" w:type="dxa"/>
            <w:tcBorders>
              <w:top w:val="nil"/>
              <w:left w:val="nil"/>
              <w:bottom w:val="single" w:sz="6" w:space="0" w:color="auto"/>
              <w:right w:val="single" w:sz="6" w:space="0" w:color="auto"/>
            </w:tcBorders>
            <w:shd w:val="clear" w:color="auto" w:fill="C6EFCE"/>
          </w:tcPr>
          <w:p w14:paraId="7A012739" w14:textId="77777777" w:rsidR="003A3D51" w:rsidRDefault="0002775A">
            <w:pPr>
              <w:pStyle w:val="P68B1DB1-Normal17"/>
              <w:spacing w:after="200" w:line="276" w:lineRule="auto"/>
              <w:rPr>
                <w:noProof/>
              </w:rPr>
            </w:pPr>
            <w:r>
              <w:rPr>
                <w:noProof/>
              </w:rPr>
              <w:t>Den nationella myndigheten för övervakning av vattenförluster ska inrättas och ha befogenhet att övervaka genomförandet av de åtgärder som föreskrivs i den nationella handlingsplanen för minskning av förluster och att kontrollera vattenoperatörernas handlingsplaner för att minska vattenförlusterna.</w:t>
            </w:r>
          </w:p>
        </w:tc>
      </w:tr>
      <w:tr w:rsidR="003A3D51" w14:paraId="3996E10B" w14:textId="77777777">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62CF965A" w14:textId="43043B03" w:rsidR="003A3D51" w:rsidRDefault="0002775A">
            <w:pPr>
              <w:pStyle w:val="FootnoteText"/>
              <w:jc w:val="center"/>
              <w:textAlignment w:val="baseline"/>
              <w:rPr>
                <w:rFonts w:eastAsia="Times New Roman" w:cstheme="minorHAnsi"/>
                <w:noProof/>
              </w:rPr>
            </w:pPr>
            <w:r>
              <w:rPr>
                <w:noProof/>
              </w:rPr>
              <w:t>384</w:t>
            </w:r>
          </w:p>
        </w:tc>
        <w:tc>
          <w:tcPr>
            <w:tcW w:w="1223" w:type="dxa"/>
            <w:tcBorders>
              <w:top w:val="nil"/>
              <w:left w:val="nil"/>
              <w:bottom w:val="single" w:sz="6" w:space="0" w:color="auto"/>
              <w:right w:val="single" w:sz="6" w:space="0" w:color="auto"/>
            </w:tcBorders>
            <w:shd w:val="clear" w:color="auto" w:fill="C6EFCE"/>
            <w:hideMark/>
          </w:tcPr>
          <w:p w14:paraId="50C7E58B" w14:textId="61F5BA6C" w:rsidR="003A3D51" w:rsidRDefault="0002775A">
            <w:pPr>
              <w:pStyle w:val="P68B1DB1-Normal24"/>
              <w:spacing w:after="0" w:line="240" w:lineRule="auto"/>
              <w:jc w:val="center"/>
              <w:textAlignment w:val="baseline"/>
              <w:rPr>
                <w:noProof/>
              </w:rPr>
            </w:pPr>
            <w:r>
              <w:rPr>
                <w:noProof/>
              </w:rPr>
              <w:t xml:space="preserve"> C1.3 R3 </w:t>
            </w:r>
          </w:p>
        </w:tc>
        <w:tc>
          <w:tcPr>
            <w:tcW w:w="855" w:type="dxa"/>
            <w:tcBorders>
              <w:top w:val="nil"/>
              <w:left w:val="nil"/>
              <w:bottom w:val="single" w:sz="6" w:space="0" w:color="auto"/>
              <w:right w:val="single" w:sz="6" w:space="0" w:color="auto"/>
            </w:tcBorders>
            <w:shd w:val="clear" w:color="auto" w:fill="C6EFCE"/>
          </w:tcPr>
          <w:p w14:paraId="1FBDE016" w14:textId="2EFEABCA" w:rsidR="003A3D51" w:rsidRDefault="0002775A">
            <w:pPr>
              <w:pStyle w:val="FootnoteText"/>
              <w:jc w:val="center"/>
              <w:textAlignment w:val="baseline"/>
              <w:rPr>
                <w:noProof/>
              </w:rPr>
            </w:pPr>
            <w:r>
              <w:rPr>
                <w:noProof/>
              </w:rPr>
              <w:t>T</w:t>
            </w:r>
          </w:p>
        </w:tc>
        <w:tc>
          <w:tcPr>
            <w:tcW w:w="2410" w:type="dxa"/>
            <w:tcBorders>
              <w:top w:val="nil"/>
              <w:left w:val="nil"/>
              <w:bottom w:val="single" w:sz="6" w:space="0" w:color="auto"/>
              <w:right w:val="single" w:sz="6" w:space="0" w:color="auto"/>
            </w:tcBorders>
            <w:shd w:val="clear" w:color="auto" w:fill="C6EFCE"/>
          </w:tcPr>
          <w:p w14:paraId="524A769F" w14:textId="77777777" w:rsidR="003A3D51" w:rsidRDefault="0002775A">
            <w:pPr>
              <w:pStyle w:val="P68B1DB1-Normal25"/>
              <w:spacing w:after="0" w:line="240" w:lineRule="auto"/>
              <w:textAlignment w:val="baseline"/>
              <w:rPr>
                <w:noProof/>
              </w:rPr>
            </w:pPr>
            <w:r>
              <w:rPr>
                <w:noProof/>
              </w:rPr>
              <w:t>Antagande av vattenoperatörers handlingsplaner för att minska vattenförluster</w:t>
            </w:r>
          </w:p>
        </w:tc>
        <w:tc>
          <w:tcPr>
            <w:tcW w:w="1981" w:type="dxa"/>
            <w:tcBorders>
              <w:top w:val="nil"/>
              <w:left w:val="nil"/>
              <w:bottom w:val="single" w:sz="6" w:space="0" w:color="auto"/>
              <w:right w:val="single" w:sz="6" w:space="0" w:color="auto"/>
            </w:tcBorders>
            <w:shd w:val="clear" w:color="auto" w:fill="C6EFCE"/>
          </w:tcPr>
          <w:p w14:paraId="0DB5884F" w14:textId="77777777" w:rsidR="003A3D51" w:rsidRDefault="003A3D51">
            <w:pPr>
              <w:spacing w:after="0" w:line="240" w:lineRule="auto"/>
              <w:textAlignment w:val="baseline"/>
              <w:rPr>
                <w:rFonts w:cstheme="minorHAnsi"/>
                <w:noProof/>
                <w:sz w:val="20"/>
              </w:rPr>
            </w:pPr>
          </w:p>
        </w:tc>
        <w:tc>
          <w:tcPr>
            <w:tcW w:w="955" w:type="dxa"/>
            <w:tcBorders>
              <w:top w:val="nil"/>
              <w:left w:val="nil"/>
              <w:bottom w:val="single" w:sz="6" w:space="0" w:color="auto"/>
              <w:right w:val="single" w:sz="6" w:space="0" w:color="auto"/>
            </w:tcBorders>
            <w:shd w:val="clear" w:color="auto" w:fill="C6EFCE"/>
          </w:tcPr>
          <w:p w14:paraId="083AEA50" w14:textId="77777777" w:rsidR="003A3D51" w:rsidRDefault="0002775A">
            <w:pPr>
              <w:pStyle w:val="P68B1DB1-Normal25"/>
              <w:spacing w:after="0" w:line="240" w:lineRule="auto"/>
              <w:jc w:val="both"/>
              <w:textAlignment w:val="baseline"/>
              <w:rPr>
                <w:noProof/>
              </w:rPr>
            </w:pPr>
            <w:r>
              <w:rPr>
                <w:noProof/>
              </w:rPr>
              <w:t>Antal</w:t>
            </w:r>
          </w:p>
        </w:tc>
        <w:tc>
          <w:tcPr>
            <w:tcW w:w="1123" w:type="dxa"/>
            <w:tcBorders>
              <w:top w:val="nil"/>
              <w:left w:val="nil"/>
              <w:bottom w:val="single" w:sz="6" w:space="0" w:color="auto"/>
              <w:right w:val="single" w:sz="6" w:space="0" w:color="auto"/>
            </w:tcBorders>
            <w:shd w:val="clear" w:color="auto" w:fill="C6EFCE"/>
          </w:tcPr>
          <w:p w14:paraId="573BA799" w14:textId="77777777" w:rsidR="003A3D51" w:rsidRDefault="0002775A">
            <w:pPr>
              <w:pStyle w:val="P68B1DB1-Normal25"/>
              <w:spacing w:after="0" w:line="240" w:lineRule="auto"/>
              <w:jc w:val="right"/>
              <w:textAlignment w:val="baseline"/>
              <w:rPr>
                <w:noProof/>
              </w:rPr>
            </w:pPr>
            <w:r>
              <w:rPr>
                <w:noProof/>
              </w:rPr>
              <w:t>0</w:t>
            </w:r>
          </w:p>
        </w:tc>
        <w:tc>
          <w:tcPr>
            <w:tcW w:w="981" w:type="dxa"/>
            <w:tcBorders>
              <w:top w:val="nil"/>
              <w:left w:val="nil"/>
              <w:bottom w:val="single" w:sz="6" w:space="0" w:color="auto"/>
              <w:right w:val="single" w:sz="6" w:space="0" w:color="auto"/>
            </w:tcBorders>
            <w:shd w:val="clear" w:color="auto" w:fill="C6EFCE"/>
          </w:tcPr>
          <w:p w14:paraId="26997CB0" w14:textId="77777777" w:rsidR="003A3D51" w:rsidRDefault="0002775A">
            <w:pPr>
              <w:pStyle w:val="P68B1DB1-Normal25"/>
              <w:spacing w:after="0" w:line="240" w:lineRule="auto"/>
              <w:jc w:val="right"/>
              <w:textAlignment w:val="baseline"/>
              <w:rPr>
                <w:noProof/>
              </w:rPr>
            </w:pPr>
            <w:r>
              <w:rPr>
                <w:noProof/>
              </w:rPr>
              <w:t>40</w:t>
            </w:r>
          </w:p>
        </w:tc>
        <w:tc>
          <w:tcPr>
            <w:tcW w:w="488" w:type="dxa"/>
            <w:tcBorders>
              <w:top w:val="nil"/>
              <w:left w:val="nil"/>
              <w:bottom w:val="single" w:sz="6" w:space="0" w:color="auto"/>
              <w:right w:val="single" w:sz="6" w:space="0" w:color="auto"/>
            </w:tcBorders>
            <w:shd w:val="clear" w:color="auto" w:fill="C6EFCE"/>
          </w:tcPr>
          <w:p w14:paraId="69513930" w14:textId="77777777" w:rsidR="003A3D51" w:rsidRDefault="0002775A">
            <w:pPr>
              <w:pStyle w:val="P68B1DB1-Normal25"/>
              <w:spacing w:after="0" w:line="240" w:lineRule="auto"/>
              <w:jc w:val="center"/>
              <w:textAlignment w:val="baseline"/>
              <w:rPr>
                <w:noProof/>
              </w:rPr>
            </w:pPr>
            <w:r>
              <w:rPr>
                <w:noProof/>
              </w:rPr>
              <w:t>KVARTAL 4</w:t>
            </w:r>
          </w:p>
        </w:tc>
        <w:tc>
          <w:tcPr>
            <w:tcW w:w="847" w:type="dxa"/>
            <w:tcBorders>
              <w:top w:val="nil"/>
              <w:left w:val="nil"/>
              <w:bottom w:val="single" w:sz="6" w:space="0" w:color="auto"/>
              <w:right w:val="single" w:sz="6" w:space="0" w:color="auto"/>
            </w:tcBorders>
            <w:shd w:val="clear" w:color="auto" w:fill="C6EFCE"/>
          </w:tcPr>
          <w:p w14:paraId="6C0BCAB0" w14:textId="77777777" w:rsidR="003A3D51" w:rsidRDefault="0002775A">
            <w:pPr>
              <w:pStyle w:val="P68B1DB1-Normal25"/>
              <w:spacing w:after="0" w:line="240" w:lineRule="auto"/>
              <w:jc w:val="center"/>
              <w:textAlignment w:val="baseline"/>
              <w:rPr>
                <w:noProof/>
              </w:rPr>
            </w:pPr>
            <w:r>
              <w:rPr>
                <w:noProof/>
              </w:rPr>
              <w:t>2025</w:t>
            </w:r>
          </w:p>
        </w:tc>
        <w:tc>
          <w:tcPr>
            <w:tcW w:w="3119" w:type="dxa"/>
            <w:tcBorders>
              <w:top w:val="nil"/>
              <w:left w:val="nil"/>
              <w:bottom w:val="single" w:sz="6" w:space="0" w:color="auto"/>
              <w:right w:val="single" w:sz="6" w:space="0" w:color="auto"/>
            </w:tcBorders>
            <w:shd w:val="clear" w:color="auto" w:fill="C6EFCE"/>
          </w:tcPr>
          <w:p w14:paraId="1B6BC37E" w14:textId="77777777" w:rsidR="003A3D51" w:rsidRDefault="0002775A">
            <w:pPr>
              <w:pStyle w:val="P68B1DB1-Normal25"/>
              <w:spacing w:after="0" w:line="240" w:lineRule="auto"/>
              <w:textAlignment w:val="baseline"/>
              <w:rPr>
                <w:noProof/>
              </w:rPr>
            </w:pPr>
            <w:r>
              <w:rPr>
                <w:noProof/>
              </w:rPr>
              <w:t xml:space="preserve">Minst 40 enskilda handlingsplaner för minskning av vattenförluster för vattenoperatörer ska antas. </w:t>
            </w:r>
          </w:p>
          <w:p w14:paraId="10376E80" w14:textId="77777777" w:rsidR="003A3D51" w:rsidRDefault="0002775A">
            <w:pPr>
              <w:pStyle w:val="P68B1DB1-Normal25"/>
              <w:spacing w:after="0" w:line="240" w:lineRule="auto"/>
              <w:textAlignment w:val="baseline"/>
              <w:rPr>
                <w:noProof/>
              </w:rPr>
            </w:pPr>
            <w:r>
              <w:rPr>
                <w:noProof/>
              </w:rPr>
              <w:t xml:space="preserve">Varje plan ska innehålla organisatoriska system och planer för utbildning av anställda och andra relevanta åtgärder som fastställs i den nationella handlingsplanen för att minska förlusterna (åtgärder för att förbättra systemdata, åtgärder för optimering av vattenförsörjningssystem, åtgärder för aktiv läckagekontroll, åtgärder för att hantera uppenbara förluster, åtgärder för planering och ersättning av huvudledningar). </w:t>
            </w:r>
          </w:p>
        </w:tc>
      </w:tr>
      <w:tr w:rsidR="003A3D51" w14:paraId="49567287" w14:textId="77777777">
        <w:trPr>
          <w:trHeight w:val="300"/>
        </w:trPr>
        <w:tc>
          <w:tcPr>
            <w:tcW w:w="900" w:type="dxa"/>
            <w:tcBorders>
              <w:top w:val="nil"/>
              <w:left w:val="single" w:sz="6" w:space="0" w:color="auto"/>
              <w:bottom w:val="single" w:sz="6" w:space="0" w:color="auto"/>
              <w:right w:val="single" w:sz="6" w:space="0" w:color="auto"/>
            </w:tcBorders>
            <w:shd w:val="clear" w:color="auto" w:fill="C6EFCE"/>
          </w:tcPr>
          <w:p w14:paraId="6C4433D7" w14:textId="38E745F8" w:rsidR="003A3D51" w:rsidRDefault="0002775A">
            <w:pPr>
              <w:pStyle w:val="FootnoteText"/>
              <w:jc w:val="center"/>
              <w:textAlignment w:val="baseline"/>
              <w:rPr>
                <w:noProof/>
              </w:rPr>
            </w:pPr>
            <w:r>
              <w:rPr>
                <w:rFonts w:cstheme="minorHAnsi"/>
                <w:noProof/>
              </w:rPr>
              <w:t>385</w:t>
            </w:r>
            <w:r>
              <w:rPr>
                <w:noProof/>
              </w:rPr>
              <w:t xml:space="preserve">   </w:t>
            </w:r>
          </w:p>
        </w:tc>
        <w:tc>
          <w:tcPr>
            <w:tcW w:w="1223" w:type="dxa"/>
            <w:tcBorders>
              <w:top w:val="nil"/>
              <w:left w:val="nil"/>
              <w:bottom w:val="single" w:sz="6" w:space="0" w:color="auto"/>
              <w:right w:val="single" w:sz="6" w:space="0" w:color="auto"/>
            </w:tcBorders>
            <w:shd w:val="clear" w:color="auto" w:fill="C6EFCE"/>
          </w:tcPr>
          <w:p w14:paraId="0F85BEF0" w14:textId="46EEF67B" w:rsidR="003A3D51" w:rsidRDefault="0002775A">
            <w:pPr>
              <w:pStyle w:val="FootnoteText"/>
              <w:jc w:val="center"/>
              <w:textAlignment w:val="baseline"/>
              <w:rPr>
                <w:noProof/>
              </w:rPr>
            </w:pPr>
            <w:r>
              <w:rPr>
                <w:noProof/>
              </w:rPr>
              <w:t>C1.3 R3</w:t>
            </w:r>
          </w:p>
        </w:tc>
        <w:tc>
          <w:tcPr>
            <w:tcW w:w="855" w:type="dxa"/>
            <w:tcBorders>
              <w:top w:val="nil"/>
              <w:left w:val="nil"/>
              <w:bottom w:val="single" w:sz="6" w:space="0" w:color="auto"/>
              <w:right w:val="single" w:sz="6" w:space="0" w:color="auto"/>
            </w:tcBorders>
            <w:shd w:val="clear" w:color="auto" w:fill="C6EFCE"/>
          </w:tcPr>
          <w:p w14:paraId="18FAAC2C" w14:textId="385974C9" w:rsidR="003A3D51" w:rsidRDefault="0002775A">
            <w:pPr>
              <w:pStyle w:val="P68B1DB1-Normal25"/>
              <w:spacing w:after="0" w:line="240" w:lineRule="auto"/>
              <w:jc w:val="center"/>
              <w:textAlignment w:val="baseline"/>
              <w:rPr>
                <w:noProof/>
              </w:rPr>
            </w:pPr>
            <w:r>
              <w:rPr>
                <w:noProof/>
              </w:rPr>
              <w:t>M</w:t>
            </w:r>
          </w:p>
        </w:tc>
        <w:tc>
          <w:tcPr>
            <w:tcW w:w="2410" w:type="dxa"/>
            <w:tcBorders>
              <w:top w:val="nil"/>
              <w:left w:val="nil"/>
              <w:bottom w:val="single" w:sz="6" w:space="0" w:color="auto"/>
              <w:right w:val="single" w:sz="6" w:space="0" w:color="auto"/>
            </w:tcBorders>
            <w:shd w:val="clear" w:color="auto" w:fill="C6EFCE"/>
          </w:tcPr>
          <w:p w14:paraId="63ABC330" w14:textId="2CDC50C1" w:rsidR="003A3D51" w:rsidRDefault="0002775A">
            <w:pPr>
              <w:pStyle w:val="P68B1DB1-Normal24"/>
              <w:spacing w:after="0" w:line="240" w:lineRule="auto"/>
              <w:textAlignment w:val="baseline"/>
              <w:rPr>
                <w:noProof/>
              </w:rPr>
            </w:pPr>
            <w:r>
              <w:rPr>
                <w:noProof/>
              </w:rPr>
              <w:t>Ikraftträdande av förordningen om rådet för vattentjänster</w:t>
            </w:r>
          </w:p>
        </w:tc>
        <w:tc>
          <w:tcPr>
            <w:tcW w:w="1981" w:type="dxa"/>
            <w:tcBorders>
              <w:top w:val="nil"/>
              <w:left w:val="nil"/>
              <w:bottom w:val="single" w:sz="6" w:space="0" w:color="auto"/>
              <w:right w:val="single" w:sz="6" w:space="0" w:color="auto"/>
            </w:tcBorders>
            <w:shd w:val="clear" w:color="auto" w:fill="C6EFCE"/>
          </w:tcPr>
          <w:p w14:paraId="4F6BF2E9" w14:textId="77777777" w:rsidR="003A3D51" w:rsidRDefault="0002775A">
            <w:pPr>
              <w:pStyle w:val="P68B1DB1-Normal25"/>
              <w:spacing w:after="0" w:line="240" w:lineRule="auto"/>
              <w:textAlignment w:val="baseline"/>
              <w:rPr>
                <w:rFonts w:eastAsia="Calibri"/>
                <w:noProof/>
              </w:rPr>
            </w:pPr>
            <w:r>
              <w:rPr>
                <w:noProof/>
              </w:rPr>
              <w:t xml:space="preserve">Bestämmelse i förordningen om rådet för vattentjänster som anger dess ikraftträdande  </w:t>
            </w:r>
          </w:p>
        </w:tc>
        <w:tc>
          <w:tcPr>
            <w:tcW w:w="955" w:type="dxa"/>
            <w:tcBorders>
              <w:top w:val="nil"/>
              <w:left w:val="nil"/>
              <w:bottom w:val="single" w:sz="6" w:space="0" w:color="auto"/>
              <w:right w:val="single" w:sz="6" w:space="0" w:color="auto"/>
            </w:tcBorders>
            <w:shd w:val="clear" w:color="auto" w:fill="C6EFCE"/>
          </w:tcPr>
          <w:p w14:paraId="7B52B2C0" w14:textId="77777777" w:rsidR="003A3D51" w:rsidRDefault="003A3D51">
            <w:pPr>
              <w:spacing w:after="0" w:line="240" w:lineRule="auto"/>
              <w:jc w:val="both"/>
              <w:textAlignment w:val="baseline"/>
              <w:rPr>
                <w:rFonts w:eastAsia="Times New Roman" w:cstheme="minorHAnsi"/>
                <w:noProof/>
                <w:sz w:val="20"/>
              </w:rPr>
            </w:pPr>
          </w:p>
        </w:tc>
        <w:tc>
          <w:tcPr>
            <w:tcW w:w="1123" w:type="dxa"/>
            <w:tcBorders>
              <w:top w:val="nil"/>
              <w:left w:val="nil"/>
              <w:bottom w:val="single" w:sz="6" w:space="0" w:color="auto"/>
              <w:right w:val="single" w:sz="6" w:space="0" w:color="auto"/>
            </w:tcBorders>
            <w:shd w:val="clear" w:color="auto" w:fill="C6EFCE"/>
          </w:tcPr>
          <w:p w14:paraId="2EA07559" w14:textId="77777777" w:rsidR="003A3D51" w:rsidRDefault="003A3D51">
            <w:pPr>
              <w:spacing w:after="0" w:line="240" w:lineRule="auto"/>
              <w:jc w:val="right"/>
              <w:textAlignment w:val="baseline"/>
              <w:rPr>
                <w:rFonts w:eastAsia="Times New Roman" w:cstheme="minorHAnsi"/>
                <w:noProof/>
                <w:sz w:val="20"/>
              </w:rPr>
            </w:pPr>
          </w:p>
        </w:tc>
        <w:tc>
          <w:tcPr>
            <w:tcW w:w="981" w:type="dxa"/>
            <w:tcBorders>
              <w:top w:val="nil"/>
              <w:left w:val="nil"/>
              <w:bottom w:val="single" w:sz="6" w:space="0" w:color="auto"/>
              <w:right w:val="single" w:sz="6" w:space="0" w:color="auto"/>
            </w:tcBorders>
            <w:shd w:val="clear" w:color="auto" w:fill="C6EFCE"/>
          </w:tcPr>
          <w:p w14:paraId="5CC2AC13" w14:textId="77777777" w:rsidR="003A3D51" w:rsidRDefault="003A3D51">
            <w:pPr>
              <w:spacing w:after="0" w:line="240" w:lineRule="auto"/>
              <w:jc w:val="right"/>
              <w:textAlignment w:val="baseline"/>
              <w:rPr>
                <w:rFonts w:eastAsia="Times New Roman" w:cstheme="minorHAnsi"/>
                <w:noProof/>
                <w:sz w:val="20"/>
              </w:rPr>
            </w:pPr>
          </w:p>
        </w:tc>
        <w:tc>
          <w:tcPr>
            <w:tcW w:w="488" w:type="dxa"/>
            <w:tcBorders>
              <w:top w:val="nil"/>
              <w:left w:val="nil"/>
              <w:bottom w:val="single" w:sz="6" w:space="0" w:color="auto"/>
              <w:right w:val="single" w:sz="6" w:space="0" w:color="auto"/>
            </w:tcBorders>
            <w:shd w:val="clear" w:color="auto" w:fill="C6EFCE"/>
          </w:tcPr>
          <w:p w14:paraId="33503F74" w14:textId="77777777" w:rsidR="003A3D51" w:rsidRDefault="0002775A">
            <w:pPr>
              <w:pStyle w:val="P68B1DB1-Normal25"/>
              <w:spacing w:after="0" w:line="240" w:lineRule="auto"/>
              <w:jc w:val="center"/>
              <w:textAlignment w:val="baseline"/>
              <w:rPr>
                <w:rFonts w:eastAsia="Times New Roman"/>
                <w:noProof/>
              </w:rPr>
            </w:pPr>
            <w:r>
              <w:rPr>
                <w:noProof/>
              </w:rPr>
              <w:t>KVARTAL 1</w:t>
            </w:r>
          </w:p>
        </w:tc>
        <w:tc>
          <w:tcPr>
            <w:tcW w:w="847" w:type="dxa"/>
            <w:tcBorders>
              <w:top w:val="nil"/>
              <w:left w:val="nil"/>
              <w:bottom w:val="single" w:sz="6" w:space="0" w:color="auto"/>
              <w:right w:val="single" w:sz="6" w:space="0" w:color="auto"/>
            </w:tcBorders>
            <w:shd w:val="clear" w:color="auto" w:fill="C6EFCE"/>
          </w:tcPr>
          <w:p w14:paraId="289F03DB" w14:textId="77777777" w:rsidR="003A3D51" w:rsidRDefault="0002775A">
            <w:pPr>
              <w:pStyle w:val="P68B1DB1-Normal24"/>
              <w:spacing w:after="0" w:line="240" w:lineRule="auto"/>
              <w:jc w:val="center"/>
              <w:textAlignment w:val="baseline"/>
              <w:rPr>
                <w:noProof/>
              </w:rPr>
            </w:pPr>
            <w:r>
              <w:rPr>
                <w:noProof/>
              </w:rPr>
              <w:t>2024</w:t>
            </w:r>
          </w:p>
        </w:tc>
        <w:tc>
          <w:tcPr>
            <w:tcW w:w="3119" w:type="dxa"/>
            <w:tcBorders>
              <w:top w:val="nil"/>
              <w:left w:val="nil"/>
              <w:bottom w:val="single" w:sz="6" w:space="0" w:color="auto"/>
              <w:right w:val="single" w:sz="6" w:space="0" w:color="auto"/>
            </w:tcBorders>
            <w:shd w:val="clear" w:color="auto" w:fill="C6EFCE"/>
          </w:tcPr>
          <w:p w14:paraId="7763C3AB" w14:textId="77777777" w:rsidR="003A3D51" w:rsidRDefault="0002775A">
            <w:pPr>
              <w:pStyle w:val="P68B1DB1-Normal24"/>
              <w:spacing w:after="0" w:line="240" w:lineRule="auto"/>
              <w:textAlignment w:val="baseline"/>
              <w:rPr>
                <w:noProof/>
              </w:rPr>
            </w:pPr>
            <w:r>
              <w:rPr>
                <w:noProof/>
              </w:rPr>
              <w:t>Förordningen om rådet för vattentjänster träder i kraft. Den ska innehålla bestämmelser om obligatoriskt offentliggörande av beslut från vattenrådet, obligatoriskt offentliggörande av behöriga tolkningar av vattenlagen, lagen om finansiering av vattenförvaltning och tillsynsmyndighetens stadgar och ska även föreskriva obligatorisk fortbildning för personalen.</w:t>
            </w:r>
          </w:p>
        </w:tc>
      </w:tr>
      <w:tr w:rsidR="003A3D51" w14:paraId="54C65B39" w14:textId="77777777">
        <w:trPr>
          <w:trHeight w:val="300"/>
        </w:trPr>
        <w:tc>
          <w:tcPr>
            <w:tcW w:w="900" w:type="dxa"/>
            <w:tcBorders>
              <w:top w:val="nil"/>
              <w:left w:val="single" w:sz="6" w:space="0" w:color="auto"/>
              <w:bottom w:val="single" w:sz="6" w:space="0" w:color="auto"/>
              <w:right w:val="single" w:sz="6" w:space="0" w:color="auto"/>
            </w:tcBorders>
            <w:shd w:val="clear" w:color="auto" w:fill="C6EFCE"/>
          </w:tcPr>
          <w:p w14:paraId="1474852E" w14:textId="6A373C32" w:rsidR="003A3D51" w:rsidRDefault="0002775A">
            <w:pPr>
              <w:pStyle w:val="FootnoteText"/>
              <w:jc w:val="center"/>
              <w:textAlignment w:val="baseline"/>
              <w:rPr>
                <w:noProof/>
              </w:rPr>
            </w:pPr>
            <w:r>
              <w:rPr>
                <w:rFonts w:cstheme="minorHAnsi"/>
                <w:noProof/>
              </w:rPr>
              <w:t>386</w:t>
            </w:r>
            <w:r>
              <w:rPr>
                <w:noProof/>
              </w:rPr>
              <w:t xml:space="preserve">   </w:t>
            </w:r>
          </w:p>
        </w:tc>
        <w:tc>
          <w:tcPr>
            <w:tcW w:w="1223" w:type="dxa"/>
            <w:tcBorders>
              <w:top w:val="nil"/>
              <w:left w:val="nil"/>
              <w:bottom w:val="single" w:sz="6" w:space="0" w:color="auto"/>
              <w:right w:val="single" w:sz="6" w:space="0" w:color="auto"/>
            </w:tcBorders>
            <w:shd w:val="clear" w:color="auto" w:fill="C6EFCE"/>
          </w:tcPr>
          <w:p w14:paraId="5525EAE9" w14:textId="58729BE2" w:rsidR="003A3D51" w:rsidRDefault="0002775A">
            <w:pPr>
              <w:pStyle w:val="FootnoteText"/>
              <w:jc w:val="center"/>
              <w:textAlignment w:val="baseline"/>
              <w:rPr>
                <w:noProof/>
              </w:rPr>
            </w:pPr>
            <w:r>
              <w:rPr>
                <w:noProof/>
              </w:rPr>
              <w:t>C1.3 R3</w:t>
            </w:r>
          </w:p>
        </w:tc>
        <w:tc>
          <w:tcPr>
            <w:tcW w:w="855" w:type="dxa"/>
            <w:tcBorders>
              <w:top w:val="nil"/>
              <w:left w:val="nil"/>
              <w:bottom w:val="single" w:sz="6" w:space="0" w:color="auto"/>
              <w:right w:val="single" w:sz="6" w:space="0" w:color="auto"/>
            </w:tcBorders>
            <w:shd w:val="clear" w:color="auto" w:fill="C6EFCE"/>
          </w:tcPr>
          <w:p w14:paraId="2AB1C523" w14:textId="0829BAD0" w:rsidR="003A3D51" w:rsidRDefault="0002775A">
            <w:pPr>
              <w:pStyle w:val="P68B1DB1-Normal24"/>
              <w:spacing w:after="0" w:line="240" w:lineRule="auto"/>
              <w:jc w:val="center"/>
              <w:textAlignment w:val="baseline"/>
              <w:rPr>
                <w:noProof/>
              </w:rPr>
            </w:pPr>
            <w:r>
              <w:rPr>
                <w:noProof/>
              </w:rPr>
              <w:t>T</w:t>
            </w:r>
          </w:p>
        </w:tc>
        <w:tc>
          <w:tcPr>
            <w:tcW w:w="2410" w:type="dxa"/>
            <w:tcBorders>
              <w:top w:val="nil"/>
              <w:left w:val="nil"/>
              <w:bottom w:val="single" w:sz="6" w:space="0" w:color="auto"/>
              <w:right w:val="single" w:sz="6" w:space="0" w:color="auto"/>
            </w:tcBorders>
            <w:shd w:val="clear" w:color="auto" w:fill="C6EFCE"/>
          </w:tcPr>
          <w:p w14:paraId="00E4970D" w14:textId="77777777" w:rsidR="003A3D51" w:rsidRDefault="0002775A">
            <w:pPr>
              <w:pStyle w:val="P68B1DB1-Normal17"/>
              <w:spacing w:after="200" w:line="276" w:lineRule="auto"/>
              <w:rPr>
                <w:rFonts w:eastAsia="Times New Roman"/>
                <w:noProof/>
              </w:rPr>
            </w:pPr>
            <w:r>
              <w:rPr>
                <w:noProof/>
              </w:rPr>
              <w:t>Kapacitetsuppbyggnad inom rådet för vattentjänster</w:t>
            </w:r>
          </w:p>
        </w:tc>
        <w:tc>
          <w:tcPr>
            <w:tcW w:w="1981" w:type="dxa"/>
            <w:tcBorders>
              <w:top w:val="nil"/>
              <w:left w:val="nil"/>
              <w:bottom w:val="single" w:sz="6" w:space="0" w:color="auto"/>
              <w:right w:val="single" w:sz="6" w:space="0" w:color="auto"/>
            </w:tcBorders>
            <w:shd w:val="clear" w:color="auto" w:fill="C6EFCE"/>
          </w:tcPr>
          <w:p w14:paraId="5C837E33" w14:textId="77777777" w:rsidR="003A3D51" w:rsidRDefault="003A3D51">
            <w:pPr>
              <w:spacing w:after="0" w:line="240" w:lineRule="auto"/>
              <w:jc w:val="both"/>
              <w:textAlignment w:val="baseline"/>
              <w:rPr>
                <w:rFonts w:eastAsia="Times New Roman" w:cstheme="minorHAnsi"/>
                <w:noProof/>
                <w:sz w:val="20"/>
              </w:rPr>
            </w:pPr>
          </w:p>
        </w:tc>
        <w:tc>
          <w:tcPr>
            <w:tcW w:w="955" w:type="dxa"/>
            <w:tcBorders>
              <w:top w:val="nil"/>
              <w:left w:val="nil"/>
              <w:bottom w:val="single" w:sz="6" w:space="0" w:color="auto"/>
              <w:right w:val="single" w:sz="6" w:space="0" w:color="auto"/>
            </w:tcBorders>
            <w:shd w:val="clear" w:color="auto" w:fill="C6EFCE"/>
          </w:tcPr>
          <w:p w14:paraId="3B8D5860" w14:textId="77777777" w:rsidR="003A3D51" w:rsidRDefault="0002775A">
            <w:pPr>
              <w:pStyle w:val="P68B1DB1-Normal24"/>
              <w:spacing w:after="0" w:line="240" w:lineRule="auto"/>
              <w:jc w:val="center"/>
              <w:textAlignment w:val="baseline"/>
              <w:rPr>
                <w:noProof/>
              </w:rPr>
            </w:pPr>
            <w:r>
              <w:rPr>
                <w:noProof/>
              </w:rPr>
              <w:t>Antal</w:t>
            </w:r>
          </w:p>
        </w:tc>
        <w:tc>
          <w:tcPr>
            <w:tcW w:w="1123" w:type="dxa"/>
            <w:tcBorders>
              <w:top w:val="nil"/>
              <w:left w:val="nil"/>
              <w:bottom w:val="single" w:sz="6" w:space="0" w:color="auto"/>
              <w:right w:val="single" w:sz="6" w:space="0" w:color="auto"/>
            </w:tcBorders>
            <w:shd w:val="clear" w:color="auto" w:fill="C6EFCE"/>
          </w:tcPr>
          <w:p w14:paraId="388424C1" w14:textId="77777777" w:rsidR="003A3D51" w:rsidRDefault="0002775A">
            <w:pPr>
              <w:pStyle w:val="P68B1DB1-Normal24"/>
              <w:spacing w:after="0" w:line="240" w:lineRule="auto"/>
              <w:jc w:val="center"/>
              <w:textAlignment w:val="baseline"/>
              <w:rPr>
                <w:noProof/>
              </w:rPr>
            </w:pPr>
            <w:r>
              <w:rPr>
                <w:noProof/>
              </w:rPr>
              <w:t>0</w:t>
            </w:r>
          </w:p>
        </w:tc>
        <w:tc>
          <w:tcPr>
            <w:tcW w:w="981" w:type="dxa"/>
            <w:tcBorders>
              <w:top w:val="nil"/>
              <w:left w:val="nil"/>
              <w:bottom w:val="single" w:sz="6" w:space="0" w:color="auto"/>
              <w:right w:val="single" w:sz="6" w:space="0" w:color="auto"/>
            </w:tcBorders>
            <w:shd w:val="clear" w:color="auto" w:fill="C6EFCE"/>
          </w:tcPr>
          <w:p w14:paraId="4082DDB3" w14:textId="77777777" w:rsidR="003A3D51" w:rsidRDefault="0002775A">
            <w:pPr>
              <w:pStyle w:val="P68B1DB1-Normal24"/>
              <w:spacing w:after="0" w:line="240" w:lineRule="auto"/>
              <w:jc w:val="center"/>
              <w:textAlignment w:val="baseline"/>
              <w:rPr>
                <w:noProof/>
              </w:rPr>
            </w:pPr>
            <w:r>
              <w:rPr>
                <w:noProof/>
              </w:rPr>
              <w:t>7</w:t>
            </w:r>
          </w:p>
        </w:tc>
        <w:tc>
          <w:tcPr>
            <w:tcW w:w="488" w:type="dxa"/>
            <w:tcBorders>
              <w:top w:val="nil"/>
              <w:left w:val="nil"/>
              <w:bottom w:val="single" w:sz="6" w:space="0" w:color="auto"/>
              <w:right w:val="single" w:sz="6" w:space="0" w:color="auto"/>
            </w:tcBorders>
            <w:shd w:val="clear" w:color="auto" w:fill="C6EFCE"/>
          </w:tcPr>
          <w:p w14:paraId="777FF0D8" w14:textId="77777777" w:rsidR="003A3D51" w:rsidRDefault="0002775A">
            <w:pPr>
              <w:pStyle w:val="P68B1DB1-Normal24"/>
              <w:spacing w:after="0" w:line="240" w:lineRule="auto"/>
              <w:jc w:val="center"/>
              <w:textAlignment w:val="baseline"/>
              <w:rPr>
                <w:noProof/>
              </w:rPr>
            </w:pPr>
            <w:r>
              <w:rPr>
                <w:noProof/>
              </w:rPr>
              <w:t>KVARTAL 4</w:t>
            </w:r>
          </w:p>
        </w:tc>
        <w:tc>
          <w:tcPr>
            <w:tcW w:w="847" w:type="dxa"/>
            <w:tcBorders>
              <w:top w:val="nil"/>
              <w:left w:val="nil"/>
              <w:bottom w:val="single" w:sz="6" w:space="0" w:color="auto"/>
              <w:right w:val="single" w:sz="6" w:space="0" w:color="auto"/>
            </w:tcBorders>
            <w:shd w:val="clear" w:color="auto" w:fill="C6EFCE"/>
          </w:tcPr>
          <w:p w14:paraId="02477FFD" w14:textId="77777777" w:rsidR="003A3D51" w:rsidRDefault="0002775A">
            <w:pPr>
              <w:pStyle w:val="P68B1DB1-Normal24"/>
              <w:spacing w:after="0" w:line="240" w:lineRule="auto"/>
              <w:jc w:val="center"/>
              <w:textAlignment w:val="baseline"/>
              <w:rPr>
                <w:noProof/>
              </w:rPr>
            </w:pPr>
            <w:r>
              <w:rPr>
                <w:noProof/>
              </w:rPr>
              <w:t>2024</w:t>
            </w:r>
          </w:p>
        </w:tc>
        <w:tc>
          <w:tcPr>
            <w:tcW w:w="3119" w:type="dxa"/>
            <w:tcBorders>
              <w:top w:val="nil"/>
              <w:left w:val="nil"/>
              <w:bottom w:val="single" w:sz="6" w:space="0" w:color="auto"/>
              <w:right w:val="single" w:sz="6" w:space="0" w:color="auto"/>
            </w:tcBorders>
            <w:shd w:val="clear" w:color="auto" w:fill="C6EFCE"/>
          </w:tcPr>
          <w:p w14:paraId="0C05C795" w14:textId="75233F08" w:rsidR="003A3D51" w:rsidRDefault="0002775A">
            <w:pPr>
              <w:pStyle w:val="P68B1DB1-Normal17"/>
              <w:spacing w:after="0" w:line="240" w:lineRule="auto"/>
              <w:textAlignment w:val="baseline"/>
              <w:rPr>
                <w:noProof/>
              </w:rPr>
            </w:pPr>
            <w:r>
              <w:rPr>
                <w:noProof/>
              </w:rPr>
              <w:t xml:space="preserve">Vattenrådet ska rekrytera minst sju heltidsanställda, med undantag för utnämnda ledamöter. </w:t>
            </w:r>
          </w:p>
        </w:tc>
      </w:tr>
      <w:tr w:rsidR="003A3D51" w14:paraId="4905EDB3" w14:textId="77777777">
        <w:trPr>
          <w:trHeight w:val="300"/>
        </w:trPr>
        <w:tc>
          <w:tcPr>
            <w:tcW w:w="900" w:type="dxa"/>
            <w:tcBorders>
              <w:top w:val="nil"/>
              <w:left w:val="single" w:sz="6" w:space="0" w:color="auto"/>
              <w:bottom w:val="single" w:sz="6" w:space="0" w:color="auto"/>
              <w:right w:val="single" w:sz="6" w:space="0" w:color="auto"/>
            </w:tcBorders>
            <w:shd w:val="clear" w:color="auto" w:fill="C6EFCE"/>
          </w:tcPr>
          <w:p w14:paraId="58A67E1A" w14:textId="3A1E25CD" w:rsidR="003A3D51" w:rsidRDefault="0002775A">
            <w:pPr>
              <w:pStyle w:val="FootnoteText"/>
              <w:jc w:val="center"/>
              <w:textAlignment w:val="baseline"/>
              <w:rPr>
                <w:noProof/>
              </w:rPr>
            </w:pPr>
            <w:r>
              <w:rPr>
                <w:rFonts w:cstheme="minorHAnsi"/>
                <w:noProof/>
              </w:rPr>
              <w:t>387</w:t>
            </w:r>
            <w:r>
              <w:rPr>
                <w:noProof/>
              </w:rPr>
              <w:t xml:space="preserve">   </w:t>
            </w:r>
          </w:p>
        </w:tc>
        <w:tc>
          <w:tcPr>
            <w:tcW w:w="1223" w:type="dxa"/>
            <w:tcBorders>
              <w:top w:val="nil"/>
              <w:left w:val="nil"/>
              <w:bottom w:val="single" w:sz="6" w:space="0" w:color="auto"/>
              <w:right w:val="single" w:sz="6" w:space="0" w:color="auto"/>
            </w:tcBorders>
            <w:shd w:val="clear" w:color="auto" w:fill="C6EFCE"/>
          </w:tcPr>
          <w:p w14:paraId="0640854A" w14:textId="3FD306B7" w:rsidR="003A3D51" w:rsidRDefault="0002775A">
            <w:pPr>
              <w:pStyle w:val="FootnoteText"/>
              <w:jc w:val="center"/>
              <w:textAlignment w:val="baseline"/>
              <w:rPr>
                <w:noProof/>
              </w:rPr>
            </w:pPr>
            <w:r>
              <w:rPr>
                <w:noProof/>
              </w:rPr>
              <w:t>C1.3 R3</w:t>
            </w:r>
          </w:p>
        </w:tc>
        <w:tc>
          <w:tcPr>
            <w:tcW w:w="855" w:type="dxa"/>
            <w:tcBorders>
              <w:top w:val="nil"/>
              <w:left w:val="nil"/>
              <w:bottom w:val="single" w:sz="6" w:space="0" w:color="auto"/>
              <w:right w:val="single" w:sz="6" w:space="0" w:color="auto"/>
            </w:tcBorders>
            <w:shd w:val="clear" w:color="auto" w:fill="C6EFCE"/>
          </w:tcPr>
          <w:p w14:paraId="74461330" w14:textId="1A82031A" w:rsidR="003A3D51" w:rsidRDefault="0002775A">
            <w:pPr>
              <w:pStyle w:val="P68B1DB1-Normal24"/>
              <w:spacing w:after="0" w:line="240" w:lineRule="auto"/>
              <w:jc w:val="center"/>
              <w:textAlignment w:val="baseline"/>
              <w:rPr>
                <w:noProof/>
              </w:rPr>
            </w:pPr>
            <w:r>
              <w:rPr>
                <w:noProof/>
              </w:rPr>
              <w:t>T</w:t>
            </w:r>
          </w:p>
        </w:tc>
        <w:tc>
          <w:tcPr>
            <w:tcW w:w="2410" w:type="dxa"/>
            <w:tcBorders>
              <w:top w:val="nil"/>
              <w:left w:val="nil"/>
              <w:bottom w:val="single" w:sz="6" w:space="0" w:color="auto"/>
              <w:right w:val="single" w:sz="6" w:space="0" w:color="auto"/>
            </w:tcBorders>
            <w:shd w:val="clear" w:color="auto" w:fill="C6EFCE"/>
          </w:tcPr>
          <w:p w14:paraId="3F5B1831" w14:textId="77777777" w:rsidR="003A3D51" w:rsidRDefault="0002775A">
            <w:pPr>
              <w:pStyle w:val="P68B1DB1-Normal24"/>
              <w:spacing w:after="0" w:line="240" w:lineRule="auto"/>
              <w:jc w:val="both"/>
              <w:textAlignment w:val="baseline"/>
              <w:rPr>
                <w:noProof/>
              </w:rPr>
            </w:pPr>
            <w:r>
              <w:rPr>
                <w:noProof/>
              </w:rPr>
              <w:t>Utbildning av vattenoperatörens personal</w:t>
            </w:r>
          </w:p>
        </w:tc>
        <w:tc>
          <w:tcPr>
            <w:tcW w:w="1981" w:type="dxa"/>
            <w:tcBorders>
              <w:top w:val="nil"/>
              <w:left w:val="nil"/>
              <w:bottom w:val="single" w:sz="6" w:space="0" w:color="auto"/>
              <w:right w:val="single" w:sz="6" w:space="0" w:color="auto"/>
            </w:tcBorders>
            <w:shd w:val="clear" w:color="auto" w:fill="C6EFCE"/>
          </w:tcPr>
          <w:p w14:paraId="24BBDE1A" w14:textId="77777777" w:rsidR="003A3D51" w:rsidRDefault="003A3D51">
            <w:pPr>
              <w:spacing w:after="0" w:line="240" w:lineRule="auto"/>
              <w:jc w:val="both"/>
              <w:textAlignment w:val="baseline"/>
              <w:rPr>
                <w:rFonts w:eastAsia="Times New Roman" w:cstheme="minorHAnsi"/>
                <w:noProof/>
                <w:sz w:val="20"/>
              </w:rPr>
            </w:pPr>
          </w:p>
        </w:tc>
        <w:tc>
          <w:tcPr>
            <w:tcW w:w="955" w:type="dxa"/>
            <w:tcBorders>
              <w:top w:val="nil"/>
              <w:left w:val="nil"/>
              <w:bottom w:val="single" w:sz="6" w:space="0" w:color="auto"/>
              <w:right w:val="single" w:sz="6" w:space="0" w:color="auto"/>
            </w:tcBorders>
            <w:shd w:val="clear" w:color="auto" w:fill="C6EFCE"/>
          </w:tcPr>
          <w:p w14:paraId="56445E2A" w14:textId="77777777" w:rsidR="003A3D51" w:rsidRDefault="0002775A">
            <w:pPr>
              <w:pStyle w:val="P68B1DB1-Normal24"/>
              <w:spacing w:after="0" w:line="240" w:lineRule="auto"/>
              <w:jc w:val="center"/>
              <w:textAlignment w:val="baseline"/>
              <w:rPr>
                <w:noProof/>
              </w:rPr>
            </w:pPr>
            <w:r>
              <w:rPr>
                <w:noProof/>
              </w:rPr>
              <w:t>Antal</w:t>
            </w:r>
          </w:p>
        </w:tc>
        <w:tc>
          <w:tcPr>
            <w:tcW w:w="1123" w:type="dxa"/>
            <w:tcBorders>
              <w:top w:val="nil"/>
              <w:left w:val="nil"/>
              <w:bottom w:val="single" w:sz="6" w:space="0" w:color="auto"/>
              <w:right w:val="single" w:sz="6" w:space="0" w:color="auto"/>
            </w:tcBorders>
            <w:shd w:val="clear" w:color="auto" w:fill="C6EFCE"/>
          </w:tcPr>
          <w:p w14:paraId="17DD5F7B" w14:textId="77777777" w:rsidR="003A3D51" w:rsidRDefault="0002775A">
            <w:pPr>
              <w:pStyle w:val="P68B1DB1-Normal24"/>
              <w:spacing w:after="0" w:line="240" w:lineRule="auto"/>
              <w:jc w:val="center"/>
              <w:textAlignment w:val="baseline"/>
              <w:rPr>
                <w:noProof/>
              </w:rPr>
            </w:pPr>
            <w:r>
              <w:rPr>
                <w:noProof/>
              </w:rPr>
              <w:t>0</w:t>
            </w:r>
          </w:p>
        </w:tc>
        <w:tc>
          <w:tcPr>
            <w:tcW w:w="981" w:type="dxa"/>
            <w:tcBorders>
              <w:top w:val="nil"/>
              <w:left w:val="nil"/>
              <w:bottom w:val="single" w:sz="6" w:space="0" w:color="auto"/>
              <w:right w:val="single" w:sz="6" w:space="0" w:color="auto"/>
            </w:tcBorders>
            <w:shd w:val="clear" w:color="auto" w:fill="C6EFCE"/>
          </w:tcPr>
          <w:p w14:paraId="22A4AC94" w14:textId="77777777" w:rsidR="003A3D51" w:rsidRDefault="0002775A">
            <w:pPr>
              <w:pStyle w:val="P68B1DB1-Normal24"/>
              <w:spacing w:after="0" w:line="240" w:lineRule="auto"/>
              <w:jc w:val="center"/>
              <w:textAlignment w:val="baseline"/>
              <w:rPr>
                <w:noProof/>
              </w:rPr>
            </w:pPr>
            <w:r>
              <w:rPr>
                <w:noProof/>
              </w:rPr>
              <w:t>12</w:t>
            </w:r>
          </w:p>
        </w:tc>
        <w:tc>
          <w:tcPr>
            <w:tcW w:w="488" w:type="dxa"/>
            <w:tcBorders>
              <w:top w:val="nil"/>
              <w:left w:val="nil"/>
              <w:bottom w:val="single" w:sz="6" w:space="0" w:color="auto"/>
              <w:right w:val="single" w:sz="6" w:space="0" w:color="auto"/>
            </w:tcBorders>
            <w:shd w:val="clear" w:color="auto" w:fill="C6EFCE"/>
          </w:tcPr>
          <w:p w14:paraId="227D7AC4" w14:textId="77777777" w:rsidR="003A3D51" w:rsidRDefault="0002775A">
            <w:pPr>
              <w:pStyle w:val="P68B1DB1-Normal24"/>
              <w:spacing w:after="0" w:line="240" w:lineRule="auto"/>
              <w:jc w:val="center"/>
              <w:textAlignment w:val="baseline"/>
              <w:rPr>
                <w:noProof/>
              </w:rPr>
            </w:pPr>
            <w:r>
              <w:rPr>
                <w:noProof/>
              </w:rPr>
              <w:t>KVARTAL 4</w:t>
            </w:r>
          </w:p>
        </w:tc>
        <w:tc>
          <w:tcPr>
            <w:tcW w:w="847" w:type="dxa"/>
            <w:tcBorders>
              <w:top w:val="nil"/>
              <w:left w:val="nil"/>
              <w:bottom w:val="single" w:sz="6" w:space="0" w:color="auto"/>
              <w:right w:val="single" w:sz="6" w:space="0" w:color="auto"/>
            </w:tcBorders>
            <w:shd w:val="clear" w:color="auto" w:fill="C6EFCE"/>
          </w:tcPr>
          <w:p w14:paraId="42DB723E" w14:textId="77777777" w:rsidR="003A3D51" w:rsidRDefault="0002775A">
            <w:pPr>
              <w:pStyle w:val="P68B1DB1-Normal24"/>
              <w:spacing w:after="0" w:line="240" w:lineRule="auto"/>
              <w:jc w:val="center"/>
              <w:textAlignment w:val="baseline"/>
              <w:rPr>
                <w:noProof/>
              </w:rPr>
            </w:pPr>
            <w:r>
              <w:rPr>
                <w:noProof/>
              </w:rPr>
              <w:t>2025</w:t>
            </w:r>
          </w:p>
        </w:tc>
        <w:tc>
          <w:tcPr>
            <w:tcW w:w="3119" w:type="dxa"/>
            <w:tcBorders>
              <w:top w:val="nil"/>
              <w:left w:val="nil"/>
              <w:bottom w:val="single" w:sz="6" w:space="0" w:color="auto"/>
              <w:right w:val="single" w:sz="6" w:space="0" w:color="auto"/>
            </w:tcBorders>
            <w:shd w:val="clear" w:color="auto" w:fill="C6EFCE"/>
          </w:tcPr>
          <w:p w14:paraId="77BA8179" w14:textId="77777777" w:rsidR="003A3D51" w:rsidRDefault="0002775A">
            <w:pPr>
              <w:pStyle w:val="P68B1DB1-Normal25"/>
              <w:spacing w:after="0" w:line="240" w:lineRule="auto"/>
              <w:textAlignment w:val="baseline"/>
              <w:rPr>
                <w:noProof/>
              </w:rPr>
            </w:pPr>
            <w:r>
              <w:rPr>
                <w:noProof/>
              </w:rPr>
              <w:t>Minst 12 utbildningstillfällen har genomförts för vattenoperatörernas personal i hela landet. Utbildningstillfällena ska stödja utarbetandet och genomförandet av vattenoperatörernas handlingsplaner för minskning av vattenförluster.</w:t>
            </w:r>
          </w:p>
        </w:tc>
      </w:tr>
      <w:tr w:rsidR="003A3D51" w14:paraId="791D2899" w14:textId="77777777">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037CD7DA" w14:textId="5003BD0D" w:rsidR="003A3D51" w:rsidRDefault="0002775A">
            <w:pPr>
              <w:pStyle w:val="FootnoteText"/>
              <w:jc w:val="center"/>
              <w:textAlignment w:val="baseline"/>
              <w:rPr>
                <w:noProof/>
              </w:rPr>
            </w:pPr>
            <w:r>
              <w:rPr>
                <w:rFonts w:cstheme="minorHAnsi"/>
                <w:noProof/>
              </w:rPr>
              <w:t>388</w:t>
            </w:r>
            <w:r>
              <w:rPr>
                <w:noProof/>
              </w:rPr>
              <w:t xml:space="preserve">  </w:t>
            </w:r>
          </w:p>
        </w:tc>
        <w:tc>
          <w:tcPr>
            <w:tcW w:w="1223" w:type="dxa"/>
            <w:tcBorders>
              <w:top w:val="nil"/>
              <w:left w:val="nil"/>
              <w:bottom w:val="single" w:sz="6" w:space="0" w:color="auto"/>
              <w:right w:val="single" w:sz="6" w:space="0" w:color="auto"/>
            </w:tcBorders>
            <w:shd w:val="clear" w:color="auto" w:fill="C6EFCE"/>
            <w:hideMark/>
          </w:tcPr>
          <w:p w14:paraId="098613F1" w14:textId="56A0AF6C" w:rsidR="003A3D51" w:rsidRDefault="0002775A">
            <w:pPr>
              <w:pStyle w:val="FootnoteText"/>
              <w:jc w:val="center"/>
              <w:textAlignment w:val="baseline"/>
              <w:rPr>
                <w:noProof/>
              </w:rPr>
            </w:pPr>
            <w:r>
              <w:rPr>
                <w:noProof/>
              </w:rPr>
              <w:t>C1.3 R3-I1</w:t>
            </w:r>
          </w:p>
        </w:tc>
        <w:tc>
          <w:tcPr>
            <w:tcW w:w="855" w:type="dxa"/>
            <w:tcBorders>
              <w:top w:val="nil"/>
              <w:left w:val="nil"/>
              <w:bottom w:val="single" w:sz="6" w:space="0" w:color="auto"/>
              <w:right w:val="single" w:sz="6" w:space="0" w:color="auto"/>
            </w:tcBorders>
            <w:shd w:val="clear" w:color="auto" w:fill="C6EFCE"/>
            <w:hideMark/>
          </w:tcPr>
          <w:p w14:paraId="77B7B999" w14:textId="67F68628" w:rsidR="003A3D51" w:rsidRDefault="0002775A">
            <w:pPr>
              <w:pStyle w:val="P68B1DB1-Normal24"/>
              <w:spacing w:after="0" w:line="240" w:lineRule="auto"/>
              <w:jc w:val="center"/>
              <w:rPr>
                <w:noProof/>
              </w:rPr>
            </w:pPr>
            <w:r>
              <w:rPr>
                <w:noProof/>
              </w:rPr>
              <w:t>T</w:t>
            </w:r>
          </w:p>
          <w:p w14:paraId="5E58137F" w14:textId="77777777" w:rsidR="003A3D51" w:rsidRDefault="003A3D51">
            <w:pPr>
              <w:spacing w:after="0" w:line="240" w:lineRule="auto"/>
              <w:jc w:val="center"/>
              <w:rPr>
                <w:rFonts w:eastAsia="Times New Roman" w:cstheme="minorHAnsi"/>
                <w:noProof/>
                <w:sz w:val="20"/>
              </w:rPr>
            </w:pPr>
          </w:p>
        </w:tc>
        <w:tc>
          <w:tcPr>
            <w:tcW w:w="2410" w:type="dxa"/>
            <w:tcBorders>
              <w:top w:val="nil"/>
              <w:left w:val="nil"/>
              <w:bottom w:val="single" w:sz="6" w:space="0" w:color="auto"/>
              <w:right w:val="single" w:sz="6" w:space="0" w:color="auto"/>
            </w:tcBorders>
            <w:shd w:val="clear" w:color="auto" w:fill="C6EFCE"/>
            <w:hideMark/>
          </w:tcPr>
          <w:p w14:paraId="73F0E525" w14:textId="5870778F" w:rsidR="003A3D51" w:rsidRDefault="0002775A">
            <w:pPr>
              <w:pStyle w:val="P68B1DB1-Normal24"/>
              <w:spacing w:after="0" w:line="240" w:lineRule="auto"/>
              <w:jc w:val="both"/>
              <w:rPr>
                <w:noProof/>
              </w:rPr>
            </w:pPr>
            <w:r>
              <w:rPr>
                <w:noProof/>
              </w:rPr>
              <w:t>Avloppsreningsverk som byggts och tagits i drift</w:t>
            </w:r>
          </w:p>
          <w:p w14:paraId="7B93BFDD" w14:textId="77777777" w:rsidR="003A3D51" w:rsidRDefault="003A3D51">
            <w:pPr>
              <w:spacing w:after="0" w:line="240" w:lineRule="auto"/>
              <w:jc w:val="both"/>
              <w:rPr>
                <w:rFonts w:eastAsia="Times New Roman" w:cstheme="minorHAnsi"/>
                <w:noProof/>
                <w:sz w:val="20"/>
              </w:rPr>
            </w:pPr>
          </w:p>
        </w:tc>
        <w:tc>
          <w:tcPr>
            <w:tcW w:w="1981" w:type="dxa"/>
            <w:tcBorders>
              <w:top w:val="nil"/>
              <w:left w:val="nil"/>
              <w:bottom w:val="single" w:sz="6" w:space="0" w:color="auto"/>
              <w:right w:val="single" w:sz="6" w:space="0" w:color="auto"/>
            </w:tcBorders>
            <w:shd w:val="clear" w:color="auto" w:fill="C6EFCE"/>
            <w:hideMark/>
          </w:tcPr>
          <w:p w14:paraId="6E347233" w14:textId="77777777" w:rsidR="003A3D51" w:rsidRDefault="0002775A">
            <w:pPr>
              <w:pStyle w:val="P68B1DB1-Normal26"/>
              <w:spacing w:after="0" w:line="240" w:lineRule="auto"/>
              <w:jc w:val="both"/>
              <w:rPr>
                <w:noProof/>
              </w:rPr>
            </w:pPr>
            <w:r>
              <w:rPr>
                <w:noProof/>
              </w:rPr>
              <w:t> </w:t>
            </w:r>
          </w:p>
          <w:p w14:paraId="6D0E0489" w14:textId="77777777" w:rsidR="003A3D51" w:rsidRDefault="003A3D51">
            <w:pPr>
              <w:spacing w:after="0" w:line="240" w:lineRule="auto"/>
              <w:jc w:val="both"/>
              <w:rPr>
                <w:rFonts w:eastAsia="Times New Roman" w:cstheme="minorHAnsi"/>
                <w:noProof/>
                <w:sz w:val="20"/>
              </w:rPr>
            </w:pPr>
          </w:p>
        </w:tc>
        <w:tc>
          <w:tcPr>
            <w:tcW w:w="955" w:type="dxa"/>
            <w:tcBorders>
              <w:top w:val="nil"/>
              <w:left w:val="nil"/>
              <w:bottom w:val="single" w:sz="6" w:space="0" w:color="auto"/>
              <w:right w:val="single" w:sz="6" w:space="0" w:color="auto"/>
            </w:tcBorders>
            <w:shd w:val="clear" w:color="auto" w:fill="C6EFCE"/>
            <w:hideMark/>
          </w:tcPr>
          <w:p w14:paraId="4DD0FF45" w14:textId="3A3247B4" w:rsidR="003A3D51" w:rsidRDefault="0002775A">
            <w:pPr>
              <w:pStyle w:val="P68B1DB1-Normal24"/>
              <w:spacing w:after="0" w:line="240" w:lineRule="auto"/>
              <w:jc w:val="center"/>
              <w:rPr>
                <w:noProof/>
              </w:rPr>
            </w:pPr>
            <w:r>
              <w:rPr>
                <w:noProof/>
              </w:rPr>
              <w:t>Antal</w:t>
            </w:r>
          </w:p>
        </w:tc>
        <w:tc>
          <w:tcPr>
            <w:tcW w:w="1123" w:type="dxa"/>
            <w:tcBorders>
              <w:top w:val="nil"/>
              <w:left w:val="nil"/>
              <w:bottom w:val="single" w:sz="6" w:space="0" w:color="auto"/>
              <w:right w:val="single" w:sz="6" w:space="0" w:color="auto"/>
            </w:tcBorders>
            <w:shd w:val="clear" w:color="auto" w:fill="C6EFCE"/>
            <w:hideMark/>
          </w:tcPr>
          <w:p w14:paraId="65DDCB83" w14:textId="77777777" w:rsidR="003A3D51" w:rsidRDefault="0002775A">
            <w:pPr>
              <w:pStyle w:val="P68B1DB1-Normal24"/>
              <w:spacing w:after="0" w:line="240" w:lineRule="auto"/>
              <w:jc w:val="center"/>
              <w:textAlignment w:val="baseline"/>
              <w:rPr>
                <w:noProof/>
              </w:rPr>
            </w:pPr>
            <w:r>
              <w:rPr>
                <w:noProof/>
              </w:rPr>
              <w:t>  12</w:t>
            </w:r>
          </w:p>
        </w:tc>
        <w:tc>
          <w:tcPr>
            <w:tcW w:w="981" w:type="dxa"/>
            <w:tcBorders>
              <w:top w:val="nil"/>
              <w:left w:val="nil"/>
              <w:bottom w:val="single" w:sz="6" w:space="0" w:color="auto"/>
              <w:right w:val="single" w:sz="6" w:space="0" w:color="auto"/>
            </w:tcBorders>
            <w:shd w:val="clear" w:color="auto" w:fill="C6EFCE"/>
            <w:hideMark/>
          </w:tcPr>
          <w:p w14:paraId="08D54B71" w14:textId="77777777" w:rsidR="003A3D51" w:rsidRDefault="0002775A">
            <w:pPr>
              <w:pStyle w:val="P68B1DB1-Normal24"/>
              <w:spacing w:after="0" w:line="240" w:lineRule="auto"/>
              <w:jc w:val="center"/>
              <w:textAlignment w:val="baseline"/>
              <w:rPr>
                <w:noProof/>
              </w:rPr>
            </w:pPr>
            <w:r>
              <w:rPr>
                <w:noProof/>
              </w:rPr>
              <w:t>  31</w:t>
            </w:r>
          </w:p>
        </w:tc>
        <w:tc>
          <w:tcPr>
            <w:tcW w:w="488" w:type="dxa"/>
            <w:tcBorders>
              <w:top w:val="nil"/>
              <w:left w:val="nil"/>
              <w:bottom w:val="single" w:sz="6" w:space="0" w:color="auto"/>
              <w:right w:val="single" w:sz="6" w:space="0" w:color="auto"/>
            </w:tcBorders>
            <w:shd w:val="clear" w:color="auto" w:fill="C6EFCE"/>
            <w:hideMark/>
          </w:tcPr>
          <w:p w14:paraId="79BBE246" w14:textId="77777777" w:rsidR="003A3D51" w:rsidRDefault="0002775A">
            <w:pPr>
              <w:pStyle w:val="P68B1DB1-Normal24"/>
              <w:spacing w:after="0" w:line="240" w:lineRule="auto"/>
              <w:jc w:val="center"/>
              <w:textAlignment w:val="baseline"/>
              <w:rPr>
                <w:noProof/>
              </w:rPr>
            </w:pPr>
            <w:r>
              <w:rPr>
                <w:noProof/>
              </w:rPr>
              <w:t>KVARTAL 4  </w:t>
            </w:r>
          </w:p>
        </w:tc>
        <w:tc>
          <w:tcPr>
            <w:tcW w:w="847" w:type="dxa"/>
            <w:tcBorders>
              <w:top w:val="nil"/>
              <w:left w:val="nil"/>
              <w:bottom w:val="single" w:sz="6" w:space="0" w:color="auto"/>
              <w:right w:val="single" w:sz="6" w:space="0" w:color="auto"/>
            </w:tcBorders>
            <w:shd w:val="clear" w:color="auto" w:fill="C6EFCE"/>
            <w:hideMark/>
          </w:tcPr>
          <w:p w14:paraId="37E4886C" w14:textId="77777777" w:rsidR="003A3D51" w:rsidRDefault="0002775A">
            <w:pPr>
              <w:pStyle w:val="P68B1DB1-Normal24"/>
              <w:spacing w:after="0" w:line="240" w:lineRule="auto"/>
              <w:jc w:val="center"/>
              <w:textAlignment w:val="baseline"/>
              <w:rPr>
                <w:noProof/>
              </w:rPr>
            </w:pPr>
            <w:r>
              <w:rPr>
                <w:noProof/>
              </w:rPr>
              <w:t>  2025</w:t>
            </w:r>
          </w:p>
        </w:tc>
        <w:tc>
          <w:tcPr>
            <w:tcW w:w="3119" w:type="dxa"/>
            <w:tcBorders>
              <w:top w:val="nil"/>
              <w:left w:val="nil"/>
              <w:bottom w:val="single" w:sz="6" w:space="0" w:color="auto"/>
              <w:right w:val="single" w:sz="6" w:space="0" w:color="auto"/>
            </w:tcBorders>
            <w:shd w:val="clear" w:color="auto" w:fill="C6EFCE"/>
            <w:hideMark/>
          </w:tcPr>
          <w:p w14:paraId="55526DC7" w14:textId="77777777" w:rsidR="003A3D51" w:rsidRDefault="0002775A">
            <w:pPr>
              <w:pStyle w:val="P68B1DB1-Normal25"/>
              <w:spacing w:after="200" w:line="276" w:lineRule="auto"/>
              <w:rPr>
                <w:rFonts w:eastAsia="Calibri"/>
                <w:noProof/>
              </w:rPr>
            </w:pPr>
            <w:r>
              <w:rPr>
                <w:noProof/>
              </w:rPr>
              <w:t>Minst 19 ytterligare avloppsreningsverk ska byggas och tas i drift.</w:t>
            </w:r>
            <w:r>
              <w:rPr>
                <w:noProof/>
              </w:rPr>
              <w:br/>
            </w:r>
            <w:bookmarkStart w:id="3" w:name="_Int_CkpqEWm3"/>
            <w:bookmarkEnd w:id="3"/>
          </w:p>
          <w:p w14:paraId="564A3D43" w14:textId="77777777" w:rsidR="003A3D51" w:rsidRDefault="003A3D51">
            <w:pPr>
              <w:spacing w:after="200" w:line="276" w:lineRule="auto"/>
              <w:rPr>
                <w:rFonts w:eastAsia="Calibri" w:cstheme="minorHAnsi"/>
                <w:noProof/>
                <w:sz w:val="20"/>
              </w:rPr>
            </w:pPr>
          </w:p>
        </w:tc>
      </w:tr>
      <w:tr w:rsidR="003A3D51" w14:paraId="6B4A8252" w14:textId="77777777">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6EAB800C" w14:textId="57EFC4BE" w:rsidR="003A3D51" w:rsidRDefault="0002775A">
            <w:pPr>
              <w:pStyle w:val="P68B1DB1-Normal25"/>
              <w:spacing w:after="0" w:line="240" w:lineRule="auto"/>
              <w:jc w:val="center"/>
              <w:textAlignment w:val="baseline"/>
              <w:rPr>
                <w:rFonts w:eastAsia="Times New Roman"/>
                <w:noProof/>
              </w:rPr>
            </w:pPr>
            <w:r>
              <w:rPr>
                <w:noProof/>
              </w:rPr>
              <w:t>389</w:t>
            </w:r>
          </w:p>
        </w:tc>
        <w:tc>
          <w:tcPr>
            <w:tcW w:w="1223" w:type="dxa"/>
            <w:tcBorders>
              <w:top w:val="nil"/>
              <w:left w:val="nil"/>
              <w:bottom w:val="single" w:sz="6" w:space="0" w:color="auto"/>
              <w:right w:val="single" w:sz="6" w:space="0" w:color="auto"/>
            </w:tcBorders>
            <w:shd w:val="clear" w:color="auto" w:fill="C6EFCE"/>
            <w:hideMark/>
          </w:tcPr>
          <w:p w14:paraId="445C3FF9" w14:textId="0990635B" w:rsidR="003A3D51" w:rsidRDefault="0002775A">
            <w:pPr>
              <w:pStyle w:val="P68B1DB1-Normal24"/>
              <w:spacing w:after="0" w:line="240" w:lineRule="auto"/>
              <w:jc w:val="center"/>
              <w:rPr>
                <w:noProof/>
              </w:rPr>
            </w:pPr>
            <w:r>
              <w:rPr>
                <w:noProof/>
              </w:rPr>
              <w:t>C1.3 R3-I1</w:t>
            </w:r>
          </w:p>
        </w:tc>
        <w:tc>
          <w:tcPr>
            <w:tcW w:w="855" w:type="dxa"/>
            <w:tcBorders>
              <w:top w:val="nil"/>
              <w:left w:val="nil"/>
              <w:bottom w:val="single" w:sz="6" w:space="0" w:color="auto"/>
              <w:right w:val="single" w:sz="6" w:space="0" w:color="auto"/>
            </w:tcBorders>
            <w:shd w:val="clear" w:color="auto" w:fill="C6EFCE"/>
            <w:hideMark/>
          </w:tcPr>
          <w:p w14:paraId="220F17CA" w14:textId="33056CC2" w:rsidR="003A3D51" w:rsidRDefault="0002775A">
            <w:pPr>
              <w:pStyle w:val="P68B1DB1-Normal24"/>
              <w:spacing w:after="0" w:line="240" w:lineRule="auto"/>
              <w:jc w:val="center"/>
              <w:rPr>
                <w:noProof/>
              </w:rPr>
            </w:pPr>
            <w:r>
              <w:rPr>
                <w:noProof/>
              </w:rPr>
              <w:t>T</w:t>
            </w:r>
          </w:p>
          <w:p w14:paraId="38105C2D" w14:textId="77777777" w:rsidR="003A3D51" w:rsidRDefault="003A3D51">
            <w:pPr>
              <w:spacing w:after="0" w:line="240" w:lineRule="auto"/>
              <w:jc w:val="center"/>
              <w:rPr>
                <w:rFonts w:eastAsia="Times New Roman" w:cstheme="minorHAnsi"/>
                <w:noProof/>
                <w:sz w:val="20"/>
              </w:rPr>
            </w:pPr>
          </w:p>
        </w:tc>
        <w:tc>
          <w:tcPr>
            <w:tcW w:w="2410" w:type="dxa"/>
            <w:tcBorders>
              <w:top w:val="nil"/>
              <w:left w:val="nil"/>
              <w:bottom w:val="single" w:sz="6" w:space="0" w:color="auto"/>
              <w:right w:val="single" w:sz="6" w:space="0" w:color="auto"/>
            </w:tcBorders>
            <w:shd w:val="clear" w:color="auto" w:fill="C6EFCE"/>
            <w:hideMark/>
          </w:tcPr>
          <w:p w14:paraId="66AD023D" w14:textId="466993F2" w:rsidR="003A3D51" w:rsidRDefault="0002775A">
            <w:pPr>
              <w:pStyle w:val="P68B1DB1-Normal27"/>
              <w:spacing w:after="0" w:line="240" w:lineRule="auto"/>
              <w:jc w:val="both"/>
              <w:rPr>
                <w:noProof/>
              </w:rPr>
            </w:pPr>
            <w:r>
              <w:rPr>
                <w:noProof/>
              </w:rPr>
              <w:t>Offentligt avloppsnät som uppförts eller rekonstruerats</w:t>
            </w:r>
          </w:p>
          <w:p w14:paraId="163BBA7A" w14:textId="77777777" w:rsidR="003A3D51" w:rsidRDefault="003A3D51">
            <w:pPr>
              <w:spacing w:after="0" w:line="240" w:lineRule="auto"/>
              <w:jc w:val="both"/>
              <w:rPr>
                <w:rFonts w:eastAsia="Times New Roman" w:cstheme="minorHAnsi"/>
                <w:noProof/>
                <w:sz w:val="20"/>
              </w:rPr>
            </w:pPr>
          </w:p>
        </w:tc>
        <w:tc>
          <w:tcPr>
            <w:tcW w:w="1981" w:type="dxa"/>
            <w:tcBorders>
              <w:top w:val="nil"/>
              <w:left w:val="nil"/>
              <w:bottom w:val="single" w:sz="6" w:space="0" w:color="auto"/>
              <w:right w:val="single" w:sz="6" w:space="0" w:color="auto"/>
            </w:tcBorders>
            <w:shd w:val="clear" w:color="auto" w:fill="C6EFCE"/>
            <w:hideMark/>
          </w:tcPr>
          <w:p w14:paraId="0C6D8568" w14:textId="77777777" w:rsidR="003A3D51" w:rsidRDefault="003A3D51">
            <w:pPr>
              <w:spacing w:after="0" w:line="240" w:lineRule="auto"/>
              <w:jc w:val="both"/>
              <w:rPr>
                <w:rFonts w:eastAsia="Times New Roman" w:cstheme="minorHAnsi"/>
                <w:noProof/>
                <w:sz w:val="20"/>
              </w:rPr>
            </w:pPr>
          </w:p>
        </w:tc>
        <w:tc>
          <w:tcPr>
            <w:tcW w:w="955" w:type="dxa"/>
            <w:tcBorders>
              <w:top w:val="nil"/>
              <w:left w:val="nil"/>
              <w:bottom w:val="single" w:sz="6" w:space="0" w:color="auto"/>
              <w:right w:val="single" w:sz="6" w:space="0" w:color="auto"/>
            </w:tcBorders>
            <w:shd w:val="clear" w:color="auto" w:fill="C6EFCE"/>
            <w:hideMark/>
          </w:tcPr>
          <w:p w14:paraId="60A3AB44" w14:textId="77777777" w:rsidR="003A3D51" w:rsidRDefault="0002775A">
            <w:pPr>
              <w:pStyle w:val="P68B1DB1-Normal24"/>
              <w:spacing w:after="0" w:line="240" w:lineRule="auto"/>
              <w:jc w:val="both"/>
              <w:rPr>
                <w:noProof/>
              </w:rPr>
            </w:pPr>
            <w:r>
              <w:rPr>
                <w:noProof/>
              </w:rPr>
              <w:t xml:space="preserve">   Antal </w:t>
            </w:r>
          </w:p>
          <w:p w14:paraId="01EE2A4C" w14:textId="77777777" w:rsidR="003A3D51" w:rsidRDefault="003A3D51">
            <w:pPr>
              <w:spacing w:after="0" w:line="240" w:lineRule="auto"/>
              <w:jc w:val="both"/>
              <w:rPr>
                <w:rFonts w:eastAsia="Times New Roman" w:cstheme="minorHAnsi"/>
                <w:noProof/>
                <w:sz w:val="20"/>
              </w:rPr>
            </w:pPr>
          </w:p>
        </w:tc>
        <w:tc>
          <w:tcPr>
            <w:tcW w:w="1123" w:type="dxa"/>
            <w:tcBorders>
              <w:top w:val="nil"/>
              <w:left w:val="nil"/>
              <w:bottom w:val="single" w:sz="6" w:space="0" w:color="auto"/>
              <w:right w:val="single" w:sz="6" w:space="0" w:color="auto"/>
            </w:tcBorders>
            <w:shd w:val="clear" w:color="auto" w:fill="C6EFCE"/>
            <w:hideMark/>
          </w:tcPr>
          <w:p w14:paraId="28D949E0" w14:textId="77777777" w:rsidR="003A3D51" w:rsidRDefault="0002775A">
            <w:pPr>
              <w:pStyle w:val="P68B1DB1-Normal24"/>
              <w:spacing w:after="0" w:line="240" w:lineRule="auto"/>
              <w:jc w:val="center"/>
              <w:textAlignment w:val="baseline"/>
              <w:rPr>
                <w:noProof/>
              </w:rPr>
            </w:pPr>
            <w:r>
              <w:rPr>
                <w:noProof/>
              </w:rPr>
              <w:t> 775</w:t>
            </w:r>
          </w:p>
        </w:tc>
        <w:tc>
          <w:tcPr>
            <w:tcW w:w="981" w:type="dxa"/>
            <w:tcBorders>
              <w:top w:val="nil"/>
              <w:left w:val="nil"/>
              <w:bottom w:val="single" w:sz="6" w:space="0" w:color="auto"/>
              <w:right w:val="single" w:sz="6" w:space="0" w:color="auto"/>
            </w:tcBorders>
            <w:shd w:val="clear" w:color="auto" w:fill="C6EFCE"/>
            <w:hideMark/>
          </w:tcPr>
          <w:p w14:paraId="32F3ECEC" w14:textId="77777777" w:rsidR="003A3D51" w:rsidRDefault="0002775A">
            <w:pPr>
              <w:pStyle w:val="P68B1DB1-Normal24"/>
              <w:spacing w:after="0" w:line="240" w:lineRule="auto"/>
              <w:jc w:val="center"/>
              <w:textAlignment w:val="baseline"/>
              <w:rPr>
                <w:noProof/>
              </w:rPr>
            </w:pPr>
            <w:r>
              <w:rPr>
                <w:noProof/>
              </w:rPr>
              <w:t>  851</w:t>
            </w:r>
          </w:p>
        </w:tc>
        <w:tc>
          <w:tcPr>
            <w:tcW w:w="488" w:type="dxa"/>
            <w:tcBorders>
              <w:top w:val="nil"/>
              <w:left w:val="nil"/>
              <w:bottom w:val="single" w:sz="6" w:space="0" w:color="auto"/>
              <w:right w:val="single" w:sz="6" w:space="0" w:color="auto"/>
            </w:tcBorders>
            <w:shd w:val="clear" w:color="auto" w:fill="C6EFCE"/>
            <w:hideMark/>
          </w:tcPr>
          <w:p w14:paraId="52D4DC58" w14:textId="77777777" w:rsidR="003A3D51" w:rsidRDefault="0002775A">
            <w:pPr>
              <w:pStyle w:val="P68B1DB1-Normal24"/>
              <w:spacing w:after="0" w:line="240" w:lineRule="auto"/>
              <w:jc w:val="center"/>
              <w:textAlignment w:val="baseline"/>
              <w:rPr>
                <w:noProof/>
              </w:rPr>
            </w:pPr>
            <w:r>
              <w:rPr>
                <w:noProof/>
              </w:rPr>
              <w:t>  KVARTAL 4</w:t>
            </w:r>
          </w:p>
        </w:tc>
        <w:tc>
          <w:tcPr>
            <w:tcW w:w="847" w:type="dxa"/>
            <w:tcBorders>
              <w:top w:val="nil"/>
              <w:left w:val="nil"/>
              <w:bottom w:val="single" w:sz="6" w:space="0" w:color="auto"/>
              <w:right w:val="single" w:sz="6" w:space="0" w:color="auto"/>
            </w:tcBorders>
            <w:shd w:val="clear" w:color="auto" w:fill="C6EFCE"/>
            <w:hideMark/>
          </w:tcPr>
          <w:p w14:paraId="4B16082A" w14:textId="77777777" w:rsidR="003A3D51" w:rsidRDefault="0002775A">
            <w:pPr>
              <w:pStyle w:val="P68B1DB1-Normal24"/>
              <w:spacing w:after="0" w:line="240" w:lineRule="auto"/>
              <w:jc w:val="center"/>
              <w:textAlignment w:val="baseline"/>
              <w:rPr>
                <w:noProof/>
              </w:rPr>
            </w:pPr>
            <w:r>
              <w:rPr>
                <w:noProof/>
              </w:rPr>
              <w:t>2025  </w:t>
            </w:r>
          </w:p>
        </w:tc>
        <w:tc>
          <w:tcPr>
            <w:tcW w:w="3119" w:type="dxa"/>
            <w:tcBorders>
              <w:top w:val="nil"/>
              <w:left w:val="nil"/>
              <w:bottom w:val="single" w:sz="6" w:space="0" w:color="auto"/>
              <w:right w:val="single" w:sz="6" w:space="0" w:color="auto"/>
            </w:tcBorders>
            <w:shd w:val="clear" w:color="auto" w:fill="C6EFCE"/>
            <w:hideMark/>
          </w:tcPr>
          <w:p w14:paraId="27441830" w14:textId="77777777" w:rsidR="003A3D51" w:rsidRDefault="0002775A">
            <w:pPr>
              <w:pStyle w:val="P68B1DB1-Normal17"/>
              <w:spacing w:after="200" w:line="276" w:lineRule="auto"/>
              <w:rPr>
                <w:noProof/>
              </w:rPr>
            </w:pPr>
            <w:r>
              <w:rPr>
                <w:noProof/>
              </w:rPr>
              <w:t>Minst ytterligare 76 km av det allmänna avloppsnätet ska byggas eller byggas om.</w:t>
            </w:r>
          </w:p>
          <w:p w14:paraId="7A60B69C" w14:textId="77777777" w:rsidR="003A3D51" w:rsidRDefault="003A3D51">
            <w:pPr>
              <w:spacing w:after="200" w:line="276" w:lineRule="auto"/>
              <w:rPr>
                <w:rFonts w:eastAsia="Calibri" w:cstheme="minorHAnsi"/>
                <w:noProof/>
                <w:sz w:val="20"/>
              </w:rPr>
            </w:pPr>
          </w:p>
        </w:tc>
      </w:tr>
      <w:tr w:rsidR="003A3D51" w14:paraId="515E6E49" w14:textId="77777777">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2476632D" w14:textId="07DB9B7F" w:rsidR="003A3D51" w:rsidRDefault="0002775A">
            <w:pPr>
              <w:pStyle w:val="P68B1DB1-Normal25"/>
              <w:spacing w:after="0" w:line="240" w:lineRule="auto"/>
              <w:jc w:val="center"/>
              <w:textAlignment w:val="baseline"/>
              <w:rPr>
                <w:noProof/>
                <w:highlight w:val="yellow"/>
              </w:rPr>
            </w:pPr>
            <w:r>
              <w:rPr>
                <w:noProof/>
              </w:rPr>
              <w:t>390 </w:t>
            </w:r>
          </w:p>
        </w:tc>
        <w:tc>
          <w:tcPr>
            <w:tcW w:w="1223" w:type="dxa"/>
            <w:tcBorders>
              <w:top w:val="nil"/>
              <w:left w:val="nil"/>
              <w:bottom w:val="single" w:sz="6" w:space="0" w:color="auto"/>
              <w:right w:val="single" w:sz="6" w:space="0" w:color="auto"/>
            </w:tcBorders>
            <w:shd w:val="clear" w:color="auto" w:fill="C6EFCE"/>
            <w:hideMark/>
          </w:tcPr>
          <w:p w14:paraId="3A606910" w14:textId="3D67044F" w:rsidR="003A3D51" w:rsidRDefault="0002775A">
            <w:pPr>
              <w:pStyle w:val="P68B1DB1-Normal24"/>
              <w:spacing w:after="0" w:line="240" w:lineRule="auto"/>
              <w:jc w:val="center"/>
              <w:rPr>
                <w:noProof/>
              </w:rPr>
            </w:pPr>
            <w:r>
              <w:rPr>
                <w:noProof/>
              </w:rPr>
              <w:t>C1.3 R3-I1</w:t>
            </w:r>
          </w:p>
        </w:tc>
        <w:tc>
          <w:tcPr>
            <w:tcW w:w="855" w:type="dxa"/>
            <w:tcBorders>
              <w:top w:val="nil"/>
              <w:left w:val="nil"/>
              <w:bottom w:val="single" w:sz="6" w:space="0" w:color="auto"/>
              <w:right w:val="single" w:sz="6" w:space="0" w:color="auto"/>
            </w:tcBorders>
            <w:shd w:val="clear" w:color="auto" w:fill="C6EFCE"/>
            <w:hideMark/>
          </w:tcPr>
          <w:p w14:paraId="1FAB70A4" w14:textId="084B1815" w:rsidR="003A3D51" w:rsidRDefault="0002775A">
            <w:pPr>
              <w:pStyle w:val="P68B1DB1-Normal24"/>
              <w:spacing w:after="0" w:line="240" w:lineRule="auto"/>
              <w:jc w:val="center"/>
              <w:rPr>
                <w:noProof/>
              </w:rPr>
            </w:pPr>
            <w:r>
              <w:rPr>
                <w:noProof/>
              </w:rPr>
              <w:t>T</w:t>
            </w:r>
          </w:p>
        </w:tc>
        <w:tc>
          <w:tcPr>
            <w:tcW w:w="2410" w:type="dxa"/>
            <w:tcBorders>
              <w:top w:val="nil"/>
              <w:left w:val="nil"/>
              <w:bottom w:val="single" w:sz="6" w:space="0" w:color="auto"/>
              <w:right w:val="single" w:sz="6" w:space="0" w:color="auto"/>
            </w:tcBorders>
            <w:shd w:val="clear" w:color="auto" w:fill="C6EFCE"/>
            <w:hideMark/>
          </w:tcPr>
          <w:p w14:paraId="0F0D17A7" w14:textId="77777777" w:rsidR="003A3D51" w:rsidRDefault="0002775A">
            <w:pPr>
              <w:pStyle w:val="P68B1DB1-Normal25"/>
              <w:spacing w:after="0" w:line="240" w:lineRule="auto"/>
              <w:jc w:val="both"/>
              <w:rPr>
                <w:rFonts w:eastAsia="Times New Roman"/>
                <w:noProof/>
              </w:rPr>
            </w:pPr>
            <w:r>
              <w:rPr>
                <w:noProof/>
              </w:rPr>
              <w:t>Befolkning som gynnas av förbättrad tillgång till ett förbättrat system för rening av avloppsvatten</w:t>
            </w:r>
          </w:p>
        </w:tc>
        <w:tc>
          <w:tcPr>
            <w:tcW w:w="1981" w:type="dxa"/>
            <w:tcBorders>
              <w:top w:val="nil"/>
              <w:left w:val="nil"/>
              <w:bottom w:val="single" w:sz="6" w:space="0" w:color="auto"/>
              <w:right w:val="single" w:sz="6" w:space="0" w:color="auto"/>
            </w:tcBorders>
            <w:shd w:val="clear" w:color="auto" w:fill="C6EFCE"/>
            <w:hideMark/>
          </w:tcPr>
          <w:p w14:paraId="04510D81" w14:textId="77777777" w:rsidR="003A3D51" w:rsidRDefault="003A3D51">
            <w:pPr>
              <w:spacing w:after="0" w:line="240" w:lineRule="auto"/>
              <w:jc w:val="both"/>
              <w:rPr>
                <w:rFonts w:eastAsia="Times New Roman" w:cstheme="minorHAnsi"/>
                <w:noProof/>
                <w:sz w:val="20"/>
              </w:rPr>
            </w:pPr>
          </w:p>
        </w:tc>
        <w:tc>
          <w:tcPr>
            <w:tcW w:w="955" w:type="dxa"/>
            <w:tcBorders>
              <w:top w:val="nil"/>
              <w:left w:val="nil"/>
              <w:bottom w:val="single" w:sz="6" w:space="0" w:color="auto"/>
              <w:right w:val="single" w:sz="6" w:space="0" w:color="auto"/>
            </w:tcBorders>
            <w:shd w:val="clear" w:color="auto" w:fill="C6EFCE"/>
            <w:hideMark/>
          </w:tcPr>
          <w:p w14:paraId="347FCB4E" w14:textId="77777777" w:rsidR="003A3D51" w:rsidRDefault="0002775A">
            <w:pPr>
              <w:pStyle w:val="P68B1DB1-Normal24"/>
              <w:spacing w:after="0" w:line="240" w:lineRule="auto"/>
              <w:jc w:val="center"/>
              <w:textAlignment w:val="baseline"/>
              <w:rPr>
                <w:noProof/>
              </w:rPr>
            </w:pPr>
            <w:r>
              <w:rPr>
                <w:noProof/>
              </w:rPr>
              <w:t>Antal</w:t>
            </w:r>
          </w:p>
        </w:tc>
        <w:tc>
          <w:tcPr>
            <w:tcW w:w="1123" w:type="dxa"/>
            <w:tcBorders>
              <w:top w:val="nil"/>
              <w:left w:val="nil"/>
              <w:bottom w:val="single" w:sz="6" w:space="0" w:color="auto"/>
              <w:right w:val="single" w:sz="6" w:space="0" w:color="auto"/>
            </w:tcBorders>
            <w:shd w:val="clear" w:color="auto" w:fill="C6EFCE"/>
            <w:hideMark/>
          </w:tcPr>
          <w:p w14:paraId="25A74714" w14:textId="77777777" w:rsidR="003A3D51" w:rsidRDefault="0002775A">
            <w:pPr>
              <w:pStyle w:val="P68B1DB1-Normal24"/>
              <w:spacing w:after="0" w:line="240" w:lineRule="auto"/>
              <w:jc w:val="center"/>
              <w:textAlignment w:val="baseline"/>
              <w:rPr>
                <w:noProof/>
              </w:rPr>
            </w:pPr>
            <w:r>
              <w:rPr>
                <w:noProof/>
              </w:rPr>
              <w:t>200.000</w:t>
            </w:r>
          </w:p>
        </w:tc>
        <w:tc>
          <w:tcPr>
            <w:tcW w:w="981" w:type="dxa"/>
            <w:tcBorders>
              <w:top w:val="nil"/>
              <w:left w:val="nil"/>
              <w:bottom w:val="single" w:sz="6" w:space="0" w:color="auto"/>
              <w:right w:val="single" w:sz="6" w:space="0" w:color="auto"/>
            </w:tcBorders>
            <w:shd w:val="clear" w:color="auto" w:fill="C6EFCE"/>
            <w:hideMark/>
          </w:tcPr>
          <w:p w14:paraId="1D5E98A5" w14:textId="77777777" w:rsidR="003A3D51" w:rsidRDefault="0002775A">
            <w:pPr>
              <w:pStyle w:val="P68B1DB1-Normal24"/>
              <w:spacing w:after="0" w:line="240" w:lineRule="auto"/>
              <w:jc w:val="center"/>
              <w:textAlignment w:val="baseline"/>
              <w:rPr>
                <w:noProof/>
              </w:rPr>
            </w:pPr>
            <w:r>
              <w:rPr>
                <w:noProof/>
              </w:rPr>
              <w:t>220.000</w:t>
            </w:r>
          </w:p>
        </w:tc>
        <w:tc>
          <w:tcPr>
            <w:tcW w:w="488" w:type="dxa"/>
            <w:tcBorders>
              <w:top w:val="nil"/>
              <w:left w:val="nil"/>
              <w:bottom w:val="single" w:sz="6" w:space="0" w:color="auto"/>
              <w:right w:val="single" w:sz="6" w:space="0" w:color="auto"/>
            </w:tcBorders>
            <w:shd w:val="clear" w:color="auto" w:fill="C6EFCE"/>
            <w:hideMark/>
          </w:tcPr>
          <w:p w14:paraId="5112A544" w14:textId="77777777" w:rsidR="003A3D51" w:rsidRDefault="0002775A">
            <w:pPr>
              <w:pStyle w:val="P68B1DB1-Normal24"/>
              <w:spacing w:after="0" w:line="240" w:lineRule="auto"/>
              <w:jc w:val="center"/>
              <w:textAlignment w:val="baseline"/>
              <w:rPr>
                <w:noProof/>
              </w:rPr>
            </w:pPr>
            <w:r>
              <w:rPr>
                <w:noProof/>
              </w:rPr>
              <w:t>KVARTAL 2</w:t>
            </w:r>
          </w:p>
        </w:tc>
        <w:tc>
          <w:tcPr>
            <w:tcW w:w="847" w:type="dxa"/>
            <w:tcBorders>
              <w:top w:val="nil"/>
              <w:left w:val="nil"/>
              <w:bottom w:val="single" w:sz="6" w:space="0" w:color="auto"/>
              <w:right w:val="single" w:sz="6" w:space="0" w:color="auto"/>
            </w:tcBorders>
            <w:shd w:val="clear" w:color="auto" w:fill="C6EFCE"/>
            <w:hideMark/>
          </w:tcPr>
          <w:p w14:paraId="535B0BCD" w14:textId="77777777" w:rsidR="003A3D51" w:rsidRDefault="0002775A">
            <w:pPr>
              <w:pStyle w:val="P68B1DB1-Normal24"/>
              <w:spacing w:after="0" w:line="240" w:lineRule="auto"/>
              <w:jc w:val="center"/>
              <w:textAlignment w:val="baseline"/>
              <w:rPr>
                <w:noProof/>
              </w:rPr>
            </w:pPr>
            <w:r>
              <w:rPr>
                <w:noProof/>
              </w:rPr>
              <w:t>2026</w:t>
            </w:r>
          </w:p>
        </w:tc>
        <w:tc>
          <w:tcPr>
            <w:tcW w:w="3119" w:type="dxa"/>
            <w:tcBorders>
              <w:top w:val="nil"/>
              <w:left w:val="nil"/>
              <w:bottom w:val="single" w:sz="6" w:space="0" w:color="auto"/>
              <w:right w:val="single" w:sz="6" w:space="0" w:color="auto"/>
            </w:tcBorders>
            <w:shd w:val="clear" w:color="auto" w:fill="C6EFCE"/>
            <w:hideMark/>
          </w:tcPr>
          <w:p w14:paraId="66E0991A" w14:textId="77777777" w:rsidR="003A3D51" w:rsidRDefault="0002775A">
            <w:pPr>
              <w:pStyle w:val="P68B1DB1-Normal17"/>
              <w:spacing w:after="200" w:line="276" w:lineRule="auto"/>
              <w:rPr>
                <w:noProof/>
              </w:rPr>
            </w:pPr>
            <w:r>
              <w:rPr>
                <w:noProof/>
              </w:rPr>
              <w:t xml:space="preserve">Minst 20.000 ytterligare invånare som drar nytta av förbättrade avloppstjänster.  </w:t>
            </w:r>
          </w:p>
        </w:tc>
      </w:tr>
      <w:tr w:rsidR="003A3D51" w14:paraId="730CBD98" w14:textId="77777777">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2EB9B951" w14:textId="32344097" w:rsidR="003A3D51" w:rsidRDefault="0002775A">
            <w:pPr>
              <w:pStyle w:val="P68B1DB1-Normal25"/>
              <w:spacing w:after="0" w:line="240" w:lineRule="auto"/>
              <w:jc w:val="center"/>
              <w:rPr>
                <w:noProof/>
              </w:rPr>
            </w:pPr>
            <w:r>
              <w:rPr>
                <w:noProof/>
              </w:rPr>
              <w:t>391 </w:t>
            </w:r>
          </w:p>
          <w:p w14:paraId="26072741" w14:textId="77777777" w:rsidR="003A3D51" w:rsidRDefault="003A3D51">
            <w:pPr>
              <w:spacing w:after="200" w:line="276" w:lineRule="auto"/>
              <w:jc w:val="center"/>
              <w:rPr>
                <w:rFonts w:eastAsia="Calibri" w:cstheme="minorHAnsi"/>
                <w:noProof/>
                <w:sz w:val="20"/>
              </w:rPr>
            </w:pPr>
          </w:p>
        </w:tc>
        <w:tc>
          <w:tcPr>
            <w:tcW w:w="1223" w:type="dxa"/>
            <w:tcBorders>
              <w:top w:val="nil"/>
              <w:left w:val="nil"/>
              <w:bottom w:val="single" w:sz="6" w:space="0" w:color="auto"/>
              <w:right w:val="single" w:sz="6" w:space="0" w:color="auto"/>
            </w:tcBorders>
            <w:shd w:val="clear" w:color="auto" w:fill="C6EFCE"/>
            <w:hideMark/>
          </w:tcPr>
          <w:p w14:paraId="7B799F62" w14:textId="0340587A" w:rsidR="003A3D51" w:rsidRDefault="0002775A">
            <w:pPr>
              <w:pStyle w:val="P68B1DB1-Normal24"/>
              <w:spacing w:after="0" w:line="240" w:lineRule="auto"/>
              <w:jc w:val="center"/>
              <w:rPr>
                <w:rFonts w:eastAsia="Calibri"/>
                <w:noProof/>
              </w:rPr>
            </w:pPr>
            <w:r>
              <w:rPr>
                <w:noProof/>
              </w:rPr>
              <w:t>C1.3 R3-I2</w:t>
            </w:r>
          </w:p>
        </w:tc>
        <w:tc>
          <w:tcPr>
            <w:tcW w:w="855" w:type="dxa"/>
            <w:tcBorders>
              <w:top w:val="nil"/>
              <w:left w:val="nil"/>
              <w:bottom w:val="single" w:sz="6" w:space="0" w:color="auto"/>
              <w:right w:val="single" w:sz="6" w:space="0" w:color="auto"/>
            </w:tcBorders>
            <w:shd w:val="clear" w:color="auto" w:fill="C6EFCE"/>
            <w:hideMark/>
          </w:tcPr>
          <w:p w14:paraId="03E46A57" w14:textId="45CCF3C2" w:rsidR="003A3D51" w:rsidRDefault="0002775A">
            <w:pPr>
              <w:pStyle w:val="P68B1DB1-Normal24"/>
              <w:spacing w:after="0" w:line="240" w:lineRule="auto"/>
              <w:jc w:val="center"/>
              <w:rPr>
                <w:rFonts w:eastAsia="Calibri"/>
                <w:noProof/>
              </w:rPr>
            </w:pPr>
            <w:r>
              <w:rPr>
                <w:noProof/>
              </w:rPr>
              <w:t>T</w:t>
            </w:r>
          </w:p>
        </w:tc>
        <w:tc>
          <w:tcPr>
            <w:tcW w:w="2410" w:type="dxa"/>
            <w:tcBorders>
              <w:top w:val="nil"/>
              <w:left w:val="nil"/>
              <w:bottom w:val="single" w:sz="6" w:space="0" w:color="auto"/>
              <w:right w:val="single" w:sz="6" w:space="0" w:color="auto"/>
            </w:tcBorders>
            <w:shd w:val="clear" w:color="auto" w:fill="C6EFCE"/>
            <w:hideMark/>
          </w:tcPr>
          <w:p w14:paraId="6CD04945" w14:textId="77777777" w:rsidR="003A3D51" w:rsidRDefault="0002775A">
            <w:pPr>
              <w:pStyle w:val="P68B1DB1-Normal17"/>
              <w:spacing w:after="200" w:line="276" w:lineRule="auto"/>
              <w:rPr>
                <w:noProof/>
              </w:rPr>
            </w:pPr>
            <w:r>
              <w:rPr>
                <w:noProof/>
              </w:rPr>
              <w:t xml:space="preserve">Allmänt vattenförsörjningsnät konstruerat eller ombyggt </w:t>
            </w:r>
          </w:p>
        </w:tc>
        <w:tc>
          <w:tcPr>
            <w:tcW w:w="1981" w:type="dxa"/>
            <w:tcBorders>
              <w:top w:val="nil"/>
              <w:left w:val="nil"/>
              <w:bottom w:val="single" w:sz="6" w:space="0" w:color="auto"/>
              <w:right w:val="single" w:sz="6" w:space="0" w:color="auto"/>
            </w:tcBorders>
            <w:shd w:val="clear" w:color="auto" w:fill="C6EFCE"/>
            <w:hideMark/>
          </w:tcPr>
          <w:p w14:paraId="0D97C8B7" w14:textId="77777777" w:rsidR="003A3D51" w:rsidRDefault="0002775A">
            <w:pPr>
              <w:pStyle w:val="P68B1DB1-Normal28"/>
              <w:spacing w:after="200" w:line="276" w:lineRule="auto"/>
              <w:rPr>
                <w:noProof/>
              </w:rPr>
            </w:pPr>
            <w:r>
              <w:rPr>
                <w:noProof/>
              </w:rPr>
              <w:t xml:space="preserve"> </w:t>
            </w:r>
          </w:p>
        </w:tc>
        <w:tc>
          <w:tcPr>
            <w:tcW w:w="955" w:type="dxa"/>
            <w:tcBorders>
              <w:top w:val="nil"/>
              <w:left w:val="nil"/>
              <w:bottom w:val="single" w:sz="6" w:space="0" w:color="auto"/>
              <w:right w:val="single" w:sz="6" w:space="0" w:color="auto"/>
            </w:tcBorders>
            <w:shd w:val="clear" w:color="auto" w:fill="C6EFCE"/>
            <w:hideMark/>
          </w:tcPr>
          <w:p w14:paraId="12FBD6A5" w14:textId="77777777" w:rsidR="003A3D51" w:rsidRDefault="0002775A">
            <w:pPr>
              <w:pStyle w:val="P68B1DB1-Normal24"/>
              <w:spacing w:after="0" w:line="240" w:lineRule="auto"/>
              <w:jc w:val="center"/>
              <w:textAlignment w:val="baseline"/>
              <w:rPr>
                <w:noProof/>
              </w:rPr>
            </w:pPr>
            <w:r>
              <w:rPr>
                <w:noProof/>
              </w:rPr>
              <w:t>Antal</w:t>
            </w:r>
          </w:p>
        </w:tc>
        <w:tc>
          <w:tcPr>
            <w:tcW w:w="1123" w:type="dxa"/>
            <w:tcBorders>
              <w:top w:val="nil"/>
              <w:left w:val="nil"/>
              <w:bottom w:val="single" w:sz="6" w:space="0" w:color="auto"/>
              <w:right w:val="single" w:sz="6" w:space="0" w:color="auto"/>
            </w:tcBorders>
            <w:shd w:val="clear" w:color="auto" w:fill="C6EFCE"/>
            <w:hideMark/>
          </w:tcPr>
          <w:p w14:paraId="62663A53" w14:textId="77777777" w:rsidR="003A3D51" w:rsidRDefault="0002775A">
            <w:pPr>
              <w:pStyle w:val="P68B1DB1-Normal24"/>
              <w:spacing w:after="0" w:line="240" w:lineRule="auto"/>
              <w:jc w:val="center"/>
              <w:textAlignment w:val="baseline"/>
              <w:rPr>
                <w:noProof/>
              </w:rPr>
            </w:pPr>
            <w:r>
              <w:rPr>
                <w:noProof/>
              </w:rPr>
              <w:t>956</w:t>
            </w:r>
          </w:p>
        </w:tc>
        <w:tc>
          <w:tcPr>
            <w:tcW w:w="981" w:type="dxa"/>
            <w:tcBorders>
              <w:top w:val="nil"/>
              <w:left w:val="nil"/>
              <w:bottom w:val="single" w:sz="6" w:space="0" w:color="auto"/>
              <w:right w:val="single" w:sz="6" w:space="0" w:color="auto"/>
            </w:tcBorders>
            <w:shd w:val="clear" w:color="auto" w:fill="C6EFCE"/>
            <w:hideMark/>
          </w:tcPr>
          <w:p w14:paraId="06D87FD0" w14:textId="77777777" w:rsidR="003A3D51" w:rsidRDefault="0002775A">
            <w:pPr>
              <w:pStyle w:val="P68B1DB1-Normal24"/>
              <w:spacing w:after="0" w:line="240" w:lineRule="auto"/>
              <w:jc w:val="center"/>
              <w:textAlignment w:val="baseline"/>
              <w:rPr>
                <w:noProof/>
              </w:rPr>
            </w:pPr>
            <w:r>
              <w:rPr>
                <w:noProof/>
              </w:rPr>
              <w:t>1087</w:t>
            </w:r>
          </w:p>
        </w:tc>
        <w:tc>
          <w:tcPr>
            <w:tcW w:w="488" w:type="dxa"/>
            <w:tcBorders>
              <w:top w:val="nil"/>
              <w:left w:val="nil"/>
              <w:bottom w:val="single" w:sz="6" w:space="0" w:color="auto"/>
              <w:right w:val="single" w:sz="6" w:space="0" w:color="auto"/>
            </w:tcBorders>
            <w:shd w:val="clear" w:color="auto" w:fill="C6EFCE"/>
            <w:hideMark/>
          </w:tcPr>
          <w:p w14:paraId="3AABF321" w14:textId="77777777" w:rsidR="003A3D51" w:rsidRDefault="0002775A">
            <w:pPr>
              <w:pStyle w:val="P68B1DB1-Normal24"/>
              <w:spacing w:after="0" w:line="240" w:lineRule="auto"/>
              <w:jc w:val="center"/>
              <w:textAlignment w:val="baseline"/>
              <w:rPr>
                <w:noProof/>
              </w:rPr>
            </w:pPr>
            <w:r>
              <w:rPr>
                <w:noProof/>
              </w:rPr>
              <w:t>KVARTAL 4</w:t>
            </w:r>
          </w:p>
        </w:tc>
        <w:tc>
          <w:tcPr>
            <w:tcW w:w="847" w:type="dxa"/>
            <w:tcBorders>
              <w:top w:val="nil"/>
              <w:left w:val="nil"/>
              <w:bottom w:val="single" w:sz="6" w:space="0" w:color="auto"/>
              <w:right w:val="single" w:sz="6" w:space="0" w:color="auto"/>
            </w:tcBorders>
            <w:shd w:val="clear" w:color="auto" w:fill="C6EFCE"/>
            <w:hideMark/>
          </w:tcPr>
          <w:p w14:paraId="719B050A" w14:textId="77777777" w:rsidR="003A3D51" w:rsidRDefault="0002775A">
            <w:pPr>
              <w:pStyle w:val="P68B1DB1-Normal24"/>
              <w:spacing w:after="0" w:line="240" w:lineRule="auto"/>
              <w:jc w:val="center"/>
              <w:textAlignment w:val="baseline"/>
              <w:rPr>
                <w:noProof/>
              </w:rPr>
            </w:pPr>
            <w:r>
              <w:rPr>
                <w:noProof/>
              </w:rPr>
              <w:t>2025</w:t>
            </w:r>
          </w:p>
        </w:tc>
        <w:tc>
          <w:tcPr>
            <w:tcW w:w="3119" w:type="dxa"/>
            <w:tcBorders>
              <w:top w:val="nil"/>
              <w:left w:val="nil"/>
              <w:bottom w:val="single" w:sz="6" w:space="0" w:color="auto"/>
              <w:right w:val="single" w:sz="6" w:space="0" w:color="auto"/>
            </w:tcBorders>
            <w:shd w:val="clear" w:color="auto" w:fill="C6EFCE"/>
            <w:hideMark/>
          </w:tcPr>
          <w:p w14:paraId="631D387B" w14:textId="77777777" w:rsidR="003A3D51" w:rsidRDefault="0002775A">
            <w:pPr>
              <w:pStyle w:val="P68B1DB1-Normal13"/>
              <w:spacing w:after="200" w:line="276" w:lineRule="auto"/>
              <w:rPr>
                <w:rFonts w:eastAsia="Calibri" w:cstheme="minorHAnsi"/>
                <w:noProof/>
              </w:rPr>
            </w:pPr>
            <w:r>
              <w:rPr>
                <w:rFonts w:eastAsia="Calibri" w:cstheme="minorHAnsi"/>
                <w:noProof/>
              </w:rPr>
              <w:t>Minst ytterligare 131 km av det allmänna vattenförsörjningsnätet byggs eller byggs om.</w:t>
            </w:r>
            <w:r>
              <w:rPr>
                <w:rFonts w:eastAsia="Calibri" w:cstheme="minorHAnsi"/>
                <w:noProof/>
                <w:shd w:val="clear" w:color="auto" w:fill="E6E6E6"/>
              </w:rPr>
              <w:t xml:space="preserve"> </w:t>
            </w:r>
            <w:r>
              <w:rPr>
                <w:rFonts w:cstheme="minorHAnsi"/>
                <w:noProof/>
              </w:rPr>
              <w:br/>
            </w:r>
            <w:r>
              <w:rPr>
                <w:rFonts w:eastAsia="Calibri" w:cstheme="minorHAnsi"/>
                <w:noProof/>
                <w:shd w:val="clear" w:color="auto" w:fill="E6E6E6"/>
              </w:rPr>
              <w:t xml:space="preserve"> </w:t>
            </w:r>
          </w:p>
        </w:tc>
      </w:tr>
      <w:tr w:rsidR="003A3D51" w14:paraId="2F1C1B0A" w14:textId="77777777">
        <w:trPr>
          <w:trHeight w:val="300"/>
        </w:trPr>
        <w:tc>
          <w:tcPr>
            <w:tcW w:w="900" w:type="dxa"/>
            <w:tcBorders>
              <w:top w:val="nil"/>
              <w:left w:val="single" w:sz="6" w:space="0" w:color="auto"/>
              <w:bottom w:val="single" w:sz="6" w:space="0" w:color="auto"/>
              <w:right w:val="single" w:sz="6" w:space="0" w:color="auto"/>
            </w:tcBorders>
            <w:shd w:val="clear" w:color="auto" w:fill="C6EFCE"/>
            <w:hideMark/>
          </w:tcPr>
          <w:p w14:paraId="4AD2542C" w14:textId="7F4985A8" w:rsidR="003A3D51" w:rsidRDefault="0002775A">
            <w:pPr>
              <w:pStyle w:val="P68B1DB1-Normal25"/>
              <w:spacing w:after="0" w:line="240" w:lineRule="auto"/>
              <w:jc w:val="center"/>
              <w:rPr>
                <w:noProof/>
              </w:rPr>
            </w:pPr>
            <w:r>
              <w:rPr>
                <w:noProof/>
              </w:rPr>
              <w:t>392</w:t>
            </w:r>
          </w:p>
          <w:p w14:paraId="01F401D1" w14:textId="77777777" w:rsidR="003A3D51" w:rsidRDefault="003A3D51">
            <w:pPr>
              <w:spacing w:after="200" w:line="276" w:lineRule="auto"/>
              <w:jc w:val="center"/>
              <w:rPr>
                <w:rFonts w:eastAsia="Calibri" w:cstheme="minorHAnsi"/>
                <w:noProof/>
                <w:sz w:val="20"/>
              </w:rPr>
            </w:pPr>
          </w:p>
        </w:tc>
        <w:tc>
          <w:tcPr>
            <w:tcW w:w="1223" w:type="dxa"/>
            <w:tcBorders>
              <w:top w:val="nil"/>
              <w:left w:val="nil"/>
              <w:bottom w:val="single" w:sz="6" w:space="0" w:color="auto"/>
              <w:right w:val="single" w:sz="6" w:space="0" w:color="auto"/>
            </w:tcBorders>
            <w:shd w:val="clear" w:color="auto" w:fill="C6EFCE"/>
            <w:hideMark/>
          </w:tcPr>
          <w:p w14:paraId="08F65CA3" w14:textId="568EFF8F" w:rsidR="003A3D51" w:rsidRDefault="0002775A">
            <w:pPr>
              <w:pStyle w:val="P68B1DB1-Normal24"/>
              <w:spacing w:after="0" w:line="240" w:lineRule="auto"/>
              <w:jc w:val="center"/>
              <w:rPr>
                <w:rFonts w:eastAsia="Calibri"/>
                <w:noProof/>
              </w:rPr>
            </w:pPr>
            <w:r>
              <w:rPr>
                <w:noProof/>
              </w:rPr>
              <w:t>C1.3 R3-I2</w:t>
            </w:r>
          </w:p>
        </w:tc>
        <w:tc>
          <w:tcPr>
            <w:tcW w:w="855" w:type="dxa"/>
            <w:tcBorders>
              <w:top w:val="nil"/>
              <w:left w:val="nil"/>
              <w:bottom w:val="single" w:sz="6" w:space="0" w:color="auto"/>
              <w:right w:val="single" w:sz="6" w:space="0" w:color="auto"/>
            </w:tcBorders>
            <w:shd w:val="clear" w:color="auto" w:fill="C6EFCE"/>
            <w:hideMark/>
          </w:tcPr>
          <w:p w14:paraId="6E4C850C" w14:textId="4CF24BF5" w:rsidR="003A3D51" w:rsidRDefault="0002775A">
            <w:pPr>
              <w:pStyle w:val="P68B1DB1-Normal24"/>
              <w:spacing w:after="0" w:line="240" w:lineRule="auto"/>
              <w:jc w:val="center"/>
              <w:rPr>
                <w:rFonts w:eastAsia="Calibri"/>
                <w:noProof/>
              </w:rPr>
            </w:pPr>
            <w:r>
              <w:rPr>
                <w:noProof/>
              </w:rPr>
              <w:t>T</w:t>
            </w:r>
          </w:p>
        </w:tc>
        <w:tc>
          <w:tcPr>
            <w:tcW w:w="2410" w:type="dxa"/>
            <w:tcBorders>
              <w:top w:val="nil"/>
              <w:left w:val="nil"/>
              <w:bottom w:val="single" w:sz="6" w:space="0" w:color="auto"/>
              <w:right w:val="single" w:sz="6" w:space="0" w:color="auto"/>
            </w:tcBorders>
            <w:shd w:val="clear" w:color="auto" w:fill="C6EFCE"/>
            <w:hideMark/>
          </w:tcPr>
          <w:p w14:paraId="08991829" w14:textId="63E0E1AA" w:rsidR="003A3D51" w:rsidRDefault="0002775A">
            <w:pPr>
              <w:pStyle w:val="P68B1DB1-Normal29"/>
              <w:spacing w:after="200" w:line="276" w:lineRule="auto"/>
              <w:rPr>
                <w:noProof/>
              </w:rPr>
            </w:pPr>
            <w:r>
              <w:rPr>
                <w:noProof/>
              </w:rPr>
              <w:t>Befolkning som gynnas av förbättrad tillgång till vattenförsörjning</w:t>
            </w:r>
          </w:p>
        </w:tc>
        <w:tc>
          <w:tcPr>
            <w:tcW w:w="1981" w:type="dxa"/>
            <w:tcBorders>
              <w:top w:val="nil"/>
              <w:left w:val="nil"/>
              <w:bottom w:val="single" w:sz="6" w:space="0" w:color="auto"/>
              <w:right w:val="single" w:sz="6" w:space="0" w:color="auto"/>
            </w:tcBorders>
            <w:shd w:val="clear" w:color="auto" w:fill="C6EFCE"/>
            <w:hideMark/>
          </w:tcPr>
          <w:p w14:paraId="74409C5B" w14:textId="77777777" w:rsidR="003A3D51" w:rsidRDefault="0002775A">
            <w:pPr>
              <w:pStyle w:val="P68B1DB1-Normal28"/>
              <w:spacing w:after="200" w:line="276" w:lineRule="auto"/>
              <w:rPr>
                <w:noProof/>
              </w:rPr>
            </w:pPr>
            <w:r>
              <w:rPr>
                <w:noProof/>
              </w:rPr>
              <w:t xml:space="preserve"> </w:t>
            </w:r>
          </w:p>
        </w:tc>
        <w:tc>
          <w:tcPr>
            <w:tcW w:w="955" w:type="dxa"/>
            <w:tcBorders>
              <w:top w:val="nil"/>
              <w:left w:val="nil"/>
              <w:bottom w:val="single" w:sz="6" w:space="0" w:color="auto"/>
              <w:right w:val="single" w:sz="6" w:space="0" w:color="auto"/>
            </w:tcBorders>
            <w:shd w:val="clear" w:color="auto" w:fill="C6EFCE"/>
            <w:hideMark/>
          </w:tcPr>
          <w:p w14:paraId="6DBB497D" w14:textId="77777777" w:rsidR="003A3D51" w:rsidRDefault="0002775A">
            <w:pPr>
              <w:pStyle w:val="P68B1DB1-Normal24"/>
              <w:spacing w:after="0" w:line="240" w:lineRule="auto"/>
              <w:jc w:val="center"/>
              <w:textAlignment w:val="baseline"/>
              <w:rPr>
                <w:noProof/>
              </w:rPr>
            </w:pPr>
            <w:r>
              <w:rPr>
                <w:noProof/>
              </w:rPr>
              <w:t>Antal</w:t>
            </w:r>
          </w:p>
        </w:tc>
        <w:tc>
          <w:tcPr>
            <w:tcW w:w="1123" w:type="dxa"/>
            <w:tcBorders>
              <w:top w:val="nil"/>
              <w:left w:val="nil"/>
              <w:bottom w:val="single" w:sz="6" w:space="0" w:color="auto"/>
              <w:right w:val="single" w:sz="6" w:space="0" w:color="auto"/>
            </w:tcBorders>
            <w:shd w:val="clear" w:color="auto" w:fill="C6EFCE"/>
            <w:hideMark/>
          </w:tcPr>
          <w:p w14:paraId="44FF391F" w14:textId="77777777" w:rsidR="003A3D51" w:rsidRDefault="0002775A">
            <w:pPr>
              <w:pStyle w:val="P68B1DB1-Normal24"/>
              <w:spacing w:after="0" w:line="240" w:lineRule="auto"/>
              <w:jc w:val="center"/>
              <w:textAlignment w:val="baseline"/>
              <w:rPr>
                <w:noProof/>
              </w:rPr>
            </w:pPr>
            <w:r>
              <w:rPr>
                <w:noProof/>
              </w:rPr>
              <w:t>45 000</w:t>
            </w:r>
          </w:p>
        </w:tc>
        <w:tc>
          <w:tcPr>
            <w:tcW w:w="981" w:type="dxa"/>
            <w:tcBorders>
              <w:top w:val="nil"/>
              <w:left w:val="nil"/>
              <w:bottom w:val="single" w:sz="6" w:space="0" w:color="auto"/>
              <w:right w:val="single" w:sz="6" w:space="0" w:color="auto"/>
            </w:tcBorders>
            <w:shd w:val="clear" w:color="auto" w:fill="C6EFCE"/>
            <w:hideMark/>
          </w:tcPr>
          <w:p w14:paraId="0E3F25B8" w14:textId="77777777" w:rsidR="003A3D51" w:rsidRDefault="0002775A">
            <w:pPr>
              <w:pStyle w:val="P68B1DB1-Normal24"/>
              <w:spacing w:after="0" w:line="240" w:lineRule="auto"/>
              <w:jc w:val="center"/>
              <w:textAlignment w:val="baseline"/>
              <w:rPr>
                <w:noProof/>
              </w:rPr>
            </w:pPr>
            <w:r>
              <w:rPr>
                <w:noProof/>
              </w:rPr>
              <w:t>71.000</w:t>
            </w:r>
          </w:p>
        </w:tc>
        <w:tc>
          <w:tcPr>
            <w:tcW w:w="488" w:type="dxa"/>
            <w:tcBorders>
              <w:top w:val="nil"/>
              <w:left w:val="nil"/>
              <w:bottom w:val="single" w:sz="6" w:space="0" w:color="auto"/>
              <w:right w:val="single" w:sz="6" w:space="0" w:color="auto"/>
            </w:tcBorders>
            <w:shd w:val="clear" w:color="auto" w:fill="C6EFCE"/>
            <w:hideMark/>
          </w:tcPr>
          <w:p w14:paraId="2796B3F3" w14:textId="77777777" w:rsidR="003A3D51" w:rsidRDefault="0002775A">
            <w:pPr>
              <w:pStyle w:val="P68B1DB1-Normal24"/>
              <w:spacing w:after="0" w:line="240" w:lineRule="auto"/>
              <w:jc w:val="center"/>
              <w:textAlignment w:val="baseline"/>
              <w:rPr>
                <w:noProof/>
              </w:rPr>
            </w:pPr>
            <w:r>
              <w:rPr>
                <w:noProof/>
              </w:rPr>
              <w:t>KVARTAL 2</w:t>
            </w:r>
          </w:p>
        </w:tc>
        <w:tc>
          <w:tcPr>
            <w:tcW w:w="847" w:type="dxa"/>
            <w:tcBorders>
              <w:top w:val="nil"/>
              <w:left w:val="nil"/>
              <w:bottom w:val="single" w:sz="6" w:space="0" w:color="auto"/>
              <w:right w:val="single" w:sz="6" w:space="0" w:color="auto"/>
            </w:tcBorders>
            <w:shd w:val="clear" w:color="auto" w:fill="C6EFCE"/>
            <w:hideMark/>
          </w:tcPr>
          <w:p w14:paraId="5B823C47" w14:textId="77777777" w:rsidR="003A3D51" w:rsidRDefault="0002775A">
            <w:pPr>
              <w:pStyle w:val="P68B1DB1-Normal24"/>
              <w:spacing w:after="0" w:line="240" w:lineRule="auto"/>
              <w:jc w:val="center"/>
              <w:textAlignment w:val="baseline"/>
              <w:rPr>
                <w:noProof/>
              </w:rPr>
            </w:pPr>
            <w:r>
              <w:rPr>
                <w:noProof/>
              </w:rPr>
              <w:t>2026</w:t>
            </w:r>
          </w:p>
        </w:tc>
        <w:tc>
          <w:tcPr>
            <w:tcW w:w="3119" w:type="dxa"/>
            <w:tcBorders>
              <w:top w:val="nil"/>
              <w:left w:val="nil"/>
              <w:bottom w:val="single" w:sz="6" w:space="0" w:color="auto"/>
              <w:right w:val="single" w:sz="6" w:space="0" w:color="auto"/>
            </w:tcBorders>
            <w:shd w:val="clear" w:color="auto" w:fill="C6EFCE"/>
            <w:hideMark/>
          </w:tcPr>
          <w:p w14:paraId="3782C714" w14:textId="5B871F68" w:rsidR="003A3D51" w:rsidRDefault="0002775A">
            <w:pPr>
              <w:pStyle w:val="P68B1DB1-Normal17"/>
              <w:spacing w:after="200" w:line="276" w:lineRule="auto"/>
              <w:rPr>
                <w:noProof/>
              </w:rPr>
            </w:pPr>
            <w:r>
              <w:rPr>
                <w:noProof/>
              </w:rPr>
              <w:t xml:space="preserve">Minst 26.000 ytterligare invånare som drar nytta av förbättrade vattenförsörjningstjänster. </w:t>
            </w:r>
          </w:p>
        </w:tc>
      </w:tr>
    </w:tbl>
    <w:p w14:paraId="64462121" w14:textId="77777777" w:rsidR="003A3D51" w:rsidRDefault="003A3D51">
      <w:pPr>
        <w:rPr>
          <w:noProof/>
        </w:rPr>
      </w:pPr>
    </w:p>
    <w:p w14:paraId="73CE527A" w14:textId="77777777" w:rsidR="003A3D51" w:rsidRDefault="003A3D51">
      <w:pPr>
        <w:keepNext/>
        <w:tabs>
          <w:tab w:val="left" w:pos="850"/>
        </w:tabs>
        <w:spacing w:after="200" w:line="276" w:lineRule="auto"/>
        <w:ind w:left="850" w:hanging="850"/>
        <w:jc w:val="both"/>
        <w:outlineLvl w:val="0"/>
        <w:rPr>
          <w:rFonts w:ascii="Times New Roman" w:eastAsia="Calibri" w:hAnsi="Times New Roman" w:cs="Times New Roman"/>
          <w:b/>
          <w:smallCaps/>
          <w:noProof/>
          <w:sz w:val="24"/>
        </w:rPr>
        <w:sectPr w:rsidR="003A3D51" w:rsidSect="0001477B">
          <w:headerReference w:type="even" r:id="rId72"/>
          <w:headerReference w:type="default" r:id="rId73"/>
          <w:footerReference w:type="even" r:id="rId74"/>
          <w:footerReference w:type="default" r:id="rId75"/>
          <w:headerReference w:type="first" r:id="rId76"/>
          <w:footerReference w:type="first" r:id="rId77"/>
          <w:pgSz w:w="15840" w:h="12240" w:orient="landscape"/>
          <w:pgMar w:top="1440" w:right="1440" w:bottom="1440" w:left="1440" w:header="708" w:footer="708" w:gutter="0"/>
          <w:cols w:space="708"/>
          <w:docGrid w:linePitch="360"/>
        </w:sectPr>
      </w:pPr>
    </w:p>
    <w:p w14:paraId="4741E20D" w14:textId="77777777" w:rsidR="003A3D51" w:rsidRDefault="0002775A">
      <w:pPr>
        <w:pStyle w:val="P68B1DB1-Normal2"/>
        <w:keepNext/>
        <w:tabs>
          <w:tab w:val="left" w:pos="850"/>
        </w:tabs>
        <w:spacing w:after="200" w:line="276" w:lineRule="auto"/>
        <w:ind w:left="850" w:hanging="850"/>
        <w:jc w:val="both"/>
        <w:outlineLvl w:val="0"/>
        <w:rPr>
          <w:rFonts w:ascii="Calibri" w:hAnsi="Calibri" w:cs="Arial"/>
          <w:noProof/>
        </w:rPr>
      </w:pPr>
      <w:r>
        <w:rPr>
          <w:noProof/>
        </w:rPr>
        <w:t>D. KOMPONENT 1.4: UTVECKLING AV ETT KONKURRENSKRAFTIGT, ENERGIHÅLLBART OCH EFFEKTIVT TRANSPORTSYSTEM</w:t>
      </w:r>
    </w:p>
    <w:p w14:paraId="4589E36A" w14:textId="77777777" w:rsidR="003A3D51" w:rsidRDefault="0002775A">
      <w:pPr>
        <w:pStyle w:val="NormalWeb"/>
        <w:spacing w:before="120" w:after="120" w:line="240" w:lineRule="auto"/>
        <w:jc w:val="both"/>
        <w:rPr>
          <w:rFonts w:eastAsia="Times New Roman"/>
          <w:noProof/>
        </w:rPr>
      </w:pPr>
      <w:r>
        <w:rPr>
          <w:noProof/>
        </w:rPr>
        <w:t>Transportsektorn är en av de största utsläpparna av växthusgaser i Kroatien och stod för 27 % av de totala utsläppen 2018, varav persontransporter på väg stod för 71,6 %, godstransporter på väg 24,7 %, järnvägstransporter 0,8 %, sjö- och flodtransporter 2,4 % och inrikes luftfart 0,5 % av utsläppen. Modernisering av befintlig transportinfrastruktur genom investeringar i miljömässigt hållbara, effektiva, innovativa och konkurrenskraftiga typer av transporter förväntas spela en nyckelroll för ett effektivt genomförande av den gröna och digitala omställningen.</w:t>
      </w:r>
    </w:p>
    <w:p w14:paraId="55E6396A" w14:textId="77777777" w:rsidR="003A3D51" w:rsidRDefault="0002775A">
      <w:pPr>
        <w:pStyle w:val="P68B1DB1-Normal11"/>
        <w:spacing w:before="120" w:after="120" w:line="240" w:lineRule="auto"/>
        <w:jc w:val="both"/>
        <w:rPr>
          <w:noProof/>
        </w:rPr>
      </w:pPr>
      <w:r>
        <w:rPr>
          <w:noProof/>
        </w:rPr>
        <w:t>Syftet med denna del av Kroatiens återhämtnings- och resiliensplan är att utveckla ett enhetligt transportnät med utvecklad järnvägs- och kollektivtransportinfrastruktur och intermodalitet mellan olika transportsätt, öka andelen personbilar som drivs med alternativa bränslen, minska transportsektorns växthusgasutsläpp och miljöavtryck samt främja hållbar rörlighet för personer och varor.</w:t>
      </w:r>
    </w:p>
    <w:p w14:paraId="7C358486" w14:textId="77777777" w:rsidR="003A3D51" w:rsidRDefault="0002775A">
      <w:pPr>
        <w:pStyle w:val="P68B1DB1-Normal11"/>
        <w:spacing w:before="120" w:after="120" w:line="240" w:lineRule="auto"/>
        <w:jc w:val="both"/>
        <w:rPr>
          <w:noProof/>
        </w:rPr>
      </w:pPr>
      <w:r>
        <w:rPr>
          <w:noProof/>
        </w:rPr>
        <w:t>Denna del ska omfatta reformer och investeringar inom alla transportsätt (järnväg, väg, sjöfart, luftfart, kollektivtrafik i städer och på inre vattenvägar) och omfatta alla regioner i Kroatien.</w:t>
      </w:r>
    </w:p>
    <w:p w14:paraId="2C2A13E6" w14:textId="77777777" w:rsidR="003A3D51" w:rsidRDefault="0002775A">
      <w:pPr>
        <w:pStyle w:val="P68B1DB1-Normal11"/>
        <w:spacing w:before="120" w:after="120" w:line="240" w:lineRule="auto"/>
        <w:jc w:val="both"/>
        <w:rPr>
          <w:noProof/>
        </w:rPr>
      </w:pPr>
      <w:r>
        <w:rPr>
          <w:noProof/>
        </w:rPr>
        <w:t>Dessa investeringar och reformer ska bidra till att följa den landsspecifika rekommendationen till Kroatien om behovet av att fokusera investeringarna i den gröna och den digitala omställningen (de landsspecifika rekommendationerna 3 och 2020) och på hållbara stads- och järnvägstransporter (de landsspecifika rekommendationerna 3 och 2019).</w:t>
      </w:r>
    </w:p>
    <w:p w14:paraId="654A24E9" w14:textId="77777777" w:rsidR="003A3D51" w:rsidRDefault="0002775A">
      <w:pPr>
        <w:pStyle w:val="P68B1DB1-Normal11"/>
        <w:spacing w:before="120" w:after="120" w:line="240" w:lineRule="auto"/>
        <w:jc w:val="both"/>
        <w:rPr>
          <w:noProof/>
        </w:rPr>
      </w:pPr>
      <w:r>
        <w:rPr>
          <w:noProof/>
        </w:rPr>
        <w:t>Ingen åtgärd i denna del förväntas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w:t>
      </w:r>
    </w:p>
    <w:p w14:paraId="6876EDFC" w14:textId="77777777" w:rsidR="003A3D51" w:rsidRDefault="0002775A">
      <w:pPr>
        <w:pStyle w:val="P68B1DB1-Normal4"/>
        <w:keepNext/>
        <w:tabs>
          <w:tab w:val="num" w:pos="850"/>
        </w:tabs>
        <w:spacing w:after="200" w:line="240" w:lineRule="auto"/>
        <w:ind w:left="851"/>
        <w:jc w:val="both"/>
        <w:outlineLvl w:val="1"/>
        <w:rPr>
          <w:rFonts w:ascii="Calibri" w:eastAsia="Calibri" w:hAnsi="Calibri" w:cs="Arial"/>
          <w:noProof/>
        </w:rPr>
      </w:pPr>
      <w:r>
        <w:rPr>
          <w:noProof/>
        </w:rPr>
        <w:t xml:space="preserve">D.1. </w:t>
      </w:r>
      <w:r>
        <w:rPr>
          <w:noProof/>
        </w:rPr>
        <w:tab/>
        <w:t>Beskrivning av reformer och investeringar avseende icke återbetalningspliktigt ekonomiskt stöd</w:t>
      </w:r>
    </w:p>
    <w:p w14:paraId="3594D99A" w14:textId="77777777" w:rsidR="003A3D51" w:rsidRDefault="0002775A">
      <w:pPr>
        <w:pStyle w:val="P68B1DB1-Normal18"/>
        <w:keepNext/>
        <w:tabs>
          <w:tab w:val="num" w:pos="850"/>
        </w:tabs>
        <w:spacing w:after="200" w:line="240" w:lineRule="auto"/>
        <w:ind w:left="851"/>
        <w:jc w:val="both"/>
        <w:outlineLvl w:val="2"/>
        <w:rPr>
          <w:rFonts w:ascii="Calibri" w:eastAsia="Calibri" w:hAnsi="Calibri" w:cs="Arial"/>
          <w:noProof/>
        </w:rPr>
      </w:pPr>
      <w:r>
        <w:rPr>
          <w:noProof/>
        </w:rPr>
        <w:t>Reform C1.4 R1 – Reformen av vägsektorn</w:t>
      </w:r>
    </w:p>
    <w:p w14:paraId="2A6CC8DB" w14:textId="77777777" w:rsidR="003A3D51" w:rsidRDefault="0002775A">
      <w:pPr>
        <w:pStyle w:val="P68B1DB1-Normal11"/>
        <w:spacing w:before="120" w:after="120" w:line="240" w:lineRule="auto"/>
        <w:jc w:val="both"/>
        <w:rPr>
          <w:noProof/>
        </w:rPr>
      </w:pPr>
      <w:r>
        <w:rPr>
          <w:noProof/>
        </w:rPr>
        <w:t>Syftet med reformen är att minska företagens driftskostnader, anpassa de finansiella skyldigheterna till kassaflödena, öka trafiksäkerheten och därmed minska vägdödligheten. Införandet av ett nytt vägtullsystem förväntas minska utsläppen av växthusgaser genom att avlägsna flaskhalsar och farliga platser på vägarna. Som ett led i denna reform ska lagstiftningen om vägsektorn uppdateras genom ikraftträdandet av ändringen av väglagen.</w:t>
      </w:r>
    </w:p>
    <w:p w14:paraId="2A624038" w14:textId="77777777" w:rsidR="003A3D51" w:rsidRDefault="0002775A">
      <w:pPr>
        <w:pStyle w:val="P68B1DB1-Normal11"/>
        <w:spacing w:after="200" w:line="240" w:lineRule="auto"/>
        <w:jc w:val="both"/>
        <w:rPr>
          <w:rFonts w:ascii="Calibri" w:eastAsia="Calibri" w:hAnsi="Calibri" w:cs="Arial"/>
          <w:noProof/>
        </w:rPr>
      </w:pPr>
      <w:r>
        <w:rPr>
          <w:noProof/>
        </w:rPr>
        <w:t>Reformen ska vara genomförd senast den 31 december 2025.</w:t>
      </w:r>
    </w:p>
    <w:p w14:paraId="59111082" w14:textId="77777777" w:rsidR="003A3D51" w:rsidRDefault="003A3D51">
      <w:pPr>
        <w:spacing w:after="200" w:line="276" w:lineRule="auto"/>
        <w:jc w:val="center"/>
        <w:rPr>
          <w:rFonts w:ascii="Calibri" w:eastAsia="Calibri" w:hAnsi="Calibri" w:cs="Arial"/>
          <w:noProof/>
        </w:rPr>
      </w:pPr>
    </w:p>
    <w:p w14:paraId="7EB32A62"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R1 – I2 – Förbättra systemet för utövande av rättigheter för personer med funktionsnedsättning när det gäller rörlighet</w:t>
      </w:r>
    </w:p>
    <w:p w14:paraId="3A6DE5AB" w14:textId="77777777" w:rsidR="003A3D51" w:rsidRDefault="0002775A">
      <w:pPr>
        <w:pStyle w:val="P68B1DB1-Normal11"/>
        <w:spacing w:before="120" w:after="120" w:line="240" w:lineRule="auto"/>
        <w:jc w:val="both"/>
        <w:rPr>
          <w:noProof/>
        </w:rPr>
      </w:pPr>
      <w:r>
        <w:rPr>
          <w:noProof/>
        </w:rPr>
        <w:t>Investeringen syftar till att göra det snabbare och enklare för personer med funktionsnedsättning att utöva sina rättigheter på rörlighetsområdet genom att införa ett enda dokument för personer med funktionsnedsättning som gör det möjligt för dem att utöva alla rättigheter till rörlighet, förenkla den administrativa miljön för slutanvändare av digitala offentliga tjänster på området rörlighet och förbättra tillgången till digitala offentliga tjänster för personer med funktionsnedsättning. Investeringen syftar också till att förbättra skyddet av användarnas personuppgifter och harmonisera den beslutspraxis som påverkar rättigheterna för personer med funktionsnedsättning när det gäller rörlighet. Investeringen förväntas göra det möjligt för statliga institutioner att på ett enklare och mer heltäckande sätt övervaka de förvärvade rättigheterna och säkerställa en effektiv offentlig tillgång till alla uppgifter. Investeringen förväntas minska arbetskostnaderna för anställda inom statliga och lokala tjänster med 15 % till 35 %.</w:t>
      </w:r>
    </w:p>
    <w:p w14:paraId="25109289"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2023.</w:t>
      </w:r>
    </w:p>
    <w:p w14:paraId="07D25B34"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R1-I3 – Nationellt system för elektronisk lagring och datautbyte för vägtransporter (NSCP)</w:t>
      </w:r>
    </w:p>
    <w:p w14:paraId="2C018DAB" w14:textId="77777777" w:rsidR="003A3D51" w:rsidRDefault="0002775A">
      <w:pPr>
        <w:pStyle w:val="P68B1DB1-Normal11"/>
        <w:spacing w:before="120" w:after="120" w:line="240" w:lineRule="auto"/>
        <w:jc w:val="both"/>
        <w:rPr>
          <w:b/>
          <w:noProof/>
        </w:rPr>
      </w:pPr>
      <w:r>
        <w:rPr>
          <w:noProof/>
        </w:rPr>
        <w:t xml:space="preserve">Syftet med investeringen är att inrätta det nationella systemet för elektronisk lagring och utbyte av uppgifter inom vägtransportsektorn (NSCP) och att genomföra förordning (EU) 2020/1056 om elektronisk godstransportinformation (eFTI-förordningen), vilket förväntas leda till en betydande minskning av de administrativa kostnaderna, förbättra de behöriga myndigheternas förmåga att kontrollera efterlevnaden och öka transporternas effektivitet och hållbarhet. I enlighet med bestämmelserna i eFTI-förordningen ska NSCP uppdateras i enlighet med detta, så snart de tekniska specifikationerna för eFTI har antagits. Investeringen är tänkt att bidra till en effektivare övervakning av vägtransporter och en minskning av trafikstockningarna, med en positiv inverkan på miljöfaktorer. </w:t>
      </w:r>
    </w:p>
    <w:p w14:paraId="52A4A04D"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maj 2026.</w:t>
      </w:r>
    </w:p>
    <w:p w14:paraId="10A6993F"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R1 – I4 – Rapporteringskontrollsystem för person- och godstransport på väg</w:t>
      </w:r>
    </w:p>
    <w:p w14:paraId="6251AF3F" w14:textId="77777777" w:rsidR="003A3D51" w:rsidRDefault="0002775A">
      <w:pPr>
        <w:pStyle w:val="P68B1DB1-Normal11"/>
        <w:spacing w:after="200" w:line="240" w:lineRule="auto"/>
        <w:jc w:val="both"/>
        <w:rPr>
          <w:rFonts w:ascii="Calibri" w:eastAsia="Calibri" w:hAnsi="Calibri" w:cs="Arial"/>
          <w:noProof/>
        </w:rPr>
      </w:pPr>
      <w:r>
        <w:rPr>
          <w:noProof/>
        </w:rPr>
        <w:t>Syftet med investeringen är att öka trafiksäkerheten genom att inrätta ett fungerande rapporteringssystem för person- och godstransporter på väg. Kontrollsystemet för rapportering ska länka data från färdskrivarens centrala behandlingssystem (SOTAH) och de nationella uppgifterna om färdskrivarkort och tillhörande uppgifter under ansvar av Republiken Kroatiens ministerium för sjöfart, transport och infrastruktur, och bidra till digitaliseringen av den kroatiska transportsektorn.</w:t>
      </w:r>
    </w:p>
    <w:p w14:paraId="72BCE7EA"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2024.</w:t>
      </w:r>
    </w:p>
    <w:p w14:paraId="5419E8A7"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R1 – I5 – Övervakning av transport av farligt gods på väg (e-ADR)</w:t>
      </w:r>
    </w:p>
    <w:p w14:paraId="00FF3732" w14:textId="77777777" w:rsidR="003A3D51" w:rsidRDefault="0002775A">
      <w:pPr>
        <w:pStyle w:val="P68B1DB1-Normal11"/>
        <w:spacing w:before="120" w:after="120" w:line="240" w:lineRule="auto"/>
        <w:jc w:val="both"/>
        <w:rPr>
          <w:noProof/>
        </w:rPr>
      </w:pPr>
      <w:r>
        <w:rPr>
          <w:noProof/>
        </w:rPr>
        <w:t>Investeringen syftar till att skapa en grund för att förbättra och utveckla systemet för transport av farligt gods på väg (e-ADR) genom dess digitalisering. Investeringen ska omfatta inrättandet av en it-lösning för att i realtid övervaka transport av farligt gods, genom införande av elektroniska transporttillstånd och elektroniska fraktsedlar samt användning av spårningsteknik. Investeringen ska uppfylla alla krav i relevant nationell lagstiftning och EU-lagstiftning, särskilt förordning (EU) 2020/1056 om elektronisk godstransportinformation (eFTI) och dess genomförandeakter och delegerade akter, och ska integrera juridisk, organisatorisk och semantisk driftskompatibilitet i den nationella lagstiftningen.</w:t>
      </w:r>
    </w:p>
    <w:p w14:paraId="59F53B8D"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2024.</w:t>
      </w:r>
    </w:p>
    <w:p w14:paraId="2FFA6784"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Reform C1.4 R2 – Reform av järnvägssektorn</w:t>
      </w:r>
    </w:p>
    <w:p w14:paraId="34620959" w14:textId="77777777" w:rsidR="003A3D51" w:rsidRDefault="0002775A">
      <w:pPr>
        <w:pStyle w:val="NormalWeb"/>
        <w:spacing w:before="120" w:after="120" w:line="240" w:lineRule="auto"/>
        <w:jc w:val="both"/>
        <w:rPr>
          <w:rFonts w:eastAsia="Times New Roman"/>
          <w:noProof/>
        </w:rPr>
      </w:pPr>
      <w:r>
        <w:rPr>
          <w:noProof/>
        </w:rPr>
        <w:t>Reformen syftar till att öka järnvägssektorns konkurrenskraft och effektivitet för att tillhandahålla bättre tjänster för person- och godstransportkunder och öka Kroatiens ekonomiska konkurrenskraft. För att stödja reformen ska den kroatiska regeringen senast den 30 juni 2021 anta en sektorsspecifik policyskrivelse för järnvägssektorn, med en redogörelse för hur man ska gå vidare på viktiga områden med anknytning till reformen och moderniseringen av järnvägssektorn, och upprätta genomförandeplaner för regeringen och järnvägsföretagen, inbegripet detaljerade åtgärder och insatser när det gäller</w:t>
      </w:r>
    </w:p>
    <w:p w14:paraId="300D5F5E" w14:textId="77777777" w:rsidR="003A3D51" w:rsidRDefault="0002775A">
      <w:pPr>
        <w:pStyle w:val="P68B1DB1-Normal3"/>
        <w:tabs>
          <w:tab w:val="num" w:pos="850"/>
        </w:tabs>
        <w:spacing w:before="120" w:after="120" w:line="240" w:lineRule="auto"/>
        <w:ind w:left="850" w:hanging="850"/>
        <w:jc w:val="both"/>
        <w:rPr>
          <w:noProof/>
        </w:rPr>
      </w:pPr>
      <w:r>
        <w:rPr>
          <w:noProof/>
        </w:rPr>
        <w:t>Styrningen av sektorn,</w:t>
      </w:r>
    </w:p>
    <w:p w14:paraId="0C10704B" w14:textId="77777777" w:rsidR="003A3D51" w:rsidRDefault="0002775A">
      <w:pPr>
        <w:pStyle w:val="P68B1DB1-Normal3"/>
        <w:tabs>
          <w:tab w:val="num" w:pos="850"/>
        </w:tabs>
        <w:spacing w:before="120" w:after="120" w:line="240" w:lineRule="auto"/>
        <w:ind w:left="850" w:hanging="850"/>
        <w:jc w:val="both"/>
        <w:rPr>
          <w:noProof/>
        </w:rPr>
      </w:pPr>
      <w:r>
        <w:rPr>
          <w:noProof/>
        </w:rPr>
        <w:t>Förvaltning av järnvägsföretag och järnvägsverksamhet.</w:t>
      </w:r>
    </w:p>
    <w:p w14:paraId="6DB0AA3C" w14:textId="77777777" w:rsidR="003A3D51" w:rsidRDefault="0002775A">
      <w:pPr>
        <w:pStyle w:val="P68B1DB1-Normal3"/>
        <w:tabs>
          <w:tab w:val="num" w:pos="850"/>
        </w:tabs>
        <w:spacing w:before="120" w:after="120" w:line="240" w:lineRule="auto"/>
        <w:ind w:left="850" w:hanging="850"/>
        <w:jc w:val="both"/>
        <w:rPr>
          <w:noProof/>
        </w:rPr>
      </w:pPr>
      <w:r>
        <w:rPr>
          <w:noProof/>
        </w:rPr>
        <w:t>Sektorsinriktad investerings- och finansieringsplanering.</w:t>
      </w:r>
    </w:p>
    <w:p w14:paraId="2D7FBA75" w14:textId="77777777" w:rsidR="003A3D51" w:rsidRDefault="0002775A">
      <w:pPr>
        <w:pStyle w:val="P68B1DB1-Normal3"/>
        <w:tabs>
          <w:tab w:val="num" w:pos="850"/>
        </w:tabs>
        <w:spacing w:before="120" w:after="120" w:line="240" w:lineRule="auto"/>
        <w:ind w:left="850" w:hanging="850"/>
        <w:jc w:val="both"/>
        <w:rPr>
          <w:noProof/>
        </w:rPr>
      </w:pPr>
      <w:r>
        <w:rPr>
          <w:noProof/>
        </w:rPr>
        <w:t>Utveckling av kunskap, teknik och kompetens inom järnvägssektorn.</w:t>
      </w:r>
    </w:p>
    <w:p w14:paraId="1820DB52" w14:textId="77777777" w:rsidR="003A3D51" w:rsidRDefault="0002775A">
      <w:pPr>
        <w:pStyle w:val="P68B1DB1-Normal11"/>
        <w:spacing w:after="200" w:line="240" w:lineRule="auto"/>
        <w:jc w:val="both"/>
        <w:rPr>
          <w:rFonts w:ascii="Calibri" w:eastAsia="Calibri" w:hAnsi="Calibri" w:cs="Arial"/>
          <w:noProof/>
        </w:rPr>
      </w:pPr>
      <w:r>
        <w:rPr>
          <w:noProof/>
        </w:rPr>
        <w:t>Reformen ska vara genomförd senast den 31 december 2025.</w:t>
      </w:r>
    </w:p>
    <w:p w14:paraId="66B2354C"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 – I2 – Modernisering av järnvägslinjen M604 Oštarije-Knin – Split</w:t>
      </w:r>
    </w:p>
    <w:p w14:paraId="5DB37FB8" w14:textId="77777777" w:rsidR="003A3D51" w:rsidRDefault="0002775A">
      <w:pPr>
        <w:pStyle w:val="NormalWeb"/>
        <w:spacing w:after="200" w:line="240" w:lineRule="auto"/>
        <w:jc w:val="both"/>
        <w:rPr>
          <w:rFonts w:ascii="Calibri" w:eastAsia="Calibri" w:hAnsi="Calibri" w:cs="Arial"/>
          <w:noProof/>
        </w:rPr>
      </w:pPr>
      <w:r>
        <w:rPr>
          <w:noProof/>
        </w:rPr>
        <w:t>Syftet med investeringen är ombyggnad av stationer och installation av säkerhetsanordningar för elektronisk signalering på järnvägslinjen Oštarije-Knin-Split på sträckan Knin (undantaget) – Split (inklusive), vilket gör det möjligt att skapa ett så kallat ömsesidigt beroende och central trafikledning, vilket i sin tur ska öka kapaciteten och hastigheten. Linjen är en del av det övergripande TEN-T-nätet.</w:t>
      </w:r>
    </w:p>
    <w:p w14:paraId="4A37B140"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5597C44F"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R2-I3 – Avskaffande av flaskhalsar i järnvägsinfrastrukturen</w:t>
      </w:r>
    </w:p>
    <w:p w14:paraId="3A52DF4B" w14:textId="77777777" w:rsidR="003A3D51" w:rsidRDefault="0002775A">
      <w:pPr>
        <w:pStyle w:val="P68B1DB1-Normal11"/>
        <w:spacing w:after="200" w:line="240" w:lineRule="auto"/>
        <w:jc w:val="both"/>
        <w:rPr>
          <w:rFonts w:ascii="Calibri" w:eastAsia="Calibri" w:hAnsi="Calibri" w:cs="Arial"/>
          <w:noProof/>
        </w:rPr>
      </w:pPr>
      <w:r>
        <w:rPr>
          <w:noProof/>
        </w:rPr>
        <w:t>Syftet med investeringen är att ta itu med flaskhalsar i Kroatiens järnvägsnät, som förväntas öka driftshastigheten, öka järnvägssäkerheten och förbättra järnvägsnäten. Åtgärden består av uppförande, ombyggnad och renovering av broar, viadukter, kulverter och sticklingar på Kroatiens järnvägsnät. Detta ska undanröja de flaskhalsar som utgörs av anläggningar som är mellan 50 och 77 år gamla. De flesta av de linjer som berörs av denna investering ingår i det övergripande TEN-T-nätet.</w:t>
      </w:r>
    </w:p>
    <w:p w14:paraId="184D1CDC"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6158EAE1"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 – I4 – Modernisering av Zagreb Kustošija – Zagreb ZK – Zagreb GK</w:t>
      </w:r>
    </w:p>
    <w:p w14:paraId="2B37941A" w14:textId="77777777" w:rsidR="003A3D51" w:rsidRDefault="0002775A">
      <w:pPr>
        <w:pStyle w:val="P68B1DB1-Normal11"/>
        <w:spacing w:after="200" w:line="240" w:lineRule="auto"/>
        <w:jc w:val="both"/>
        <w:rPr>
          <w:rFonts w:ascii="Calibri" w:eastAsia="Calibri" w:hAnsi="Calibri" w:cs="Arial"/>
          <w:noProof/>
        </w:rPr>
      </w:pPr>
      <w:r>
        <w:rPr>
          <w:noProof/>
        </w:rPr>
        <w:t>Syftet med investeringen är att modernisera järnvägssträckan Zagreb Kustošija – Zagreb Zapadni Kolodvor – Zagreb Glavni Kolodvor, förbättra kvaliteten på och tillgången till lokal och regional persontrafik på järnväg, bättre integrera järnvägen i staden Zagrebs kollektivtrafiksystem samt öka järnvägens och den lokala kollektivtrafikens andel i det större området av staden Zagreb. Projektet ska bidra till att uppnå målet att fullborda TEN-T-stomnätet senast den 31 december 2030.</w:t>
      </w:r>
    </w:p>
    <w:p w14:paraId="0E398589"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4FC49550"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R2-I5 – Ersättning av bromsklossar för att minska bullret</w:t>
      </w:r>
    </w:p>
    <w:p w14:paraId="43A0EEE9" w14:textId="77777777" w:rsidR="003A3D51" w:rsidRDefault="0002775A">
      <w:pPr>
        <w:pStyle w:val="P68B1DB1-Normal11"/>
        <w:spacing w:after="200" w:line="240" w:lineRule="auto"/>
        <w:jc w:val="both"/>
        <w:rPr>
          <w:rFonts w:ascii="Calibri" w:eastAsia="Calibri" w:hAnsi="Calibri" w:cs="Arial"/>
          <w:noProof/>
        </w:rPr>
      </w:pPr>
      <w:r>
        <w:rPr>
          <w:noProof/>
        </w:rPr>
        <w:t>Syftet med investeringen är att förbättra den befintliga rullande materielen hos godstransportföretag och vagnägare, som utnyttjar Kroatiens järnvägsnät, för att ge slutanvändarna bättre service och minska bullret. Detta förväntas bidra till en snabbare utveckling av godstransporterna på järnväg och indirekt till en snabbare övergång till järnväg från vägtransporter. Investeringen ska omfatta inköp och installation av bullerreducerande element, såsom moderna kompositbromsklossar, förberedelser för installationskostnader, inbegripet, i förekommande fall, nedmonteringskostnader och administrativa kostnader i samband med eftermonteringen.</w:t>
      </w:r>
    </w:p>
    <w:p w14:paraId="0FFA3A1D"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maj 2026.</w:t>
      </w:r>
    </w:p>
    <w:p w14:paraId="0D94195E"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R2-I6 – Användning av grön teknik för persontrafik på järnväg</w:t>
      </w:r>
    </w:p>
    <w:p w14:paraId="059DF2C9" w14:textId="77777777" w:rsidR="003A3D51" w:rsidRDefault="0002775A">
      <w:pPr>
        <w:pStyle w:val="P68B1DB1-Normal11"/>
        <w:spacing w:after="200" w:line="240" w:lineRule="auto"/>
        <w:jc w:val="both"/>
        <w:rPr>
          <w:rFonts w:ascii="Calibri" w:eastAsia="Calibri" w:hAnsi="Calibri" w:cs="Arial"/>
          <w:noProof/>
        </w:rPr>
      </w:pPr>
      <w:r>
        <w:rPr>
          <w:noProof/>
        </w:rPr>
        <w:t>Syftet med investeringen är upphandling av två prototyper av tåg (batteridrivna elektriska motortåg (BEMV) och Battery Motortåg (BMV)), som kan undvika kostsamma investeringar i elektrifiering av linjer och underhåll av kontaktledningen. Utvecklingen av prototyper ska göra det möjligt att organisera persontransporter på järnväg på icke-elektrifierade linjer med moderna eldrivna tåg, minska kostnaderna för dieselenergi, minska buller och föroreningseffekter, skydda miljön, minska fordonens driftskostnader och förbättra tillgängligheten i städer och regioner.</w:t>
      </w:r>
    </w:p>
    <w:p w14:paraId="1777AF03" w14:textId="77777777" w:rsidR="003A3D51" w:rsidRDefault="0002775A">
      <w:pPr>
        <w:pStyle w:val="P68B1DB1-Normal11"/>
        <w:spacing w:after="200" w:line="240" w:lineRule="auto"/>
        <w:jc w:val="both"/>
        <w:rPr>
          <w:rFonts w:ascii="Calibri" w:eastAsia="Calibri" w:hAnsi="Calibri" w:cs="Arial"/>
          <w:noProof/>
        </w:rPr>
      </w:pPr>
      <w:r>
        <w:rPr>
          <w:noProof/>
        </w:rPr>
        <w:t xml:space="preserve">Investeringen ska omfatta utveckling, tillverkning, typprovning och erhållande av tillstånd att driva de angivna BEMV- och BMV-prototyperna samt sex stabila batteriladdare vid definierade stationer som utgör en integrerad del av investeringen. Införandet av nya batteridrivna persontåg på icke-elektrifierade linjer förväntas ha potential att gradvis ersätta 60 dieselmotorvagnar som är över 40 år gamla, vilket bidrar till att minska skadliga utsläpp. </w:t>
      </w:r>
    </w:p>
    <w:p w14:paraId="6581BD16" w14:textId="2D169FF5"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3D3FDB45" w14:textId="12E534F2"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 – I7 – Modernisering av it- och försäljningssystemet</w:t>
      </w:r>
    </w:p>
    <w:p w14:paraId="55CBBD95" w14:textId="03581FE4" w:rsidR="003A3D51" w:rsidRDefault="0002775A">
      <w:pPr>
        <w:pStyle w:val="P68B1DB1-Normal11"/>
        <w:spacing w:after="200" w:line="240" w:lineRule="auto"/>
        <w:jc w:val="both"/>
        <w:rPr>
          <w:noProof/>
        </w:rPr>
      </w:pPr>
      <w:r>
        <w:rPr>
          <w:noProof/>
        </w:rPr>
        <w:t>Investeringen syftar till att höja järnvägstjänstens kvalitet genom att installera wifi-system ombord, uppgradera den rullande materielen för persontransporter genom att installera ett GPS-system, säkerställa överensstämmelse med informations- och cybersäkerhetsstandarder, uppgradera försäljningssystemens datacenter och införa ett nytt biljettsystem.</w:t>
      </w:r>
    </w:p>
    <w:p w14:paraId="0434DCF7" w14:textId="7C2D513F"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juni 2026.</w:t>
      </w:r>
    </w:p>
    <w:p w14:paraId="7B0DAF6B"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Reform C1.4 R3 – Reform till sjöss och på inre vattenvägar</w:t>
      </w:r>
    </w:p>
    <w:p w14:paraId="570F84D8" w14:textId="77777777" w:rsidR="003A3D51" w:rsidRDefault="0002775A">
      <w:pPr>
        <w:pStyle w:val="NormalWeb"/>
        <w:spacing w:before="120" w:after="120" w:line="240" w:lineRule="auto"/>
        <w:jc w:val="both"/>
        <w:rPr>
          <w:rFonts w:eastAsia="Times New Roman"/>
          <w:noProof/>
        </w:rPr>
      </w:pPr>
      <w:r>
        <w:rPr>
          <w:noProof/>
        </w:rPr>
        <w:t>Syftet med reformen är att utveckla hållbara och effektiva transporter till sjöss och på inre vattenvägar som ska bidra till att öka sjöfartssäkerheten, säkerställa förnyelse av inre vattenvägar, förbättra öarnas transportförbindelser och förbättra hamninfrastrukturen för att minska transportsektorns negativa miljöpåverkan. Som ett led i denna reform träder den nya lagen om reguljär och säsongsbunden kusttransport, ny lag om havsområden och kusthamnar och den nya lagen om inlandssjöfart och hamnar i kraft.</w:t>
      </w:r>
    </w:p>
    <w:p w14:paraId="09683EBE" w14:textId="77777777" w:rsidR="003A3D51" w:rsidRDefault="0002775A">
      <w:pPr>
        <w:pStyle w:val="P68B1DB1-Normal11"/>
        <w:spacing w:after="200" w:line="240" w:lineRule="auto"/>
        <w:jc w:val="both"/>
        <w:rPr>
          <w:rFonts w:ascii="Calibri" w:eastAsia="Calibri" w:hAnsi="Calibri" w:cs="Arial"/>
          <w:noProof/>
        </w:rPr>
      </w:pPr>
      <w:r>
        <w:rPr>
          <w:noProof/>
        </w:rPr>
        <w:t>Reformen ska vara genomförd senast den 31 december 2022.</w:t>
      </w:r>
    </w:p>
    <w:p w14:paraId="7F3BC48E"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R3 – I1 – Moderniseringsprogram för hamnar som är öppna för offentlig trafik</w:t>
      </w:r>
    </w:p>
    <w:p w14:paraId="32F06B01" w14:textId="77777777" w:rsidR="003A3D51" w:rsidRDefault="0002775A">
      <w:pPr>
        <w:pStyle w:val="P68B1DB1-Normal11"/>
        <w:spacing w:after="200" w:line="240" w:lineRule="auto"/>
        <w:jc w:val="both"/>
        <w:rPr>
          <w:rFonts w:ascii="Calibri" w:eastAsia="Calibri" w:hAnsi="Calibri" w:cs="Arial"/>
          <w:noProof/>
        </w:rPr>
      </w:pPr>
      <w:r>
        <w:rPr>
          <w:noProof/>
        </w:rPr>
        <w:t>Investeringen syftar till att modernisera hamninfrastruktur som ska öka kvaliteten på kollektivtrafiken till sjöss, mottagningskapaciteten för fartyg i reguljär kustsjöfart, stärka passagerarnas säkerhet, öka rörligheten, förbättra den allmänna livskvaliteten och säkerställa hållbar rörlighet. Investeringen ska genomföras i enlighet med de nationella planer som utarbetats av sjö-, transport- och infrastrukturministeriet för utveckling och modernisering av landskapshamnar och statliga hamnar samt planen för reguljära kustpassagerartransporter. Projekt som planeras inom ramen för denna investering är den nya passagerarterminalen i staden Split och uppgraderingen av hamnen Bol – Brač.</w:t>
      </w:r>
    </w:p>
    <w:p w14:paraId="4C45E319"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302618D7"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R3 – I2 – Upphandling/konstruktion av passagerarfartyg som används för reguljär kusttransport</w:t>
      </w:r>
    </w:p>
    <w:p w14:paraId="4093B304" w14:textId="77777777" w:rsidR="003A3D51" w:rsidRDefault="0002775A">
      <w:pPr>
        <w:pStyle w:val="P68B1DB1-Normal11"/>
        <w:spacing w:before="120" w:after="120" w:line="240" w:lineRule="auto"/>
        <w:jc w:val="both"/>
        <w:rPr>
          <w:noProof/>
        </w:rPr>
      </w:pPr>
      <w:r>
        <w:rPr>
          <w:noProof/>
        </w:rPr>
        <w:t>Syftet med investeringen är att upphandla eller bygga passagerarfartyg som drivs med alternativa bränslen i syfte att säkerställa kvalitet, hållbara transporter och förbättra tillgängligheten för öinvånarna samt säkerställa att negativ miljöpåverkan minimeras. Denna investering ska omfatta upphandling av totalt sex utsläppsfria fartyg som drivs med alternativa bränslen – tre passagerarfartyg och tre höghastighetspassagerarfartyg (katamaraner) som drivs med elektrisk solenergi.</w:t>
      </w:r>
    </w:p>
    <w:p w14:paraId="7D478228"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juni 2026.</w:t>
      </w:r>
    </w:p>
    <w:p w14:paraId="3B593357"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R3 – I3 – Anläggning av ny kabelfärja ”Križnica”, kommunen Pitomača</w:t>
      </w:r>
    </w:p>
    <w:p w14:paraId="68135F5A" w14:textId="77777777" w:rsidR="003A3D51" w:rsidRDefault="0002775A">
      <w:pPr>
        <w:pStyle w:val="P68B1DB1-Normal11"/>
        <w:spacing w:after="200" w:line="240" w:lineRule="auto"/>
        <w:jc w:val="both"/>
        <w:rPr>
          <w:rFonts w:ascii="Calibri" w:eastAsia="Calibri" w:hAnsi="Calibri" w:cs="Arial"/>
          <w:noProof/>
        </w:rPr>
      </w:pPr>
      <w:r>
        <w:rPr>
          <w:noProof/>
        </w:rPr>
        <w:t>Syftet med investeringen är att bygga en ny kabelfärja ”Križnica” över floden Drava i kommunen Pitomača för att säkerställa transportförbindelser och främja utvecklingen i mindre utvecklade regioner. Investeringen ska omfatta en ny, soldriven elektrisk kabelfärja som både ska öka transportkapaciteten och bidra till en grönare transportsektor.</w:t>
      </w:r>
    </w:p>
    <w:p w14:paraId="4A3DFC3A"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oktober 2022.</w:t>
      </w:r>
    </w:p>
    <w:p w14:paraId="47021290"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 xml:space="preserve">Investering C1.4 R3-I4 – Materihamnar och utrustningshamnar med infrastruktur för avfallshantering </w:t>
      </w:r>
    </w:p>
    <w:p w14:paraId="358F01D1" w14:textId="77777777" w:rsidR="003A3D51" w:rsidRDefault="0002775A">
      <w:pPr>
        <w:pStyle w:val="P68B1DB1-Normal11"/>
        <w:spacing w:before="120" w:after="120" w:line="240" w:lineRule="auto"/>
        <w:jc w:val="both"/>
        <w:rPr>
          <w:noProof/>
        </w:rPr>
      </w:pPr>
      <w:r>
        <w:rPr>
          <w:noProof/>
        </w:rPr>
        <w:t>Syftet med investeringen är att öka inlandshamnarnas konkurrenskraft, inrätta gröna hamnar och göra transportsystemet i Kroatien miljömässigt hållbart genom att utrusta inlandshamnar av internationell betydelse med anläggningar för hantering av avfall som samlas in ombord på fartyg. Investeringen ska omfatta uppförande av mottagningsstationer för avfall i hamnarna i Slavonski Brod, Osijek och Vukovar för hantering av kommersiellt avfall.</w:t>
      </w:r>
    </w:p>
    <w:p w14:paraId="4A459128"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juni 2026.</w:t>
      </w:r>
    </w:p>
    <w:p w14:paraId="69DE8A63"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R4-I1 – Upphandling av fordon som drivs med alternativa bränslen för allmän linjetrafik i stads- och förortstrafik</w:t>
      </w:r>
    </w:p>
    <w:p w14:paraId="196FF685" w14:textId="07266B49" w:rsidR="003A3D51" w:rsidRDefault="0002775A">
      <w:pPr>
        <w:pStyle w:val="P68B1DB1-Normal11"/>
        <w:spacing w:before="120" w:after="120" w:line="240" w:lineRule="auto"/>
        <w:jc w:val="both"/>
        <w:rPr>
          <w:noProof/>
        </w:rPr>
      </w:pPr>
      <w:r>
        <w:rPr>
          <w:noProof/>
        </w:rPr>
        <w:t>Syftet med investeringen är att modernisera den allmänna persontrafiken i städer och förorter genom inköp av 70 nya fordon (el- och vätgasdrivna) för att främja användningen av utsläppsfria och utsläppssnåla fordon. Investeringen ska omfatta inköp av fordon för reguljär persontransport i städer och förorter och bidra till en miljövänligare fordonspark (bussar) och tillhörande infrastruktur.</w:t>
      </w:r>
    </w:p>
    <w:p w14:paraId="77511E23" w14:textId="65B96AC5"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juni 2026.</w:t>
      </w:r>
    </w:p>
    <w:p w14:paraId="7DFE0C0A"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R4 – I2 – Modernisering av spårvagnsparken</w:t>
      </w:r>
    </w:p>
    <w:p w14:paraId="1620C80F" w14:textId="77777777" w:rsidR="003A3D51" w:rsidRDefault="0002775A">
      <w:pPr>
        <w:pStyle w:val="P68B1DB1-Normal11"/>
        <w:spacing w:before="120" w:after="120" w:line="240" w:lineRule="auto"/>
        <w:jc w:val="both"/>
        <w:rPr>
          <w:noProof/>
        </w:rPr>
      </w:pPr>
      <w:r>
        <w:rPr>
          <w:noProof/>
        </w:rPr>
        <w:t>Investeringen syftar till att modernisera spårvagnsparken i städerna Osijek och Zagreb för att tillhandahålla bättre och snabbare kollektivtrafik i städerna och öka antalet passagerare som använder kollektivtrafik i städerna, vilket ska bidra till att minska CO2-utsläppen från transportsektorn. Investeringen omfattar modernisering av spårvagnstransporterna genom förvärv av minst 30 spårvagnar med lågt eller halvlågt golv på upp till 27 meter långa i städerna Zagreb och Osijek.</w:t>
      </w:r>
    </w:p>
    <w:p w14:paraId="02A794A3"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71FDD2A1"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R5 – I1 – Electrifiering och miljöanpassning av systemet för marktjänster och strömförsörjning vid Zadars flygplats</w:t>
      </w:r>
    </w:p>
    <w:p w14:paraId="31866B25" w14:textId="77777777" w:rsidR="003A3D51" w:rsidRDefault="0002775A">
      <w:pPr>
        <w:pStyle w:val="P68B1DB1-Normal11"/>
        <w:spacing w:before="120" w:after="120" w:line="240" w:lineRule="auto"/>
        <w:jc w:val="both"/>
        <w:rPr>
          <w:noProof/>
        </w:rPr>
      </w:pPr>
      <w:r>
        <w:rPr>
          <w:noProof/>
        </w:rPr>
        <w:t xml:space="preserve">Syftet med investeringen är att säkerställa ett miljövänligt system för marktjänster och energiförsörjning för luftfartyg och främja användningen av förnybara energikällor. Investeringen ska omfatta följande verksamheter: </w:t>
      </w:r>
    </w:p>
    <w:p w14:paraId="0CC93034" w14:textId="77777777" w:rsidR="003A3D51" w:rsidRDefault="0002775A">
      <w:pPr>
        <w:pStyle w:val="NormalWeb"/>
        <w:tabs>
          <w:tab w:val="num" w:pos="1417"/>
        </w:tabs>
        <w:spacing w:before="120" w:after="120" w:line="240" w:lineRule="auto"/>
        <w:ind w:left="1417" w:hanging="567"/>
        <w:jc w:val="both"/>
        <w:rPr>
          <w:rFonts w:eastAsia="Calibri"/>
          <w:noProof/>
        </w:rPr>
      </w:pPr>
      <w:r>
        <w:rPr>
          <w:noProof/>
        </w:rPr>
        <w:t>Införande av fasta anslutningar för att leverera elkraft till stillastående luftfartyg med nödvändig konstruktions- och säkerhetsanpassning (utan att öka kapaciteten på plattan).</w:t>
      </w:r>
    </w:p>
    <w:p w14:paraId="1D4AF27D" w14:textId="77777777" w:rsidR="003A3D51" w:rsidRDefault="0002775A">
      <w:pPr>
        <w:pStyle w:val="NormalWeb"/>
        <w:tabs>
          <w:tab w:val="num" w:pos="1417"/>
        </w:tabs>
        <w:spacing w:before="120" w:after="120" w:line="240" w:lineRule="auto"/>
        <w:ind w:left="1417" w:hanging="567"/>
        <w:jc w:val="both"/>
        <w:rPr>
          <w:rFonts w:eastAsia="Calibri"/>
          <w:noProof/>
        </w:rPr>
      </w:pPr>
      <w:r>
        <w:rPr>
          <w:noProof/>
        </w:rPr>
        <w:t>Utbyte av dieseldriven mobil marktjänstutrustning med eldrivna enheter.</w:t>
      </w:r>
    </w:p>
    <w:p w14:paraId="5F4576B5" w14:textId="77777777" w:rsidR="003A3D51" w:rsidRDefault="0002775A">
      <w:pPr>
        <w:pStyle w:val="P68B1DB1-Normal3"/>
        <w:tabs>
          <w:tab w:val="num" w:pos="1417"/>
        </w:tabs>
        <w:spacing w:before="120" w:after="120" w:line="240" w:lineRule="auto"/>
        <w:ind w:left="1417" w:hanging="567"/>
        <w:jc w:val="both"/>
        <w:rPr>
          <w:noProof/>
        </w:rPr>
      </w:pPr>
      <w:r>
        <w:rPr>
          <w:noProof/>
        </w:rPr>
        <w:t>Uppförande av ett solcellskraftverk på 610 kW och anslutning till det fasta kraftförsörjningssystemet och laddningsstationer för eldriven mobil marktjänstutrustning.</w:t>
      </w:r>
    </w:p>
    <w:p w14:paraId="06E7DAAB" w14:textId="77777777" w:rsidR="003A3D51" w:rsidRDefault="0002775A">
      <w:pPr>
        <w:pStyle w:val="P68B1DB1-Normal11"/>
        <w:spacing w:before="120" w:after="120" w:line="240" w:lineRule="auto"/>
        <w:jc w:val="both"/>
        <w:rPr>
          <w:noProof/>
        </w:rPr>
      </w:pPr>
      <w:r>
        <w:rPr>
          <w:noProof/>
        </w:rPr>
        <w:t>Investeringen förväntas bidra till att minska utsläppen av växthusgaser, föroreningar och buller samt öka säkerheten och effektiviteten i verksamheten.</w:t>
      </w:r>
    </w:p>
    <w:p w14:paraId="07BC8E98" w14:textId="3B26A9E8"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31 december 2025.</w:t>
      </w:r>
    </w:p>
    <w:p w14:paraId="67B700BC" w14:textId="77777777" w:rsidR="003A3D51" w:rsidRDefault="0002775A">
      <w:pPr>
        <w:pStyle w:val="P68B1DB1-Normal10"/>
        <w:keepNext/>
        <w:tabs>
          <w:tab w:val="num" w:pos="850"/>
        </w:tabs>
        <w:spacing w:after="200" w:line="276" w:lineRule="auto"/>
        <w:ind w:left="851"/>
        <w:jc w:val="both"/>
        <w:outlineLvl w:val="2"/>
        <w:rPr>
          <w:rFonts w:ascii="Calibri" w:eastAsia="Calibri" w:hAnsi="Calibri" w:cs="Arial"/>
          <w:noProof/>
        </w:rPr>
      </w:pPr>
      <w:r>
        <w:rPr>
          <w:noProof/>
        </w:rPr>
        <w:t>Investering C1.4 R5 – I2 – Forskning, utveckling och produktion av nya mobilitetsfordon och stödinfrastruktur</w:t>
      </w:r>
    </w:p>
    <w:p w14:paraId="72A409E1" w14:textId="77777777" w:rsidR="003A3D51" w:rsidRDefault="0002775A">
      <w:pPr>
        <w:pStyle w:val="P68B1DB1-Normal11"/>
        <w:spacing w:before="120" w:after="120" w:line="240" w:lineRule="auto"/>
        <w:jc w:val="both"/>
        <w:rPr>
          <w:noProof/>
        </w:rPr>
      </w:pPr>
      <w:r>
        <w:rPr>
          <w:noProof/>
        </w:rPr>
        <w:t xml:space="preserve">Syftet med investeringen är att utveckla och genomföra ett nytt ekosystemprojekt för mobilitet i städer. Investeringen ska stödja forsknings- och utvecklingsdelen av projektet, nämligen den fas som kännetecknas av färdigställandet av den ursprungliga prototypen för helt självkörande elfordon och inledandet av arbetet med att utveckla kontrollprototyper. Det nya ekosystemet för mobilitet i städer ska omfatta tre huvudkomponenter: i) helt självkörande elfordon som kan utföra alla dynamiska körfunktioner utan hjälp av förare med hjälp av artificiell intelligens, ii) utveckling och konstruktion av en specialiserad infrastruktur för självkörande fordon och elfordon som är integrerade med kollektivtrafik i städer, och iii) utveckling av en programvaruplattform för drift av hela systemet. </w:t>
      </w:r>
    </w:p>
    <w:p w14:paraId="1A1BF7EC" w14:textId="77777777" w:rsidR="003A3D51" w:rsidRDefault="0002775A">
      <w:pPr>
        <w:pStyle w:val="NormalWeb"/>
        <w:spacing w:before="120" w:after="120" w:line="240" w:lineRule="auto"/>
        <w:jc w:val="both"/>
        <w:rPr>
          <w:rFonts w:eastAsia="Times New Roman"/>
          <w:noProof/>
        </w:rPr>
      </w:pPr>
      <w:r>
        <w:rPr>
          <w:noProof/>
        </w:rPr>
        <w:t>Genomförandet av projektet i staden Zagreb förväntas avsevärt öka transportsäkerheten och samtidigt öka effektiviteten och minska trafikstockningarna. Projektet förväntas också få en betydande positiv miljöpåverkan genom att minska de totala förorenande utsläppen från motorfordonstransporter, genom forsknings- och innovationsprocesser, tekniköverföring och samarbete mellan företag inom en koldioxidsnål ekonomi. Projektet ska också omfatta skapandet av ett digitaliserat system för utsläppsfria, självkörande fordon och digitaliserad laddningsinfrastruktur. I samförstånd med staden Zagreb och kollektivtrafikföretaget ska 50 000 kuponger för resor med helt självkörande fordon tilldelas personer med funktionsnedsättning och/eller som har svårt att använda andra transportmedel.</w:t>
      </w:r>
    </w:p>
    <w:p w14:paraId="3E02E3E3" w14:textId="77777777" w:rsidR="003A3D51" w:rsidRDefault="0002775A">
      <w:pPr>
        <w:pStyle w:val="P68B1DB1-Normal11"/>
        <w:spacing w:after="200" w:line="276" w:lineRule="auto"/>
        <w:jc w:val="both"/>
        <w:rPr>
          <w:rFonts w:ascii="Calibri" w:eastAsia="Calibri" w:hAnsi="Calibri" w:cs="Arial"/>
          <w:noProof/>
        </w:rPr>
      </w:pPr>
      <w:r>
        <w:rPr>
          <w:noProof/>
        </w:rPr>
        <w:t>Investeringen ska vara slutförd senast den 31 mars 2026.</w:t>
      </w:r>
    </w:p>
    <w:p w14:paraId="0FED5C6D" w14:textId="77777777" w:rsidR="003A3D51" w:rsidRDefault="0002775A">
      <w:pPr>
        <w:pStyle w:val="P68B1DB1-Normal10"/>
        <w:keepNext/>
        <w:tabs>
          <w:tab w:val="num" w:pos="850"/>
        </w:tabs>
        <w:spacing w:after="200" w:line="276" w:lineRule="auto"/>
        <w:ind w:left="851"/>
        <w:jc w:val="both"/>
        <w:outlineLvl w:val="2"/>
        <w:rPr>
          <w:rFonts w:ascii="Calibri" w:eastAsia="Calibri" w:hAnsi="Calibri" w:cs="Arial"/>
          <w:noProof/>
        </w:rPr>
      </w:pPr>
      <w:r>
        <w:rPr>
          <w:noProof/>
        </w:rPr>
        <w:t>Investering C1.4 R5-I3 – Medfinansieringsprogram för inköp av nya fordon för alternativa bränslen och utveckling av infrastruktur för alternativa bränslen inom vägtransporter</w:t>
      </w:r>
    </w:p>
    <w:p w14:paraId="1FFF76B9" w14:textId="34B6B486" w:rsidR="003A3D51" w:rsidRDefault="0002775A">
      <w:pPr>
        <w:pStyle w:val="P68B1DB1-Normal11"/>
        <w:spacing w:before="120" w:after="120" w:line="240" w:lineRule="auto"/>
        <w:jc w:val="both"/>
        <w:rPr>
          <w:noProof/>
        </w:rPr>
      </w:pPr>
      <w:r>
        <w:rPr>
          <w:noProof/>
        </w:rPr>
        <w:t>Syftet med investeringen är att öka vägtransporternas energieffektivitet genom att minska beroendet av fossila bränslen. Verksamheten inom ramen för denna investering ska inriktas på att öka antalet fordon som drivs med alternativa bränslen (el eller vätgas) som registreras i Kroatien. Dessa verksamheter ska bidra till att minska de totala CO2-utsläppen och andra skadliga gaser. Åtgärden består av samfinansiering av inköp av minst 2 000 nya fordon som drivs med alternativa bränslen.</w:t>
      </w:r>
    </w:p>
    <w:p w14:paraId="267A68BB" w14:textId="77777777" w:rsidR="003A3D51" w:rsidRDefault="0002775A">
      <w:pPr>
        <w:pStyle w:val="P68B1DB1-Normal11"/>
        <w:spacing w:after="200" w:line="276" w:lineRule="auto"/>
        <w:jc w:val="both"/>
        <w:rPr>
          <w:rFonts w:ascii="Calibri" w:eastAsia="Calibri" w:hAnsi="Calibri" w:cs="Arial"/>
          <w:noProof/>
        </w:rPr>
      </w:pPr>
      <w:r>
        <w:rPr>
          <w:noProof/>
        </w:rPr>
        <w:t>Investeringen ska vara slutförd senast den 30 juni 2026.</w:t>
      </w:r>
    </w:p>
    <w:p w14:paraId="41109963" w14:textId="77777777" w:rsidR="003A3D51" w:rsidRDefault="0002775A">
      <w:pPr>
        <w:pStyle w:val="P68B1DB1-Normal3"/>
        <w:spacing w:before="120" w:after="120" w:line="240" w:lineRule="auto"/>
        <w:ind w:left="850"/>
        <w:jc w:val="both"/>
        <w:rPr>
          <w:noProof/>
          <w:u w:val="single"/>
        </w:rPr>
      </w:pPr>
      <w:r>
        <w:rPr>
          <w:noProof/>
        </w:rPr>
        <w:t xml:space="preserve"> </w:t>
      </w:r>
    </w:p>
    <w:p w14:paraId="34D9416F" w14:textId="77777777" w:rsidR="003A3D51" w:rsidRDefault="003A3D51">
      <w:pPr>
        <w:rPr>
          <w:noProof/>
        </w:rPr>
        <w:sectPr w:rsidR="003A3D51" w:rsidSect="00042078">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08" w:footer="708" w:gutter="0"/>
          <w:cols w:space="708"/>
          <w:docGrid w:linePitch="360"/>
        </w:sectPr>
      </w:pPr>
    </w:p>
    <w:p w14:paraId="0DB00A55"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D.2. </w:t>
      </w:r>
      <w:r>
        <w:rPr>
          <w:noProof/>
        </w:rPr>
        <w:tab/>
        <w:t>Delmål, mål, indikatorer och tidsplan för övervakning och genomförande avseende icke återbetalningspliktigt ekonomiskt stöd</w:t>
      </w:r>
    </w:p>
    <w:tbl>
      <w:tblPr>
        <w:tblW w:w="5000" w:type="pct"/>
        <w:jc w:val="center"/>
        <w:tblCellMar>
          <w:top w:w="28" w:type="dxa"/>
          <w:left w:w="28" w:type="dxa"/>
          <w:bottom w:w="28" w:type="dxa"/>
          <w:right w:w="28" w:type="dxa"/>
        </w:tblCellMar>
        <w:tblLook w:val="04A0" w:firstRow="1" w:lastRow="0" w:firstColumn="1" w:lastColumn="0" w:noHBand="0" w:noVBand="1"/>
      </w:tblPr>
      <w:tblGrid>
        <w:gridCol w:w="136"/>
        <w:gridCol w:w="211"/>
        <w:gridCol w:w="223"/>
        <w:gridCol w:w="2481"/>
        <w:gridCol w:w="2950"/>
        <w:gridCol w:w="250"/>
        <w:gridCol w:w="191"/>
        <w:gridCol w:w="244"/>
        <w:gridCol w:w="222"/>
        <w:gridCol w:w="132"/>
        <w:gridCol w:w="5976"/>
      </w:tblGrid>
      <w:tr w:rsidR="003A3D51" w14:paraId="7E5F27CA" w14:textId="77777777" w:rsidTr="00BD6C39">
        <w:trPr>
          <w:tblHeader/>
          <w:jc w:val="center"/>
        </w:trPr>
        <w:tc>
          <w:tcPr>
            <w:tcW w:w="240"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890B8A" w14:textId="77777777" w:rsidR="003A3D51" w:rsidRDefault="0002775A">
            <w:pPr>
              <w:pStyle w:val="P68B1DB1-Normal6"/>
              <w:spacing w:after="0" w:line="276" w:lineRule="auto"/>
              <w:jc w:val="center"/>
              <w:rPr>
                <w:noProof/>
              </w:rPr>
            </w:pPr>
            <w:r>
              <w:rPr>
                <w:noProof/>
              </w:rPr>
              <w:t>Antal</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8C6A7F" w14:textId="77777777" w:rsidR="003A3D51" w:rsidRDefault="0002775A">
            <w:pPr>
              <w:pStyle w:val="P68B1DB1-Normal6"/>
              <w:spacing w:after="0" w:line="276" w:lineRule="auto"/>
              <w:jc w:val="center"/>
              <w:rPr>
                <w:noProof/>
              </w:rPr>
            </w:pPr>
            <w:r>
              <w:rPr>
                <w:noProof/>
              </w:rPr>
              <w:t>Åtgärd</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DE8146" w14:textId="77777777" w:rsidR="003A3D51" w:rsidRDefault="0002775A">
            <w:pPr>
              <w:pStyle w:val="P68B1DB1-Normal6"/>
              <w:spacing w:after="0" w:line="276" w:lineRule="auto"/>
              <w:jc w:val="center"/>
              <w:rPr>
                <w:noProof/>
              </w:rPr>
            </w:pPr>
            <w:r>
              <w:rPr>
                <w:noProof/>
              </w:rPr>
              <w:t>Delmål/mål</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1122CED" w14:textId="77777777" w:rsidR="003A3D51" w:rsidRDefault="0002775A">
            <w:pPr>
              <w:pStyle w:val="P68B1DB1-Normal6"/>
              <w:spacing w:after="0" w:line="276" w:lineRule="auto"/>
              <w:jc w:val="center"/>
              <w:rPr>
                <w:noProof/>
              </w:rPr>
            </w:pPr>
            <w:r>
              <w:rPr>
                <w:noProof/>
              </w:rPr>
              <w:t>Namn</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52596A"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997" w:type="pct"/>
            <w:gridSpan w:val="3"/>
            <w:tcBorders>
              <w:top w:val="single" w:sz="4" w:space="0" w:color="auto"/>
              <w:left w:val="single" w:sz="4" w:space="0" w:color="auto"/>
              <w:bottom w:val="single" w:sz="4" w:space="0" w:color="auto"/>
              <w:right w:val="single" w:sz="4" w:space="0" w:color="auto"/>
            </w:tcBorders>
            <w:shd w:val="clear" w:color="auto" w:fill="BDD7EE"/>
            <w:hideMark/>
          </w:tcPr>
          <w:p w14:paraId="6F3CFEC3"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473" w:type="pct"/>
            <w:gridSpan w:val="2"/>
            <w:tcBorders>
              <w:top w:val="single" w:sz="4" w:space="0" w:color="auto"/>
              <w:left w:val="nil"/>
              <w:bottom w:val="single" w:sz="4" w:space="0" w:color="auto"/>
              <w:right w:val="single" w:sz="4" w:space="0" w:color="auto"/>
            </w:tcBorders>
            <w:shd w:val="clear" w:color="auto" w:fill="BDD7EE"/>
            <w:hideMark/>
          </w:tcPr>
          <w:p w14:paraId="12067514" w14:textId="77777777" w:rsidR="003A3D51" w:rsidRDefault="0002775A">
            <w:pPr>
              <w:pStyle w:val="P68B1DB1-Normal6"/>
              <w:spacing w:after="0" w:line="276" w:lineRule="auto"/>
              <w:jc w:val="center"/>
              <w:rPr>
                <w:noProof/>
              </w:rPr>
            </w:pPr>
            <w:r>
              <w:rPr>
                <w:noProof/>
              </w:rPr>
              <w:t>Tid</w:t>
            </w:r>
          </w:p>
        </w:tc>
        <w:tc>
          <w:tcPr>
            <w:tcW w:w="1238" w:type="pct"/>
            <w:vMerge w:val="restart"/>
            <w:tcBorders>
              <w:top w:val="single" w:sz="4" w:space="0" w:color="auto"/>
              <w:left w:val="single" w:sz="4" w:space="0" w:color="auto"/>
              <w:bottom w:val="single" w:sz="4" w:space="0" w:color="auto"/>
              <w:right w:val="single" w:sz="4" w:space="0" w:color="auto"/>
            </w:tcBorders>
            <w:shd w:val="clear" w:color="auto" w:fill="BDD7EE"/>
            <w:hideMark/>
          </w:tcPr>
          <w:p w14:paraId="1CC64C05" w14:textId="77777777" w:rsidR="003A3D51" w:rsidRDefault="0002775A">
            <w:pPr>
              <w:pStyle w:val="P68B1DB1-Normal6"/>
              <w:spacing w:after="0" w:line="276" w:lineRule="auto"/>
              <w:jc w:val="center"/>
              <w:rPr>
                <w:noProof/>
              </w:rPr>
            </w:pPr>
            <w:r>
              <w:rPr>
                <w:noProof/>
              </w:rPr>
              <w:t>Beskrivning av varje delmål och mål</w:t>
            </w:r>
          </w:p>
        </w:tc>
      </w:tr>
      <w:tr w:rsidR="003A3D51" w14:paraId="02158FDD" w14:textId="77777777" w:rsidTr="00BD6C39">
        <w:trPr>
          <w:tblHeader/>
          <w:jc w:val="center"/>
        </w:trPr>
        <w:tc>
          <w:tcPr>
            <w:tcW w:w="240" w:type="pct"/>
            <w:vMerge/>
            <w:tcBorders>
              <w:top w:val="single" w:sz="4" w:space="0" w:color="auto"/>
              <w:left w:val="single" w:sz="4" w:space="0" w:color="auto"/>
              <w:bottom w:val="single" w:sz="4" w:space="0" w:color="auto"/>
              <w:right w:val="single" w:sz="4" w:space="0" w:color="auto"/>
            </w:tcBorders>
            <w:hideMark/>
          </w:tcPr>
          <w:p w14:paraId="238677A1" w14:textId="77777777" w:rsidR="003A3D51" w:rsidRDefault="003A3D51">
            <w:pPr>
              <w:spacing w:after="0" w:line="276" w:lineRule="auto"/>
              <w:jc w:val="center"/>
              <w:rPr>
                <w:rFonts w:ascii="Times New Roman" w:eastAsia="Times New Roman" w:hAnsi="Times New Roman" w:cs="Times New Roman"/>
                <w:b/>
                <w:noProof/>
              </w:rPr>
            </w:pPr>
          </w:p>
        </w:tc>
        <w:tc>
          <w:tcPr>
            <w:tcW w:w="312" w:type="pct"/>
            <w:vMerge/>
            <w:tcBorders>
              <w:top w:val="single" w:sz="4" w:space="0" w:color="auto"/>
              <w:left w:val="single" w:sz="4" w:space="0" w:color="auto"/>
              <w:bottom w:val="single" w:sz="4" w:space="0" w:color="auto"/>
              <w:right w:val="single" w:sz="4" w:space="0" w:color="auto"/>
            </w:tcBorders>
            <w:hideMark/>
          </w:tcPr>
          <w:p w14:paraId="78A83014" w14:textId="77777777" w:rsidR="003A3D51" w:rsidRDefault="003A3D51">
            <w:pPr>
              <w:spacing w:after="0" w:line="276" w:lineRule="auto"/>
              <w:jc w:val="center"/>
              <w:rPr>
                <w:rFonts w:ascii="Times New Roman" w:eastAsia="Times New Roman" w:hAnsi="Times New Roman" w:cs="Times New Roman"/>
                <w:b/>
                <w:noProof/>
              </w:rPr>
            </w:pPr>
          </w:p>
        </w:tc>
        <w:tc>
          <w:tcPr>
            <w:tcW w:w="297" w:type="pct"/>
            <w:vMerge/>
            <w:tcBorders>
              <w:top w:val="single" w:sz="4" w:space="0" w:color="auto"/>
              <w:left w:val="single" w:sz="4" w:space="0" w:color="auto"/>
              <w:bottom w:val="single" w:sz="4" w:space="0" w:color="auto"/>
              <w:right w:val="single" w:sz="4" w:space="0" w:color="auto"/>
            </w:tcBorders>
            <w:hideMark/>
          </w:tcPr>
          <w:p w14:paraId="6749723D" w14:textId="77777777" w:rsidR="003A3D51" w:rsidRDefault="003A3D51">
            <w:pPr>
              <w:spacing w:after="0" w:line="276" w:lineRule="auto"/>
              <w:jc w:val="center"/>
              <w:rPr>
                <w:rFonts w:ascii="Times New Roman" w:eastAsia="Times New Roman" w:hAnsi="Times New Roman" w:cs="Times New Roman"/>
                <w:b/>
                <w:noProof/>
              </w:rPr>
            </w:pPr>
          </w:p>
        </w:tc>
        <w:tc>
          <w:tcPr>
            <w:tcW w:w="722" w:type="pct"/>
            <w:vMerge/>
            <w:tcBorders>
              <w:top w:val="single" w:sz="4" w:space="0" w:color="auto"/>
              <w:left w:val="single" w:sz="4" w:space="0" w:color="auto"/>
              <w:bottom w:val="single" w:sz="4" w:space="0" w:color="auto"/>
              <w:right w:val="single" w:sz="4" w:space="0" w:color="auto"/>
            </w:tcBorders>
            <w:hideMark/>
          </w:tcPr>
          <w:p w14:paraId="07B07B7C" w14:textId="77777777" w:rsidR="003A3D51" w:rsidRDefault="003A3D51">
            <w:pPr>
              <w:spacing w:after="0" w:line="276" w:lineRule="auto"/>
              <w:rPr>
                <w:rFonts w:ascii="Times New Roman" w:eastAsia="Times New Roman" w:hAnsi="Times New Roman" w:cs="Times New Roman"/>
                <w:b/>
                <w:noProof/>
              </w:rPr>
            </w:pPr>
          </w:p>
        </w:tc>
        <w:tc>
          <w:tcPr>
            <w:tcW w:w="722" w:type="pct"/>
            <w:vMerge/>
            <w:tcBorders>
              <w:top w:val="single" w:sz="4" w:space="0" w:color="auto"/>
              <w:left w:val="single" w:sz="4" w:space="0" w:color="auto"/>
              <w:bottom w:val="single" w:sz="4" w:space="0" w:color="auto"/>
              <w:right w:val="single" w:sz="4" w:space="0" w:color="auto"/>
            </w:tcBorders>
            <w:hideMark/>
          </w:tcPr>
          <w:p w14:paraId="187DF80D" w14:textId="77777777" w:rsidR="003A3D51" w:rsidRDefault="003A3D51">
            <w:pPr>
              <w:spacing w:after="0" w:line="276" w:lineRule="auto"/>
              <w:rPr>
                <w:rFonts w:ascii="Times New Roman" w:eastAsia="Times New Roman" w:hAnsi="Times New Roman" w:cs="Times New Roman"/>
                <w:b/>
                <w:noProof/>
              </w:rPr>
            </w:pPr>
          </w:p>
        </w:tc>
        <w:tc>
          <w:tcPr>
            <w:tcW w:w="367" w:type="pct"/>
            <w:tcBorders>
              <w:top w:val="nil"/>
              <w:left w:val="single" w:sz="4" w:space="0" w:color="auto"/>
              <w:bottom w:val="single" w:sz="4" w:space="0" w:color="auto"/>
              <w:right w:val="single" w:sz="4" w:space="0" w:color="auto"/>
            </w:tcBorders>
            <w:shd w:val="clear" w:color="auto" w:fill="BDD7EE"/>
            <w:hideMark/>
          </w:tcPr>
          <w:p w14:paraId="33A1C073" w14:textId="77777777" w:rsidR="003A3D51" w:rsidRDefault="0002775A">
            <w:pPr>
              <w:pStyle w:val="P68B1DB1-Normal6"/>
              <w:spacing w:after="0" w:line="276" w:lineRule="auto"/>
              <w:jc w:val="center"/>
              <w:rPr>
                <w:noProof/>
              </w:rPr>
            </w:pPr>
            <w:r>
              <w:rPr>
                <w:noProof/>
              </w:rPr>
              <w:t>Enhet</w:t>
            </w:r>
          </w:p>
        </w:tc>
        <w:tc>
          <w:tcPr>
            <w:tcW w:w="260" w:type="pct"/>
            <w:tcBorders>
              <w:top w:val="nil"/>
              <w:left w:val="nil"/>
              <w:bottom w:val="single" w:sz="4" w:space="0" w:color="auto"/>
              <w:right w:val="single" w:sz="4" w:space="0" w:color="auto"/>
            </w:tcBorders>
            <w:shd w:val="clear" w:color="auto" w:fill="BDD7EE"/>
            <w:hideMark/>
          </w:tcPr>
          <w:p w14:paraId="5F60B851" w14:textId="77777777" w:rsidR="003A3D51" w:rsidRDefault="0002775A">
            <w:pPr>
              <w:pStyle w:val="P68B1DB1-Normal6"/>
              <w:spacing w:after="0" w:line="276" w:lineRule="auto"/>
              <w:jc w:val="center"/>
              <w:rPr>
                <w:noProof/>
              </w:rPr>
            </w:pPr>
            <w:r>
              <w:rPr>
                <w:noProof/>
              </w:rPr>
              <w:t>Baslinjen</w:t>
            </w:r>
          </w:p>
        </w:tc>
        <w:tc>
          <w:tcPr>
            <w:tcW w:w="370" w:type="pct"/>
            <w:tcBorders>
              <w:top w:val="nil"/>
              <w:left w:val="nil"/>
              <w:bottom w:val="single" w:sz="4" w:space="0" w:color="auto"/>
              <w:right w:val="single" w:sz="4" w:space="0" w:color="auto"/>
            </w:tcBorders>
            <w:shd w:val="clear" w:color="auto" w:fill="BDD7EE"/>
            <w:hideMark/>
          </w:tcPr>
          <w:p w14:paraId="1C8BF2A4" w14:textId="77777777" w:rsidR="003A3D51" w:rsidRDefault="0002775A">
            <w:pPr>
              <w:pStyle w:val="P68B1DB1-Normal6"/>
              <w:spacing w:after="0" w:line="276" w:lineRule="auto"/>
              <w:jc w:val="center"/>
              <w:rPr>
                <w:noProof/>
              </w:rPr>
            </w:pPr>
            <w:r>
              <w:rPr>
                <w:noProof/>
              </w:rPr>
              <w:t>Mål</w:t>
            </w:r>
          </w:p>
        </w:tc>
        <w:tc>
          <w:tcPr>
            <w:tcW w:w="250" w:type="pct"/>
            <w:tcBorders>
              <w:top w:val="nil"/>
              <w:left w:val="nil"/>
              <w:bottom w:val="single" w:sz="4" w:space="0" w:color="auto"/>
              <w:right w:val="single" w:sz="4" w:space="0" w:color="auto"/>
            </w:tcBorders>
            <w:shd w:val="clear" w:color="auto" w:fill="BDD7EE"/>
            <w:hideMark/>
          </w:tcPr>
          <w:p w14:paraId="3FE830AE" w14:textId="77777777" w:rsidR="003A3D51" w:rsidRDefault="0002775A">
            <w:pPr>
              <w:pStyle w:val="P68B1DB1-Normal6"/>
              <w:spacing w:after="0" w:line="276" w:lineRule="auto"/>
              <w:jc w:val="center"/>
              <w:rPr>
                <w:noProof/>
              </w:rPr>
            </w:pPr>
            <w:r>
              <w:rPr>
                <w:noProof/>
              </w:rPr>
              <w:t>Q</w:t>
            </w:r>
          </w:p>
        </w:tc>
        <w:tc>
          <w:tcPr>
            <w:tcW w:w="223" w:type="pct"/>
            <w:tcBorders>
              <w:top w:val="nil"/>
              <w:left w:val="nil"/>
              <w:bottom w:val="single" w:sz="4" w:space="0" w:color="auto"/>
              <w:right w:val="single" w:sz="4" w:space="0" w:color="auto"/>
            </w:tcBorders>
            <w:shd w:val="clear" w:color="auto" w:fill="BDD7EE"/>
            <w:hideMark/>
          </w:tcPr>
          <w:p w14:paraId="49A05867" w14:textId="77777777" w:rsidR="003A3D51" w:rsidRDefault="0002775A">
            <w:pPr>
              <w:pStyle w:val="P68B1DB1-Normal6"/>
              <w:spacing w:after="0" w:line="276" w:lineRule="auto"/>
              <w:jc w:val="center"/>
              <w:rPr>
                <w:noProof/>
              </w:rPr>
            </w:pPr>
            <w:r>
              <w:rPr>
                <w:noProof/>
              </w:rPr>
              <w:t>Året</w:t>
            </w:r>
          </w:p>
        </w:tc>
        <w:tc>
          <w:tcPr>
            <w:tcW w:w="1238" w:type="pct"/>
            <w:vMerge/>
            <w:tcBorders>
              <w:top w:val="single" w:sz="4" w:space="0" w:color="auto"/>
              <w:bottom w:val="single" w:sz="4" w:space="0" w:color="auto"/>
              <w:right w:val="single" w:sz="4" w:space="0" w:color="auto"/>
            </w:tcBorders>
            <w:hideMark/>
          </w:tcPr>
          <w:p w14:paraId="276C556A" w14:textId="77777777" w:rsidR="003A3D51" w:rsidRDefault="003A3D51">
            <w:pPr>
              <w:spacing w:after="0" w:line="276" w:lineRule="auto"/>
              <w:rPr>
                <w:rFonts w:ascii="Times New Roman" w:eastAsia="Times New Roman" w:hAnsi="Times New Roman" w:cs="Times New Roman"/>
                <w:b/>
                <w:noProof/>
              </w:rPr>
            </w:pPr>
          </w:p>
        </w:tc>
      </w:tr>
      <w:tr w:rsidR="003A3D51" w14:paraId="1D6B8767"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103CC849" w14:textId="77777777" w:rsidR="003A3D51" w:rsidRDefault="0002775A">
            <w:pPr>
              <w:pStyle w:val="P68B1DB1-Normal7"/>
              <w:spacing w:after="0" w:line="276" w:lineRule="auto"/>
              <w:jc w:val="center"/>
              <w:rPr>
                <w:rFonts w:ascii="Times New Roman" w:hAnsi="Times New Roman" w:cs="Times New Roman"/>
                <w:noProof/>
              </w:rPr>
            </w:pPr>
            <w:r>
              <w:rPr>
                <w:noProof/>
              </w:rPr>
              <w:t>91</w:t>
            </w:r>
          </w:p>
        </w:tc>
        <w:tc>
          <w:tcPr>
            <w:tcW w:w="312" w:type="pct"/>
            <w:tcBorders>
              <w:top w:val="single" w:sz="4" w:space="0" w:color="auto"/>
              <w:left w:val="nil"/>
              <w:bottom w:val="single" w:sz="4" w:space="0" w:color="auto"/>
              <w:right w:val="single" w:sz="4" w:space="0" w:color="auto"/>
            </w:tcBorders>
            <w:shd w:val="clear" w:color="auto" w:fill="C6EFCE"/>
            <w:noWrap/>
          </w:tcPr>
          <w:p w14:paraId="06DC5871" w14:textId="77777777" w:rsidR="003A3D51" w:rsidRDefault="0002775A">
            <w:pPr>
              <w:pStyle w:val="P68B1DB1-Normal7"/>
              <w:spacing w:after="200" w:line="276" w:lineRule="auto"/>
              <w:jc w:val="center"/>
              <w:rPr>
                <w:rFonts w:ascii="Times New Roman" w:hAnsi="Times New Roman" w:cs="Times New Roman"/>
                <w:noProof/>
              </w:rPr>
            </w:pPr>
            <w:r>
              <w:rPr>
                <w:noProof/>
              </w:rPr>
              <w:t>C1.4 R1</w:t>
            </w:r>
          </w:p>
        </w:tc>
        <w:tc>
          <w:tcPr>
            <w:tcW w:w="297" w:type="pct"/>
            <w:tcBorders>
              <w:top w:val="single" w:sz="4" w:space="0" w:color="auto"/>
              <w:left w:val="nil"/>
              <w:bottom w:val="single" w:sz="4" w:space="0" w:color="auto"/>
              <w:right w:val="single" w:sz="4" w:space="0" w:color="auto"/>
            </w:tcBorders>
            <w:shd w:val="clear" w:color="auto" w:fill="C6EFCE"/>
            <w:noWrap/>
          </w:tcPr>
          <w:p w14:paraId="4E3988D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10439D3D" w14:textId="77777777" w:rsidR="003A3D51" w:rsidRDefault="0002775A">
            <w:pPr>
              <w:pStyle w:val="P68B1DB1-Normal7"/>
              <w:spacing w:after="200" w:line="276" w:lineRule="auto"/>
              <w:rPr>
                <w:rFonts w:ascii="Times New Roman" w:hAnsi="Times New Roman" w:cs="Times New Roman"/>
                <w:noProof/>
              </w:rPr>
            </w:pPr>
            <w:r>
              <w:rPr>
                <w:noProof/>
              </w:rPr>
              <w:t xml:space="preserve">Ändringar i väglagen </w:t>
            </w:r>
          </w:p>
        </w:tc>
        <w:tc>
          <w:tcPr>
            <w:tcW w:w="722" w:type="pct"/>
            <w:tcBorders>
              <w:top w:val="single" w:sz="4" w:space="0" w:color="auto"/>
              <w:left w:val="nil"/>
              <w:bottom w:val="single" w:sz="4" w:space="0" w:color="auto"/>
              <w:right w:val="single" w:sz="4" w:space="0" w:color="auto"/>
            </w:tcBorders>
            <w:shd w:val="clear" w:color="auto" w:fill="C6EFCE"/>
            <w:noWrap/>
          </w:tcPr>
          <w:p w14:paraId="0CF3EDAD"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ändringar i väglagen </w:t>
            </w:r>
          </w:p>
        </w:tc>
        <w:tc>
          <w:tcPr>
            <w:tcW w:w="367" w:type="pct"/>
            <w:tcBorders>
              <w:top w:val="single" w:sz="4" w:space="0" w:color="auto"/>
              <w:left w:val="nil"/>
              <w:bottom w:val="single" w:sz="4" w:space="0" w:color="auto"/>
              <w:right w:val="single" w:sz="4" w:space="0" w:color="auto"/>
            </w:tcBorders>
            <w:shd w:val="clear" w:color="auto" w:fill="C6EFCE"/>
            <w:noWrap/>
          </w:tcPr>
          <w:p w14:paraId="04F1C86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4AA13CD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26A77A1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0202AAFB"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3" w:type="pct"/>
            <w:tcBorders>
              <w:top w:val="single" w:sz="4" w:space="0" w:color="auto"/>
              <w:left w:val="nil"/>
              <w:bottom w:val="single" w:sz="4" w:space="0" w:color="auto"/>
              <w:right w:val="single" w:sz="4" w:space="0" w:color="auto"/>
            </w:tcBorders>
            <w:shd w:val="clear" w:color="auto" w:fill="C6EFCE"/>
            <w:noWrap/>
          </w:tcPr>
          <w:p w14:paraId="3B6619A1"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238" w:type="pct"/>
            <w:tcBorders>
              <w:top w:val="single" w:sz="4" w:space="0" w:color="auto"/>
              <w:left w:val="nil"/>
              <w:bottom w:val="single" w:sz="4" w:space="0" w:color="auto"/>
              <w:right w:val="single" w:sz="4" w:space="0" w:color="auto"/>
            </w:tcBorders>
            <w:shd w:val="clear" w:color="auto" w:fill="C6EFCE"/>
            <w:noWrap/>
          </w:tcPr>
          <w:p w14:paraId="56F2030A" w14:textId="77777777" w:rsidR="003A3D51" w:rsidRDefault="0002775A">
            <w:pPr>
              <w:pStyle w:val="P68B1DB1-Normal7"/>
              <w:spacing w:after="200" w:line="276" w:lineRule="auto"/>
              <w:rPr>
                <w:rFonts w:ascii="Times New Roman" w:hAnsi="Times New Roman" w:cs="Times New Roman"/>
                <w:noProof/>
              </w:rPr>
            </w:pPr>
            <w:r>
              <w:rPr>
                <w:noProof/>
              </w:rPr>
              <w:t xml:space="preserve"> Ändringar i väglagen ska bland annat</w:t>
            </w:r>
            <w:r>
              <w:rPr>
                <w:noProof/>
              </w:rPr>
              <w:br/>
              <w:t>— Säkerställa driftskompatibilitet mellan elektroniska vägtullsystem på hela unionens vägnät, motorvägar i och mellan städer, större och sekundära vägar och olika konstruktioner, såsom tunnlar eller broar, och färjor.</w:t>
            </w:r>
            <w:r>
              <w:rPr>
                <w:noProof/>
              </w:rPr>
              <w:br/>
              <w:t>Underlätta gränsöverskridande utbyte av uppgifter ur fordonsregister om fordon och ägare eller innehavare av fordon för vilka underlåtenhet att betala någon typ av vägtull har identifierats i unionen,</w:t>
            </w:r>
            <w:r>
              <w:rPr>
                <w:noProof/>
              </w:rPr>
              <w:br/>
              <w:t>— Inkludera bestämmelser som främjar en ökning av den infrastruktur som används för cykel- och fotgängartrafik,</w:t>
            </w:r>
            <w:r>
              <w:rPr>
                <w:noProof/>
              </w:rPr>
              <w:br/>
              <w:t>— Fastställa kriterier och villkor för kostnadstäckning för betalvägsavgifter,</w:t>
            </w:r>
            <w:r>
              <w:rPr>
                <w:noProof/>
              </w:rPr>
              <w:br/>
              <w:t xml:space="preserve">— Ta upp undantagen från skyldigheten att betala avgifter för rätten att bygga och servitut på allmän väg genom att ta bort dessa undantag från lagstiftningen. Detta ska skapa lika villkor när det gäller sådana avgifter för alla entreprenörer. </w:t>
            </w:r>
          </w:p>
        </w:tc>
      </w:tr>
      <w:tr w:rsidR="003A3D51" w14:paraId="45A76D69"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41363C0E" w14:textId="77777777" w:rsidR="003A3D51" w:rsidRDefault="0002775A">
            <w:pPr>
              <w:pStyle w:val="P68B1DB1-Normal7"/>
              <w:spacing w:after="0" w:line="276" w:lineRule="auto"/>
              <w:jc w:val="center"/>
              <w:rPr>
                <w:rFonts w:ascii="Times New Roman" w:hAnsi="Times New Roman" w:cs="Times New Roman"/>
                <w:noProof/>
              </w:rPr>
            </w:pPr>
            <w:r>
              <w:rPr>
                <w:noProof/>
              </w:rPr>
              <w:t>92</w:t>
            </w:r>
          </w:p>
        </w:tc>
        <w:tc>
          <w:tcPr>
            <w:tcW w:w="312" w:type="pct"/>
            <w:tcBorders>
              <w:top w:val="single" w:sz="4" w:space="0" w:color="auto"/>
              <w:left w:val="nil"/>
              <w:bottom w:val="single" w:sz="4" w:space="0" w:color="auto"/>
              <w:right w:val="single" w:sz="4" w:space="0" w:color="auto"/>
            </w:tcBorders>
            <w:shd w:val="clear" w:color="auto" w:fill="C6EFCE"/>
            <w:noWrap/>
          </w:tcPr>
          <w:p w14:paraId="58AAC36B" w14:textId="77777777" w:rsidR="003A3D51" w:rsidRDefault="0002775A">
            <w:pPr>
              <w:pStyle w:val="P68B1DB1-Normal7"/>
              <w:spacing w:after="200" w:line="276" w:lineRule="auto"/>
              <w:jc w:val="center"/>
              <w:rPr>
                <w:rFonts w:ascii="Times New Roman" w:hAnsi="Times New Roman" w:cs="Times New Roman"/>
                <w:noProof/>
              </w:rPr>
            </w:pPr>
            <w:r>
              <w:rPr>
                <w:noProof/>
              </w:rPr>
              <w:t>C1.4 R1</w:t>
            </w:r>
          </w:p>
        </w:tc>
        <w:tc>
          <w:tcPr>
            <w:tcW w:w="297" w:type="pct"/>
            <w:tcBorders>
              <w:top w:val="single" w:sz="4" w:space="0" w:color="auto"/>
              <w:left w:val="nil"/>
              <w:bottom w:val="single" w:sz="4" w:space="0" w:color="auto"/>
              <w:right w:val="single" w:sz="4" w:space="0" w:color="auto"/>
            </w:tcBorders>
            <w:shd w:val="clear" w:color="auto" w:fill="C6EFCE"/>
            <w:noWrap/>
          </w:tcPr>
          <w:p w14:paraId="2A17D403"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6F2D3F65" w14:textId="77777777" w:rsidR="003A3D51" w:rsidRDefault="0002775A">
            <w:pPr>
              <w:pStyle w:val="P68B1DB1-Normal7"/>
              <w:spacing w:after="200" w:line="276" w:lineRule="auto"/>
              <w:rPr>
                <w:rFonts w:ascii="Times New Roman" w:hAnsi="Times New Roman" w:cs="Times New Roman"/>
                <w:noProof/>
              </w:rPr>
            </w:pPr>
            <w:r>
              <w:rPr>
                <w:noProof/>
              </w:rPr>
              <w:t>Det nationella trafiksäkerhetsprogrammet 2021–2030</w:t>
            </w:r>
          </w:p>
        </w:tc>
        <w:tc>
          <w:tcPr>
            <w:tcW w:w="722" w:type="pct"/>
            <w:tcBorders>
              <w:top w:val="single" w:sz="4" w:space="0" w:color="auto"/>
              <w:left w:val="nil"/>
              <w:bottom w:val="single" w:sz="4" w:space="0" w:color="auto"/>
              <w:right w:val="single" w:sz="4" w:space="0" w:color="auto"/>
            </w:tcBorders>
            <w:shd w:val="clear" w:color="auto" w:fill="C6EFCE"/>
            <w:noWrap/>
          </w:tcPr>
          <w:p w14:paraId="35E5EA65" w14:textId="77777777" w:rsidR="003A3D51" w:rsidRDefault="0002775A">
            <w:pPr>
              <w:pStyle w:val="P68B1DB1-Normal7"/>
              <w:spacing w:after="200" w:line="276" w:lineRule="auto"/>
              <w:rPr>
                <w:rFonts w:ascii="Times New Roman" w:hAnsi="Times New Roman" w:cs="Times New Roman"/>
                <w:noProof/>
              </w:rPr>
            </w:pPr>
            <w:r>
              <w:rPr>
                <w:noProof/>
              </w:rPr>
              <w:t>Det nationella trafiksäkerhetsprogrammet 2021–2030 som antagits av den kroatiska regeringen</w:t>
            </w:r>
          </w:p>
        </w:tc>
        <w:tc>
          <w:tcPr>
            <w:tcW w:w="367" w:type="pct"/>
            <w:tcBorders>
              <w:top w:val="single" w:sz="4" w:space="0" w:color="auto"/>
              <w:left w:val="nil"/>
              <w:bottom w:val="single" w:sz="4" w:space="0" w:color="auto"/>
              <w:right w:val="single" w:sz="4" w:space="0" w:color="auto"/>
            </w:tcBorders>
            <w:shd w:val="clear" w:color="auto" w:fill="C6EFCE"/>
            <w:noWrap/>
          </w:tcPr>
          <w:p w14:paraId="505E035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41B270C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759E46A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5409813C"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3" w:type="pct"/>
            <w:tcBorders>
              <w:top w:val="single" w:sz="4" w:space="0" w:color="auto"/>
              <w:left w:val="nil"/>
              <w:bottom w:val="single" w:sz="4" w:space="0" w:color="auto"/>
              <w:right w:val="single" w:sz="4" w:space="0" w:color="auto"/>
            </w:tcBorders>
            <w:shd w:val="clear" w:color="auto" w:fill="C6EFCE"/>
            <w:noWrap/>
          </w:tcPr>
          <w:p w14:paraId="0BAFAB59"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238" w:type="pct"/>
            <w:tcBorders>
              <w:top w:val="single" w:sz="4" w:space="0" w:color="auto"/>
              <w:left w:val="nil"/>
              <w:bottom w:val="single" w:sz="4" w:space="0" w:color="auto"/>
              <w:right w:val="single" w:sz="4" w:space="0" w:color="auto"/>
            </w:tcBorders>
            <w:shd w:val="clear" w:color="auto" w:fill="C6EFCE"/>
            <w:noWrap/>
          </w:tcPr>
          <w:p w14:paraId="6D4D32EC" w14:textId="77777777" w:rsidR="003A3D51" w:rsidRDefault="0002775A">
            <w:pPr>
              <w:pStyle w:val="P68B1DB1-Normal7"/>
              <w:spacing w:after="200" w:line="276" w:lineRule="auto"/>
              <w:rPr>
                <w:rFonts w:ascii="Times New Roman" w:hAnsi="Times New Roman" w:cs="Times New Roman"/>
                <w:noProof/>
              </w:rPr>
            </w:pPr>
            <w:r>
              <w:rPr>
                <w:noProof/>
              </w:rPr>
              <w:t xml:space="preserve">Målet för det nationella trafiksäkerhetsprogrammet 2021–2030, som utarbetats av inrikesministeriet i samarbete med ministeriet för sjö-, transport- och infrastrukturfrågor och andra fackministerier, ska vara att förbättra trafiksäkerheten i Kroatien. </w:t>
            </w:r>
          </w:p>
        </w:tc>
      </w:tr>
      <w:tr w:rsidR="003A3D51" w14:paraId="45F4D85A"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7C55EFF9" w14:textId="77777777" w:rsidR="003A3D51" w:rsidRDefault="0002775A">
            <w:pPr>
              <w:pStyle w:val="P68B1DB1-Normal7"/>
              <w:spacing w:after="200" w:line="276" w:lineRule="auto"/>
              <w:jc w:val="center"/>
              <w:rPr>
                <w:rFonts w:ascii="Times New Roman" w:hAnsi="Times New Roman" w:cs="Times New Roman"/>
                <w:noProof/>
              </w:rPr>
            </w:pPr>
            <w:r>
              <w:rPr>
                <w:noProof/>
              </w:rPr>
              <w:t>94</w:t>
            </w:r>
          </w:p>
        </w:tc>
        <w:tc>
          <w:tcPr>
            <w:tcW w:w="312" w:type="pct"/>
            <w:tcBorders>
              <w:top w:val="single" w:sz="4" w:space="0" w:color="auto"/>
              <w:left w:val="nil"/>
              <w:bottom w:val="single" w:sz="4" w:space="0" w:color="auto"/>
              <w:right w:val="single" w:sz="4" w:space="0" w:color="auto"/>
            </w:tcBorders>
            <w:shd w:val="clear" w:color="auto" w:fill="C6EFCE"/>
            <w:noWrap/>
          </w:tcPr>
          <w:p w14:paraId="07E40E4F" w14:textId="77777777" w:rsidR="003A3D51" w:rsidRDefault="0002775A">
            <w:pPr>
              <w:pStyle w:val="P68B1DB1-Normal7"/>
              <w:spacing w:after="200" w:line="276" w:lineRule="auto"/>
              <w:jc w:val="center"/>
              <w:rPr>
                <w:rFonts w:ascii="Times New Roman" w:hAnsi="Times New Roman" w:cs="Times New Roman"/>
                <w:noProof/>
              </w:rPr>
            </w:pPr>
            <w:r>
              <w:rPr>
                <w:noProof/>
              </w:rPr>
              <w:t>C1.4 R1-I2</w:t>
            </w:r>
          </w:p>
        </w:tc>
        <w:tc>
          <w:tcPr>
            <w:tcW w:w="297" w:type="pct"/>
            <w:tcBorders>
              <w:top w:val="single" w:sz="4" w:space="0" w:color="auto"/>
              <w:left w:val="nil"/>
              <w:bottom w:val="single" w:sz="4" w:space="0" w:color="auto"/>
              <w:right w:val="single" w:sz="4" w:space="0" w:color="auto"/>
            </w:tcBorders>
            <w:shd w:val="clear" w:color="auto" w:fill="C6EFCE"/>
            <w:noWrap/>
          </w:tcPr>
          <w:p w14:paraId="5305A11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nil"/>
              <w:bottom w:val="single" w:sz="4" w:space="0" w:color="auto"/>
              <w:right w:val="single" w:sz="4" w:space="0" w:color="auto"/>
            </w:tcBorders>
            <w:shd w:val="clear" w:color="auto" w:fill="C6EFCE"/>
            <w:noWrap/>
          </w:tcPr>
          <w:p w14:paraId="1A012E78" w14:textId="77777777" w:rsidR="003A3D51" w:rsidRDefault="0002775A">
            <w:pPr>
              <w:pStyle w:val="P68B1DB1-Normal7"/>
              <w:spacing w:after="200" w:line="276" w:lineRule="auto"/>
              <w:rPr>
                <w:rFonts w:ascii="Times New Roman" w:hAnsi="Times New Roman" w:cs="Times New Roman"/>
                <w:noProof/>
              </w:rPr>
            </w:pPr>
            <w:r>
              <w:rPr>
                <w:noProof/>
              </w:rPr>
              <w:t>Inrättande av ett funktionellt system för utövande av rättigheter för personer med funktionsnedsättning när det gäller rörlighet</w:t>
            </w:r>
          </w:p>
        </w:tc>
        <w:tc>
          <w:tcPr>
            <w:tcW w:w="722" w:type="pct"/>
            <w:tcBorders>
              <w:top w:val="single" w:sz="4" w:space="0" w:color="auto"/>
              <w:left w:val="nil"/>
              <w:bottom w:val="single" w:sz="4" w:space="0" w:color="auto"/>
              <w:right w:val="single" w:sz="4" w:space="0" w:color="auto"/>
            </w:tcBorders>
            <w:shd w:val="clear" w:color="auto" w:fill="C6EFCE"/>
            <w:noWrap/>
          </w:tcPr>
          <w:p w14:paraId="3A607FE5" w14:textId="77777777" w:rsidR="003A3D51" w:rsidRDefault="0002775A">
            <w:pPr>
              <w:pStyle w:val="P68B1DB1-Normal7"/>
              <w:spacing w:after="240" w:line="276" w:lineRule="auto"/>
              <w:rPr>
                <w:rFonts w:ascii="Times New Roman" w:hAnsi="Times New Roman" w:cs="Times New Roman"/>
                <w:noProof/>
              </w:rPr>
            </w:pPr>
            <w:r>
              <w:rPr>
                <w:noProof/>
              </w:rPr>
              <w:t> </w:t>
            </w:r>
          </w:p>
        </w:tc>
        <w:tc>
          <w:tcPr>
            <w:tcW w:w="367" w:type="pct"/>
            <w:tcBorders>
              <w:top w:val="single" w:sz="4" w:space="0" w:color="auto"/>
              <w:left w:val="nil"/>
              <w:bottom w:val="single" w:sz="4" w:space="0" w:color="auto"/>
              <w:right w:val="single" w:sz="4" w:space="0" w:color="auto"/>
            </w:tcBorders>
            <w:shd w:val="clear" w:color="auto" w:fill="C6EFCE"/>
            <w:noWrap/>
          </w:tcPr>
          <w:p w14:paraId="231746EA" w14:textId="77777777" w:rsidR="003A3D51" w:rsidRDefault="0002775A">
            <w:pPr>
              <w:pStyle w:val="P68B1DB1-Normal7"/>
              <w:spacing w:after="0" w:line="276" w:lineRule="auto"/>
              <w:jc w:val="center"/>
              <w:rPr>
                <w:rFonts w:ascii="Times New Roman" w:hAnsi="Times New Roman" w:cs="Times New Roman"/>
                <w:noProof/>
              </w:rPr>
            </w:pPr>
            <w:r>
              <w:rPr>
                <w:noProof/>
              </w:rPr>
              <w:t>% (i procent)</w:t>
            </w:r>
          </w:p>
        </w:tc>
        <w:tc>
          <w:tcPr>
            <w:tcW w:w="260" w:type="pct"/>
            <w:tcBorders>
              <w:top w:val="single" w:sz="4" w:space="0" w:color="auto"/>
              <w:left w:val="nil"/>
              <w:bottom w:val="single" w:sz="4" w:space="0" w:color="auto"/>
              <w:right w:val="single" w:sz="4" w:space="0" w:color="auto"/>
            </w:tcBorders>
            <w:shd w:val="clear" w:color="auto" w:fill="C6EFCE"/>
            <w:noWrap/>
          </w:tcPr>
          <w:p w14:paraId="4F0846DD"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nil"/>
              <w:bottom w:val="single" w:sz="4" w:space="0" w:color="auto"/>
              <w:right w:val="single" w:sz="4" w:space="0" w:color="auto"/>
            </w:tcBorders>
            <w:shd w:val="clear" w:color="auto" w:fill="C6EFCE"/>
            <w:noWrap/>
          </w:tcPr>
          <w:p w14:paraId="0B936D8C" w14:textId="77777777" w:rsidR="003A3D51" w:rsidRDefault="0002775A">
            <w:pPr>
              <w:pStyle w:val="P68B1DB1-Normal7"/>
              <w:spacing w:after="200" w:line="276" w:lineRule="auto"/>
              <w:jc w:val="center"/>
              <w:rPr>
                <w:rFonts w:ascii="Times New Roman" w:hAnsi="Times New Roman" w:cs="Times New Roman"/>
                <w:noProof/>
              </w:rPr>
            </w:pPr>
            <w:r>
              <w:rPr>
                <w:noProof/>
              </w:rPr>
              <w:t>50</w:t>
            </w:r>
          </w:p>
        </w:tc>
        <w:tc>
          <w:tcPr>
            <w:tcW w:w="250" w:type="pct"/>
            <w:tcBorders>
              <w:top w:val="single" w:sz="4" w:space="0" w:color="auto"/>
              <w:left w:val="nil"/>
              <w:bottom w:val="single" w:sz="4" w:space="0" w:color="auto"/>
              <w:right w:val="single" w:sz="4" w:space="0" w:color="auto"/>
            </w:tcBorders>
            <w:shd w:val="clear" w:color="auto" w:fill="C6EFCE"/>
            <w:noWrap/>
          </w:tcPr>
          <w:p w14:paraId="31DE3E7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36104F2D"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38" w:type="pct"/>
            <w:tcBorders>
              <w:top w:val="single" w:sz="4" w:space="0" w:color="auto"/>
              <w:left w:val="nil"/>
              <w:bottom w:val="single" w:sz="4" w:space="0" w:color="auto"/>
              <w:right w:val="single" w:sz="4" w:space="0" w:color="auto"/>
            </w:tcBorders>
            <w:shd w:val="clear" w:color="auto" w:fill="C6EFCE"/>
            <w:noWrap/>
          </w:tcPr>
          <w:p w14:paraId="2ABA3E4D" w14:textId="77777777" w:rsidR="003A3D51" w:rsidRDefault="0002775A">
            <w:pPr>
              <w:pStyle w:val="P68B1DB1-Normal7"/>
              <w:spacing w:after="200" w:line="276" w:lineRule="auto"/>
              <w:rPr>
                <w:rFonts w:ascii="Times New Roman" w:hAnsi="Times New Roman" w:cs="Times New Roman"/>
                <w:noProof/>
              </w:rPr>
            </w:pPr>
            <w:r>
              <w:rPr>
                <w:noProof/>
              </w:rPr>
              <w:t>Som en del av investeringen, som ska införa ett funktionellt system som gör det lättare för personer med funktionsnedsättning att ansöka om alla rättigheter till rörlighet på en och samma plats och säkerställer en snabbare handläggning av ansökningar, ska ett enda dokument upprättas som gör det möjligt för personer med funktionsnedsättning att använda det funktionella systemet och utöva samma rättigheter på hela Kroatiens territorium (elektroniskt invaliditetskort), och minst 50 % av de planerade korten ska utfärdas till personer med funktionsnedsättning som har rättigheter på området rörlighet.</w:t>
            </w:r>
          </w:p>
        </w:tc>
      </w:tr>
      <w:tr w:rsidR="003A3D51" w14:paraId="61B6394B"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5D1CE05E" w14:textId="77777777" w:rsidR="003A3D51" w:rsidRDefault="0002775A">
            <w:pPr>
              <w:pStyle w:val="P68B1DB1-Normal7"/>
              <w:spacing w:after="200" w:line="276" w:lineRule="auto"/>
              <w:jc w:val="center"/>
              <w:rPr>
                <w:rFonts w:ascii="Times New Roman" w:hAnsi="Times New Roman" w:cs="Times New Roman"/>
                <w:noProof/>
              </w:rPr>
            </w:pPr>
            <w:r>
              <w:rPr>
                <w:noProof/>
              </w:rPr>
              <w:t>95</w:t>
            </w:r>
          </w:p>
        </w:tc>
        <w:tc>
          <w:tcPr>
            <w:tcW w:w="312" w:type="pct"/>
            <w:tcBorders>
              <w:top w:val="single" w:sz="4" w:space="0" w:color="auto"/>
              <w:left w:val="nil"/>
              <w:bottom w:val="single" w:sz="4" w:space="0" w:color="auto"/>
              <w:right w:val="single" w:sz="4" w:space="0" w:color="auto"/>
            </w:tcBorders>
            <w:shd w:val="clear" w:color="auto" w:fill="C6EFCE"/>
            <w:noWrap/>
          </w:tcPr>
          <w:p w14:paraId="37D850AA" w14:textId="77777777" w:rsidR="003A3D51" w:rsidRDefault="0002775A">
            <w:pPr>
              <w:pStyle w:val="P68B1DB1-Normal7"/>
              <w:spacing w:after="200" w:line="276" w:lineRule="auto"/>
              <w:jc w:val="center"/>
              <w:rPr>
                <w:rFonts w:ascii="Times New Roman" w:hAnsi="Times New Roman" w:cs="Times New Roman"/>
                <w:noProof/>
              </w:rPr>
            </w:pPr>
            <w:r>
              <w:rPr>
                <w:noProof/>
              </w:rPr>
              <w:t>C1.4 R1-I3</w:t>
            </w:r>
          </w:p>
        </w:tc>
        <w:tc>
          <w:tcPr>
            <w:tcW w:w="297" w:type="pct"/>
            <w:tcBorders>
              <w:top w:val="single" w:sz="4" w:space="0" w:color="auto"/>
              <w:left w:val="nil"/>
              <w:bottom w:val="single" w:sz="4" w:space="0" w:color="auto"/>
              <w:right w:val="single" w:sz="4" w:space="0" w:color="auto"/>
            </w:tcBorders>
            <w:shd w:val="clear" w:color="auto" w:fill="C6EFCE"/>
            <w:noWrap/>
          </w:tcPr>
          <w:p w14:paraId="009B4D6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60F5DC88" w14:textId="77777777" w:rsidR="003A3D51" w:rsidRDefault="0002775A">
            <w:pPr>
              <w:pStyle w:val="P68B1DB1-Normal7"/>
              <w:spacing w:after="200" w:line="276" w:lineRule="auto"/>
              <w:rPr>
                <w:rFonts w:ascii="Times New Roman" w:hAnsi="Times New Roman" w:cs="Times New Roman"/>
                <w:noProof/>
              </w:rPr>
            </w:pPr>
            <w:r>
              <w:rPr>
                <w:noProof/>
              </w:rPr>
              <w:t>Inrättande av ett välfungerande nationellt system för elektronisk lagring och datautbyte inom vägtransportsektorn</w:t>
            </w:r>
          </w:p>
        </w:tc>
        <w:tc>
          <w:tcPr>
            <w:tcW w:w="722" w:type="pct"/>
            <w:tcBorders>
              <w:top w:val="single" w:sz="4" w:space="0" w:color="auto"/>
              <w:left w:val="nil"/>
              <w:bottom w:val="single" w:sz="4" w:space="0" w:color="auto"/>
              <w:right w:val="single" w:sz="4" w:space="0" w:color="auto"/>
            </w:tcBorders>
            <w:shd w:val="clear" w:color="auto" w:fill="C6EFCE"/>
            <w:noWrap/>
          </w:tcPr>
          <w:p w14:paraId="531A455E" w14:textId="77777777" w:rsidR="003A3D51" w:rsidRDefault="0002775A">
            <w:pPr>
              <w:pStyle w:val="P68B1DB1-Normal7"/>
              <w:spacing w:after="200" w:line="276" w:lineRule="auto"/>
              <w:rPr>
                <w:rFonts w:ascii="Times New Roman" w:hAnsi="Times New Roman" w:cs="Times New Roman"/>
                <w:noProof/>
              </w:rPr>
            </w:pPr>
            <w:r>
              <w:rPr>
                <w:noProof/>
              </w:rPr>
              <w:t>Ett välfungerande nationellt system för elektronisk lagring och datautbyte inom vägtransportsektorn (NSCP)</w:t>
            </w:r>
          </w:p>
        </w:tc>
        <w:tc>
          <w:tcPr>
            <w:tcW w:w="367" w:type="pct"/>
            <w:tcBorders>
              <w:top w:val="single" w:sz="4" w:space="0" w:color="auto"/>
              <w:left w:val="nil"/>
              <w:bottom w:val="single" w:sz="4" w:space="0" w:color="auto"/>
              <w:right w:val="single" w:sz="4" w:space="0" w:color="auto"/>
            </w:tcBorders>
            <w:shd w:val="clear" w:color="auto" w:fill="C6EFCE"/>
            <w:noWrap/>
          </w:tcPr>
          <w:p w14:paraId="31E4050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13A1F49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4731729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4F06D37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nil"/>
              <w:bottom w:val="single" w:sz="4" w:space="0" w:color="auto"/>
              <w:right w:val="single" w:sz="4" w:space="0" w:color="auto"/>
            </w:tcBorders>
            <w:shd w:val="clear" w:color="auto" w:fill="C6EFCE"/>
            <w:noWrap/>
          </w:tcPr>
          <w:p w14:paraId="53EC562C"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nil"/>
              <w:bottom w:val="single" w:sz="4" w:space="0" w:color="auto"/>
              <w:right w:val="single" w:sz="4" w:space="0" w:color="auto"/>
            </w:tcBorders>
            <w:shd w:val="clear" w:color="auto" w:fill="C6EFCE"/>
            <w:noWrap/>
          </w:tcPr>
          <w:p w14:paraId="2CB2C82D" w14:textId="77777777" w:rsidR="003A3D51" w:rsidRDefault="0002775A">
            <w:pPr>
              <w:pStyle w:val="P68B1DB1-Normal7"/>
              <w:spacing w:after="200" w:line="276" w:lineRule="auto"/>
              <w:rPr>
                <w:rFonts w:ascii="Times New Roman" w:hAnsi="Times New Roman" w:cs="Times New Roman"/>
                <w:noProof/>
              </w:rPr>
            </w:pPr>
            <w:r>
              <w:rPr>
                <w:noProof/>
              </w:rPr>
              <w:t>Ett välfungerande nationellt system för elektronisk lagring och datautbyte inom vägtransportsektorn ska inrättas i enlighet med förordning (EU) 2020/1056 om elektronisk godstransportinformation (eFTI-förordningen). Dessutom ska NSCP uppdateras i enlighet med detta så snart de tekniska specifikationerna för eFTI har antagits. Investeringen ska bidra till effektivare övervakning av vägtransporter och minskning av trafikstockningar, med en positiv inverkan på miljöfaktorer.</w:t>
            </w:r>
          </w:p>
        </w:tc>
      </w:tr>
      <w:tr w:rsidR="003A3D51" w14:paraId="6B597B1E"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26C0CF02" w14:textId="77777777" w:rsidR="003A3D51" w:rsidRDefault="0002775A">
            <w:pPr>
              <w:pStyle w:val="P68B1DB1-Normal7"/>
              <w:spacing w:after="200" w:line="276" w:lineRule="auto"/>
              <w:jc w:val="center"/>
              <w:rPr>
                <w:rFonts w:ascii="Times New Roman" w:hAnsi="Times New Roman" w:cs="Times New Roman"/>
                <w:noProof/>
              </w:rPr>
            </w:pPr>
            <w:r>
              <w:rPr>
                <w:noProof/>
              </w:rPr>
              <w:t>96</w:t>
            </w:r>
          </w:p>
        </w:tc>
        <w:tc>
          <w:tcPr>
            <w:tcW w:w="312" w:type="pct"/>
            <w:tcBorders>
              <w:top w:val="single" w:sz="4" w:space="0" w:color="auto"/>
              <w:left w:val="nil"/>
              <w:bottom w:val="single" w:sz="4" w:space="0" w:color="auto"/>
              <w:right w:val="single" w:sz="4" w:space="0" w:color="auto"/>
            </w:tcBorders>
            <w:shd w:val="clear" w:color="auto" w:fill="C6EFCE"/>
            <w:noWrap/>
          </w:tcPr>
          <w:p w14:paraId="4DD2549F" w14:textId="77777777" w:rsidR="003A3D51" w:rsidRDefault="0002775A">
            <w:pPr>
              <w:pStyle w:val="P68B1DB1-Normal7"/>
              <w:spacing w:after="200" w:line="276" w:lineRule="auto"/>
              <w:jc w:val="center"/>
              <w:rPr>
                <w:rFonts w:ascii="Times New Roman" w:hAnsi="Times New Roman" w:cs="Times New Roman"/>
                <w:noProof/>
              </w:rPr>
            </w:pPr>
            <w:r>
              <w:rPr>
                <w:noProof/>
              </w:rPr>
              <w:t>C1.4 R1-I4</w:t>
            </w:r>
          </w:p>
        </w:tc>
        <w:tc>
          <w:tcPr>
            <w:tcW w:w="297" w:type="pct"/>
            <w:tcBorders>
              <w:top w:val="single" w:sz="4" w:space="0" w:color="auto"/>
              <w:left w:val="nil"/>
              <w:bottom w:val="single" w:sz="4" w:space="0" w:color="auto"/>
              <w:right w:val="single" w:sz="4" w:space="0" w:color="auto"/>
            </w:tcBorders>
            <w:shd w:val="clear" w:color="auto" w:fill="C6EFCE"/>
            <w:noWrap/>
          </w:tcPr>
          <w:p w14:paraId="190529E3"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76249FEF" w14:textId="77777777" w:rsidR="003A3D51" w:rsidRDefault="0002775A">
            <w:pPr>
              <w:pStyle w:val="P68B1DB1-Normal7"/>
              <w:spacing w:after="200" w:line="276" w:lineRule="auto"/>
              <w:rPr>
                <w:rFonts w:ascii="Times New Roman" w:hAnsi="Times New Roman" w:cs="Times New Roman"/>
                <w:noProof/>
              </w:rPr>
            </w:pPr>
            <w:r>
              <w:rPr>
                <w:noProof/>
              </w:rPr>
              <w:t>Inrättande av ett välfungerande system för rapporteringskontroll för person- och godstransporter på väg</w:t>
            </w:r>
          </w:p>
        </w:tc>
        <w:tc>
          <w:tcPr>
            <w:tcW w:w="722" w:type="pct"/>
            <w:tcBorders>
              <w:top w:val="single" w:sz="4" w:space="0" w:color="auto"/>
              <w:left w:val="nil"/>
              <w:bottom w:val="single" w:sz="4" w:space="0" w:color="auto"/>
              <w:right w:val="single" w:sz="4" w:space="0" w:color="auto"/>
            </w:tcBorders>
            <w:shd w:val="clear" w:color="auto" w:fill="C6EFCE"/>
            <w:noWrap/>
          </w:tcPr>
          <w:p w14:paraId="7618960C" w14:textId="77777777" w:rsidR="003A3D51" w:rsidRDefault="0002775A">
            <w:pPr>
              <w:pStyle w:val="P68B1DB1-Normal7"/>
              <w:spacing w:after="200" w:line="276" w:lineRule="auto"/>
              <w:rPr>
                <w:rFonts w:ascii="Times New Roman" w:hAnsi="Times New Roman" w:cs="Times New Roman"/>
                <w:noProof/>
              </w:rPr>
            </w:pPr>
            <w:r>
              <w:rPr>
                <w:noProof/>
              </w:rPr>
              <w:t xml:space="preserve">Ett välfungerande system för rapporteringskontroll för person- och godstransporter på väg har inrättats </w:t>
            </w:r>
          </w:p>
        </w:tc>
        <w:tc>
          <w:tcPr>
            <w:tcW w:w="367" w:type="pct"/>
            <w:tcBorders>
              <w:top w:val="single" w:sz="4" w:space="0" w:color="auto"/>
              <w:left w:val="nil"/>
              <w:bottom w:val="single" w:sz="4" w:space="0" w:color="auto"/>
              <w:right w:val="single" w:sz="4" w:space="0" w:color="auto"/>
            </w:tcBorders>
            <w:shd w:val="clear" w:color="auto" w:fill="C6EFCE"/>
            <w:noWrap/>
          </w:tcPr>
          <w:p w14:paraId="28413EE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6A15DC3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63AEC0D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4229BAAC"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55EB30E6"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38" w:type="pct"/>
            <w:tcBorders>
              <w:top w:val="single" w:sz="4" w:space="0" w:color="auto"/>
              <w:left w:val="nil"/>
              <w:bottom w:val="single" w:sz="4" w:space="0" w:color="auto"/>
              <w:right w:val="single" w:sz="4" w:space="0" w:color="auto"/>
            </w:tcBorders>
            <w:shd w:val="clear" w:color="auto" w:fill="C6EFCE"/>
            <w:noWrap/>
          </w:tcPr>
          <w:p w14:paraId="3ABFCE48" w14:textId="77777777" w:rsidR="003A3D51" w:rsidRDefault="0002775A">
            <w:pPr>
              <w:pStyle w:val="P68B1DB1-Normal7"/>
              <w:spacing w:after="200" w:line="276" w:lineRule="auto"/>
              <w:rPr>
                <w:rFonts w:ascii="Times New Roman" w:hAnsi="Times New Roman" w:cs="Times New Roman"/>
                <w:noProof/>
              </w:rPr>
            </w:pPr>
            <w:r>
              <w:rPr>
                <w:noProof/>
              </w:rPr>
              <w:t>Ett välfungerande system för rapporteringskontroll av person- och godstransporter på väg ska inrättas, som ska koppla samman data från färdskrivarens centrala behandlingssystem (SOTAH) och de nationella registren över färdskrivarkort och tillhörande uppgifter under överinseende av ministeriet för sjöfart, transport och infrastruktur.</w:t>
            </w:r>
          </w:p>
        </w:tc>
      </w:tr>
      <w:tr w:rsidR="003A3D51" w14:paraId="28BC3ACD"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62D51B5E" w14:textId="77777777" w:rsidR="003A3D51" w:rsidRDefault="0002775A">
            <w:pPr>
              <w:pStyle w:val="P68B1DB1-Normal7"/>
              <w:spacing w:after="200" w:line="276" w:lineRule="auto"/>
              <w:jc w:val="center"/>
              <w:rPr>
                <w:rFonts w:ascii="Times New Roman" w:hAnsi="Times New Roman" w:cs="Times New Roman"/>
                <w:noProof/>
              </w:rPr>
            </w:pPr>
            <w:r>
              <w:rPr>
                <w:noProof/>
              </w:rPr>
              <w:t>97</w:t>
            </w:r>
          </w:p>
        </w:tc>
        <w:tc>
          <w:tcPr>
            <w:tcW w:w="312" w:type="pct"/>
            <w:tcBorders>
              <w:top w:val="single" w:sz="4" w:space="0" w:color="auto"/>
              <w:left w:val="nil"/>
              <w:bottom w:val="single" w:sz="4" w:space="0" w:color="auto"/>
              <w:right w:val="single" w:sz="4" w:space="0" w:color="auto"/>
            </w:tcBorders>
            <w:shd w:val="clear" w:color="auto" w:fill="C6EFCE"/>
            <w:noWrap/>
          </w:tcPr>
          <w:p w14:paraId="2487CD87" w14:textId="77777777" w:rsidR="003A3D51" w:rsidRDefault="0002775A">
            <w:pPr>
              <w:pStyle w:val="P68B1DB1-Normal7"/>
              <w:spacing w:after="200" w:line="276" w:lineRule="auto"/>
              <w:jc w:val="center"/>
              <w:rPr>
                <w:rFonts w:ascii="Times New Roman" w:hAnsi="Times New Roman" w:cs="Times New Roman"/>
                <w:noProof/>
              </w:rPr>
            </w:pPr>
            <w:r>
              <w:rPr>
                <w:noProof/>
              </w:rPr>
              <w:t>C1.4 R1-I5</w:t>
            </w:r>
          </w:p>
        </w:tc>
        <w:tc>
          <w:tcPr>
            <w:tcW w:w="297" w:type="pct"/>
            <w:tcBorders>
              <w:top w:val="single" w:sz="4" w:space="0" w:color="auto"/>
              <w:left w:val="nil"/>
              <w:bottom w:val="single" w:sz="4" w:space="0" w:color="auto"/>
              <w:right w:val="single" w:sz="4" w:space="0" w:color="auto"/>
            </w:tcBorders>
            <w:shd w:val="clear" w:color="auto" w:fill="C6EFCE"/>
            <w:noWrap/>
          </w:tcPr>
          <w:p w14:paraId="08E4687F"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3D89894F" w14:textId="77777777" w:rsidR="003A3D51" w:rsidRDefault="0002775A">
            <w:pPr>
              <w:pStyle w:val="P68B1DB1-Normal7"/>
              <w:spacing w:after="200" w:line="276" w:lineRule="auto"/>
              <w:rPr>
                <w:rFonts w:ascii="Times New Roman" w:hAnsi="Times New Roman" w:cs="Times New Roman"/>
                <w:noProof/>
              </w:rPr>
            </w:pPr>
            <w:r>
              <w:rPr>
                <w:noProof/>
              </w:rPr>
              <w:t>Utveckling av ett övervakningssystem för vägtransporter av farligt gods (e-ADR)</w:t>
            </w:r>
          </w:p>
        </w:tc>
        <w:tc>
          <w:tcPr>
            <w:tcW w:w="722" w:type="pct"/>
            <w:tcBorders>
              <w:top w:val="single" w:sz="4" w:space="0" w:color="auto"/>
              <w:left w:val="nil"/>
              <w:bottom w:val="single" w:sz="4" w:space="0" w:color="auto"/>
              <w:right w:val="single" w:sz="4" w:space="0" w:color="auto"/>
            </w:tcBorders>
            <w:shd w:val="clear" w:color="auto" w:fill="C6EFCE"/>
            <w:noWrap/>
          </w:tcPr>
          <w:p w14:paraId="606565E0" w14:textId="77777777" w:rsidR="003A3D51" w:rsidRDefault="0002775A">
            <w:pPr>
              <w:pStyle w:val="P68B1DB1-Normal7"/>
              <w:spacing w:after="200" w:line="276" w:lineRule="auto"/>
              <w:rPr>
                <w:rFonts w:ascii="Times New Roman" w:hAnsi="Times New Roman" w:cs="Times New Roman"/>
                <w:noProof/>
              </w:rPr>
            </w:pPr>
            <w:r>
              <w:rPr>
                <w:noProof/>
              </w:rPr>
              <w:t xml:space="preserve">Ett välfungerande system för övervakning av vägtransporter av farligt gods (e-ADR) </w:t>
            </w:r>
          </w:p>
        </w:tc>
        <w:tc>
          <w:tcPr>
            <w:tcW w:w="367" w:type="pct"/>
            <w:tcBorders>
              <w:top w:val="single" w:sz="4" w:space="0" w:color="auto"/>
              <w:left w:val="nil"/>
              <w:bottom w:val="single" w:sz="4" w:space="0" w:color="auto"/>
              <w:right w:val="single" w:sz="4" w:space="0" w:color="auto"/>
            </w:tcBorders>
            <w:shd w:val="clear" w:color="auto" w:fill="C6EFCE"/>
            <w:noWrap/>
          </w:tcPr>
          <w:p w14:paraId="2D023BD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49BE451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236CDCE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2263F63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6FEA7E50"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38" w:type="pct"/>
            <w:tcBorders>
              <w:top w:val="single" w:sz="4" w:space="0" w:color="auto"/>
              <w:left w:val="nil"/>
              <w:bottom w:val="single" w:sz="4" w:space="0" w:color="auto"/>
              <w:right w:val="single" w:sz="4" w:space="0" w:color="auto"/>
            </w:tcBorders>
            <w:shd w:val="clear" w:color="auto" w:fill="C6EFCE"/>
            <w:noWrap/>
          </w:tcPr>
          <w:p w14:paraId="11FCC272" w14:textId="77777777" w:rsidR="003A3D51" w:rsidRDefault="0002775A">
            <w:pPr>
              <w:pStyle w:val="P68B1DB1-Normal7"/>
              <w:spacing w:after="200" w:line="276" w:lineRule="auto"/>
              <w:rPr>
                <w:rFonts w:ascii="Times New Roman" w:hAnsi="Times New Roman" w:cs="Times New Roman"/>
                <w:noProof/>
              </w:rPr>
            </w:pPr>
            <w:r>
              <w:rPr>
                <w:noProof/>
              </w:rPr>
              <w:t>Systemet ska tillhandahålla en lösning för övervakning av vägtransporter av farligt gods genom införande av elektroniska transporttillstånd och fraktsedlar och genom tillämpning av spårningsteknik. Systemet ska inrättas i enlighet med förordning (EU) 2020/1056 om elektronisk godstransportinformation (eFTI-förordningen) och dess genomförandeakter och delegerade akter samt med annan tillämplig lagstiftning på området transport av farligt gods på väg. Dessutom ska systemet uppdateras i enlighet med detta så snart de tekniska specifikationerna för eFTI har antagits.</w:t>
            </w:r>
          </w:p>
        </w:tc>
      </w:tr>
      <w:tr w:rsidR="003A3D51" w14:paraId="079E1702"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58288477" w14:textId="77777777" w:rsidR="003A3D51" w:rsidRDefault="0002775A">
            <w:pPr>
              <w:pStyle w:val="P68B1DB1-Normal7"/>
              <w:spacing w:after="200" w:line="276" w:lineRule="auto"/>
              <w:jc w:val="center"/>
              <w:rPr>
                <w:rFonts w:ascii="Times New Roman" w:hAnsi="Times New Roman" w:cs="Times New Roman"/>
                <w:noProof/>
              </w:rPr>
            </w:pPr>
            <w:r>
              <w:rPr>
                <w:noProof/>
              </w:rPr>
              <w:t>98</w:t>
            </w:r>
          </w:p>
        </w:tc>
        <w:tc>
          <w:tcPr>
            <w:tcW w:w="312" w:type="pct"/>
            <w:tcBorders>
              <w:top w:val="single" w:sz="4" w:space="0" w:color="auto"/>
              <w:left w:val="nil"/>
              <w:bottom w:val="single" w:sz="4" w:space="0" w:color="auto"/>
              <w:right w:val="single" w:sz="4" w:space="0" w:color="auto"/>
            </w:tcBorders>
            <w:shd w:val="clear" w:color="auto" w:fill="C6EFCE"/>
            <w:noWrap/>
          </w:tcPr>
          <w:p w14:paraId="256EB9B3" w14:textId="77777777" w:rsidR="003A3D51" w:rsidRDefault="0002775A">
            <w:pPr>
              <w:pStyle w:val="P68B1DB1-Normal7"/>
              <w:spacing w:after="200" w:line="276" w:lineRule="auto"/>
              <w:jc w:val="center"/>
              <w:rPr>
                <w:rFonts w:ascii="Times New Roman" w:hAnsi="Times New Roman" w:cs="Times New Roman"/>
                <w:noProof/>
              </w:rPr>
            </w:pPr>
            <w:r>
              <w:rPr>
                <w:noProof/>
              </w:rPr>
              <w:t>C1.4 R2</w:t>
            </w:r>
          </w:p>
        </w:tc>
        <w:tc>
          <w:tcPr>
            <w:tcW w:w="297" w:type="pct"/>
            <w:tcBorders>
              <w:top w:val="single" w:sz="4" w:space="0" w:color="auto"/>
              <w:left w:val="nil"/>
              <w:bottom w:val="single" w:sz="4" w:space="0" w:color="auto"/>
              <w:right w:val="single" w:sz="4" w:space="0" w:color="auto"/>
            </w:tcBorders>
            <w:shd w:val="clear" w:color="auto" w:fill="C6EFCE"/>
            <w:noWrap/>
          </w:tcPr>
          <w:p w14:paraId="23D6D42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0395CAFE"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skrivelsen om sektorspolitik </w:t>
            </w:r>
          </w:p>
        </w:tc>
        <w:tc>
          <w:tcPr>
            <w:tcW w:w="722" w:type="pct"/>
            <w:tcBorders>
              <w:top w:val="single" w:sz="4" w:space="0" w:color="auto"/>
              <w:left w:val="nil"/>
              <w:bottom w:val="single" w:sz="4" w:space="0" w:color="auto"/>
              <w:right w:val="single" w:sz="4" w:space="0" w:color="auto"/>
            </w:tcBorders>
            <w:shd w:val="clear" w:color="auto" w:fill="C6EFCE"/>
            <w:noWrap/>
          </w:tcPr>
          <w:p w14:paraId="24991830" w14:textId="77777777" w:rsidR="003A3D51" w:rsidRDefault="0002775A">
            <w:pPr>
              <w:pStyle w:val="P68B1DB1-Normal7"/>
              <w:spacing w:after="200" w:line="276" w:lineRule="auto"/>
              <w:rPr>
                <w:rFonts w:ascii="Times New Roman" w:hAnsi="Times New Roman" w:cs="Times New Roman"/>
                <w:noProof/>
              </w:rPr>
            </w:pPr>
            <w:r>
              <w:rPr>
                <w:noProof/>
              </w:rPr>
              <w:t>Den skrivelse om sektorspolitik för järnvägssektorn som antagits av den kroatiska regeringen</w:t>
            </w:r>
          </w:p>
        </w:tc>
        <w:tc>
          <w:tcPr>
            <w:tcW w:w="367" w:type="pct"/>
            <w:tcBorders>
              <w:top w:val="single" w:sz="4" w:space="0" w:color="auto"/>
              <w:left w:val="nil"/>
              <w:bottom w:val="single" w:sz="4" w:space="0" w:color="auto"/>
              <w:right w:val="single" w:sz="4" w:space="0" w:color="auto"/>
            </w:tcBorders>
            <w:shd w:val="clear" w:color="auto" w:fill="C6EFCE"/>
            <w:noWrap/>
          </w:tcPr>
          <w:p w14:paraId="2041BFD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1569126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7AF443A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07D41AAA"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nil"/>
              <w:bottom w:val="single" w:sz="4" w:space="0" w:color="auto"/>
              <w:right w:val="single" w:sz="4" w:space="0" w:color="auto"/>
            </w:tcBorders>
            <w:shd w:val="clear" w:color="auto" w:fill="C6EFCE"/>
            <w:noWrap/>
          </w:tcPr>
          <w:p w14:paraId="6F0F99D6"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238" w:type="pct"/>
            <w:tcBorders>
              <w:top w:val="single" w:sz="4" w:space="0" w:color="auto"/>
              <w:left w:val="nil"/>
              <w:bottom w:val="single" w:sz="4" w:space="0" w:color="auto"/>
              <w:right w:val="single" w:sz="4" w:space="0" w:color="auto"/>
            </w:tcBorders>
            <w:shd w:val="clear" w:color="auto" w:fill="C6EFCE"/>
            <w:noWrap/>
          </w:tcPr>
          <w:p w14:paraId="448D9BC8" w14:textId="77777777" w:rsidR="003A3D51" w:rsidRDefault="0002775A">
            <w:pPr>
              <w:pStyle w:val="P68B1DB1-Normal7"/>
              <w:spacing w:after="200" w:line="276" w:lineRule="auto"/>
              <w:rPr>
                <w:rFonts w:ascii="Times New Roman" w:hAnsi="Times New Roman" w:cs="Times New Roman"/>
                <w:noProof/>
              </w:rPr>
            </w:pPr>
            <w:r>
              <w:rPr>
                <w:noProof/>
              </w:rPr>
              <w:t>Den sektoriella policyskrivelsen ska innehålla följande: i) centrala mål ii) en översyn av de planerade förbättringarna, såsom professionalisering, insyn i drift och förvaltningsverksamhet, och iii) en genomförandeplan för åtgärder och insatser för att reformera och modernisera järnvägssektorn, såsom antagande av den strategiska ramen för järnvägssektorn, den nationella planen för utveckling av järnvägsinfrastruktur och den nationella förvaltningsplanen för järnvägsinfrastruktur och serviceanläggningar. samt utveckling av järnvägstransporttjänster.</w:t>
            </w:r>
          </w:p>
        </w:tc>
      </w:tr>
      <w:tr w:rsidR="003A3D51" w14:paraId="0BA98194"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56E568EA" w14:textId="77777777" w:rsidR="003A3D51" w:rsidRDefault="0002775A">
            <w:pPr>
              <w:pStyle w:val="P68B1DB1-Normal7"/>
              <w:spacing w:after="200" w:line="276" w:lineRule="auto"/>
              <w:jc w:val="center"/>
              <w:rPr>
                <w:rFonts w:ascii="Times New Roman" w:hAnsi="Times New Roman" w:cs="Times New Roman"/>
                <w:noProof/>
              </w:rPr>
            </w:pPr>
            <w:r>
              <w:rPr>
                <w:noProof/>
              </w:rPr>
              <w:t>99</w:t>
            </w:r>
          </w:p>
        </w:tc>
        <w:tc>
          <w:tcPr>
            <w:tcW w:w="312" w:type="pct"/>
            <w:tcBorders>
              <w:top w:val="single" w:sz="4" w:space="0" w:color="auto"/>
              <w:left w:val="nil"/>
              <w:bottom w:val="single" w:sz="4" w:space="0" w:color="auto"/>
              <w:right w:val="single" w:sz="4" w:space="0" w:color="auto"/>
            </w:tcBorders>
            <w:shd w:val="clear" w:color="auto" w:fill="C6EFCE"/>
            <w:noWrap/>
          </w:tcPr>
          <w:p w14:paraId="39F6B3E6" w14:textId="77777777" w:rsidR="003A3D51" w:rsidRDefault="0002775A">
            <w:pPr>
              <w:pStyle w:val="P68B1DB1-Normal7"/>
              <w:spacing w:after="200" w:line="276" w:lineRule="auto"/>
              <w:jc w:val="center"/>
              <w:rPr>
                <w:rFonts w:ascii="Times New Roman" w:hAnsi="Times New Roman" w:cs="Times New Roman"/>
                <w:noProof/>
              </w:rPr>
            </w:pPr>
            <w:r>
              <w:rPr>
                <w:noProof/>
              </w:rPr>
              <w:t>C1.4 R2</w:t>
            </w:r>
          </w:p>
        </w:tc>
        <w:tc>
          <w:tcPr>
            <w:tcW w:w="297" w:type="pct"/>
            <w:tcBorders>
              <w:top w:val="single" w:sz="4" w:space="0" w:color="auto"/>
              <w:left w:val="nil"/>
              <w:bottom w:val="single" w:sz="4" w:space="0" w:color="auto"/>
              <w:right w:val="single" w:sz="4" w:space="0" w:color="auto"/>
            </w:tcBorders>
            <w:shd w:val="clear" w:color="auto" w:fill="C6EFCE"/>
            <w:noWrap/>
          </w:tcPr>
          <w:p w14:paraId="48603EB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2F51F8B9" w14:textId="77777777" w:rsidR="003A3D51" w:rsidRDefault="0002775A">
            <w:pPr>
              <w:pStyle w:val="P68B1DB1-Normal7"/>
              <w:spacing w:after="200" w:line="276" w:lineRule="auto"/>
              <w:rPr>
                <w:rFonts w:ascii="Times New Roman" w:hAnsi="Times New Roman" w:cs="Times New Roman"/>
                <w:noProof/>
              </w:rPr>
            </w:pPr>
            <w:r>
              <w:rPr>
                <w:noProof/>
              </w:rPr>
              <w:t>Den nationella planen för utveckling av järnvägsinfrastruktur och den nationella förvaltningsplanen för järnvägsinfrastruktur och serviceanläggningar</w:t>
            </w:r>
          </w:p>
        </w:tc>
        <w:tc>
          <w:tcPr>
            <w:tcW w:w="722" w:type="pct"/>
            <w:tcBorders>
              <w:top w:val="single" w:sz="4" w:space="0" w:color="auto"/>
              <w:left w:val="nil"/>
              <w:bottom w:val="single" w:sz="4" w:space="0" w:color="auto"/>
              <w:right w:val="single" w:sz="4" w:space="0" w:color="auto"/>
            </w:tcBorders>
            <w:shd w:val="clear" w:color="auto" w:fill="C6EFCE"/>
            <w:noWrap/>
          </w:tcPr>
          <w:p w14:paraId="76BFA4AD" w14:textId="77777777" w:rsidR="003A3D51" w:rsidRDefault="0002775A">
            <w:pPr>
              <w:pStyle w:val="P68B1DB1-Normal7"/>
              <w:spacing w:after="200" w:line="276" w:lineRule="auto"/>
              <w:rPr>
                <w:rFonts w:ascii="Times New Roman" w:hAnsi="Times New Roman" w:cs="Times New Roman"/>
                <w:noProof/>
              </w:rPr>
            </w:pPr>
            <w:r>
              <w:rPr>
                <w:noProof/>
              </w:rPr>
              <w:t>Den nationella planen för utveckling av järnvägsinfrastruktur och den nationella förvaltningsplanen för järnvägsinfrastruktur och serviceanläggningar som antagits av den kroatiska regeringen</w:t>
            </w:r>
          </w:p>
        </w:tc>
        <w:tc>
          <w:tcPr>
            <w:tcW w:w="367" w:type="pct"/>
            <w:tcBorders>
              <w:top w:val="single" w:sz="4" w:space="0" w:color="auto"/>
              <w:left w:val="nil"/>
              <w:bottom w:val="single" w:sz="4" w:space="0" w:color="auto"/>
              <w:right w:val="single" w:sz="4" w:space="0" w:color="auto"/>
            </w:tcBorders>
            <w:shd w:val="clear" w:color="auto" w:fill="C6EFCE"/>
            <w:noWrap/>
          </w:tcPr>
          <w:p w14:paraId="311D680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502C8CA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581D317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72FFAF05"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55EA3845"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38" w:type="pct"/>
            <w:tcBorders>
              <w:top w:val="single" w:sz="4" w:space="0" w:color="auto"/>
              <w:left w:val="nil"/>
              <w:bottom w:val="single" w:sz="4" w:space="0" w:color="auto"/>
              <w:right w:val="single" w:sz="4" w:space="0" w:color="auto"/>
            </w:tcBorders>
            <w:shd w:val="clear" w:color="auto" w:fill="C6EFCE"/>
            <w:noWrap/>
          </w:tcPr>
          <w:p w14:paraId="157D86CF" w14:textId="77777777" w:rsidR="003A3D51" w:rsidRDefault="0002775A">
            <w:pPr>
              <w:pStyle w:val="P68B1DB1-Normal7"/>
              <w:spacing w:after="200" w:line="276" w:lineRule="auto"/>
              <w:rPr>
                <w:rFonts w:ascii="Times New Roman" w:hAnsi="Times New Roman" w:cs="Times New Roman"/>
                <w:noProof/>
              </w:rPr>
            </w:pPr>
            <w:r>
              <w:rPr>
                <w:noProof/>
              </w:rPr>
              <w:t xml:space="preserve">Den nationella planen för utveckling av järnvägsinfrastruktur ska fastställa de projekt och verksamheter som är nödvändiga för utvecklingen av järnvägsinfrastruktur. Den nationella förvaltningsplanen för järnvägsinfrastruktur och serviceanläggningar ska fastställa projekt och verksamheter för förvaltning, organisation av reglering av järnvägstrafiken och utveckling av järnvägstransporttjänster. </w:t>
            </w:r>
          </w:p>
        </w:tc>
      </w:tr>
      <w:tr w:rsidR="003A3D51" w14:paraId="2D29DD2F"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00DCBE18" w14:textId="77777777" w:rsidR="003A3D51" w:rsidRDefault="0002775A">
            <w:pPr>
              <w:pStyle w:val="P68B1DB1-Normal7"/>
              <w:spacing w:after="200" w:line="276" w:lineRule="auto"/>
              <w:jc w:val="center"/>
              <w:rPr>
                <w:rFonts w:ascii="Times New Roman" w:hAnsi="Times New Roman" w:cs="Times New Roman"/>
                <w:noProof/>
              </w:rPr>
            </w:pPr>
            <w:r>
              <w:rPr>
                <w:noProof/>
              </w:rPr>
              <w:t>100</w:t>
            </w:r>
          </w:p>
        </w:tc>
        <w:tc>
          <w:tcPr>
            <w:tcW w:w="312" w:type="pct"/>
            <w:tcBorders>
              <w:top w:val="single" w:sz="4" w:space="0" w:color="auto"/>
              <w:left w:val="nil"/>
              <w:bottom w:val="single" w:sz="4" w:space="0" w:color="auto"/>
              <w:right w:val="single" w:sz="4" w:space="0" w:color="auto"/>
            </w:tcBorders>
            <w:shd w:val="clear" w:color="auto" w:fill="C6EFCE"/>
            <w:noWrap/>
          </w:tcPr>
          <w:p w14:paraId="2F756275" w14:textId="77777777" w:rsidR="003A3D51" w:rsidRDefault="0002775A">
            <w:pPr>
              <w:pStyle w:val="P68B1DB1-Normal7"/>
              <w:spacing w:after="200" w:line="276" w:lineRule="auto"/>
              <w:jc w:val="center"/>
              <w:rPr>
                <w:rFonts w:ascii="Times New Roman" w:hAnsi="Times New Roman" w:cs="Times New Roman"/>
                <w:noProof/>
              </w:rPr>
            </w:pPr>
            <w:r>
              <w:rPr>
                <w:noProof/>
              </w:rPr>
              <w:t>C1.4 R2</w:t>
            </w:r>
          </w:p>
        </w:tc>
        <w:tc>
          <w:tcPr>
            <w:tcW w:w="297" w:type="pct"/>
            <w:tcBorders>
              <w:top w:val="single" w:sz="4" w:space="0" w:color="auto"/>
              <w:left w:val="nil"/>
              <w:bottom w:val="single" w:sz="4" w:space="0" w:color="auto"/>
              <w:right w:val="single" w:sz="4" w:space="0" w:color="auto"/>
            </w:tcBorders>
            <w:shd w:val="clear" w:color="auto" w:fill="C6EFCE"/>
            <w:noWrap/>
          </w:tcPr>
          <w:p w14:paraId="454EDDC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7D9ECDE7" w14:textId="77777777" w:rsidR="003A3D51" w:rsidRDefault="0002775A">
            <w:pPr>
              <w:pStyle w:val="P68B1DB1-Normal7"/>
              <w:spacing w:after="200" w:line="276" w:lineRule="auto"/>
              <w:rPr>
                <w:rFonts w:ascii="Times New Roman" w:hAnsi="Times New Roman" w:cs="Times New Roman"/>
                <w:noProof/>
              </w:rPr>
            </w:pPr>
            <w:r>
              <w:rPr>
                <w:noProof/>
              </w:rPr>
              <w:t xml:space="preserve">Omorganisation av järnvägsföretagen och företagsledningen </w:t>
            </w:r>
          </w:p>
        </w:tc>
        <w:tc>
          <w:tcPr>
            <w:tcW w:w="722" w:type="pct"/>
            <w:tcBorders>
              <w:top w:val="single" w:sz="4" w:space="0" w:color="auto"/>
              <w:left w:val="nil"/>
              <w:bottom w:val="single" w:sz="4" w:space="0" w:color="auto"/>
              <w:right w:val="single" w:sz="4" w:space="0" w:color="auto"/>
            </w:tcBorders>
            <w:shd w:val="clear" w:color="auto" w:fill="C6EFCE"/>
            <w:noWrap/>
          </w:tcPr>
          <w:p w14:paraId="504E1EB0" w14:textId="77777777" w:rsidR="003A3D51" w:rsidRDefault="0002775A">
            <w:pPr>
              <w:pStyle w:val="P68B1DB1-Normal7"/>
              <w:spacing w:after="200" w:line="276" w:lineRule="auto"/>
              <w:rPr>
                <w:rFonts w:ascii="Times New Roman" w:hAnsi="Times New Roman" w:cs="Times New Roman"/>
                <w:noProof/>
              </w:rPr>
            </w:pPr>
            <w:r>
              <w:rPr>
                <w:noProof/>
              </w:rPr>
              <w:t>Omorganisation av förvaltningen av järnvägsföretag och genomförda och slutförda verksamheter</w:t>
            </w:r>
          </w:p>
        </w:tc>
        <w:tc>
          <w:tcPr>
            <w:tcW w:w="367" w:type="pct"/>
            <w:tcBorders>
              <w:top w:val="single" w:sz="4" w:space="0" w:color="auto"/>
              <w:left w:val="nil"/>
              <w:bottom w:val="single" w:sz="4" w:space="0" w:color="auto"/>
              <w:right w:val="single" w:sz="4" w:space="0" w:color="auto"/>
            </w:tcBorders>
            <w:shd w:val="clear" w:color="auto" w:fill="C6EFCE"/>
            <w:noWrap/>
          </w:tcPr>
          <w:p w14:paraId="5FFC24D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671F5E2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396C8BB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1437A047"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350C8641"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38" w:type="pct"/>
            <w:tcBorders>
              <w:top w:val="single" w:sz="4" w:space="0" w:color="auto"/>
              <w:left w:val="nil"/>
              <w:bottom w:val="single" w:sz="4" w:space="0" w:color="auto"/>
              <w:right w:val="single" w:sz="4" w:space="0" w:color="auto"/>
            </w:tcBorders>
            <w:shd w:val="clear" w:color="auto" w:fill="C6EFCE"/>
            <w:noWrap/>
          </w:tcPr>
          <w:p w14:paraId="3C8749E0" w14:textId="77777777" w:rsidR="003A3D51" w:rsidRDefault="0002775A">
            <w:pPr>
              <w:pStyle w:val="P68B1DB1-Normal7"/>
              <w:spacing w:after="200" w:line="276" w:lineRule="auto"/>
              <w:rPr>
                <w:rFonts w:ascii="Times New Roman" w:hAnsi="Times New Roman" w:cs="Times New Roman"/>
                <w:noProof/>
              </w:rPr>
            </w:pPr>
            <w:r>
              <w:rPr>
                <w:noProof/>
              </w:rPr>
              <w:t>Omorganisering av järnvägsföretagens ledning och drift ska ske med avseende på det ökade ansvaret för ledningen, när det gäller underhåll, trafikledning och förvaltning av investeringsprojekt samt för att optimera kostnaderna och persontrafiken.</w:t>
            </w:r>
          </w:p>
        </w:tc>
      </w:tr>
      <w:tr w:rsidR="003A3D51" w14:paraId="4F86DEBF"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17F47CB7" w14:textId="77777777" w:rsidR="003A3D51" w:rsidRDefault="0002775A">
            <w:pPr>
              <w:pStyle w:val="P68B1DB1-Normal7"/>
              <w:spacing w:after="200" w:line="276" w:lineRule="auto"/>
              <w:jc w:val="center"/>
              <w:rPr>
                <w:rFonts w:ascii="Times New Roman" w:hAnsi="Times New Roman" w:cs="Times New Roman"/>
                <w:noProof/>
              </w:rPr>
            </w:pPr>
            <w:r>
              <w:rPr>
                <w:noProof/>
              </w:rPr>
              <w:t>102</w:t>
            </w:r>
          </w:p>
        </w:tc>
        <w:tc>
          <w:tcPr>
            <w:tcW w:w="312" w:type="pct"/>
            <w:tcBorders>
              <w:top w:val="single" w:sz="4" w:space="0" w:color="auto"/>
              <w:left w:val="nil"/>
              <w:bottom w:val="single" w:sz="4" w:space="0" w:color="auto"/>
              <w:right w:val="single" w:sz="4" w:space="0" w:color="auto"/>
            </w:tcBorders>
            <w:shd w:val="clear" w:color="auto" w:fill="C6EFCE"/>
            <w:noWrap/>
          </w:tcPr>
          <w:p w14:paraId="19613121" w14:textId="77777777" w:rsidR="003A3D51" w:rsidRDefault="0002775A">
            <w:pPr>
              <w:pStyle w:val="P68B1DB1-Normal7"/>
              <w:spacing w:after="200" w:line="276" w:lineRule="auto"/>
              <w:jc w:val="center"/>
              <w:rPr>
                <w:rFonts w:ascii="Times New Roman" w:hAnsi="Times New Roman" w:cs="Times New Roman"/>
                <w:noProof/>
              </w:rPr>
            </w:pPr>
            <w:r>
              <w:rPr>
                <w:noProof/>
              </w:rPr>
              <w:t>C1.4 R2-I2</w:t>
            </w:r>
          </w:p>
        </w:tc>
        <w:tc>
          <w:tcPr>
            <w:tcW w:w="297" w:type="pct"/>
            <w:tcBorders>
              <w:top w:val="single" w:sz="4" w:space="0" w:color="auto"/>
              <w:left w:val="nil"/>
              <w:bottom w:val="single" w:sz="4" w:space="0" w:color="auto"/>
              <w:right w:val="single" w:sz="4" w:space="0" w:color="auto"/>
            </w:tcBorders>
            <w:shd w:val="clear" w:color="auto" w:fill="C6EFCE"/>
            <w:noWrap/>
          </w:tcPr>
          <w:p w14:paraId="40A67EC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nil"/>
              <w:bottom w:val="single" w:sz="4" w:space="0" w:color="auto"/>
              <w:right w:val="single" w:sz="4" w:space="0" w:color="auto"/>
            </w:tcBorders>
            <w:shd w:val="clear" w:color="auto" w:fill="C6EFCE"/>
            <w:noWrap/>
          </w:tcPr>
          <w:p w14:paraId="4E597BB1" w14:textId="77777777" w:rsidR="003A3D51" w:rsidRDefault="0002775A">
            <w:pPr>
              <w:pStyle w:val="P68B1DB1-Normal7"/>
              <w:spacing w:after="200" w:line="276" w:lineRule="auto"/>
              <w:rPr>
                <w:rFonts w:ascii="Times New Roman" w:hAnsi="Times New Roman" w:cs="Times New Roman"/>
                <w:noProof/>
              </w:rPr>
            </w:pPr>
            <w:r>
              <w:rPr>
                <w:noProof/>
              </w:rPr>
              <w:t>Ombyggnad av tre stationer på sträckan Oštarije-Knin-Split</w:t>
            </w:r>
          </w:p>
        </w:tc>
        <w:tc>
          <w:tcPr>
            <w:tcW w:w="722" w:type="pct"/>
            <w:tcBorders>
              <w:top w:val="single" w:sz="4" w:space="0" w:color="auto"/>
              <w:left w:val="nil"/>
              <w:bottom w:val="single" w:sz="4" w:space="0" w:color="auto"/>
              <w:right w:val="single" w:sz="4" w:space="0" w:color="auto"/>
            </w:tcBorders>
            <w:shd w:val="clear" w:color="auto" w:fill="C6EFCE"/>
            <w:noWrap/>
          </w:tcPr>
          <w:p w14:paraId="59EB1D60"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nil"/>
              <w:bottom w:val="single" w:sz="4" w:space="0" w:color="auto"/>
              <w:right w:val="single" w:sz="4" w:space="0" w:color="auto"/>
            </w:tcBorders>
            <w:shd w:val="clear" w:color="auto" w:fill="C6EFCE"/>
            <w:noWrap/>
          </w:tcPr>
          <w:p w14:paraId="2BD2D12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nil"/>
              <w:bottom w:val="single" w:sz="4" w:space="0" w:color="auto"/>
              <w:right w:val="single" w:sz="4" w:space="0" w:color="auto"/>
            </w:tcBorders>
            <w:shd w:val="clear" w:color="auto" w:fill="C6EFCE"/>
            <w:noWrap/>
          </w:tcPr>
          <w:p w14:paraId="51AF9B5D"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nil"/>
              <w:bottom w:val="single" w:sz="4" w:space="0" w:color="auto"/>
              <w:right w:val="single" w:sz="4" w:space="0" w:color="auto"/>
            </w:tcBorders>
            <w:shd w:val="clear" w:color="auto" w:fill="C6EFCE"/>
            <w:noWrap/>
          </w:tcPr>
          <w:p w14:paraId="58E82DD4" w14:textId="77777777" w:rsidR="003A3D51" w:rsidRDefault="0002775A">
            <w:pPr>
              <w:pStyle w:val="P68B1DB1-Normal7"/>
              <w:spacing w:after="200" w:line="276" w:lineRule="auto"/>
              <w:jc w:val="center"/>
              <w:rPr>
                <w:rFonts w:ascii="Times New Roman" w:hAnsi="Times New Roman" w:cs="Times New Roman"/>
                <w:noProof/>
              </w:rPr>
            </w:pPr>
            <w:r>
              <w:rPr>
                <w:noProof/>
              </w:rPr>
              <w:t>3</w:t>
            </w:r>
          </w:p>
        </w:tc>
        <w:tc>
          <w:tcPr>
            <w:tcW w:w="250" w:type="pct"/>
            <w:tcBorders>
              <w:top w:val="single" w:sz="4" w:space="0" w:color="auto"/>
              <w:left w:val="nil"/>
              <w:bottom w:val="single" w:sz="4" w:space="0" w:color="auto"/>
              <w:right w:val="single" w:sz="4" w:space="0" w:color="auto"/>
            </w:tcBorders>
            <w:shd w:val="clear" w:color="auto" w:fill="C6EFCE"/>
            <w:noWrap/>
          </w:tcPr>
          <w:p w14:paraId="5E32FF3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6575118E"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nil"/>
              <w:bottom w:val="single" w:sz="4" w:space="0" w:color="auto"/>
              <w:right w:val="single" w:sz="4" w:space="0" w:color="auto"/>
            </w:tcBorders>
            <w:shd w:val="clear" w:color="auto" w:fill="C6EFCE"/>
            <w:noWrap/>
          </w:tcPr>
          <w:p w14:paraId="572F601B" w14:textId="77777777" w:rsidR="003A3D51" w:rsidRDefault="0002775A">
            <w:pPr>
              <w:pStyle w:val="P68B1DB1-Normal7"/>
              <w:spacing w:after="200" w:line="276" w:lineRule="auto"/>
              <w:rPr>
                <w:rFonts w:ascii="Times New Roman" w:hAnsi="Times New Roman" w:cs="Times New Roman"/>
                <w:noProof/>
              </w:rPr>
            </w:pPr>
            <w:r>
              <w:rPr>
                <w:noProof/>
              </w:rPr>
              <w:t>Som en del av renoveringen av järnvägslinjen Oštarije-Knin-Split, på sträckan Knin (ej medräknad) – Split, ska investeringen återuppbygga stationerna Drniš, Perković och Labin Dalmatinski.</w:t>
            </w:r>
            <w:r>
              <w:rPr>
                <w:noProof/>
              </w:rPr>
              <w:br/>
              <w:t>Det ska styrkas att tillståndsförfarandena enligt miljökonsekvensbedömningen följs i enlighet med direktiv 2011/92/EU.</w:t>
            </w:r>
          </w:p>
        </w:tc>
      </w:tr>
      <w:tr w:rsidR="003A3D51" w14:paraId="0704E989"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041C37A8" w14:textId="77777777" w:rsidR="003A3D51" w:rsidRDefault="0002775A">
            <w:pPr>
              <w:pStyle w:val="P68B1DB1-Normal7"/>
              <w:spacing w:after="200" w:line="276" w:lineRule="auto"/>
              <w:jc w:val="center"/>
              <w:rPr>
                <w:rFonts w:ascii="Times New Roman" w:hAnsi="Times New Roman" w:cs="Times New Roman"/>
                <w:noProof/>
              </w:rPr>
            </w:pPr>
            <w:r>
              <w:rPr>
                <w:noProof/>
              </w:rPr>
              <w:t>103</w:t>
            </w:r>
          </w:p>
        </w:tc>
        <w:tc>
          <w:tcPr>
            <w:tcW w:w="312" w:type="pct"/>
            <w:tcBorders>
              <w:top w:val="single" w:sz="4" w:space="0" w:color="auto"/>
              <w:left w:val="nil"/>
              <w:bottom w:val="single" w:sz="4" w:space="0" w:color="auto"/>
              <w:right w:val="single" w:sz="4" w:space="0" w:color="auto"/>
            </w:tcBorders>
            <w:shd w:val="clear" w:color="auto" w:fill="C6EFCE"/>
            <w:noWrap/>
          </w:tcPr>
          <w:p w14:paraId="498FDB95" w14:textId="77777777" w:rsidR="003A3D51" w:rsidRDefault="0002775A">
            <w:pPr>
              <w:pStyle w:val="P68B1DB1-Normal7"/>
              <w:spacing w:after="200" w:line="276" w:lineRule="auto"/>
              <w:jc w:val="center"/>
              <w:rPr>
                <w:rFonts w:ascii="Times New Roman" w:hAnsi="Times New Roman" w:cs="Times New Roman"/>
                <w:noProof/>
              </w:rPr>
            </w:pPr>
            <w:r>
              <w:rPr>
                <w:noProof/>
              </w:rPr>
              <w:t>C1.4 R2-I2</w:t>
            </w:r>
          </w:p>
        </w:tc>
        <w:tc>
          <w:tcPr>
            <w:tcW w:w="297" w:type="pct"/>
            <w:tcBorders>
              <w:top w:val="single" w:sz="4" w:space="0" w:color="auto"/>
              <w:left w:val="nil"/>
              <w:bottom w:val="single" w:sz="4" w:space="0" w:color="auto"/>
              <w:right w:val="single" w:sz="4" w:space="0" w:color="auto"/>
            </w:tcBorders>
            <w:shd w:val="clear" w:color="auto" w:fill="C6EFCE"/>
            <w:noWrap/>
          </w:tcPr>
          <w:p w14:paraId="2EE7BBC5"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0B1B49D7" w14:textId="77777777" w:rsidR="003A3D51" w:rsidRDefault="0002775A">
            <w:pPr>
              <w:pStyle w:val="P68B1DB1-Normal7"/>
              <w:spacing w:after="200" w:line="276" w:lineRule="auto"/>
              <w:rPr>
                <w:rFonts w:ascii="Times New Roman" w:hAnsi="Times New Roman" w:cs="Times New Roman"/>
                <w:noProof/>
              </w:rPr>
            </w:pPr>
            <w:r>
              <w:rPr>
                <w:noProof/>
              </w:rPr>
              <w:t>Ombord- och driftsinstallationer för signalering på sträckan Oštarije – Knin – Split</w:t>
            </w:r>
          </w:p>
        </w:tc>
        <w:tc>
          <w:tcPr>
            <w:tcW w:w="722" w:type="pct"/>
            <w:tcBorders>
              <w:top w:val="single" w:sz="4" w:space="0" w:color="auto"/>
              <w:left w:val="nil"/>
              <w:bottom w:val="single" w:sz="4" w:space="0" w:color="auto"/>
              <w:right w:val="single" w:sz="4" w:space="0" w:color="auto"/>
            </w:tcBorders>
            <w:shd w:val="clear" w:color="auto" w:fill="C6EFCE"/>
            <w:noWrap/>
          </w:tcPr>
          <w:p w14:paraId="30EC6558" w14:textId="77777777" w:rsidR="003A3D51" w:rsidRDefault="0002775A">
            <w:pPr>
              <w:pStyle w:val="P68B1DB1-Normal7"/>
              <w:spacing w:after="200" w:line="276" w:lineRule="auto"/>
              <w:rPr>
                <w:rFonts w:ascii="Times New Roman" w:hAnsi="Times New Roman" w:cs="Times New Roman"/>
                <w:noProof/>
              </w:rPr>
            </w:pPr>
            <w:r>
              <w:rPr>
                <w:noProof/>
              </w:rPr>
              <w:t>Säkerhetsanordningar för elektronisk signalering installerade och i drift på linjen Oštarije-Knin – Split</w:t>
            </w:r>
          </w:p>
        </w:tc>
        <w:tc>
          <w:tcPr>
            <w:tcW w:w="367" w:type="pct"/>
            <w:tcBorders>
              <w:top w:val="single" w:sz="4" w:space="0" w:color="auto"/>
              <w:left w:val="nil"/>
              <w:bottom w:val="single" w:sz="4" w:space="0" w:color="auto"/>
              <w:right w:val="single" w:sz="4" w:space="0" w:color="auto"/>
            </w:tcBorders>
            <w:shd w:val="clear" w:color="auto" w:fill="C6EFCE"/>
            <w:noWrap/>
          </w:tcPr>
          <w:p w14:paraId="77F8A93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197FE74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5AD7D82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258CD9D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278ED0DF"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nil"/>
              <w:bottom w:val="single" w:sz="4" w:space="0" w:color="auto"/>
              <w:right w:val="single" w:sz="4" w:space="0" w:color="auto"/>
            </w:tcBorders>
            <w:shd w:val="clear" w:color="auto" w:fill="C6EFCE"/>
            <w:noWrap/>
          </w:tcPr>
          <w:p w14:paraId="2CEFCFD5" w14:textId="77777777" w:rsidR="003A3D51" w:rsidRDefault="0002775A">
            <w:pPr>
              <w:pStyle w:val="P68B1DB1-Normal7"/>
              <w:spacing w:after="200" w:line="276" w:lineRule="auto"/>
              <w:rPr>
                <w:rFonts w:ascii="Times New Roman" w:hAnsi="Times New Roman" w:cs="Times New Roman"/>
                <w:noProof/>
              </w:rPr>
            </w:pPr>
            <w:r>
              <w:rPr>
                <w:noProof/>
              </w:rPr>
              <w:t>Som ett led i moderniseringen av sträckan Oštarije-Knin – Split på järnvägslinjen ska elektroniska säkerhetsanordningar för signalering installeras som gör det möjligt att skapa ett så kallat ömsesidigt beroende och central trafikledning.</w:t>
            </w:r>
          </w:p>
        </w:tc>
      </w:tr>
      <w:tr w:rsidR="003A3D51" w14:paraId="18C696C6"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627FE75D" w14:textId="77777777" w:rsidR="003A3D51" w:rsidRDefault="0002775A">
            <w:pPr>
              <w:pStyle w:val="P68B1DB1-Normal7"/>
              <w:spacing w:after="200" w:line="276" w:lineRule="auto"/>
              <w:jc w:val="center"/>
              <w:rPr>
                <w:rFonts w:ascii="Times New Roman" w:hAnsi="Times New Roman" w:cs="Times New Roman"/>
                <w:noProof/>
              </w:rPr>
            </w:pPr>
            <w:r>
              <w:rPr>
                <w:noProof/>
              </w:rPr>
              <w:t>104</w:t>
            </w:r>
          </w:p>
        </w:tc>
        <w:tc>
          <w:tcPr>
            <w:tcW w:w="312" w:type="pct"/>
            <w:tcBorders>
              <w:top w:val="single" w:sz="4" w:space="0" w:color="auto"/>
              <w:left w:val="nil"/>
              <w:bottom w:val="single" w:sz="4" w:space="0" w:color="auto"/>
              <w:right w:val="single" w:sz="4" w:space="0" w:color="auto"/>
            </w:tcBorders>
            <w:shd w:val="clear" w:color="auto" w:fill="C6EFCE"/>
            <w:noWrap/>
          </w:tcPr>
          <w:p w14:paraId="5FDBB645" w14:textId="77777777" w:rsidR="003A3D51" w:rsidRDefault="0002775A">
            <w:pPr>
              <w:pStyle w:val="P68B1DB1-Normal7"/>
              <w:spacing w:after="200" w:line="276" w:lineRule="auto"/>
              <w:jc w:val="center"/>
              <w:rPr>
                <w:rFonts w:ascii="Times New Roman" w:hAnsi="Times New Roman" w:cs="Times New Roman"/>
                <w:noProof/>
              </w:rPr>
            </w:pPr>
            <w:r>
              <w:rPr>
                <w:noProof/>
              </w:rPr>
              <w:t>C1.4 R2-I3</w:t>
            </w:r>
          </w:p>
        </w:tc>
        <w:tc>
          <w:tcPr>
            <w:tcW w:w="297" w:type="pct"/>
            <w:tcBorders>
              <w:top w:val="single" w:sz="4" w:space="0" w:color="auto"/>
              <w:left w:val="nil"/>
              <w:bottom w:val="single" w:sz="4" w:space="0" w:color="auto"/>
              <w:right w:val="single" w:sz="4" w:space="0" w:color="auto"/>
            </w:tcBorders>
            <w:shd w:val="clear" w:color="auto" w:fill="C6EFCE"/>
            <w:noWrap/>
          </w:tcPr>
          <w:p w14:paraId="0AEC6CF5"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nil"/>
              <w:bottom w:val="single" w:sz="4" w:space="0" w:color="auto"/>
              <w:right w:val="single" w:sz="4" w:space="0" w:color="auto"/>
            </w:tcBorders>
            <w:shd w:val="clear" w:color="auto" w:fill="C6EFCE"/>
            <w:noWrap/>
          </w:tcPr>
          <w:p w14:paraId="2B1C9818" w14:textId="77777777" w:rsidR="003A3D51" w:rsidRDefault="0002775A">
            <w:pPr>
              <w:pStyle w:val="P68B1DB1-Normal7"/>
              <w:spacing w:after="200" w:line="276" w:lineRule="auto"/>
              <w:rPr>
                <w:rFonts w:ascii="Times New Roman" w:hAnsi="Times New Roman" w:cs="Times New Roman"/>
                <w:noProof/>
              </w:rPr>
            </w:pPr>
            <w:r>
              <w:rPr>
                <w:noProof/>
              </w:rPr>
              <w:t xml:space="preserve">Fem flaskhalsar undanröjda på sektioner med nuvarande driftshastigheter på 60 km/h </w:t>
            </w:r>
          </w:p>
        </w:tc>
        <w:tc>
          <w:tcPr>
            <w:tcW w:w="722" w:type="pct"/>
            <w:tcBorders>
              <w:top w:val="single" w:sz="4" w:space="0" w:color="auto"/>
              <w:left w:val="nil"/>
              <w:bottom w:val="single" w:sz="4" w:space="0" w:color="auto"/>
              <w:right w:val="single" w:sz="4" w:space="0" w:color="auto"/>
            </w:tcBorders>
            <w:shd w:val="clear" w:color="auto" w:fill="C6EFCE"/>
            <w:noWrap/>
          </w:tcPr>
          <w:p w14:paraId="0303A73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nil"/>
              <w:bottom w:val="single" w:sz="4" w:space="0" w:color="auto"/>
              <w:right w:val="single" w:sz="4" w:space="0" w:color="auto"/>
            </w:tcBorders>
            <w:shd w:val="clear" w:color="auto" w:fill="C6EFCE"/>
            <w:noWrap/>
          </w:tcPr>
          <w:p w14:paraId="3E31A771"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nil"/>
              <w:bottom w:val="single" w:sz="4" w:space="0" w:color="auto"/>
              <w:right w:val="single" w:sz="4" w:space="0" w:color="auto"/>
            </w:tcBorders>
            <w:shd w:val="clear" w:color="auto" w:fill="C6EFCE"/>
            <w:noWrap/>
          </w:tcPr>
          <w:p w14:paraId="11F16D1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nil"/>
              <w:bottom w:val="single" w:sz="4" w:space="0" w:color="auto"/>
              <w:right w:val="single" w:sz="4" w:space="0" w:color="auto"/>
            </w:tcBorders>
            <w:shd w:val="clear" w:color="auto" w:fill="C6EFCE"/>
            <w:noWrap/>
          </w:tcPr>
          <w:p w14:paraId="75F24645" w14:textId="77777777" w:rsidR="003A3D51" w:rsidRDefault="0002775A">
            <w:pPr>
              <w:pStyle w:val="P68B1DB1-Normal7"/>
              <w:spacing w:after="200" w:line="276" w:lineRule="auto"/>
              <w:jc w:val="center"/>
              <w:rPr>
                <w:rFonts w:ascii="Times New Roman" w:hAnsi="Times New Roman" w:cs="Times New Roman"/>
                <w:noProof/>
              </w:rPr>
            </w:pPr>
            <w:r>
              <w:rPr>
                <w:noProof/>
              </w:rPr>
              <w:t>5</w:t>
            </w:r>
          </w:p>
        </w:tc>
        <w:tc>
          <w:tcPr>
            <w:tcW w:w="250" w:type="pct"/>
            <w:tcBorders>
              <w:top w:val="single" w:sz="4" w:space="0" w:color="auto"/>
              <w:left w:val="nil"/>
              <w:bottom w:val="single" w:sz="4" w:space="0" w:color="auto"/>
              <w:right w:val="single" w:sz="4" w:space="0" w:color="auto"/>
            </w:tcBorders>
            <w:shd w:val="clear" w:color="auto" w:fill="C6EFCE"/>
            <w:noWrap/>
          </w:tcPr>
          <w:p w14:paraId="6A7EB32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19AB191D"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nil"/>
              <w:bottom w:val="single" w:sz="4" w:space="0" w:color="auto"/>
              <w:right w:val="single" w:sz="4" w:space="0" w:color="auto"/>
            </w:tcBorders>
            <w:shd w:val="clear" w:color="auto" w:fill="C6EFCE"/>
            <w:noWrap/>
          </w:tcPr>
          <w:p w14:paraId="53EF2761" w14:textId="77777777" w:rsidR="003A3D51" w:rsidRDefault="0002775A">
            <w:pPr>
              <w:pStyle w:val="P68B1DB1-Normal7"/>
              <w:spacing w:after="200" w:line="276" w:lineRule="auto"/>
              <w:rPr>
                <w:rFonts w:ascii="Times New Roman" w:hAnsi="Times New Roman" w:cs="Times New Roman"/>
                <w:noProof/>
              </w:rPr>
            </w:pPr>
            <w:r>
              <w:rPr>
                <w:noProof/>
              </w:rPr>
              <w:t>Investeringen ska leda till att fem flaskhalsar på sträckor med en nuvarande hastighetsbegränsning på 60 km/h undanröjs.</w:t>
            </w:r>
            <w:r>
              <w:rPr>
                <w:noProof/>
              </w:rPr>
              <w:br/>
              <w:t>Det ska styrkas att tillståndsförfarandena enligt miljökonsekvensbedömningen följs i enlighet med direktiv 2011/92/EU.</w:t>
            </w:r>
          </w:p>
        </w:tc>
      </w:tr>
      <w:tr w:rsidR="003A3D51" w14:paraId="10D4B70A"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1592D7F0" w14:textId="77777777" w:rsidR="003A3D51" w:rsidRDefault="0002775A">
            <w:pPr>
              <w:pStyle w:val="P68B1DB1-Normal7"/>
              <w:spacing w:after="200" w:line="276" w:lineRule="auto"/>
              <w:jc w:val="center"/>
              <w:rPr>
                <w:rFonts w:ascii="Times New Roman" w:hAnsi="Times New Roman" w:cs="Times New Roman"/>
                <w:noProof/>
              </w:rPr>
            </w:pPr>
            <w:r>
              <w:rPr>
                <w:noProof/>
              </w:rPr>
              <w:t>105</w:t>
            </w:r>
          </w:p>
        </w:tc>
        <w:tc>
          <w:tcPr>
            <w:tcW w:w="312" w:type="pct"/>
            <w:tcBorders>
              <w:top w:val="single" w:sz="4" w:space="0" w:color="auto"/>
              <w:left w:val="nil"/>
              <w:bottom w:val="single" w:sz="4" w:space="0" w:color="auto"/>
              <w:right w:val="single" w:sz="4" w:space="0" w:color="auto"/>
            </w:tcBorders>
            <w:shd w:val="clear" w:color="auto" w:fill="C6EFCE"/>
            <w:noWrap/>
          </w:tcPr>
          <w:p w14:paraId="3D72D9E5" w14:textId="77777777" w:rsidR="003A3D51" w:rsidRDefault="0002775A">
            <w:pPr>
              <w:pStyle w:val="P68B1DB1-Normal7"/>
              <w:spacing w:after="200" w:line="276" w:lineRule="auto"/>
              <w:jc w:val="center"/>
              <w:rPr>
                <w:rFonts w:ascii="Times New Roman" w:hAnsi="Times New Roman" w:cs="Times New Roman"/>
                <w:noProof/>
              </w:rPr>
            </w:pPr>
            <w:r>
              <w:rPr>
                <w:noProof/>
              </w:rPr>
              <w:t>C1.4 R2-I4</w:t>
            </w:r>
          </w:p>
        </w:tc>
        <w:tc>
          <w:tcPr>
            <w:tcW w:w="297" w:type="pct"/>
            <w:tcBorders>
              <w:top w:val="single" w:sz="4" w:space="0" w:color="auto"/>
              <w:left w:val="nil"/>
              <w:bottom w:val="single" w:sz="4" w:space="0" w:color="auto"/>
              <w:right w:val="single" w:sz="4" w:space="0" w:color="auto"/>
            </w:tcBorders>
            <w:shd w:val="clear" w:color="auto" w:fill="C6EFCE"/>
            <w:noWrap/>
          </w:tcPr>
          <w:p w14:paraId="7A1DF982"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nil"/>
              <w:bottom w:val="single" w:sz="4" w:space="0" w:color="auto"/>
              <w:right w:val="single" w:sz="4" w:space="0" w:color="auto"/>
            </w:tcBorders>
            <w:shd w:val="clear" w:color="auto" w:fill="C6EFCE"/>
            <w:noWrap/>
          </w:tcPr>
          <w:p w14:paraId="6AF9EFD4" w14:textId="77777777" w:rsidR="003A3D51" w:rsidRDefault="0002775A">
            <w:pPr>
              <w:pStyle w:val="P68B1DB1-Normal7"/>
              <w:spacing w:after="200" w:line="276" w:lineRule="auto"/>
              <w:rPr>
                <w:rFonts w:ascii="Times New Roman" w:hAnsi="Times New Roman" w:cs="Times New Roman"/>
                <w:noProof/>
              </w:rPr>
            </w:pPr>
            <w:r>
              <w:rPr>
                <w:noProof/>
              </w:rPr>
              <w:t>Dubbelspårig järnvägslinje vid Zagreb Kustošija – ZG Zapadni Kolodvor – Zagreb Glavni Kolodvor för en längd på 3,4 km ombyggd och uppgraderad</w:t>
            </w:r>
          </w:p>
        </w:tc>
        <w:tc>
          <w:tcPr>
            <w:tcW w:w="722" w:type="pct"/>
            <w:tcBorders>
              <w:top w:val="single" w:sz="4" w:space="0" w:color="auto"/>
              <w:left w:val="nil"/>
              <w:bottom w:val="single" w:sz="4" w:space="0" w:color="auto"/>
              <w:right w:val="single" w:sz="4" w:space="0" w:color="auto"/>
            </w:tcBorders>
            <w:shd w:val="clear" w:color="auto" w:fill="C6EFCE"/>
            <w:noWrap/>
          </w:tcPr>
          <w:p w14:paraId="11727EBF"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nil"/>
              <w:bottom w:val="single" w:sz="4" w:space="0" w:color="auto"/>
              <w:right w:val="single" w:sz="4" w:space="0" w:color="auto"/>
            </w:tcBorders>
            <w:shd w:val="clear" w:color="auto" w:fill="C6EFCE"/>
            <w:noWrap/>
          </w:tcPr>
          <w:p w14:paraId="70751A0F" w14:textId="77777777" w:rsidR="003A3D51" w:rsidRDefault="0002775A">
            <w:pPr>
              <w:pStyle w:val="P68B1DB1-Normal7"/>
              <w:spacing w:after="200" w:line="276" w:lineRule="auto"/>
              <w:jc w:val="center"/>
              <w:rPr>
                <w:rFonts w:ascii="Times New Roman" w:hAnsi="Times New Roman" w:cs="Times New Roman"/>
                <w:noProof/>
              </w:rPr>
            </w:pPr>
            <w:r>
              <w:rPr>
                <w:noProof/>
              </w:rPr>
              <w:t>Antal (km)</w:t>
            </w:r>
          </w:p>
        </w:tc>
        <w:tc>
          <w:tcPr>
            <w:tcW w:w="260" w:type="pct"/>
            <w:tcBorders>
              <w:top w:val="single" w:sz="4" w:space="0" w:color="auto"/>
              <w:left w:val="nil"/>
              <w:bottom w:val="single" w:sz="4" w:space="0" w:color="auto"/>
              <w:right w:val="single" w:sz="4" w:space="0" w:color="auto"/>
            </w:tcBorders>
            <w:shd w:val="clear" w:color="auto" w:fill="C6EFCE"/>
            <w:noWrap/>
          </w:tcPr>
          <w:p w14:paraId="5775A5E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nil"/>
              <w:bottom w:val="single" w:sz="4" w:space="0" w:color="auto"/>
              <w:right w:val="single" w:sz="4" w:space="0" w:color="auto"/>
            </w:tcBorders>
            <w:shd w:val="clear" w:color="auto" w:fill="C6EFCE"/>
            <w:noWrap/>
          </w:tcPr>
          <w:p w14:paraId="5769D9CB" w14:textId="77777777" w:rsidR="003A3D51" w:rsidRDefault="0002775A">
            <w:pPr>
              <w:pStyle w:val="P68B1DB1-Normal7"/>
              <w:spacing w:after="200" w:line="276" w:lineRule="auto"/>
              <w:jc w:val="center"/>
              <w:rPr>
                <w:rFonts w:ascii="Times New Roman" w:hAnsi="Times New Roman" w:cs="Times New Roman"/>
                <w:noProof/>
              </w:rPr>
            </w:pPr>
            <w:r>
              <w:rPr>
                <w:noProof/>
              </w:rPr>
              <w:t>3,4</w:t>
            </w:r>
          </w:p>
        </w:tc>
        <w:tc>
          <w:tcPr>
            <w:tcW w:w="250" w:type="pct"/>
            <w:tcBorders>
              <w:top w:val="single" w:sz="4" w:space="0" w:color="auto"/>
              <w:left w:val="nil"/>
              <w:bottom w:val="single" w:sz="4" w:space="0" w:color="auto"/>
              <w:right w:val="single" w:sz="4" w:space="0" w:color="auto"/>
            </w:tcBorders>
            <w:shd w:val="clear" w:color="auto" w:fill="C6EFCE"/>
            <w:noWrap/>
          </w:tcPr>
          <w:p w14:paraId="12D522E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15A8CFD0"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nil"/>
              <w:bottom w:val="single" w:sz="4" w:space="0" w:color="auto"/>
              <w:right w:val="single" w:sz="4" w:space="0" w:color="auto"/>
            </w:tcBorders>
            <w:shd w:val="clear" w:color="auto" w:fill="C6EFCE"/>
            <w:noWrap/>
          </w:tcPr>
          <w:p w14:paraId="08391484" w14:textId="77777777" w:rsidR="003A3D51" w:rsidRDefault="0002775A">
            <w:pPr>
              <w:pStyle w:val="P68B1DB1-Normal7"/>
              <w:spacing w:after="200" w:line="276" w:lineRule="auto"/>
              <w:rPr>
                <w:rFonts w:ascii="Times New Roman" w:hAnsi="Times New Roman" w:cs="Times New Roman"/>
                <w:noProof/>
              </w:rPr>
            </w:pPr>
            <w:r>
              <w:rPr>
                <w:noProof/>
              </w:rPr>
              <w:t>Tvåspårig järnvägslinje på avsnittet Zagreb Kustošija-Zagreb Zapadni Kolodvor – Zagreb Glavni Kolodvor för en längd av 3,4 km ska byggas om och moderniseras.</w:t>
            </w:r>
            <w:r>
              <w:rPr>
                <w:noProof/>
              </w:rPr>
              <w:br/>
              <w:t>Det ska styrkas att tillståndsförfarandena enligt miljökonsekvensbedömningen följs i enlighet med direktiv 2011/92/EU.</w:t>
            </w:r>
          </w:p>
        </w:tc>
      </w:tr>
      <w:tr w:rsidR="003A3D51" w14:paraId="74C42C6A"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4B7EBF1E" w14:textId="77777777" w:rsidR="003A3D51" w:rsidRDefault="0002775A">
            <w:pPr>
              <w:pStyle w:val="P68B1DB1-Normal7"/>
              <w:spacing w:after="200" w:line="276" w:lineRule="auto"/>
              <w:jc w:val="center"/>
              <w:rPr>
                <w:rFonts w:ascii="Times New Roman" w:hAnsi="Times New Roman" w:cs="Times New Roman"/>
                <w:noProof/>
              </w:rPr>
            </w:pPr>
            <w:r>
              <w:rPr>
                <w:noProof/>
              </w:rPr>
              <w:t>106</w:t>
            </w:r>
          </w:p>
        </w:tc>
        <w:tc>
          <w:tcPr>
            <w:tcW w:w="312" w:type="pct"/>
            <w:tcBorders>
              <w:top w:val="single" w:sz="4" w:space="0" w:color="auto"/>
              <w:left w:val="nil"/>
              <w:bottom w:val="single" w:sz="4" w:space="0" w:color="auto"/>
              <w:right w:val="single" w:sz="4" w:space="0" w:color="auto"/>
            </w:tcBorders>
            <w:shd w:val="clear" w:color="auto" w:fill="C6EFCE"/>
            <w:noWrap/>
          </w:tcPr>
          <w:p w14:paraId="5876BC7C" w14:textId="77777777" w:rsidR="003A3D51" w:rsidRDefault="0002775A">
            <w:pPr>
              <w:pStyle w:val="P68B1DB1-Normal7"/>
              <w:spacing w:after="200" w:line="276" w:lineRule="auto"/>
              <w:jc w:val="center"/>
              <w:rPr>
                <w:rFonts w:ascii="Times New Roman" w:hAnsi="Times New Roman" w:cs="Times New Roman"/>
                <w:noProof/>
              </w:rPr>
            </w:pPr>
            <w:r>
              <w:rPr>
                <w:noProof/>
              </w:rPr>
              <w:t>C1.4 R2-I5</w:t>
            </w:r>
          </w:p>
        </w:tc>
        <w:tc>
          <w:tcPr>
            <w:tcW w:w="297" w:type="pct"/>
            <w:tcBorders>
              <w:top w:val="single" w:sz="4" w:space="0" w:color="auto"/>
              <w:left w:val="nil"/>
              <w:bottom w:val="single" w:sz="4" w:space="0" w:color="auto"/>
              <w:right w:val="single" w:sz="4" w:space="0" w:color="auto"/>
            </w:tcBorders>
            <w:shd w:val="clear" w:color="auto" w:fill="C6EFCE"/>
            <w:noWrap/>
          </w:tcPr>
          <w:p w14:paraId="5E29D20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nil"/>
              <w:bottom w:val="single" w:sz="4" w:space="0" w:color="auto"/>
              <w:right w:val="single" w:sz="4" w:space="0" w:color="auto"/>
            </w:tcBorders>
            <w:shd w:val="clear" w:color="auto" w:fill="C6EFCE"/>
            <w:noWrap/>
          </w:tcPr>
          <w:p w14:paraId="056BA02E" w14:textId="77777777" w:rsidR="003A3D51" w:rsidRDefault="0002775A">
            <w:pPr>
              <w:pStyle w:val="P68B1DB1-Normal7"/>
              <w:spacing w:after="200" w:line="276" w:lineRule="auto"/>
              <w:rPr>
                <w:rFonts w:ascii="Times New Roman" w:hAnsi="Times New Roman" w:cs="Times New Roman"/>
                <w:noProof/>
              </w:rPr>
            </w:pPr>
            <w:r>
              <w:rPr>
                <w:noProof/>
              </w:rPr>
              <w:t>Bromsklossar bytt på 2 000 godsvagnar för att minska bullret</w:t>
            </w:r>
          </w:p>
        </w:tc>
        <w:tc>
          <w:tcPr>
            <w:tcW w:w="722" w:type="pct"/>
            <w:tcBorders>
              <w:top w:val="single" w:sz="4" w:space="0" w:color="auto"/>
              <w:left w:val="nil"/>
              <w:bottom w:val="single" w:sz="4" w:space="0" w:color="auto"/>
              <w:right w:val="single" w:sz="4" w:space="0" w:color="auto"/>
            </w:tcBorders>
            <w:shd w:val="clear" w:color="auto" w:fill="C6EFCE"/>
            <w:noWrap/>
          </w:tcPr>
          <w:p w14:paraId="0CECB053"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nil"/>
              <w:bottom w:val="single" w:sz="4" w:space="0" w:color="auto"/>
              <w:right w:val="single" w:sz="4" w:space="0" w:color="auto"/>
            </w:tcBorders>
            <w:shd w:val="clear" w:color="auto" w:fill="C6EFCE"/>
            <w:noWrap/>
          </w:tcPr>
          <w:p w14:paraId="6F3508B0"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nil"/>
              <w:bottom w:val="single" w:sz="4" w:space="0" w:color="auto"/>
              <w:right w:val="single" w:sz="4" w:space="0" w:color="auto"/>
            </w:tcBorders>
            <w:shd w:val="clear" w:color="auto" w:fill="C6EFCE"/>
            <w:noWrap/>
          </w:tcPr>
          <w:p w14:paraId="609B2C0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nil"/>
              <w:bottom w:val="single" w:sz="4" w:space="0" w:color="auto"/>
              <w:right w:val="single" w:sz="4" w:space="0" w:color="auto"/>
            </w:tcBorders>
            <w:shd w:val="clear" w:color="auto" w:fill="C6EFCE"/>
            <w:noWrap/>
          </w:tcPr>
          <w:p w14:paraId="3BF56F3F" w14:textId="77777777" w:rsidR="003A3D51" w:rsidRDefault="0002775A">
            <w:pPr>
              <w:pStyle w:val="P68B1DB1-Normal7"/>
              <w:spacing w:after="200" w:line="276" w:lineRule="auto"/>
              <w:jc w:val="center"/>
              <w:rPr>
                <w:rFonts w:ascii="Times New Roman" w:hAnsi="Times New Roman" w:cs="Times New Roman"/>
                <w:noProof/>
              </w:rPr>
            </w:pPr>
            <w:r>
              <w:rPr>
                <w:noProof/>
              </w:rPr>
              <w:t>2 000</w:t>
            </w:r>
          </w:p>
        </w:tc>
        <w:tc>
          <w:tcPr>
            <w:tcW w:w="250" w:type="pct"/>
            <w:tcBorders>
              <w:top w:val="single" w:sz="4" w:space="0" w:color="auto"/>
              <w:left w:val="nil"/>
              <w:bottom w:val="single" w:sz="4" w:space="0" w:color="auto"/>
              <w:right w:val="single" w:sz="4" w:space="0" w:color="auto"/>
            </w:tcBorders>
            <w:shd w:val="clear" w:color="auto" w:fill="C6EFCE"/>
            <w:noWrap/>
          </w:tcPr>
          <w:p w14:paraId="51B9A82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nil"/>
              <w:bottom w:val="single" w:sz="4" w:space="0" w:color="auto"/>
              <w:right w:val="single" w:sz="4" w:space="0" w:color="auto"/>
            </w:tcBorders>
            <w:shd w:val="clear" w:color="auto" w:fill="C6EFCE"/>
            <w:noWrap/>
          </w:tcPr>
          <w:p w14:paraId="5A744844"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nil"/>
              <w:bottom w:val="single" w:sz="4" w:space="0" w:color="auto"/>
              <w:right w:val="single" w:sz="4" w:space="0" w:color="auto"/>
            </w:tcBorders>
            <w:shd w:val="clear" w:color="auto" w:fill="C6EFCE"/>
            <w:noWrap/>
          </w:tcPr>
          <w:p w14:paraId="3A0534B7" w14:textId="77777777" w:rsidR="003A3D51" w:rsidRDefault="0002775A">
            <w:pPr>
              <w:pStyle w:val="P68B1DB1-Normal7"/>
              <w:spacing w:after="200" w:line="276" w:lineRule="auto"/>
              <w:rPr>
                <w:rFonts w:ascii="Times New Roman" w:hAnsi="Times New Roman" w:cs="Times New Roman"/>
                <w:noProof/>
              </w:rPr>
            </w:pPr>
            <w:r>
              <w:rPr>
                <w:noProof/>
              </w:rPr>
              <w:t xml:space="preserve">Samfinansieringen av investeringar i eftermonteringselement i godsvagnar ska leda till installation av 2 000 bromsklossar i godsvagnar, vilket bidrar till att minska bullerföroreningarna inom järnvägstransportsektorn. </w:t>
            </w:r>
          </w:p>
        </w:tc>
      </w:tr>
      <w:tr w:rsidR="003A3D51" w14:paraId="7A183F72"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24E8D9D7" w14:textId="77777777" w:rsidR="003A3D51" w:rsidRDefault="0002775A">
            <w:pPr>
              <w:pStyle w:val="P68B1DB1-Normal7"/>
              <w:spacing w:after="200" w:line="276" w:lineRule="auto"/>
              <w:jc w:val="center"/>
              <w:rPr>
                <w:rFonts w:ascii="Times New Roman" w:hAnsi="Times New Roman" w:cs="Times New Roman"/>
                <w:noProof/>
              </w:rPr>
            </w:pPr>
            <w:r>
              <w:rPr>
                <w:noProof/>
              </w:rPr>
              <w:t>107</w:t>
            </w:r>
          </w:p>
        </w:tc>
        <w:tc>
          <w:tcPr>
            <w:tcW w:w="312" w:type="pct"/>
            <w:tcBorders>
              <w:top w:val="single" w:sz="4" w:space="0" w:color="auto"/>
              <w:left w:val="nil"/>
              <w:bottom w:val="single" w:sz="4" w:space="0" w:color="auto"/>
              <w:right w:val="single" w:sz="4" w:space="0" w:color="auto"/>
            </w:tcBorders>
            <w:shd w:val="clear" w:color="auto" w:fill="C6EFCE"/>
            <w:noWrap/>
          </w:tcPr>
          <w:p w14:paraId="13F9E659" w14:textId="77777777" w:rsidR="003A3D51" w:rsidRDefault="0002775A">
            <w:pPr>
              <w:pStyle w:val="P68B1DB1-Normal7"/>
              <w:spacing w:after="200" w:line="276" w:lineRule="auto"/>
              <w:jc w:val="center"/>
              <w:rPr>
                <w:rFonts w:ascii="Times New Roman" w:hAnsi="Times New Roman" w:cs="Times New Roman"/>
                <w:noProof/>
              </w:rPr>
            </w:pPr>
            <w:r>
              <w:rPr>
                <w:noProof/>
              </w:rPr>
              <w:t>C1.4 R2-I6</w:t>
            </w:r>
          </w:p>
        </w:tc>
        <w:tc>
          <w:tcPr>
            <w:tcW w:w="297" w:type="pct"/>
            <w:tcBorders>
              <w:top w:val="single" w:sz="4" w:space="0" w:color="auto"/>
              <w:left w:val="nil"/>
              <w:bottom w:val="single" w:sz="4" w:space="0" w:color="auto"/>
              <w:right w:val="single" w:sz="4" w:space="0" w:color="auto"/>
            </w:tcBorders>
            <w:shd w:val="clear" w:color="auto" w:fill="C6EFCE"/>
            <w:noWrap/>
          </w:tcPr>
          <w:p w14:paraId="7506A49E"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nil"/>
              <w:bottom w:val="single" w:sz="4" w:space="0" w:color="auto"/>
              <w:right w:val="single" w:sz="4" w:space="0" w:color="auto"/>
            </w:tcBorders>
            <w:shd w:val="clear" w:color="auto" w:fill="C6EFCE"/>
            <w:noWrap/>
          </w:tcPr>
          <w:p w14:paraId="1AE63BC2" w14:textId="77777777" w:rsidR="003A3D51" w:rsidRDefault="0002775A">
            <w:pPr>
              <w:pStyle w:val="P68B1DB1-Normal7"/>
              <w:spacing w:after="200" w:line="276" w:lineRule="auto"/>
              <w:rPr>
                <w:rFonts w:ascii="Times New Roman" w:hAnsi="Times New Roman" w:cs="Times New Roman"/>
                <w:noProof/>
              </w:rPr>
            </w:pPr>
            <w:r>
              <w:rPr>
                <w:noProof/>
              </w:rPr>
              <w:t>Två prototyper av batteritåg tillverkas och driftstester inleds.</w:t>
            </w:r>
          </w:p>
        </w:tc>
        <w:tc>
          <w:tcPr>
            <w:tcW w:w="722" w:type="pct"/>
            <w:tcBorders>
              <w:top w:val="single" w:sz="4" w:space="0" w:color="auto"/>
              <w:left w:val="nil"/>
              <w:bottom w:val="single" w:sz="4" w:space="0" w:color="auto"/>
              <w:right w:val="single" w:sz="4" w:space="0" w:color="auto"/>
            </w:tcBorders>
            <w:shd w:val="clear" w:color="auto" w:fill="C6EFCE"/>
            <w:noWrap/>
          </w:tcPr>
          <w:p w14:paraId="0D8F4CC8"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nil"/>
              <w:bottom w:val="single" w:sz="4" w:space="0" w:color="auto"/>
              <w:right w:val="single" w:sz="4" w:space="0" w:color="auto"/>
            </w:tcBorders>
            <w:shd w:val="clear" w:color="auto" w:fill="C6EFCE"/>
            <w:noWrap/>
          </w:tcPr>
          <w:p w14:paraId="4D815D30"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nil"/>
              <w:bottom w:val="single" w:sz="4" w:space="0" w:color="auto"/>
              <w:right w:val="single" w:sz="4" w:space="0" w:color="auto"/>
            </w:tcBorders>
            <w:shd w:val="clear" w:color="auto" w:fill="C6EFCE"/>
            <w:noWrap/>
          </w:tcPr>
          <w:p w14:paraId="76E0CDAE"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nil"/>
              <w:bottom w:val="single" w:sz="4" w:space="0" w:color="auto"/>
              <w:right w:val="single" w:sz="4" w:space="0" w:color="auto"/>
            </w:tcBorders>
            <w:shd w:val="clear" w:color="auto" w:fill="C6EFCE"/>
            <w:noWrap/>
          </w:tcPr>
          <w:p w14:paraId="293F84D9" w14:textId="77777777" w:rsidR="003A3D51" w:rsidRDefault="0002775A">
            <w:pPr>
              <w:pStyle w:val="P68B1DB1-Normal7"/>
              <w:spacing w:after="200" w:line="276" w:lineRule="auto"/>
              <w:jc w:val="center"/>
              <w:rPr>
                <w:rFonts w:ascii="Times New Roman" w:hAnsi="Times New Roman" w:cs="Times New Roman"/>
                <w:noProof/>
              </w:rPr>
            </w:pPr>
            <w:r>
              <w:rPr>
                <w:noProof/>
              </w:rPr>
              <w:t>2</w:t>
            </w:r>
          </w:p>
        </w:tc>
        <w:tc>
          <w:tcPr>
            <w:tcW w:w="250" w:type="pct"/>
            <w:tcBorders>
              <w:top w:val="single" w:sz="4" w:space="0" w:color="auto"/>
              <w:left w:val="nil"/>
              <w:bottom w:val="single" w:sz="4" w:space="0" w:color="auto"/>
              <w:right w:val="single" w:sz="4" w:space="0" w:color="auto"/>
            </w:tcBorders>
            <w:shd w:val="clear" w:color="auto" w:fill="C6EFCE"/>
            <w:noWrap/>
          </w:tcPr>
          <w:p w14:paraId="04D83D65"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nil"/>
              <w:bottom w:val="single" w:sz="4" w:space="0" w:color="auto"/>
              <w:right w:val="single" w:sz="4" w:space="0" w:color="auto"/>
            </w:tcBorders>
            <w:shd w:val="clear" w:color="auto" w:fill="C6EFCE"/>
            <w:noWrap/>
          </w:tcPr>
          <w:p w14:paraId="76B806E2" w14:textId="3611D4B2"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nil"/>
              <w:bottom w:val="single" w:sz="4" w:space="0" w:color="auto"/>
              <w:right w:val="single" w:sz="4" w:space="0" w:color="auto"/>
            </w:tcBorders>
            <w:shd w:val="clear" w:color="auto" w:fill="C6EFCE"/>
            <w:noWrap/>
          </w:tcPr>
          <w:p w14:paraId="0CECF8FA" w14:textId="77777777" w:rsidR="003A3D51" w:rsidRDefault="0002775A">
            <w:pPr>
              <w:pStyle w:val="P68B1DB1-Normal7"/>
              <w:spacing w:after="200" w:line="276" w:lineRule="auto"/>
              <w:rPr>
                <w:rFonts w:ascii="Times New Roman" w:hAnsi="Times New Roman" w:cs="Times New Roman"/>
                <w:noProof/>
              </w:rPr>
            </w:pPr>
            <w:r>
              <w:rPr>
                <w:noProof/>
              </w:rPr>
              <w:t xml:space="preserve">Två prototyper av batteridrivna elektriska motortåg (BEMV) och batteridrivna motortåg (BMV) ska tillverkas. </w:t>
            </w:r>
          </w:p>
        </w:tc>
      </w:tr>
      <w:tr w:rsidR="003A3D51" w14:paraId="74721E77"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0F46F433" w14:textId="77777777" w:rsidR="003A3D51" w:rsidRDefault="0002775A">
            <w:pPr>
              <w:pStyle w:val="P68B1DB1-Normal7"/>
              <w:spacing w:after="200" w:line="276" w:lineRule="auto"/>
              <w:jc w:val="center"/>
              <w:rPr>
                <w:rFonts w:ascii="Times New Roman" w:hAnsi="Times New Roman" w:cs="Times New Roman"/>
                <w:noProof/>
              </w:rPr>
            </w:pPr>
            <w:r>
              <w:rPr>
                <w:noProof/>
              </w:rPr>
              <w:t>108</w:t>
            </w:r>
          </w:p>
        </w:tc>
        <w:tc>
          <w:tcPr>
            <w:tcW w:w="312" w:type="pct"/>
            <w:tcBorders>
              <w:top w:val="single" w:sz="4" w:space="0" w:color="auto"/>
              <w:left w:val="nil"/>
              <w:bottom w:val="single" w:sz="4" w:space="0" w:color="auto"/>
              <w:right w:val="single" w:sz="4" w:space="0" w:color="auto"/>
            </w:tcBorders>
            <w:shd w:val="clear" w:color="auto" w:fill="C6EFCE"/>
            <w:noWrap/>
          </w:tcPr>
          <w:p w14:paraId="3012FEB4" w14:textId="77777777" w:rsidR="003A3D51" w:rsidRDefault="0002775A">
            <w:pPr>
              <w:pStyle w:val="P68B1DB1-Normal7"/>
              <w:spacing w:after="200" w:line="276" w:lineRule="auto"/>
              <w:jc w:val="center"/>
              <w:rPr>
                <w:rFonts w:ascii="Times New Roman" w:hAnsi="Times New Roman" w:cs="Times New Roman"/>
                <w:noProof/>
              </w:rPr>
            </w:pPr>
            <w:r>
              <w:rPr>
                <w:noProof/>
              </w:rPr>
              <w:t>C1.4 R2-I7</w:t>
            </w:r>
          </w:p>
        </w:tc>
        <w:tc>
          <w:tcPr>
            <w:tcW w:w="297" w:type="pct"/>
            <w:tcBorders>
              <w:top w:val="single" w:sz="4" w:space="0" w:color="auto"/>
              <w:left w:val="nil"/>
              <w:bottom w:val="single" w:sz="4" w:space="0" w:color="auto"/>
              <w:right w:val="single" w:sz="4" w:space="0" w:color="auto"/>
            </w:tcBorders>
            <w:shd w:val="clear" w:color="auto" w:fill="C6EFCE"/>
            <w:noWrap/>
          </w:tcPr>
          <w:p w14:paraId="63C1FF6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nil"/>
              <w:bottom w:val="single" w:sz="4" w:space="0" w:color="auto"/>
              <w:right w:val="single" w:sz="4" w:space="0" w:color="auto"/>
            </w:tcBorders>
            <w:shd w:val="clear" w:color="auto" w:fill="C6EFCE"/>
            <w:noWrap/>
          </w:tcPr>
          <w:p w14:paraId="246F0ABA" w14:textId="668D2C16" w:rsidR="003A3D51" w:rsidRDefault="0002775A">
            <w:pPr>
              <w:pStyle w:val="P68B1DB1-Normal7"/>
              <w:spacing w:after="200" w:line="276" w:lineRule="auto"/>
              <w:rPr>
                <w:rFonts w:ascii="Times New Roman" w:hAnsi="Times New Roman" w:cs="Times New Roman"/>
                <w:noProof/>
              </w:rPr>
            </w:pPr>
            <w:r>
              <w:rPr>
                <w:noProof/>
              </w:rPr>
              <w:t>Nytt biljettsystem</w:t>
            </w:r>
          </w:p>
        </w:tc>
        <w:tc>
          <w:tcPr>
            <w:tcW w:w="722" w:type="pct"/>
            <w:tcBorders>
              <w:top w:val="single" w:sz="4" w:space="0" w:color="auto"/>
              <w:left w:val="nil"/>
              <w:bottom w:val="single" w:sz="4" w:space="0" w:color="auto"/>
              <w:right w:val="single" w:sz="4" w:space="0" w:color="auto"/>
            </w:tcBorders>
            <w:shd w:val="clear" w:color="auto" w:fill="C6EFCE"/>
            <w:noWrap/>
          </w:tcPr>
          <w:p w14:paraId="52FB36EB" w14:textId="5CE07D78" w:rsidR="003A3D51" w:rsidRDefault="0002775A">
            <w:pPr>
              <w:pStyle w:val="P68B1DB1-Normal7"/>
              <w:spacing w:after="200" w:line="276" w:lineRule="auto"/>
              <w:rPr>
                <w:rFonts w:ascii="Times New Roman" w:hAnsi="Times New Roman" w:cs="Times New Roman"/>
                <w:noProof/>
              </w:rPr>
            </w:pPr>
            <w:r>
              <w:rPr>
                <w:noProof/>
              </w:rPr>
              <w:t>Nytt biljettsystem i drift</w:t>
            </w:r>
          </w:p>
        </w:tc>
        <w:tc>
          <w:tcPr>
            <w:tcW w:w="367" w:type="pct"/>
            <w:tcBorders>
              <w:top w:val="single" w:sz="4" w:space="0" w:color="auto"/>
              <w:left w:val="nil"/>
              <w:bottom w:val="single" w:sz="4" w:space="0" w:color="auto"/>
              <w:right w:val="single" w:sz="4" w:space="0" w:color="auto"/>
            </w:tcBorders>
            <w:shd w:val="clear" w:color="auto" w:fill="C6EFCE"/>
            <w:noWrap/>
          </w:tcPr>
          <w:p w14:paraId="0A76BBC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nil"/>
              <w:bottom w:val="single" w:sz="4" w:space="0" w:color="auto"/>
              <w:right w:val="single" w:sz="4" w:space="0" w:color="auto"/>
            </w:tcBorders>
            <w:shd w:val="clear" w:color="auto" w:fill="C6EFCE"/>
            <w:noWrap/>
          </w:tcPr>
          <w:p w14:paraId="080F669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nil"/>
              <w:bottom w:val="single" w:sz="4" w:space="0" w:color="auto"/>
              <w:right w:val="single" w:sz="4" w:space="0" w:color="auto"/>
            </w:tcBorders>
            <w:shd w:val="clear" w:color="auto" w:fill="C6EFCE"/>
            <w:noWrap/>
          </w:tcPr>
          <w:p w14:paraId="51DE79E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nil"/>
              <w:bottom w:val="single" w:sz="4" w:space="0" w:color="auto"/>
              <w:right w:val="single" w:sz="4" w:space="0" w:color="auto"/>
            </w:tcBorders>
            <w:shd w:val="clear" w:color="auto" w:fill="C6EFCE"/>
            <w:noWrap/>
          </w:tcPr>
          <w:p w14:paraId="5EF779B8" w14:textId="44557F79"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nil"/>
              <w:bottom w:val="single" w:sz="4" w:space="0" w:color="auto"/>
              <w:right w:val="single" w:sz="4" w:space="0" w:color="auto"/>
            </w:tcBorders>
            <w:shd w:val="clear" w:color="auto" w:fill="C6EFCE"/>
            <w:noWrap/>
          </w:tcPr>
          <w:p w14:paraId="570569C6" w14:textId="62BC8A9F"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nil"/>
              <w:bottom w:val="single" w:sz="4" w:space="0" w:color="auto"/>
              <w:right w:val="single" w:sz="4" w:space="0" w:color="auto"/>
            </w:tcBorders>
            <w:shd w:val="clear" w:color="auto" w:fill="C6EFCE"/>
            <w:noWrap/>
          </w:tcPr>
          <w:p w14:paraId="05B7BA48" w14:textId="46DDBBA1" w:rsidR="003A3D51" w:rsidRDefault="0002775A">
            <w:pPr>
              <w:pStyle w:val="P68B1DB1-Normal7"/>
              <w:spacing w:after="200" w:line="276" w:lineRule="auto"/>
              <w:rPr>
                <w:rFonts w:ascii="Times New Roman" w:hAnsi="Times New Roman" w:cs="Times New Roman"/>
                <w:noProof/>
              </w:rPr>
            </w:pPr>
            <w:r>
              <w:rPr>
                <w:noProof/>
              </w:rPr>
              <w:t>Ett nytt biljettförsäljningssystem ska införas, som ska bestå av biljettförsäljning online (webb- och mobilapplikation för biljettförsäljning), försäljning via mobila betalningsterminaler (HHT) ombord på tåg, försäljning via externa självbetjäningskterminaler (TVM) och försäljning via kassakravsregister.</w:t>
            </w:r>
          </w:p>
        </w:tc>
      </w:tr>
      <w:tr w:rsidR="003A3D51" w14:paraId="735A704D"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5907B1EA" w14:textId="77777777" w:rsidR="003A3D51" w:rsidRDefault="0002775A">
            <w:pPr>
              <w:pStyle w:val="P68B1DB1-Normal7"/>
              <w:spacing w:after="200" w:line="276" w:lineRule="auto"/>
              <w:jc w:val="center"/>
              <w:rPr>
                <w:rFonts w:ascii="Times New Roman" w:hAnsi="Times New Roman" w:cs="Times New Roman"/>
                <w:noProof/>
              </w:rPr>
            </w:pPr>
            <w:r>
              <w:rPr>
                <w:noProof/>
              </w:rPr>
              <w:t>109</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1741536C" w14:textId="77777777" w:rsidR="003A3D51" w:rsidRDefault="0002775A">
            <w:pPr>
              <w:pStyle w:val="P68B1DB1-Normal7"/>
              <w:spacing w:after="200" w:line="276" w:lineRule="auto"/>
              <w:jc w:val="center"/>
              <w:rPr>
                <w:rFonts w:ascii="Times New Roman" w:hAnsi="Times New Roman" w:cs="Times New Roman"/>
                <w:noProof/>
              </w:rPr>
            </w:pPr>
            <w:r>
              <w:rPr>
                <w:noProof/>
              </w:rPr>
              <w:t>C1.4 R3</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402A21E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2B63D305" w14:textId="77777777" w:rsidR="003A3D51" w:rsidRDefault="0002775A">
            <w:pPr>
              <w:pStyle w:val="P68B1DB1-Normal7"/>
              <w:spacing w:after="200" w:line="276" w:lineRule="auto"/>
              <w:rPr>
                <w:rFonts w:ascii="Times New Roman" w:hAnsi="Times New Roman" w:cs="Times New Roman"/>
                <w:noProof/>
              </w:rPr>
            </w:pPr>
            <w:r>
              <w:rPr>
                <w:noProof/>
              </w:rPr>
              <w:t xml:space="preserve">Den nya lagen om reguljär och säsongsbunden kusttrafik </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2FA32575"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den nya lagen om reguljär och säsongsbunden kusttransport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20E0CDA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6B3E327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4C23054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768E4CFB"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4C2C315E"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566ECA79" w14:textId="77777777" w:rsidR="003A3D51" w:rsidRDefault="0002775A">
            <w:pPr>
              <w:pStyle w:val="P68B1DB1-Normal7"/>
              <w:spacing w:after="200" w:line="276" w:lineRule="auto"/>
              <w:rPr>
                <w:rFonts w:ascii="Times New Roman" w:hAnsi="Times New Roman" w:cs="Times New Roman"/>
                <w:noProof/>
              </w:rPr>
            </w:pPr>
            <w:r>
              <w:rPr>
                <w:noProof/>
              </w:rPr>
              <w:t>Den nya lagen om reguljär och säsongsbunden sjötransport ska förenkla de nuvarande administrativa förfarandena och skapa bättre förutsättningar för en effektivare drift av den offentliga kustsjöfarten genom att reglera bestämmelserna om verksamheten vid byrån för reguljär kustsjöfart, särskilt i avsnittet om tillståndsgivning för statliga rutter, samt bättre användning och kontroll av IT-systemen för kollektivtrafik (SEOP-systemet).</w:t>
            </w:r>
            <w:r>
              <w:rPr>
                <w:noProof/>
              </w:rPr>
              <w:br/>
              <w:t xml:space="preserve"> </w:t>
            </w:r>
          </w:p>
        </w:tc>
      </w:tr>
      <w:tr w:rsidR="003A3D51" w14:paraId="0C17C3AA"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6F932CD6" w14:textId="77777777" w:rsidR="003A3D51" w:rsidRDefault="0002775A">
            <w:pPr>
              <w:pStyle w:val="P68B1DB1-Normal7"/>
              <w:spacing w:after="200" w:line="276" w:lineRule="auto"/>
              <w:jc w:val="center"/>
              <w:rPr>
                <w:rFonts w:ascii="Times New Roman" w:hAnsi="Times New Roman" w:cs="Times New Roman"/>
                <w:noProof/>
              </w:rPr>
            </w:pPr>
            <w:r>
              <w:rPr>
                <w:noProof/>
              </w:rPr>
              <w:t>110</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7C2BF91C" w14:textId="77777777" w:rsidR="003A3D51" w:rsidRDefault="0002775A">
            <w:pPr>
              <w:pStyle w:val="P68B1DB1-Normal7"/>
              <w:spacing w:after="200" w:line="276" w:lineRule="auto"/>
              <w:jc w:val="center"/>
              <w:rPr>
                <w:rFonts w:ascii="Times New Roman" w:hAnsi="Times New Roman" w:cs="Times New Roman"/>
                <w:noProof/>
              </w:rPr>
            </w:pPr>
            <w:r>
              <w:rPr>
                <w:noProof/>
              </w:rPr>
              <w:t>C1.4 R3</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3E00B29D"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3BD10C39" w14:textId="77777777" w:rsidR="003A3D51" w:rsidRDefault="0002775A">
            <w:pPr>
              <w:pStyle w:val="P68B1DB1-Normal7"/>
              <w:spacing w:after="200" w:line="276" w:lineRule="auto"/>
              <w:rPr>
                <w:rFonts w:ascii="Times New Roman" w:hAnsi="Times New Roman" w:cs="Times New Roman"/>
                <w:noProof/>
              </w:rPr>
            </w:pPr>
            <w:r>
              <w:rPr>
                <w:noProof/>
              </w:rPr>
              <w:t>Den nya lagen om inlandssjöfart och hamnar</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5DCEC2B8" w14:textId="77777777" w:rsidR="003A3D51" w:rsidRDefault="0002775A">
            <w:pPr>
              <w:pStyle w:val="P68B1DB1-Normal7"/>
              <w:spacing w:after="200" w:line="276" w:lineRule="auto"/>
              <w:rPr>
                <w:rFonts w:ascii="Times New Roman" w:hAnsi="Times New Roman" w:cs="Times New Roman"/>
                <w:noProof/>
              </w:rPr>
            </w:pPr>
            <w:r>
              <w:rPr>
                <w:noProof/>
              </w:rPr>
              <w:t>Ikraftträdande av den nya lagen om inlandssjöfart och hamnar</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6010E8C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03BF15A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54AD743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1D503AB3"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29E89AE7"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5B8B5A65" w14:textId="77777777" w:rsidR="003A3D51" w:rsidRDefault="0002775A">
            <w:pPr>
              <w:pStyle w:val="P68B1DB1-Normal7"/>
              <w:spacing w:after="200" w:line="276" w:lineRule="auto"/>
              <w:rPr>
                <w:rFonts w:ascii="Times New Roman" w:hAnsi="Times New Roman" w:cs="Times New Roman"/>
                <w:noProof/>
              </w:rPr>
            </w:pPr>
            <w:r>
              <w:rPr>
                <w:noProof/>
              </w:rPr>
              <w:t>Den nya lagen om inlandssjöfart och hamnar ska göra det möjligt att, om det är nödvändigt för att säkerställa navigationssäkerheten, identifiera särskilda risker inom (delar av) Kroatiens inre vattenvägar.</w:t>
            </w:r>
          </w:p>
        </w:tc>
      </w:tr>
      <w:tr w:rsidR="003A3D51" w14:paraId="1EF81FD5"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06BA049D" w14:textId="77777777" w:rsidR="003A3D51" w:rsidRDefault="0002775A">
            <w:pPr>
              <w:pStyle w:val="P68B1DB1-Normal7"/>
              <w:spacing w:after="200" w:line="276" w:lineRule="auto"/>
              <w:jc w:val="center"/>
              <w:rPr>
                <w:rFonts w:ascii="Times New Roman" w:hAnsi="Times New Roman" w:cs="Times New Roman"/>
                <w:noProof/>
              </w:rPr>
            </w:pPr>
            <w:r>
              <w:rPr>
                <w:noProof/>
              </w:rPr>
              <w:t>111</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294FA2D3" w14:textId="77777777" w:rsidR="003A3D51" w:rsidRDefault="0002775A">
            <w:pPr>
              <w:pStyle w:val="P68B1DB1-Normal7"/>
              <w:spacing w:after="200" w:line="276" w:lineRule="auto"/>
              <w:jc w:val="center"/>
              <w:rPr>
                <w:rFonts w:ascii="Times New Roman" w:hAnsi="Times New Roman" w:cs="Times New Roman"/>
                <w:noProof/>
              </w:rPr>
            </w:pPr>
            <w:r>
              <w:rPr>
                <w:noProof/>
              </w:rPr>
              <w:t>C1.4 R3</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6F263D6F"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290FC1CA" w14:textId="77777777" w:rsidR="003A3D51" w:rsidRDefault="0002775A">
            <w:pPr>
              <w:pStyle w:val="P68B1DB1-Normal7"/>
              <w:spacing w:after="200" w:line="276" w:lineRule="auto"/>
              <w:rPr>
                <w:rFonts w:ascii="Times New Roman" w:hAnsi="Times New Roman" w:cs="Times New Roman"/>
                <w:noProof/>
              </w:rPr>
            </w:pPr>
            <w:r>
              <w:rPr>
                <w:noProof/>
              </w:rPr>
              <w:t>Den nya lagen om havsområden och kusthamnar</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5C8A1C9A" w14:textId="77777777" w:rsidR="003A3D51" w:rsidRDefault="0002775A">
            <w:pPr>
              <w:pStyle w:val="P68B1DB1-Normal7"/>
              <w:spacing w:after="200" w:line="276" w:lineRule="auto"/>
              <w:rPr>
                <w:rFonts w:ascii="Times New Roman" w:hAnsi="Times New Roman" w:cs="Times New Roman"/>
                <w:noProof/>
              </w:rPr>
            </w:pPr>
            <w:r>
              <w:rPr>
                <w:noProof/>
              </w:rPr>
              <w:t>Ikraftträdande av den nya lagen om havsområden och kusthamnar</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39781EF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50485CC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031BBB2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59E76284"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1CBB4743"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57A98FA2" w14:textId="77777777" w:rsidR="003A3D51" w:rsidRDefault="0002775A">
            <w:pPr>
              <w:pStyle w:val="P68B1DB1-Normal7"/>
              <w:spacing w:after="200" w:line="276" w:lineRule="auto"/>
              <w:rPr>
                <w:rFonts w:ascii="Times New Roman" w:hAnsi="Times New Roman" w:cs="Times New Roman"/>
                <w:noProof/>
              </w:rPr>
            </w:pPr>
            <w:r>
              <w:rPr>
                <w:noProof/>
              </w:rPr>
              <w:t>Den nya lagen om havsområden och kusthamnar ska omorganisera strukturen på det hamnsystem som är öppet för allmän trafik, vilket syftar till att säkerställa ett enhetligt genomförande av de rättsliga skyldigheterna att driva offentliga hamnar och rationalisera förvaltningskostnaderna.</w:t>
            </w:r>
          </w:p>
        </w:tc>
      </w:tr>
      <w:tr w:rsidR="003A3D51" w14:paraId="6A596B41"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2FE9EA06" w14:textId="77777777" w:rsidR="003A3D51" w:rsidRDefault="0002775A">
            <w:pPr>
              <w:pStyle w:val="P68B1DB1-Normal7"/>
              <w:spacing w:after="200" w:line="276" w:lineRule="auto"/>
              <w:jc w:val="center"/>
              <w:rPr>
                <w:rFonts w:ascii="Times New Roman" w:hAnsi="Times New Roman" w:cs="Times New Roman"/>
                <w:noProof/>
              </w:rPr>
            </w:pPr>
            <w:r>
              <w:rPr>
                <w:noProof/>
              </w:rPr>
              <w:t>112</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3BC3B222" w14:textId="77777777" w:rsidR="003A3D51" w:rsidRDefault="0002775A">
            <w:pPr>
              <w:pStyle w:val="P68B1DB1-Normal7"/>
              <w:spacing w:after="200" w:line="276" w:lineRule="auto"/>
              <w:jc w:val="center"/>
              <w:rPr>
                <w:rFonts w:ascii="Times New Roman" w:hAnsi="Times New Roman" w:cs="Times New Roman"/>
                <w:noProof/>
              </w:rPr>
            </w:pPr>
            <w:r>
              <w:rPr>
                <w:noProof/>
              </w:rPr>
              <w:t>C1.4 R3-I1</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5D95A6E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5130E2FA" w14:textId="77777777" w:rsidR="003A3D51" w:rsidRDefault="0002775A">
            <w:pPr>
              <w:pStyle w:val="P68B1DB1-Normal7"/>
              <w:spacing w:after="200" w:line="276" w:lineRule="auto"/>
              <w:rPr>
                <w:rFonts w:ascii="Times New Roman" w:hAnsi="Times New Roman" w:cs="Times New Roman"/>
                <w:noProof/>
              </w:rPr>
            </w:pPr>
            <w:r>
              <w:rPr>
                <w:noProof/>
              </w:rPr>
              <w:t>Moderniserade/ombyggda 2 kusthamnar som är öppna för allmän trafik</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5B8082B6"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6C235D8D"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23C8D77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6AFEEA23" w14:textId="77777777" w:rsidR="003A3D51" w:rsidRDefault="0002775A">
            <w:pPr>
              <w:pStyle w:val="P68B1DB1-Normal7"/>
              <w:spacing w:after="200" w:line="276" w:lineRule="auto"/>
              <w:jc w:val="center"/>
              <w:rPr>
                <w:rFonts w:ascii="Times New Roman" w:hAnsi="Times New Roman" w:cs="Times New Roman"/>
                <w:noProof/>
              </w:rPr>
            </w:pPr>
            <w:r>
              <w:rPr>
                <w:noProof/>
              </w:rPr>
              <w:t>2</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50692EDC"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6E37885C"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6377147A" w14:textId="77777777" w:rsidR="003A3D51" w:rsidRDefault="0002775A">
            <w:pPr>
              <w:pStyle w:val="P68B1DB1-Normal7"/>
              <w:spacing w:after="200" w:line="276" w:lineRule="auto"/>
              <w:rPr>
                <w:rFonts w:ascii="Times New Roman" w:hAnsi="Times New Roman" w:cs="Times New Roman"/>
                <w:noProof/>
              </w:rPr>
            </w:pPr>
            <w:r>
              <w:rPr>
                <w:noProof/>
              </w:rPr>
              <w:t>Resultatet ska vara 2 moderniserade/ombyggda kusthamnar som är öppna för allmän trafik, vilket ska öka kvaliteten på kollektivtrafiken till sjöss, mottagningskapaciteten för fartyg i reguljär kustsjöfart, stärka passagerarnas säkerhet, öka rörligheten, förbättra den allmänna livskvaliteten och säkerställa hållbar rörlighet.</w:t>
            </w:r>
            <w:r>
              <w:rPr>
                <w:noProof/>
              </w:rPr>
              <w:br/>
              <w:t>Det ska styrkas att tillståndsförfarandena enligt miljökonsekvensbedömningen följs i enlighet med direktiv 2011/92/EU.</w:t>
            </w:r>
          </w:p>
        </w:tc>
      </w:tr>
      <w:tr w:rsidR="003A3D51" w14:paraId="32CE9BA5"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03747BC7" w14:textId="77777777" w:rsidR="003A3D51" w:rsidRDefault="0002775A">
            <w:pPr>
              <w:pStyle w:val="P68B1DB1-Normal7"/>
              <w:spacing w:after="200" w:line="276" w:lineRule="auto"/>
              <w:jc w:val="center"/>
              <w:rPr>
                <w:rFonts w:ascii="Times New Roman" w:hAnsi="Times New Roman" w:cs="Times New Roman"/>
                <w:noProof/>
              </w:rPr>
            </w:pPr>
            <w:r>
              <w:rPr>
                <w:noProof/>
              </w:rPr>
              <w:t>113</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26BD28A2" w14:textId="77777777" w:rsidR="003A3D51" w:rsidRDefault="0002775A">
            <w:pPr>
              <w:pStyle w:val="P68B1DB1-Normal7"/>
              <w:spacing w:after="200" w:line="276" w:lineRule="auto"/>
              <w:jc w:val="center"/>
              <w:rPr>
                <w:rFonts w:ascii="Times New Roman" w:hAnsi="Times New Roman" w:cs="Times New Roman"/>
                <w:noProof/>
              </w:rPr>
            </w:pPr>
            <w:r>
              <w:rPr>
                <w:noProof/>
              </w:rPr>
              <w:t>C1.4 R3-I2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41CC903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5FC46A43" w14:textId="77777777" w:rsidR="003A3D51" w:rsidRDefault="0002775A">
            <w:pPr>
              <w:pStyle w:val="P68B1DB1-Normal7"/>
              <w:spacing w:after="200" w:line="276" w:lineRule="auto"/>
              <w:rPr>
                <w:rFonts w:ascii="Times New Roman" w:hAnsi="Times New Roman" w:cs="Times New Roman"/>
                <w:noProof/>
              </w:rPr>
            </w:pPr>
            <w:r>
              <w:rPr>
                <w:noProof/>
              </w:rPr>
              <w:t xml:space="preserve">Fartyg som drivs med alternativa bränslen och drivs med elektrisk solenergi </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0D2D6A9A"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225F5CC1"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3F76248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3264A677" w14:textId="77777777" w:rsidR="003A3D51" w:rsidRDefault="0002775A">
            <w:pPr>
              <w:pStyle w:val="P68B1DB1-Normal7"/>
              <w:spacing w:after="200" w:line="276" w:lineRule="auto"/>
              <w:jc w:val="center"/>
              <w:rPr>
                <w:rFonts w:ascii="Times New Roman" w:hAnsi="Times New Roman" w:cs="Times New Roman"/>
                <w:noProof/>
              </w:rPr>
            </w:pPr>
            <w:r>
              <w:rPr>
                <w:noProof/>
              </w:rPr>
              <w:t>6</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5A52DF0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3842C11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73F5ABD9" w14:textId="77777777" w:rsidR="003A3D51" w:rsidRDefault="0002775A">
            <w:pPr>
              <w:pStyle w:val="P68B1DB1-Normal7"/>
              <w:spacing w:after="200" w:line="276" w:lineRule="auto"/>
              <w:rPr>
                <w:rFonts w:ascii="Times New Roman" w:hAnsi="Times New Roman" w:cs="Times New Roman"/>
                <w:noProof/>
              </w:rPr>
            </w:pPr>
            <w:r>
              <w:rPr>
                <w:noProof/>
              </w:rPr>
              <w:t xml:space="preserve">Investeringen ska modernisera flottan med 3 passagerarfartyg och 3 höghastighetspassagerarfartyg (katamaran) som drivs med elektrisk solenergi, i syfte att förbättra kvaliteten på kollektivtrafiken och förbinda öarna med utsläppsfria fartyg. Upphandlingen ska baseras på ett anbudsförfarande för förvärv/byggande av fartyg, som ska genomföras på grundval av projektering. </w:t>
            </w:r>
            <w:r>
              <w:rPr>
                <w:noProof/>
              </w:rPr>
              <w:br/>
              <w:t xml:space="preserve">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ska passagerarfartyg och katamaraner drivas med elektrisk soldriven framdrivning. </w:t>
            </w:r>
          </w:p>
        </w:tc>
      </w:tr>
      <w:tr w:rsidR="003A3D51" w14:paraId="7776260A"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3B35CD80" w14:textId="77777777" w:rsidR="003A3D51" w:rsidRDefault="0002775A">
            <w:pPr>
              <w:pStyle w:val="P68B1DB1-Normal7"/>
              <w:spacing w:after="200" w:line="276" w:lineRule="auto"/>
              <w:jc w:val="center"/>
              <w:rPr>
                <w:rFonts w:ascii="Times New Roman" w:hAnsi="Times New Roman" w:cs="Times New Roman"/>
                <w:noProof/>
              </w:rPr>
            </w:pPr>
            <w:r>
              <w:rPr>
                <w:noProof/>
              </w:rPr>
              <w:t>114</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1A19890F" w14:textId="77777777" w:rsidR="003A3D51" w:rsidRDefault="0002775A">
            <w:pPr>
              <w:pStyle w:val="P68B1DB1-Normal7"/>
              <w:spacing w:after="200" w:line="276" w:lineRule="auto"/>
              <w:jc w:val="center"/>
              <w:rPr>
                <w:rFonts w:ascii="Times New Roman" w:hAnsi="Times New Roman" w:cs="Times New Roman"/>
                <w:noProof/>
              </w:rPr>
            </w:pPr>
            <w:r>
              <w:rPr>
                <w:noProof/>
              </w:rPr>
              <w:t>C1.4 R3-I3</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60ABCAF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3995EFEC" w14:textId="77777777" w:rsidR="003A3D51" w:rsidRDefault="0002775A">
            <w:pPr>
              <w:pStyle w:val="P68B1DB1-Normal7"/>
              <w:spacing w:after="200" w:line="276" w:lineRule="auto"/>
              <w:rPr>
                <w:rFonts w:ascii="Times New Roman" w:hAnsi="Times New Roman" w:cs="Times New Roman"/>
                <w:noProof/>
              </w:rPr>
            </w:pPr>
            <w:r>
              <w:rPr>
                <w:noProof/>
              </w:rPr>
              <w:t>Ny kabelfärja ”Križnica” som är i drift över floden Drava i kommunen Pitomača</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4821FF2F"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5B478EBB" w14:textId="77777777" w:rsidR="003A3D51" w:rsidRDefault="0002775A">
            <w:pPr>
              <w:pStyle w:val="P68B1DB1-Normal7"/>
              <w:spacing w:after="200" w:line="276" w:lineRule="auto"/>
              <w:jc w:val="center"/>
              <w:rPr>
                <w:rFonts w:ascii="Times New Roman" w:hAnsi="Times New Roman" w:cs="Times New Roman"/>
                <w:noProof/>
              </w:rPr>
            </w:pPr>
            <w:r>
              <w:rPr>
                <w:noProof/>
              </w:rPr>
              <w:t xml:space="preserve">Antal </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633B81E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7CF3A9A6"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2AC035A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2AD5F964"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6DCD48FE" w14:textId="77777777" w:rsidR="003A3D51" w:rsidRDefault="0002775A">
            <w:pPr>
              <w:pStyle w:val="P68B1DB1-Normal7"/>
              <w:spacing w:after="200" w:line="276" w:lineRule="auto"/>
              <w:rPr>
                <w:rFonts w:ascii="Times New Roman" w:hAnsi="Times New Roman" w:cs="Times New Roman"/>
                <w:noProof/>
              </w:rPr>
            </w:pPr>
            <w:r>
              <w:rPr>
                <w:noProof/>
              </w:rPr>
              <w:t xml:space="preserve">Denna investering ska leda till byggandet av en soldriven elektrisk kabelfärja som förbinder fastlandet med ön Križnica, i drift med godkännande av det kroatiska fartygsregistret. </w:t>
            </w:r>
          </w:p>
        </w:tc>
      </w:tr>
      <w:tr w:rsidR="003A3D51" w14:paraId="0401956C"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0A9E51E3" w14:textId="77777777" w:rsidR="003A3D51" w:rsidRDefault="0002775A">
            <w:pPr>
              <w:pStyle w:val="P68B1DB1-Normal7"/>
              <w:spacing w:after="200" w:line="276" w:lineRule="auto"/>
              <w:jc w:val="center"/>
              <w:rPr>
                <w:rFonts w:ascii="Times New Roman" w:hAnsi="Times New Roman" w:cs="Times New Roman"/>
                <w:noProof/>
              </w:rPr>
            </w:pPr>
            <w:r>
              <w:rPr>
                <w:noProof/>
              </w:rPr>
              <w:t>115</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76B81581" w14:textId="77777777" w:rsidR="003A3D51" w:rsidRDefault="0002775A">
            <w:pPr>
              <w:pStyle w:val="P68B1DB1-Normal7"/>
              <w:spacing w:after="200" w:line="276" w:lineRule="auto"/>
              <w:jc w:val="center"/>
              <w:rPr>
                <w:rFonts w:ascii="Times New Roman" w:hAnsi="Times New Roman" w:cs="Times New Roman"/>
                <w:noProof/>
              </w:rPr>
            </w:pPr>
            <w:r>
              <w:rPr>
                <w:noProof/>
              </w:rPr>
              <w:t>C1.4 R3-I4</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0F1DDDDE"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07D545A0" w14:textId="77777777" w:rsidR="003A3D51" w:rsidRDefault="0002775A">
            <w:pPr>
              <w:pStyle w:val="P68B1DB1-Normal7"/>
              <w:spacing w:after="200" w:line="276" w:lineRule="auto"/>
              <w:rPr>
                <w:rFonts w:ascii="Times New Roman" w:hAnsi="Times New Roman" w:cs="Times New Roman"/>
                <w:noProof/>
              </w:rPr>
            </w:pPr>
            <w:r>
              <w:rPr>
                <w:noProof/>
              </w:rPr>
              <w:t>Tre kommunala kajplatser byggda för mottagande av avfall från fartyg</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1BDCB28A"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7CBA206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0B7B4D6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1454D3F7" w14:textId="77777777" w:rsidR="003A3D51" w:rsidRDefault="0002775A">
            <w:pPr>
              <w:pStyle w:val="P68B1DB1-Normal7"/>
              <w:spacing w:after="200" w:line="276" w:lineRule="auto"/>
              <w:jc w:val="center"/>
              <w:rPr>
                <w:rFonts w:ascii="Times New Roman" w:hAnsi="Times New Roman" w:cs="Times New Roman"/>
                <w:noProof/>
              </w:rPr>
            </w:pPr>
            <w:r>
              <w:rPr>
                <w:noProof/>
              </w:rPr>
              <w:t>3</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15546E05"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630D6DA3"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1533EC6C" w14:textId="77777777" w:rsidR="003A3D51" w:rsidRDefault="0002775A">
            <w:pPr>
              <w:pStyle w:val="P68B1DB1-Normal7"/>
              <w:spacing w:after="200" w:line="276" w:lineRule="auto"/>
              <w:rPr>
                <w:rFonts w:ascii="Times New Roman" w:hAnsi="Times New Roman" w:cs="Times New Roman"/>
                <w:noProof/>
              </w:rPr>
            </w:pPr>
            <w:r>
              <w:rPr>
                <w:noProof/>
              </w:rPr>
              <w:t>Tre hamnar av internationell betydelse ska vara utrustade med kommunala förtöjningsanläggningar för hantering av avfall som samlats in ombord på fartyg. För varje vattenväg kommer det att finnas en anläggning – för Sava i hamnen i Slavonski Brod, för Drava i hamnen i Osijek och för Donau i hamnen i Vukovar.</w:t>
            </w:r>
            <w:r>
              <w:rPr>
                <w:noProof/>
              </w:rPr>
              <w:br/>
              <w:t>Det ska styrkas att tillståndsförfarandena enligt miljökonsekvensbedömningen följs i enlighet med direktiv 2011/92/EU.</w:t>
            </w:r>
          </w:p>
        </w:tc>
      </w:tr>
      <w:tr w:rsidR="003A3D51" w14:paraId="3ABFCD69"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4BCE0DD3" w14:textId="77777777" w:rsidR="003A3D51" w:rsidRDefault="0002775A">
            <w:pPr>
              <w:pStyle w:val="P68B1DB1-Normal7"/>
              <w:spacing w:after="200" w:line="276" w:lineRule="auto"/>
              <w:jc w:val="center"/>
              <w:rPr>
                <w:rFonts w:ascii="Times New Roman" w:hAnsi="Times New Roman" w:cs="Times New Roman"/>
                <w:noProof/>
              </w:rPr>
            </w:pPr>
            <w:r>
              <w:rPr>
                <w:noProof/>
              </w:rPr>
              <w:t>116</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3AF53D55" w14:textId="77777777" w:rsidR="003A3D51" w:rsidRDefault="0002775A">
            <w:pPr>
              <w:pStyle w:val="P68B1DB1-Normal7"/>
              <w:spacing w:after="200" w:line="276" w:lineRule="auto"/>
              <w:jc w:val="center"/>
              <w:rPr>
                <w:rFonts w:ascii="Times New Roman" w:hAnsi="Times New Roman" w:cs="Times New Roman"/>
                <w:noProof/>
              </w:rPr>
            </w:pPr>
            <w:r>
              <w:rPr>
                <w:noProof/>
              </w:rPr>
              <w:t>C1.4 R4-I1</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6D3EAC02"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1859C988" w14:textId="77777777" w:rsidR="003A3D51" w:rsidRDefault="0002775A">
            <w:pPr>
              <w:pStyle w:val="P68B1DB1-Normal7"/>
              <w:spacing w:after="200" w:line="276" w:lineRule="auto"/>
              <w:rPr>
                <w:rFonts w:ascii="Times New Roman" w:hAnsi="Times New Roman" w:cs="Times New Roman"/>
                <w:noProof/>
              </w:rPr>
            </w:pPr>
            <w:r>
              <w:rPr>
                <w:noProof/>
              </w:rPr>
              <w:t xml:space="preserve">70 alternativbränsledrivna bussar (el- och vätgasdrivna) upphandlas och tas i bruk </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4795232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3F7334BD"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41BB03C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3E8C2628" w14:textId="77777777" w:rsidR="003A3D51" w:rsidRDefault="0002775A">
            <w:pPr>
              <w:pStyle w:val="P68B1DB1-Normal7"/>
              <w:spacing w:after="200" w:line="276" w:lineRule="auto"/>
              <w:jc w:val="center"/>
              <w:rPr>
                <w:rFonts w:ascii="Times New Roman" w:hAnsi="Times New Roman" w:cs="Times New Roman"/>
                <w:noProof/>
              </w:rPr>
            </w:pPr>
            <w:r>
              <w:rPr>
                <w:noProof/>
              </w:rPr>
              <w:t>70</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21A0AFF7" w14:textId="57E8A276"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2C8B4BA2" w14:textId="468A22D1"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76E14277" w14:textId="1C5AE56D" w:rsidR="003A3D51" w:rsidRDefault="0002775A">
            <w:pPr>
              <w:pStyle w:val="P68B1DB1-Normal7"/>
              <w:spacing w:after="200" w:line="276" w:lineRule="auto"/>
              <w:rPr>
                <w:rFonts w:ascii="Times New Roman" w:hAnsi="Times New Roman" w:cs="Times New Roman"/>
                <w:noProof/>
              </w:rPr>
            </w:pPr>
            <w:r>
              <w:rPr>
                <w:noProof/>
              </w:rPr>
              <w:t xml:space="preserve">Investeringen ska modernisera bussflottan i syfte att förbättra kvaliteten på tillhandahållandet av kollektivtrafiktjänster genom förvärv av 70 nya fordon som drivs med alternativa bränslen (el- eller vätgasdrivna) för att främja användningen av utsläppsfria fordon och minska CO2-utsläppen från befintliga fordonsparker. </w:t>
            </w:r>
          </w:p>
        </w:tc>
      </w:tr>
      <w:tr w:rsidR="003A3D51" w14:paraId="045C1C2C"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6B380A7C" w14:textId="77777777" w:rsidR="003A3D51" w:rsidRDefault="0002775A">
            <w:pPr>
              <w:pStyle w:val="P68B1DB1-Normal7"/>
              <w:spacing w:after="200" w:line="276" w:lineRule="auto"/>
              <w:jc w:val="center"/>
              <w:rPr>
                <w:rFonts w:ascii="Times New Roman" w:hAnsi="Times New Roman" w:cs="Times New Roman"/>
                <w:noProof/>
              </w:rPr>
            </w:pPr>
            <w:r>
              <w:rPr>
                <w:noProof/>
              </w:rPr>
              <w:t>117</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5FF732FA" w14:textId="77777777" w:rsidR="003A3D51" w:rsidRDefault="0002775A">
            <w:pPr>
              <w:pStyle w:val="P68B1DB1-Normal7"/>
              <w:spacing w:after="200" w:line="276" w:lineRule="auto"/>
              <w:jc w:val="center"/>
              <w:rPr>
                <w:rFonts w:ascii="Times New Roman" w:hAnsi="Times New Roman" w:cs="Times New Roman"/>
                <w:noProof/>
              </w:rPr>
            </w:pPr>
            <w:r>
              <w:rPr>
                <w:noProof/>
              </w:rPr>
              <w:t>C1.4 R4-I2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296B8B72"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1DD15A1A" w14:textId="77777777" w:rsidR="003A3D51" w:rsidRDefault="0002775A">
            <w:pPr>
              <w:pStyle w:val="P68B1DB1-Normal7"/>
              <w:spacing w:after="200" w:line="276" w:lineRule="auto"/>
              <w:rPr>
                <w:rFonts w:ascii="Times New Roman" w:hAnsi="Times New Roman" w:cs="Times New Roman"/>
                <w:noProof/>
              </w:rPr>
            </w:pPr>
            <w:r>
              <w:rPr>
                <w:noProof/>
              </w:rPr>
              <w:t>30 spårvagnar upphandlade för kollektivtrafik</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037A4814"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052BD65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7DC9E45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45492A81" w14:textId="77777777" w:rsidR="003A3D51" w:rsidRDefault="0002775A">
            <w:pPr>
              <w:pStyle w:val="P68B1DB1-Normal7"/>
              <w:spacing w:after="200" w:line="276" w:lineRule="auto"/>
              <w:jc w:val="center"/>
              <w:rPr>
                <w:rFonts w:ascii="Times New Roman" w:hAnsi="Times New Roman" w:cs="Times New Roman"/>
                <w:noProof/>
              </w:rPr>
            </w:pPr>
            <w:r>
              <w:rPr>
                <w:noProof/>
              </w:rPr>
              <w:t>30</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22F0758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7DD872C8"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73B86734" w14:textId="77777777" w:rsidR="003A3D51" w:rsidRDefault="0002775A">
            <w:pPr>
              <w:pStyle w:val="P68B1DB1-Normal7"/>
              <w:spacing w:after="200" w:line="276" w:lineRule="auto"/>
              <w:rPr>
                <w:rFonts w:ascii="Times New Roman" w:hAnsi="Times New Roman" w:cs="Times New Roman"/>
                <w:noProof/>
              </w:rPr>
            </w:pPr>
            <w:r>
              <w:rPr>
                <w:noProof/>
              </w:rPr>
              <w:t xml:space="preserve">Denna investering ska modernisera spårvagnsparken för att höja kvaliteten på kollektivtrafiken. </w:t>
            </w:r>
          </w:p>
        </w:tc>
      </w:tr>
      <w:tr w:rsidR="003A3D51" w14:paraId="2B9C71E4"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5CB17536" w14:textId="77777777" w:rsidR="003A3D51" w:rsidRDefault="0002775A">
            <w:pPr>
              <w:pStyle w:val="P68B1DB1-Normal7"/>
              <w:spacing w:after="200" w:line="276" w:lineRule="auto"/>
              <w:jc w:val="center"/>
              <w:rPr>
                <w:rFonts w:ascii="Times New Roman" w:hAnsi="Times New Roman" w:cs="Times New Roman"/>
                <w:noProof/>
              </w:rPr>
            </w:pPr>
            <w:r>
              <w:rPr>
                <w:noProof/>
              </w:rPr>
              <w:t>118</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1EEA7F6C" w14:textId="77777777" w:rsidR="003A3D51" w:rsidRDefault="0002775A">
            <w:pPr>
              <w:pStyle w:val="P68B1DB1-Normal7"/>
              <w:spacing w:after="200" w:line="276" w:lineRule="auto"/>
              <w:jc w:val="center"/>
              <w:rPr>
                <w:rFonts w:ascii="Times New Roman" w:hAnsi="Times New Roman" w:cs="Times New Roman"/>
                <w:noProof/>
              </w:rPr>
            </w:pPr>
            <w:r>
              <w:rPr>
                <w:noProof/>
              </w:rPr>
              <w:t>C1.4 R5-I1</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25270DCE"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66495AD2" w14:textId="77777777" w:rsidR="003A3D51" w:rsidRDefault="0002775A">
            <w:pPr>
              <w:pStyle w:val="P68B1DB1-Normal7"/>
              <w:spacing w:after="200" w:line="276" w:lineRule="auto"/>
              <w:rPr>
                <w:rFonts w:ascii="Times New Roman" w:hAnsi="Times New Roman" w:cs="Times New Roman"/>
                <w:noProof/>
              </w:rPr>
            </w:pPr>
            <w:r>
              <w:rPr>
                <w:noProof/>
              </w:rPr>
              <w:t>Införande av ett helt elektrifierat och glimmat marktjänstsystem för luftfartyg på Zadars flygplats</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272E12F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2D9A5E0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16170E2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0D862065"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6D9587B3"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1C83C308" w14:textId="07F18E98"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05DDDE0E" w14:textId="77777777" w:rsidR="003A3D51" w:rsidRDefault="0002775A">
            <w:pPr>
              <w:pStyle w:val="P68B1DB1-Normal7"/>
              <w:spacing w:after="200" w:line="276" w:lineRule="auto"/>
              <w:rPr>
                <w:rFonts w:ascii="Times New Roman" w:hAnsi="Times New Roman" w:cs="Times New Roman"/>
                <w:noProof/>
              </w:rPr>
            </w:pPr>
            <w:r>
              <w:rPr>
                <w:noProof/>
              </w:rPr>
              <w:t xml:space="preserve">Införande av ett helt elektrifierat och glimmat marktjänstsystem för luftfartyg, vilket omfattar följande: (i) införande av fasta anslutningar för elförsörjning till stillastående luftfartyg med nödvändig konstruktions- och säkerhetsanpassning (utan att öka kapaciteten på plattan). (II) utbyte av dieseldriven mobil marktjänstutrustning med eldrivna enheter. och iii) uppförandet av ett solcellskraftverk på 610 kW. </w:t>
            </w:r>
            <w:r>
              <w:rPr>
                <w:noProof/>
              </w:rPr>
              <w:b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Projektet ska särskilt genomföras utan ökning av plattan och all dieseldriven mobil marktjänstutrustning ska ersättas med eldrivna enheter. Det ska styrkas att projektet inte har någon betydande inverkan på de berörda Natura 2 000-områdenas integritet.</w:t>
            </w:r>
          </w:p>
        </w:tc>
      </w:tr>
      <w:tr w:rsidR="003A3D51" w14:paraId="10969918"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2BC9F126" w14:textId="77777777" w:rsidR="003A3D51" w:rsidRDefault="0002775A">
            <w:pPr>
              <w:pStyle w:val="P68B1DB1-Normal7"/>
              <w:spacing w:after="200" w:line="276" w:lineRule="auto"/>
              <w:jc w:val="center"/>
              <w:rPr>
                <w:rFonts w:ascii="Times New Roman" w:hAnsi="Times New Roman" w:cs="Times New Roman"/>
                <w:noProof/>
              </w:rPr>
            </w:pPr>
            <w:r>
              <w:rPr>
                <w:noProof/>
              </w:rPr>
              <w:t>119</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7D3516EB" w14:textId="77777777" w:rsidR="003A3D51" w:rsidRDefault="0002775A">
            <w:pPr>
              <w:pStyle w:val="P68B1DB1-Normal7"/>
              <w:spacing w:after="200" w:line="276" w:lineRule="auto"/>
              <w:jc w:val="center"/>
              <w:rPr>
                <w:rFonts w:ascii="Times New Roman" w:hAnsi="Times New Roman" w:cs="Times New Roman"/>
                <w:noProof/>
              </w:rPr>
            </w:pPr>
            <w:r>
              <w:rPr>
                <w:noProof/>
              </w:rPr>
              <w:t>C1.4 R5-I2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78BD269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0B7E3405" w14:textId="77777777" w:rsidR="003A3D51" w:rsidRDefault="0002775A">
            <w:pPr>
              <w:pStyle w:val="P68B1DB1-Normal7"/>
              <w:spacing w:after="200" w:line="276" w:lineRule="auto"/>
              <w:rPr>
                <w:rFonts w:ascii="Times New Roman" w:hAnsi="Times New Roman" w:cs="Times New Roman"/>
                <w:noProof/>
              </w:rPr>
            </w:pPr>
            <w:r>
              <w:rPr>
                <w:noProof/>
              </w:rPr>
              <w:t>Verifikationsprototyper för helt självkörande fordon och elfordon och relevant provning</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039E4A1C"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6A8DC0AD"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5B25A90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4ED16461" w14:textId="77777777" w:rsidR="003A3D51" w:rsidRDefault="0002775A">
            <w:pPr>
              <w:pStyle w:val="P68B1DB1-Normal7"/>
              <w:spacing w:after="200" w:line="276" w:lineRule="auto"/>
              <w:jc w:val="center"/>
              <w:rPr>
                <w:rFonts w:ascii="Times New Roman" w:hAnsi="Times New Roman" w:cs="Times New Roman"/>
                <w:noProof/>
              </w:rPr>
            </w:pPr>
            <w:r>
              <w:rPr>
                <w:noProof/>
              </w:rPr>
              <w:t>60</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5204AEFC"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18B9D9E8" w14:textId="6B5CD6F4"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2CE96363" w14:textId="77777777" w:rsidR="003A3D51" w:rsidRDefault="0002775A">
            <w:pPr>
              <w:pStyle w:val="P68B1DB1-Normal7"/>
              <w:spacing w:after="200" w:line="276" w:lineRule="auto"/>
              <w:rPr>
                <w:rFonts w:ascii="Times New Roman" w:hAnsi="Times New Roman" w:cs="Times New Roman"/>
                <w:noProof/>
              </w:rPr>
            </w:pPr>
            <w:r>
              <w:rPr>
                <w:noProof/>
              </w:rPr>
              <w:t>Produktion av kontrollprototyper, inbegripet utveckling av de nödvändiga autonoma elfordonsplattforms- och batterisystemen, provning av prototyper och provning av autonoma körsystem ska slutföras.</w:t>
            </w:r>
          </w:p>
        </w:tc>
      </w:tr>
      <w:tr w:rsidR="003A3D51" w14:paraId="52711FC5"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7C7BF62C" w14:textId="77777777" w:rsidR="003A3D51" w:rsidRDefault="0002775A">
            <w:pPr>
              <w:pStyle w:val="P68B1DB1-Normal7"/>
              <w:spacing w:after="200" w:line="276" w:lineRule="auto"/>
              <w:jc w:val="center"/>
              <w:rPr>
                <w:rFonts w:ascii="Times New Roman" w:hAnsi="Times New Roman" w:cs="Times New Roman"/>
                <w:noProof/>
              </w:rPr>
            </w:pPr>
            <w:r>
              <w:rPr>
                <w:noProof/>
              </w:rPr>
              <w:t>120</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3A9FE8A0" w14:textId="77777777" w:rsidR="003A3D51" w:rsidRDefault="0002775A">
            <w:pPr>
              <w:pStyle w:val="P68B1DB1-Normal7"/>
              <w:spacing w:after="200" w:line="276" w:lineRule="auto"/>
              <w:jc w:val="center"/>
              <w:rPr>
                <w:rFonts w:ascii="Times New Roman" w:hAnsi="Times New Roman" w:cs="Times New Roman"/>
                <w:noProof/>
              </w:rPr>
            </w:pPr>
            <w:r>
              <w:rPr>
                <w:noProof/>
              </w:rPr>
              <w:t>C1.4 R5-I2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23AC18A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1C3B2A18" w14:textId="77777777" w:rsidR="003A3D51" w:rsidRDefault="0002775A">
            <w:pPr>
              <w:pStyle w:val="P68B1DB1-Normal7"/>
              <w:spacing w:after="200" w:line="276" w:lineRule="auto"/>
              <w:rPr>
                <w:rFonts w:ascii="Times New Roman" w:hAnsi="Times New Roman" w:cs="Times New Roman"/>
                <w:noProof/>
              </w:rPr>
            </w:pPr>
            <w:r>
              <w:rPr>
                <w:noProof/>
              </w:rPr>
              <w:t>Ny lagstiftning om självkörande bilar</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24CAA99F" w14:textId="77777777" w:rsidR="003A3D51" w:rsidRDefault="0002775A">
            <w:pPr>
              <w:pStyle w:val="P68B1DB1-Normal7"/>
              <w:spacing w:after="200" w:line="276" w:lineRule="auto"/>
              <w:rPr>
                <w:rFonts w:ascii="Times New Roman" w:hAnsi="Times New Roman" w:cs="Times New Roman"/>
                <w:noProof/>
              </w:rPr>
            </w:pPr>
            <w:r>
              <w:rPr>
                <w:noProof/>
              </w:rPr>
              <w:t>Ikraftträdande av den nya lagstiftningen om självkörande bilar</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0DD9F68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7DD2801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0F89BCC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321C6CB9"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0783B8CC"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63551770" w14:textId="77777777" w:rsidR="003A3D51" w:rsidRDefault="0002775A">
            <w:pPr>
              <w:pStyle w:val="P68B1DB1-Normal7"/>
              <w:spacing w:after="200" w:line="276" w:lineRule="auto"/>
              <w:rPr>
                <w:rFonts w:ascii="Times New Roman" w:hAnsi="Times New Roman" w:cs="Times New Roman"/>
                <w:noProof/>
              </w:rPr>
            </w:pPr>
            <w:r>
              <w:rPr>
                <w:noProof/>
              </w:rPr>
              <w:t xml:space="preserve">Den nya lagstiftningen om självkörande fordon ska bland annat omfatta följande: </w:t>
            </w:r>
            <w:r>
              <w:rPr>
                <w:noProof/>
              </w:rPr>
              <w:br/>
              <w:t>Utveckling av ett nationellt testförfarande för autonom körning.</w:t>
            </w:r>
            <w:r>
              <w:rPr>
                <w:noProof/>
              </w:rPr>
              <w:br/>
              <w:t>Anpassning av nationell trafiksäkerhetslagstiftning för att möjliggöra självkörande fordon i trafik.</w:t>
            </w:r>
            <w:r>
              <w:rPr>
                <w:noProof/>
              </w:rPr>
              <w:br/>
              <w:t>Anpassning av nationella regler för typgodkännande av fordon.</w:t>
            </w:r>
            <w:r>
              <w:rPr>
                <w:noProof/>
              </w:rPr>
              <w:br/>
              <w:t>Anpassning av bestämmelserna om säkerhet för passagerare på väg för att möjliggöra persontransporter med självkörande fordon.</w:t>
            </w:r>
            <w:r>
              <w:rPr>
                <w:noProof/>
              </w:rPr>
              <w:br/>
              <w:t>Anpassning av den nationella försäkringslagstiftningen för att möjliggöra försäkring av självkörande fordon och tjänster.</w:t>
            </w:r>
          </w:p>
        </w:tc>
      </w:tr>
      <w:tr w:rsidR="003A3D51" w14:paraId="475D766D"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58DC9A9D" w14:textId="77777777" w:rsidR="003A3D51" w:rsidRDefault="0002775A">
            <w:pPr>
              <w:pStyle w:val="P68B1DB1-Normal7"/>
              <w:spacing w:after="200" w:line="276" w:lineRule="auto"/>
              <w:jc w:val="center"/>
              <w:rPr>
                <w:rFonts w:ascii="Times New Roman" w:hAnsi="Times New Roman" w:cs="Times New Roman"/>
                <w:noProof/>
              </w:rPr>
            </w:pPr>
            <w:r>
              <w:rPr>
                <w:noProof/>
              </w:rPr>
              <w:t>121</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22244EE8" w14:textId="77777777" w:rsidR="003A3D51" w:rsidRDefault="0002775A">
            <w:pPr>
              <w:pStyle w:val="P68B1DB1-Normal7"/>
              <w:spacing w:after="200" w:line="276" w:lineRule="auto"/>
              <w:jc w:val="center"/>
              <w:rPr>
                <w:rFonts w:ascii="Times New Roman" w:hAnsi="Times New Roman" w:cs="Times New Roman"/>
                <w:noProof/>
              </w:rPr>
            </w:pPr>
            <w:r>
              <w:rPr>
                <w:noProof/>
              </w:rPr>
              <w:t>C1.4 R5-I2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65F3D3E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5615128B" w14:textId="77777777" w:rsidR="003A3D51" w:rsidRDefault="0002775A">
            <w:pPr>
              <w:pStyle w:val="P68B1DB1-Normal7"/>
              <w:spacing w:after="200" w:line="276" w:lineRule="auto"/>
              <w:rPr>
                <w:rFonts w:ascii="Times New Roman" w:hAnsi="Times New Roman" w:cs="Times New Roman"/>
                <w:noProof/>
              </w:rPr>
            </w:pPr>
            <w:r>
              <w:rPr>
                <w:noProof/>
              </w:rPr>
              <w:t>Tilldelning av stöd till forskning och utveckling av nya ekosystemprojekt för mobilitet i städer</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01753F3C"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0A078105" w14:textId="77777777" w:rsidR="003A3D51" w:rsidRDefault="0002775A">
            <w:pPr>
              <w:pStyle w:val="P68B1DB1-Normal7"/>
              <w:spacing w:after="200" w:line="276" w:lineRule="auto"/>
              <w:jc w:val="center"/>
              <w:rPr>
                <w:rFonts w:ascii="Times New Roman" w:hAnsi="Times New Roman" w:cs="Times New Roman"/>
                <w:noProof/>
              </w:rPr>
            </w:pPr>
            <w:r>
              <w:rPr>
                <w:noProof/>
              </w:rPr>
              <w:t>Antal (euro)</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5CED545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17C96370" w14:textId="608457F2" w:rsidR="003A3D51" w:rsidRDefault="0002775A">
            <w:pPr>
              <w:pStyle w:val="P68B1DB1-Normal7"/>
              <w:spacing w:after="200" w:line="276" w:lineRule="auto"/>
              <w:rPr>
                <w:rFonts w:ascii="Times New Roman" w:hAnsi="Times New Roman" w:cs="Times New Roman"/>
                <w:noProof/>
              </w:rPr>
            </w:pPr>
            <w:r>
              <w:rPr>
                <w:noProof/>
              </w:rPr>
              <w:t>179 499 215</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23F888F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10AB5E4D"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194D5909" w14:textId="77777777" w:rsidR="003A3D51" w:rsidRDefault="0002775A">
            <w:pPr>
              <w:pStyle w:val="P68B1DB1-Normal7"/>
              <w:spacing w:after="200" w:line="276" w:lineRule="auto"/>
              <w:rPr>
                <w:rFonts w:ascii="Times New Roman" w:hAnsi="Times New Roman" w:cs="Times New Roman"/>
                <w:noProof/>
              </w:rPr>
            </w:pPr>
            <w:r>
              <w:rPr>
                <w:noProof/>
              </w:rPr>
              <w:t>Stödet ska uteslutande beviljas för forsknings- och utvecklingsdelen av projektet, dvs. för den fas som kännetecknas av färdigställandet av den ursprungliga prototypen för helt självkörande elfordon och inledandet av arbetet med att utveckla kontrollprototyper, som ska ha alla egenskaper hos det slutliga fordonet. Stödet avser därför tillämpad forskning, särskilt industriell forskning och experimentell utveckling.</w:t>
            </w:r>
          </w:p>
        </w:tc>
      </w:tr>
      <w:tr w:rsidR="003A3D51" w14:paraId="063E7B55"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67950A5D" w14:textId="77777777" w:rsidR="003A3D51" w:rsidRDefault="0002775A">
            <w:pPr>
              <w:pStyle w:val="P68B1DB1-Normal7"/>
              <w:spacing w:after="200" w:line="276" w:lineRule="auto"/>
              <w:jc w:val="center"/>
              <w:rPr>
                <w:rFonts w:ascii="Times New Roman" w:hAnsi="Times New Roman" w:cs="Times New Roman"/>
                <w:noProof/>
              </w:rPr>
            </w:pPr>
            <w:r>
              <w:rPr>
                <w:noProof/>
              </w:rPr>
              <w:t>122</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5BBB78A9" w14:textId="77777777" w:rsidR="003A3D51" w:rsidRDefault="0002775A">
            <w:pPr>
              <w:pStyle w:val="P68B1DB1-Normal7"/>
              <w:spacing w:after="200" w:line="276" w:lineRule="auto"/>
              <w:jc w:val="center"/>
              <w:rPr>
                <w:rFonts w:ascii="Times New Roman" w:hAnsi="Times New Roman" w:cs="Times New Roman"/>
                <w:noProof/>
              </w:rPr>
            </w:pPr>
            <w:r>
              <w:rPr>
                <w:noProof/>
              </w:rPr>
              <w:t>C1.4 R5-I2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4210D44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1AAD267A" w14:textId="77777777" w:rsidR="003A3D51" w:rsidRDefault="0002775A">
            <w:pPr>
              <w:pStyle w:val="P68B1DB1-Normal7"/>
              <w:spacing w:after="200" w:line="276" w:lineRule="auto"/>
              <w:rPr>
                <w:rFonts w:ascii="Times New Roman" w:hAnsi="Times New Roman" w:cs="Times New Roman"/>
                <w:noProof/>
              </w:rPr>
            </w:pPr>
            <w:r>
              <w:rPr>
                <w:noProof/>
              </w:rPr>
              <w:t xml:space="preserve">Helt självkörande fordon och elfordon anpassade till funktionshindrade passagerares behov och en specialiserad infrastruktur </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7FA9D901" w14:textId="77777777" w:rsidR="003A3D51" w:rsidRDefault="0002775A">
            <w:pPr>
              <w:pStyle w:val="P68B1DB1-Normal7"/>
              <w:spacing w:after="200" w:line="276" w:lineRule="auto"/>
              <w:rPr>
                <w:rFonts w:ascii="Times New Roman" w:hAnsi="Times New Roman" w:cs="Times New Roman"/>
                <w:noProof/>
              </w:rPr>
            </w:pPr>
            <w:r>
              <w:rPr>
                <w:noProof/>
              </w:rPr>
              <w:t>Helt självkörande fordon och elfordon som är anpassade till funktionshindrade passagerares behov, och en specialiserad infrastruktur med alla installerade funktioner.</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31F6EE8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692991E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7AD0059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1974540B"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1EC8F527"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1E7193C4" w14:textId="77777777" w:rsidR="003A3D51" w:rsidRDefault="0002775A">
            <w:pPr>
              <w:pStyle w:val="P68B1DB1-Normal7"/>
              <w:spacing w:after="0" w:line="276" w:lineRule="auto"/>
              <w:rPr>
                <w:rFonts w:ascii="Times New Roman" w:hAnsi="Times New Roman" w:cs="Times New Roman"/>
                <w:noProof/>
              </w:rPr>
            </w:pPr>
            <w:r>
              <w:rPr>
                <w:noProof/>
              </w:rPr>
              <w:t>En specialiserad infrastruktur för helt självkörande fordon och elfordon ska vara i full drift med alla installerade funktioner som möjliggör drift av helt självkörande nya elfordon som i möjligaste mån är anpassade till funktionshindrade passagerares behov (stora skjutdörrar som gör det lättare att komma in i fordonet och ett bagageutrymme som kan rymma rullstolar).</w:t>
            </w:r>
          </w:p>
        </w:tc>
      </w:tr>
      <w:tr w:rsidR="003A3D51" w14:paraId="46C7EE94"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260E170A" w14:textId="77777777" w:rsidR="003A3D51" w:rsidRDefault="0002775A">
            <w:pPr>
              <w:pStyle w:val="P68B1DB1-Normal7"/>
              <w:spacing w:after="200" w:line="276" w:lineRule="auto"/>
              <w:jc w:val="center"/>
              <w:rPr>
                <w:rFonts w:ascii="Times New Roman" w:hAnsi="Times New Roman" w:cs="Times New Roman"/>
                <w:noProof/>
              </w:rPr>
            </w:pPr>
            <w:r>
              <w:rPr>
                <w:noProof/>
              </w:rPr>
              <w:t>123</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0596A617" w14:textId="77777777" w:rsidR="003A3D51" w:rsidRDefault="0002775A">
            <w:pPr>
              <w:pStyle w:val="P68B1DB1-Normal7"/>
              <w:spacing w:after="200" w:line="276" w:lineRule="auto"/>
              <w:jc w:val="center"/>
              <w:rPr>
                <w:rFonts w:ascii="Times New Roman" w:hAnsi="Times New Roman" w:cs="Times New Roman"/>
                <w:noProof/>
              </w:rPr>
            </w:pPr>
            <w:r>
              <w:rPr>
                <w:noProof/>
              </w:rPr>
              <w:t>C1.4 R5-I2</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7F6E7075"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4ADD29DF" w14:textId="77777777" w:rsidR="003A3D51" w:rsidRDefault="0002775A">
            <w:pPr>
              <w:pStyle w:val="P68B1DB1-Normal7"/>
              <w:spacing w:after="200" w:line="276" w:lineRule="auto"/>
              <w:rPr>
                <w:rFonts w:ascii="Times New Roman" w:hAnsi="Times New Roman" w:cs="Times New Roman"/>
                <w:noProof/>
              </w:rPr>
            </w:pPr>
            <w:r>
              <w:rPr>
                <w:noProof/>
              </w:rPr>
              <w:t xml:space="preserve">50 000 kuponger för resor med helt självkörande fordon som beviljas kostnadsfritt till personer med funktionsnedsättning, giltiga i minst 5 år efter utfärdandet. </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219C231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7DFBAD81"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3B3C20E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0CC62AB0" w14:textId="77777777" w:rsidR="003A3D51" w:rsidRDefault="0002775A">
            <w:pPr>
              <w:pStyle w:val="P68B1DB1-Normal7"/>
              <w:spacing w:after="200" w:line="276" w:lineRule="auto"/>
              <w:jc w:val="center"/>
              <w:rPr>
                <w:rFonts w:ascii="Times New Roman" w:hAnsi="Times New Roman" w:cs="Times New Roman"/>
                <w:noProof/>
              </w:rPr>
            </w:pPr>
            <w:r>
              <w:rPr>
                <w:noProof/>
              </w:rPr>
              <w:t>50 000</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29605856"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7029B02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0A5700D7" w14:textId="77777777" w:rsidR="003A3D51" w:rsidRDefault="0002775A">
            <w:pPr>
              <w:pStyle w:val="P68B1DB1-Normal7"/>
              <w:spacing w:after="200" w:line="276" w:lineRule="auto"/>
              <w:rPr>
                <w:rFonts w:ascii="Times New Roman" w:hAnsi="Times New Roman" w:cs="Times New Roman"/>
                <w:noProof/>
              </w:rPr>
            </w:pPr>
            <w:r>
              <w:rPr>
                <w:noProof/>
              </w:rPr>
              <w:t xml:space="preserve">Efter det att nya helt självkörande fordon har byggts ska 50 000 gratis körkuponger, som är giltiga i minst 5 år efter utfärdandet, tilldelas personer med funktionsnedsättning och/eller som har svårt att använda andra kollektivtrafikmedel, i samförstånd med staden Zagreb och kollektivtrafikföretaget. </w:t>
            </w:r>
          </w:p>
        </w:tc>
      </w:tr>
      <w:tr w:rsidR="003A3D51" w14:paraId="2E7E02CD" w14:textId="77777777" w:rsidTr="00BD6C39">
        <w:trPr>
          <w:jc w:val="center"/>
        </w:trPr>
        <w:tc>
          <w:tcPr>
            <w:tcW w:w="240" w:type="pct"/>
            <w:tcBorders>
              <w:top w:val="single" w:sz="4" w:space="0" w:color="auto"/>
              <w:left w:val="single" w:sz="4" w:space="0" w:color="auto"/>
              <w:bottom w:val="single" w:sz="4" w:space="0" w:color="auto"/>
              <w:right w:val="single" w:sz="4" w:space="0" w:color="auto"/>
            </w:tcBorders>
            <w:shd w:val="clear" w:color="auto" w:fill="C6EFCE"/>
            <w:noWrap/>
          </w:tcPr>
          <w:p w14:paraId="7F187FA0" w14:textId="77777777" w:rsidR="003A3D51" w:rsidRDefault="0002775A">
            <w:pPr>
              <w:pStyle w:val="P68B1DB1-Normal7"/>
              <w:spacing w:after="200" w:line="276" w:lineRule="auto"/>
              <w:jc w:val="center"/>
              <w:rPr>
                <w:rFonts w:ascii="Times New Roman" w:hAnsi="Times New Roman" w:cs="Times New Roman"/>
                <w:noProof/>
              </w:rPr>
            </w:pPr>
            <w:r>
              <w:rPr>
                <w:noProof/>
              </w:rPr>
              <w:t>124</w:t>
            </w:r>
          </w:p>
        </w:tc>
        <w:tc>
          <w:tcPr>
            <w:tcW w:w="312" w:type="pct"/>
            <w:tcBorders>
              <w:top w:val="single" w:sz="4" w:space="0" w:color="auto"/>
              <w:left w:val="single" w:sz="4" w:space="0" w:color="auto"/>
              <w:bottom w:val="single" w:sz="4" w:space="0" w:color="auto"/>
              <w:right w:val="single" w:sz="4" w:space="0" w:color="auto"/>
            </w:tcBorders>
            <w:shd w:val="clear" w:color="auto" w:fill="C6EFCE"/>
            <w:noWrap/>
          </w:tcPr>
          <w:p w14:paraId="69E5117D" w14:textId="77777777" w:rsidR="003A3D51" w:rsidRDefault="0002775A">
            <w:pPr>
              <w:pStyle w:val="P68B1DB1-Normal7"/>
              <w:spacing w:after="200" w:line="276" w:lineRule="auto"/>
              <w:jc w:val="center"/>
              <w:rPr>
                <w:rFonts w:ascii="Times New Roman" w:hAnsi="Times New Roman" w:cs="Times New Roman"/>
                <w:noProof/>
              </w:rPr>
            </w:pPr>
            <w:r>
              <w:rPr>
                <w:noProof/>
              </w:rPr>
              <w:t>C1.4 R5-I3</w:t>
            </w:r>
          </w:p>
        </w:tc>
        <w:tc>
          <w:tcPr>
            <w:tcW w:w="297" w:type="pct"/>
            <w:tcBorders>
              <w:top w:val="single" w:sz="4" w:space="0" w:color="auto"/>
              <w:left w:val="single" w:sz="4" w:space="0" w:color="auto"/>
              <w:bottom w:val="single" w:sz="4" w:space="0" w:color="auto"/>
              <w:right w:val="single" w:sz="4" w:space="0" w:color="auto"/>
            </w:tcBorders>
            <w:shd w:val="clear" w:color="auto" w:fill="C6EFCE"/>
            <w:noWrap/>
          </w:tcPr>
          <w:p w14:paraId="13DCC5B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17991CFA" w14:textId="77777777" w:rsidR="003A3D51" w:rsidRDefault="0002775A">
            <w:pPr>
              <w:pStyle w:val="P68B1DB1-Normal7"/>
              <w:spacing w:after="200" w:line="276" w:lineRule="auto"/>
              <w:rPr>
                <w:rFonts w:ascii="Times New Roman" w:hAnsi="Times New Roman" w:cs="Times New Roman"/>
                <w:noProof/>
              </w:rPr>
            </w:pPr>
            <w:r>
              <w:rPr>
                <w:noProof/>
              </w:rPr>
              <w:t>Samfinansierade inköp av 2 000 vägfordon som drivs med alternativa bränslen (el eller vätgas)</w:t>
            </w:r>
          </w:p>
        </w:tc>
        <w:tc>
          <w:tcPr>
            <w:tcW w:w="722" w:type="pct"/>
            <w:tcBorders>
              <w:top w:val="single" w:sz="4" w:space="0" w:color="auto"/>
              <w:left w:val="single" w:sz="4" w:space="0" w:color="auto"/>
              <w:bottom w:val="single" w:sz="4" w:space="0" w:color="auto"/>
              <w:right w:val="single" w:sz="4" w:space="0" w:color="auto"/>
            </w:tcBorders>
            <w:shd w:val="clear" w:color="auto" w:fill="C6EFCE"/>
            <w:noWrap/>
          </w:tcPr>
          <w:p w14:paraId="67F95818"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63B5702D"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0" w:type="pct"/>
            <w:tcBorders>
              <w:top w:val="single" w:sz="4" w:space="0" w:color="auto"/>
              <w:left w:val="single" w:sz="4" w:space="0" w:color="auto"/>
              <w:bottom w:val="single" w:sz="4" w:space="0" w:color="auto"/>
              <w:right w:val="single" w:sz="4" w:space="0" w:color="auto"/>
            </w:tcBorders>
            <w:shd w:val="clear" w:color="auto" w:fill="C6EFCE"/>
            <w:noWrap/>
          </w:tcPr>
          <w:p w14:paraId="429D57EC"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370" w:type="pct"/>
            <w:tcBorders>
              <w:top w:val="single" w:sz="4" w:space="0" w:color="auto"/>
              <w:left w:val="single" w:sz="4" w:space="0" w:color="auto"/>
              <w:bottom w:val="single" w:sz="4" w:space="0" w:color="auto"/>
              <w:right w:val="single" w:sz="4" w:space="0" w:color="auto"/>
            </w:tcBorders>
            <w:shd w:val="clear" w:color="auto" w:fill="C6EFCE"/>
            <w:noWrap/>
          </w:tcPr>
          <w:p w14:paraId="2942CFF4" w14:textId="77777777" w:rsidR="003A3D51" w:rsidRDefault="0002775A">
            <w:pPr>
              <w:pStyle w:val="P68B1DB1-Normal7"/>
              <w:spacing w:after="200" w:line="276" w:lineRule="auto"/>
              <w:jc w:val="center"/>
              <w:rPr>
                <w:rFonts w:ascii="Times New Roman" w:hAnsi="Times New Roman" w:cs="Times New Roman"/>
                <w:noProof/>
              </w:rPr>
            </w:pPr>
            <w:r>
              <w:rPr>
                <w:noProof/>
              </w:rPr>
              <w:t>2 000</w:t>
            </w:r>
          </w:p>
        </w:tc>
        <w:tc>
          <w:tcPr>
            <w:tcW w:w="250" w:type="pct"/>
            <w:tcBorders>
              <w:top w:val="single" w:sz="4" w:space="0" w:color="auto"/>
              <w:left w:val="single" w:sz="4" w:space="0" w:color="auto"/>
              <w:bottom w:val="single" w:sz="4" w:space="0" w:color="auto"/>
              <w:right w:val="single" w:sz="4" w:space="0" w:color="auto"/>
            </w:tcBorders>
            <w:shd w:val="clear" w:color="auto" w:fill="C6EFCE"/>
            <w:noWrap/>
          </w:tcPr>
          <w:p w14:paraId="0330879B"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3" w:type="pct"/>
            <w:tcBorders>
              <w:top w:val="single" w:sz="4" w:space="0" w:color="auto"/>
              <w:left w:val="single" w:sz="4" w:space="0" w:color="auto"/>
              <w:bottom w:val="single" w:sz="4" w:space="0" w:color="auto"/>
              <w:right w:val="single" w:sz="4" w:space="0" w:color="auto"/>
            </w:tcBorders>
            <w:shd w:val="clear" w:color="auto" w:fill="C6EFCE"/>
            <w:noWrap/>
          </w:tcPr>
          <w:p w14:paraId="77CEEF1E"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38" w:type="pct"/>
            <w:tcBorders>
              <w:top w:val="single" w:sz="4" w:space="0" w:color="auto"/>
              <w:left w:val="single" w:sz="4" w:space="0" w:color="auto"/>
              <w:bottom w:val="single" w:sz="4" w:space="0" w:color="auto"/>
              <w:right w:val="single" w:sz="4" w:space="0" w:color="auto"/>
            </w:tcBorders>
            <w:shd w:val="clear" w:color="auto" w:fill="C6EFCE"/>
            <w:noWrap/>
          </w:tcPr>
          <w:p w14:paraId="58B83960" w14:textId="77777777" w:rsidR="003A3D51" w:rsidRDefault="0002775A">
            <w:pPr>
              <w:pStyle w:val="P68B1DB1-Normal7"/>
              <w:spacing w:after="200" w:line="276" w:lineRule="auto"/>
              <w:rPr>
                <w:rFonts w:ascii="Times New Roman" w:hAnsi="Times New Roman" w:cs="Times New Roman"/>
                <w:noProof/>
              </w:rPr>
            </w:pPr>
            <w:r>
              <w:rPr>
                <w:noProof/>
              </w:rPr>
              <w:t>Efter offentliggörandet och genomförandet av tilldelningsbeslutet ska 2 000 nya vägfordon som drivs med alternativa bränslen (el eller vätgas) samfinansieras.</w:t>
            </w:r>
          </w:p>
        </w:tc>
      </w:tr>
    </w:tbl>
    <w:p w14:paraId="0A23BF0E" w14:textId="77777777" w:rsidR="003A3D51" w:rsidRDefault="003A3D51">
      <w:pPr>
        <w:spacing w:before="120" w:after="120" w:line="240" w:lineRule="auto"/>
        <w:ind w:left="709"/>
        <w:jc w:val="both"/>
        <w:rPr>
          <w:rFonts w:ascii="Times New Roman" w:eastAsia="Calibri" w:hAnsi="Times New Roman" w:cs="Times New Roman"/>
          <w:noProof/>
          <w:sz w:val="24"/>
        </w:rPr>
      </w:pPr>
    </w:p>
    <w:p w14:paraId="1865291F" w14:textId="77777777" w:rsidR="003A3D51" w:rsidRDefault="003A3D51">
      <w:pPr>
        <w:rPr>
          <w:noProof/>
        </w:rPr>
      </w:pPr>
    </w:p>
    <w:p w14:paraId="7BE7441A" w14:textId="77777777" w:rsidR="003A3D51" w:rsidRDefault="003A3D51">
      <w:pPr>
        <w:rPr>
          <w:noProof/>
        </w:rPr>
        <w:sectPr w:rsidR="003A3D51" w:rsidSect="0001477B">
          <w:headerReference w:type="even" r:id="rId84"/>
          <w:headerReference w:type="default" r:id="rId85"/>
          <w:footerReference w:type="even" r:id="rId86"/>
          <w:footerReference w:type="default" r:id="rId87"/>
          <w:headerReference w:type="first" r:id="rId88"/>
          <w:footerReference w:type="first" r:id="rId89"/>
          <w:pgSz w:w="15840" w:h="12240" w:orient="landscape"/>
          <w:pgMar w:top="1440" w:right="1440" w:bottom="1440" w:left="1440" w:header="708" w:footer="708" w:gutter="0"/>
          <w:cols w:space="708"/>
          <w:docGrid w:linePitch="360"/>
        </w:sectPr>
      </w:pPr>
    </w:p>
    <w:p w14:paraId="355CB80D"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D.3. </w:t>
      </w:r>
      <w:r>
        <w:rPr>
          <w:rStyle w:val="tabchar"/>
          <w:rFonts w:ascii="Calibri" w:hAnsi="Calibri" w:cs="Calibri"/>
          <w:noProof/>
        </w:rPr>
        <w:tab/>
      </w:r>
      <w:r>
        <w:rPr>
          <w:rStyle w:val="normaltextrun"/>
          <w:b/>
          <w:noProof/>
        </w:rPr>
        <w:t xml:space="preserve">Beskrivning av reformerna och investeringarna för lånet </w:t>
      </w:r>
      <w:r>
        <w:rPr>
          <w:rStyle w:val="eop"/>
          <w:noProof/>
        </w:rPr>
        <w:t> </w:t>
      </w:r>
    </w:p>
    <w:p w14:paraId="41C58D20" w14:textId="77777777" w:rsidR="003A3D51" w:rsidRDefault="003A3D51">
      <w:pPr>
        <w:pStyle w:val="paragraph"/>
        <w:spacing w:before="0" w:beforeAutospacing="0" w:after="0" w:afterAutospacing="0"/>
        <w:ind w:left="840"/>
        <w:jc w:val="both"/>
        <w:textAlignment w:val="baseline"/>
        <w:rPr>
          <w:rStyle w:val="normaltextrun"/>
          <w:noProof/>
        </w:rPr>
      </w:pPr>
    </w:p>
    <w:p w14:paraId="52C3DA1E" w14:textId="77777777" w:rsidR="003A3D51" w:rsidRDefault="0002775A">
      <w:pPr>
        <w:pStyle w:val="P68B1DB1-Normal18"/>
        <w:keepNext/>
        <w:tabs>
          <w:tab w:val="num" w:pos="850"/>
        </w:tabs>
        <w:spacing w:after="200" w:line="240" w:lineRule="auto"/>
        <w:ind w:left="851"/>
        <w:jc w:val="both"/>
        <w:outlineLvl w:val="2"/>
        <w:rPr>
          <w:rFonts w:ascii="Calibri" w:eastAsia="Calibri" w:hAnsi="Calibri" w:cs="Arial"/>
          <w:noProof/>
        </w:rPr>
      </w:pPr>
      <w:r>
        <w:rPr>
          <w:noProof/>
        </w:rPr>
        <w:t>Investering C1.4 R1-I1 – Elektroniskt vägtullsystem</w:t>
      </w:r>
    </w:p>
    <w:p w14:paraId="3E939467" w14:textId="77777777" w:rsidR="003A3D51" w:rsidRDefault="0002775A">
      <w:pPr>
        <w:pStyle w:val="P68B1DB1-Normal11"/>
        <w:spacing w:before="120" w:after="120" w:line="240" w:lineRule="auto"/>
        <w:jc w:val="both"/>
        <w:rPr>
          <w:noProof/>
        </w:rPr>
      </w:pPr>
      <w:r>
        <w:rPr>
          <w:noProof/>
        </w:rPr>
        <w:t xml:space="preserve">Syftet med investeringen är att införa ett nytt elektroniskt vägtullsystem för att förbättra vägtullsystemet för motorvägar som drivs av kroatiska motorvägar Ltd, Highway Zagreb-Macelj (AZM) och BINA Istra. Användarna ska tillåtas resa utan att behöva stanna vid vägtullstationer, vilket förväntas ha en positiv inverkan på trafikstockningar, miljöskydd och trafiksäkerhet. Investeringen ska omfatta åtgärder för att ta itu med tekniska problem som uppstår till följd av att dagens vägtullsystem är föråldrat och för att göra det nya vägtullsystemet driftskompatibelt med befintliga elektroniska vägtullsystem i EU. </w:t>
      </w:r>
    </w:p>
    <w:p w14:paraId="3EB115A6"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juni 2026.</w:t>
      </w:r>
    </w:p>
    <w:p w14:paraId="2A98602A" w14:textId="77777777" w:rsidR="003A3D51" w:rsidRDefault="0002775A">
      <w:pPr>
        <w:pStyle w:val="P68B1DB1-Normal10"/>
        <w:keepNext/>
        <w:tabs>
          <w:tab w:val="num" w:pos="850"/>
        </w:tabs>
        <w:spacing w:after="200" w:line="240" w:lineRule="auto"/>
        <w:ind w:left="851"/>
        <w:jc w:val="both"/>
        <w:outlineLvl w:val="2"/>
        <w:rPr>
          <w:rFonts w:ascii="Calibri" w:eastAsia="Calibri" w:hAnsi="Calibri" w:cs="Arial"/>
          <w:noProof/>
        </w:rPr>
      </w:pPr>
      <w:r>
        <w:rPr>
          <w:noProof/>
        </w:rPr>
        <w:t>Investering C1.4 R2-I1 – Ombyggnad av befintligt spår och uppförande av ett andra spår på järnvägsavsnittet Dugo Selo – Novska, underavsnitt Kutina-Novska (fas D)</w:t>
      </w:r>
    </w:p>
    <w:p w14:paraId="32AE0373" w14:textId="77777777" w:rsidR="003A3D51" w:rsidRDefault="0002775A">
      <w:pPr>
        <w:pStyle w:val="NormalWeb"/>
        <w:spacing w:before="120" w:after="120" w:line="240" w:lineRule="auto"/>
        <w:jc w:val="both"/>
        <w:rPr>
          <w:rFonts w:eastAsia="Times New Roman"/>
          <w:noProof/>
        </w:rPr>
      </w:pPr>
      <w:r>
        <w:rPr>
          <w:noProof/>
        </w:rPr>
        <w:t xml:space="preserve">Syftet med investeringen är att uppgradera och renovera det befintliga spåret och bygga ett andra spår, för totalt 22 km, på järnvägssträckan Dugo Selo-Novska, underavsnittet Kutina-Novska, i syfte att bygga en dubbelspårig elektrifierad linje längs hela den tidigare alleuropeiska korridoren X (RH1), som också ligger i stomnätet för det transeuropeiska transportnätet (TEN-T) och i järnvägskorridoren Alp-västra Balkan. Genomförandet av denna investering ska bidra till att hela den del av RH1-korridoren som passerar genom Kroatien blir dubbelspår och elektrifierad, i enlighet med de tekniska standarderna för driftskompatibilitet hos TEN-T-järnvägssystemet. </w:t>
      </w:r>
    </w:p>
    <w:p w14:paraId="58C72499" w14:textId="77777777" w:rsidR="003A3D51" w:rsidRDefault="0002775A">
      <w:pPr>
        <w:pStyle w:val="P68B1DB1-Normal11"/>
        <w:spacing w:after="200" w:line="240" w:lineRule="auto"/>
        <w:jc w:val="both"/>
        <w:rPr>
          <w:rFonts w:ascii="Calibri" w:eastAsia="Calibri" w:hAnsi="Calibri" w:cs="Arial"/>
          <w:noProof/>
        </w:rPr>
      </w:pPr>
      <w:r>
        <w:rPr>
          <w:noProof/>
        </w:rPr>
        <w:t>Investeringen ska vara slutförd senast den 30 juni 2026.</w:t>
      </w:r>
    </w:p>
    <w:p w14:paraId="6AD3E8E8" w14:textId="77777777" w:rsidR="003A3D51" w:rsidRDefault="003A3D51">
      <w:pPr>
        <w:pStyle w:val="paragraph"/>
        <w:spacing w:before="0" w:beforeAutospacing="0" w:after="0" w:afterAutospacing="0"/>
        <w:jc w:val="both"/>
        <w:textAlignment w:val="baseline"/>
        <w:rPr>
          <w:rStyle w:val="eop"/>
          <w:noProof/>
        </w:rPr>
      </w:pPr>
    </w:p>
    <w:p w14:paraId="5E9AF8A0"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7A410523" w14:textId="77777777" w:rsidR="003A3D51" w:rsidRDefault="003A3D51">
      <w:pPr>
        <w:pStyle w:val="paragraph"/>
        <w:spacing w:before="0" w:beforeAutospacing="0" w:after="0" w:afterAutospacing="0"/>
        <w:ind w:left="840"/>
        <w:jc w:val="both"/>
        <w:textAlignment w:val="baseline"/>
        <w:rPr>
          <w:rStyle w:val="normaltextrun"/>
          <w:b/>
          <w:noProof/>
        </w:rPr>
        <w:sectPr w:rsidR="003A3D51" w:rsidSect="0001477B">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08" w:footer="708" w:gutter="0"/>
          <w:cols w:space="708"/>
          <w:docGrid w:linePitch="360"/>
        </w:sectPr>
      </w:pPr>
    </w:p>
    <w:p w14:paraId="2B6F08F3"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D.4.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5DB72838" w14:textId="068BD311" w:rsidR="003A3D51" w:rsidRDefault="003A3D51">
      <w:pPr>
        <w:pStyle w:val="paragraph"/>
        <w:spacing w:before="0" w:beforeAutospacing="0" w:after="0" w:afterAutospacing="0"/>
        <w:ind w:left="840"/>
        <w:jc w:val="both"/>
        <w:textAlignment w:val="baseline"/>
        <w:rPr>
          <w:rStyle w:val="normaltextrun"/>
          <w:i/>
          <w:noProof/>
          <w:color w:val="4F81BD"/>
        </w:rPr>
      </w:pPr>
    </w:p>
    <w:tbl>
      <w:tblPr>
        <w:tblW w:w="15485" w:type="dxa"/>
        <w:jc w:val="center"/>
        <w:tblCellMar>
          <w:top w:w="28" w:type="dxa"/>
          <w:left w:w="28" w:type="dxa"/>
          <w:bottom w:w="28" w:type="dxa"/>
          <w:right w:w="28" w:type="dxa"/>
        </w:tblCellMar>
        <w:tblLook w:val="04A0" w:firstRow="1" w:lastRow="0" w:firstColumn="1" w:lastColumn="0" w:noHBand="0" w:noVBand="1"/>
      </w:tblPr>
      <w:tblGrid>
        <w:gridCol w:w="1241"/>
        <w:gridCol w:w="850"/>
        <w:gridCol w:w="946"/>
        <w:gridCol w:w="2259"/>
        <w:gridCol w:w="1717"/>
        <w:gridCol w:w="1168"/>
        <w:gridCol w:w="826"/>
        <w:gridCol w:w="1059"/>
        <w:gridCol w:w="795"/>
        <w:gridCol w:w="709"/>
        <w:gridCol w:w="4381"/>
      </w:tblGrid>
      <w:tr w:rsidR="003A3D51" w14:paraId="13E5269B" w14:textId="77777777">
        <w:trPr>
          <w:tblHeader/>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68ED34B" w14:textId="77777777" w:rsidR="003A3D51" w:rsidRDefault="0002775A">
            <w:pPr>
              <w:pStyle w:val="P68B1DB1-Normal6"/>
              <w:spacing w:after="0" w:line="276" w:lineRule="auto"/>
              <w:jc w:val="center"/>
              <w:rPr>
                <w:noProof/>
              </w:rPr>
            </w:pPr>
            <w:r>
              <w:rPr>
                <w:noProof/>
              </w:rPr>
              <w:t>Antal</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04CD41D" w14:textId="77777777" w:rsidR="003A3D51" w:rsidRDefault="0002775A">
            <w:pPr>
              <w:pStyle w:val="P68B1DB1-Normal6"/>
              <w:spacing w:after="0" w:line="276" w:lineRule="auto"/>
              <w:jc w:val="center"/>
              <w:rPr>
                <w:noProof/>
              </w:rPr>
            </w:pPr>
            <w:r>
              <w:rPr>
                <w:noProof/>
              </w:rPr>
              <w:t>Åtgärd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E723DA4" w14:textId="77777777" w:rsidR="003A3D51" w:rsidRDefault="0002775A">
            <w:pPr>
              <w:pStyle w:val="P68B1DB1-Normal6"/>
              <w:spacing w:after="0" w:line="276" w:lineRule="auto"/>
              <w:jc w:val="center"/>
              <w:rPr>
                <w:noProof/>
              </w:rPr>
            </w:pPr>
            <w:r>
              <w:rPr>
                <w:noProof/>
              </w:rPr>
              <w:t>Delmål/mål</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FB3A600" w14:textId="77777777" w:rsidR="003A3D51" w:rsidRDefault="0002775A">
            <w:pPr>
              <w:pStyle w:val="P68B1DB1-Normal6"/>
              <w:spacing w:after="0" w:line="276" w:lineRule="auto"/>
              <w:jc w:val="center"/>
              <w:rPr>
                <w:noProof/>
              </w:rPr>
            </w:pPr>
            <w:r>
              <w:rPr>
                <w:noProof/>
              </w:rPr>
              <w:t>Namn</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9F43DA6"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3053"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79EDAF24"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2E64EDDE" w14:textId="77777777" w:rsidR="003A3D51" w:rsidRDefault="0002775A">
            <w:pPr>
              <w:pStyle w:val="P68B1DB1-Normal6"/>
              <w:spacing w:after="0" w:line="276" w:lineRule="auto"/>
              <w:jc w:val="center"/>
              <w:rPr>
                <w:noProof/>
              </w:rPr>
            </w:pPr>
            <w:r>
              <w:rPr>
                <w:noProof/>
              </w:rPr>
              <w:t>Tid</w:t>
            </w:r>
          </w:p>
        </w:tc>
        <w:tc>
          <w:tcPr>
            <w:tcW w:w="4381"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710625CD" w14:textId="77777777" w:rsidR="003A3D51" w:rsidRDefault="0002775A">
            <w:pPr>
              <w:pStyle w:val="P68B1DB1-Normal6"/>
              <w:spacing w:after="0" w:line="276" w:lineRule="auto"/>
              <w:jc w:val="center"/>
              <w:rPr>
                <w:noProof/>
              </w:rPr>
            </w:pPr>
            <w:r>
              <w:rPr>
                <w:noProof/>
              </w:rPr>
              <w:t>Beskrivning av varje delmål och mål</w:t>
            </w:r>
          </w:p>
        </w:tc>
      </w:tr>
      <w:tr w:rsidR="003A3D51" w14:paraId="0A1A2031" w14:textId="77777777">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14:paraId="5906C8F8" w14:textId="77777777" w:rsidR="003A3D51" w:rsidRDefault="003A3D51">
            <w:pPr>
              <w:spacing w:after="0" w:line="276" w:lineRule="auto"/>
              <w:jc w:val="center"/>
              <w:rPr>
                <w:rFonts w:ascii="Times New Roman" w:eastAsia="Times New Roman" w:hAnsi="Times New Roman" w:cs="Times New Roman"/>
                <w:b/>
                <w:noProof/>
              </w:rPr>
            </w:pPr>
          </w:p>
        </w:tc>
        <w:tc>
          <w:tcPr>
            <w:tcW w:w="0" w:type="auto"/>
            <w:vMerge/>
            <w:tcBorders>
              <w:top w:val="single" w:sz="4" w:space="0" w:color="auto"/>
              <w:left w:val="single" w:sz="4" w:space="0" w:color="auto"/>
              <w:bottom w:val="single" w:sz="4" w:space="0" w:color="auto"/>
              <w:right w:val="single" w:sz="4" w:space="0" w:color="auto"/>
            </w:tcBorders>
            <w:hideMark/>
          </w:tcPr>
          <w:p w14:paraId="7458C8ED" w14:textId="77777777" w:rsidR="003A3D51" w:rsidRDefault="003A3D51">
            <w:pPr>
              <w:spacing w:after="0" w:line="276" w:lineRule="auto"/>
              <w:jc w:val="center"/>
              <w:rPr>
                <w:rFonts w:ascii="Times New Roman" w:eastAsia="Times New Roman" w:hAnsi="Times New Roman" w:cs="Times New Roman"/>
                <w:b/>
                <w:noProof/>
              </w:rPr>
            </w:pPr>
          </w:p>
        </w:tc>
        <w:tc>
          <w:tcPr>
            <w:tcW w:w="0" w:type="auto"/>
            <w:vMerge/>
            <w:tcBorders>
              <w:top w:val="single" w:sz="4" w:space="0" w:color="auto"/>
              <w:left w:val="single" w:sz="4" w:space="0" w:color="auto"/>
              <w:bottom w:val="single" w:sz="4" w:space="0" w:color="auto"/>
              <w:right w:val="single" w:sz="4" w:space="0" w:color="auto"/>
            </w:tcBorders>
            <w:hideMark/>
          </w:tcPr>
          <w:p w14:paraId="0D212F73" w14:textId="77777777" w:rsidR="003A3D51" w:rsidRDefault="003A3D51">
            <w:pPr>
              <w:spacing w:after="0" w:line="276" w:lineRule="auto"/>
              <w:jc w:val="center"/>
              <w:rPr>
                <w:rFonts w:ascii="Times New Roman" w:eastAsia="Times New Roman" w:hAnsi="Times New Roman" w:cs="Times New Roman"/>
                <w:b/>
                <w:noProof/>
              </w:rPr>
            </w:pPr>
          </w:p>
        </w:tc>
        <w:tc>
          <w:tcPr>
            <w:tcW w:w="0" w:type="auto"/>
            <w:vMerge/>
            <w:tcBorders>
              <w:top w:val="single" w:sz="4" w:space="0" w:color="auto"/>
              <w:left w:val="single" w:sz="4" w:space="0" w:color="auto"/>
              <w:bottom w:val="single" w:sz="4" w:space="0" w:color="auto"/>
              <w:right w:val="single" w:sz="4" w:space="0" w:color="auto"/>
            </w:tcBorders>
            <w:hideMark/>
          </w:tcPr>
          <w:p w14:paraId="4D26124A" w14:textId="77777777" w:rsidR="003A3D51" w:rsidRDefault="003A3D51">
            <w:pPr>
              <w:spacing w:after="0" w:line="276" w:lineRule="auto"/>
              <w:rPr>
                <w:rFonts w:ascii="Times New Roman" w:eastAsia="Times New Roman" w:hAnsi="Times New Roman" w:cs="Times New Roman"/>
                <w:b/>
                <w:noProof/>
              </w:rPr>
            </w:pPr>
          </w:p>
        </w:tc>
        <w:tc>
          <w:tcPr>
            <w:tcW w:w="0" w:type="auto"/>
            <w:vMerge/>
            <w:tcBorders>
              <w:top w:val="single" w:sz="4" w:space="0" w:color="auto"/>
              <w:left w:val="single" w:sz="4" w:space="0" w:color="auto"/>
              <w:bottom w:val="single" w:sz="4" w:space="0" w:color="auto"/>
              <w:right w:val="single" w:sz="4" w:space="0" w:color="auto"/>
            </w:tcBorders>
            <w:hideMark/>
          </w:tcPr>
          <w:p w14:paraId="48986D9C" w14:textId="77777777" w:rsidR="003A3D51" w:rsidRDefault="003A3D51">
            <w:pPr>
              <w:spacing w:after="0" w:line="276" w:lineRule="auto"/>
              <w:rPr>
                <w:rFonts w:ascii="Times New Roman" w:eastAsia="Times New Roman" w:hAnsi="Times New Roman" w:cs="Times New Roman"/>
                <w:b/>
                <w:noProof/>
              </w:rPr>
            </w:pPr>
          </w:p>
        </w:tc>
        <w:tc>
          <w:tcPr>
            <w:tcW w:w="1168" w:type="dxa"/>
            <w:tcBorders>
              <w:top w:val="nil"/>
              <w:left w:val="single" w:sz="4" w:space="0" w:color="auto"/>
              <w:bottom w:val="single" w:sz="4" w:space="0" w:color="auto"/>
              <w:right w:val="single" w:sz="4" w:space="0" w:color="auto"/>
            </w:tcBorders>
            <w:shd w:val="clear" w:color="auto" w:fill="BDD7EE"/>
            <w:hideMark/>
          </w:tcPr>
          <w:p w14:paraId="1AB1D383" w14:textId="77777777" w:rsidR="003A3D51" w:rsidRDefault="0002775A">
            <w:pPr>
              <w:pStyle w:val="P68B1DB1-Normal6"/>
              <w:spacing w:after="0" w:line="276" w:lineRule="auto"/>
              <w:jc w:val="center"/>
              <w:rPr>
                <w:noProof/>
              </w:rPr>
            </w:pPr>
            <w:r>
              <w:rPr>
                <w:noProof/>
              </w:rPr>
              <w:t>Enhet</w:t>
            </w:r>
          </w:p>
        </w:tc>
        <w:tc>
          <w:tcPr>
            <w:tcW w:w="826" w:type="dxa"/>
            <w:tcBorders>
              <w:top w:val="nil"/>
              <w:left w:val="nil"/>
              <w:bottom w:val="single" w:sz="4" w:space="0" w:color="auto"/>
              <w:right w:val="single" w:sz="4" w:space="0" w:color="auto"/>
            </w:tcBorders>
            <w:shd w:val="clear" w:color="auto" w:fill="BDD7EE"/>
            <w:hideMark/>
          </w:tcPr>
          <w:p w14:paraId="330C1A43" w14:textId="77777777" w:rsidR="003A3D51" w:rsidRDefault="0002775A">
            <w:pPr>
              <w:pStyle w:val="P68B1DB1-Normal6"/>
              <w:spacing w:after="0" w:line="276" w:lineRule="auto"/>
              <w:jc w:val="center"/>
              <w:rPr>
                <w:noProof/>
              </w:rPr>
            </w:pPr>
            <w:r>
              <w:rPr>
                <w:noProof/>
              </w:rPr>
              <w:t>Baslinjen</w:t>
            </w:r>
          </w:p>
        </w:tc>
        <w:tc>
          <w:tcPr>
            <w:tcW w:w="1059" w:type="dxa"/>
            <w:tcBorders>
              <w:top w:val="nil"/>
              <w:left w:val="nil"/>
              <w:bottom w:val="single" w:sz="4" w:space="0" w:color="auto"/>
              <w:right w:val="single" w:sz="4" w:space="0" w:color="auto"/>
            </w:tcBorders>
            <w:shd w:val="clear" w:color="auto" w:fill="BDD7EE"/>
            <w:hideMark/>
          </w:tcPr>
          <w:p w14:paraId="725855BA" w14:textId="77777777" w:rsidR="003A3D51" w:rsidRDefault="0002775A">
            <w:pPr>
              <w:pStyle w:val="P68B1DB1-Normal6"/>
              <w:spacing w:after="0" w:line="276" w:lineRule="auto"/>
              <w:jc w:val="center"/>
              <w:rPr>
                <w:noProof/>
              </w:rPr>
            </w:pPr>
            <w:r>
              <w:rPr>
                <w:noProof/>
              </w:rPr>
              <w:t>Mål</w:t>
            </w:r>
          </w:p>
        </w:tc>
        <w:tc>
          <w:tcPr>
            <w:tcW w:w="425" w:type="dxa"/>
            <w:tcBorders>
              <w:top w:val="nil"/>
              <w:left w:val="nil"/>
              <w:bottom w:val="single" w:sz="4" w:space="0" w:color="auto"/>
              <w:right w:val="single" w:sz="4" w:space="0" w:color="auto"/>
            </w:tcBorders>
            <w:shd w:val="clear" w:color="auto" w:fill="BDD7EE"/>
            <w:hideMark/>
          </w:tcPr>
          <w:p w14:paraId="41DDB529" w14:textId="77777777" w:rsidR="003A3D51" w:rsidRDefault="0002775A">
            <w:pPr>
              <w:pStyle w:val="P68B1DB1-Normal6"/>
              <w:spacing w:after="0" w:line="276" w:lineRule="auto"/>
              <w:jc w:val="center"/>
              <w:rPr>
                <w:noProof/>
              </w:rPr>
            </w:pPr>
            <w:r>
              <w:rPr>
                <w:noProof/>
              </w:rPr>
              <w:t>Q</w:t>
            </w:r>
          </w:p>
        </w:tc>
        <w:tc>
          <w:tcPr>
            <w:tcW w:w="709" w:type="dxa"/>
            <w:tcBorders>
              <w:top w:val="nil"/>
              <w:left w:val="nil"/>
              <w:bottom w:val="single" w:sz="4" w:space="0" w:color="auto"/>
              <w:right w:val="single" w:sz="4" w:space="0" w:color="auto"/>
            </w:tcBorders>
            <w:shd w:val="clear" w:color="auto" w:fill="BDD7EE"/>
            <w:hideMark/>
          </w:tcPr>
          <w:p w14:paraId="717BB1A5" w14:textId="77777777" w:rsidR="003A3D51" w:rsidRDefault="0002775A">
            <w:pPr>
              <w:pStyle w:val="P68B1DB1-Normal6"/>
              <w:spacing w:after="0" w:line="276" w:lineRule="auto"/>
              <w:jc w:val="center"/>
              <w:rPr>
                <w:noProof/>
              </w:rPr>
            </w:pPr>
            <w:r>
              <w:rPr>
                <w:noProof/>
              </w:rPr>
              <w:t>Året</w:t>
            </w:r>
          </w:p>
        </w:tc>
        <w:tc>
          <w:tcPr>
            <w:tcW w:w="4381" w:type="dxa"/>
            <w:vMerge/>
            <w:tcBorders>
              <w:top w:val="single" w:sz="4" w:space="0" w:color="auto"/>
              <w:bottom w:val="single" w:sz="4" w:space="0" w:color="auto"/>
              <w:right w:val="single" w:sz="4" w:space="0" w:color="auto"/>
            </w:tcBorders>
            <w:hideMark/>
          </w:tcPr>
          <w:p w14:paraId="315AF949" w14:textId="77777777" w:rsidR="003A3D51" w:rsidRDefault="003A3D51">
            <w:pPr>
              <w:spacing w:after="0" w:line="276" w:lineRule="auto"/>
              <w:rPr>
                <w:rFonts w:ascii="Times New Roman" w:eastAsia="Times New Roman" w:hAnsi="Times New Roman" w:cs="Times New Roman"/>
                <w:b/>
                <w:noProof/>
              </w:rPr>
            </w:pPr>
          </w:p>
        </w:tc>
      </w:tr>
      <w:tr w:rsidR="003A3D51" w14:paraId="3FA32965" w14:textId="77777777">
        <w:trPr>
          <w:jc w:val="center"/>
        </w:trPr>
        <w:tc>
          <w:tcPr>
            <w:tcW w:w="1241" w:type="dxa"/>
            <w:tcBorders>
              <w:top w:val="single" w:sz="4" w:space="0" w:color="auto"/>
              <w:left w:val="single" w:sz="4" w:space="0" w:color="auto"/>
              <w:bottom w:val="single" w:sz="4" w:space="0" w:color="auto"/>
              <w:right w:val="single" w:sz="4" w:space="0" w:color="auto"/>
            </w:tcBorders>
            <w:shd w:val="clear" w:color="auto" w:fill="C6EFCE"/>
            <w:noWrap/>
          </w:tcPr>
          <w:p w14:paraId="2751B3E5" w14:textId="1A1C4B9C" w:rsidR="003A3D51" w:rsidRDefault="0002775A">
            <w:pPr>
              <w:pStyle w:val="P68B1DB1-Normal7"/>
              <w:spacing w:after="200" w:line="276" w:lineRule="auto"/>
              <w:jc w:val="center"/>
              <w:rPr>
                <w:noProof/>
              </w:rPr>
            </w:pPr>
            <w:r>
              <w:rPr>
                <w:noProof/>
              </w:rPr>
              <w:t>93</w:t>
            </w:r>
          </w:p>
        </w:tc>
        <w:tc>
          <w:tcPr>
            <w:tcW w:w="850" w:type="dxa"/>
            <w:tcBorders>
              <w:top w:val="single" w:sz="4" w:space="0" w:color="auto"/>
              <w:left w:val="nil"/>
              <w:bottom w:val="single" w:sz="4" w:space="0" w:color="auto"/>
              <w:right w:val="single" w:sz="4" w:space="0" w:color="auto"/>
            </w:tcBorders>
            <w:shd w:val="clear" w:color="auto" w:fill="C6EFCE"/>
            <w:noWrap/>
          </w:tcPr>
          <w:p w14:paraId="046F2599" w14:textId="77777777" w:rsidR="003A3D51" w:rsidRDefault="0002775A">
            <w:pPr>
              <w:pStyle w:val="P68B1DB1-Normal7"/>
              <w:spacing w:after="200" w:line="276" w:lineRule="auto"/>
              <w:jc w:val="center"/>
              <w:rPr>
                <w:rFonts w:ascii="Times New Roman" w:hAnsi="Times New Roman" w:cs="Times New Roman"/>
                <w:noProof/>
              </w:rPr>
            </w:pPr>
            <w:r>
              <w:rPr>
                <w:noProof/>
              </w:rPr>
              <w:t>C1.4 R1-I1</w:t>
            </w:r>
          </w:p>
        </w:tc>
        <w:tc>
          <w:tcPr>
            <w:tcW w:w="850" w:type="dxa"/>
            <w:tcBorders>
              <w:top w:val="single" w:sz="4" w:space="0" w:color="auto"/>
              <w:left w:val="nil"/>
              <w:bottom w:val="single" w:sz="4" w:space="0" w:color="auto"/>
              <w:right w:val="single" w:sz="4" w:space="0" w:color="auto"/>
            </w:tcBorders>
            <w:shd w:val="clear" w:color="auto" w:fill="C6EFCE"/>
            <w:noWrap/>
          </w:tcPr>
          <w:p w14:paraId="3702040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59" w:type="dxa"/>
            <w:tcBorders>
              <w:top w:val="single" w:sz="4" w:space="0" w:color="auto"/>
              <w:left w:val="nil"/>
              <w:bottom w:val="single" w:sz="4" w:space="0" w:color="auto"/>
              <w:right w:val="single" w:sz="4" w:space="0" w:color="auto"/>
            </w:tcBorders>
            <w:shd w:val="clear" w:color="auto" w:fill="C6EFCE"/>
            <w:noWrap/>
          </w:tcPr>
          <w:p w14:paraId="6362134E" w14:textId="77777777" w:rsidR="003A3D51" w:rsidRDefault="0002775A">
            <w:pPr>
              <w:pStyle w:val="P68B1DB1-Normal7"/>
              <w:spacing w:after="200" w:line="276" w:lineRule="auto"/>
              <w:rPr>
                <w:rFonts w:ascii="Times New Roman" w:hAnsi="Times New Roman" w:cs="Times New Roman"/>
                <w:noProof/>
              </w:rPr>
            </w:pPr>
            <w:r>
              <w:rPr>
                <w:noProof/>
              </w:rPr>
              <w:t>Nytt elektroniskt vägtullsystem</w:t>
            </w:r>
          </w:p>
        </w:tc>
        <w:tc>
          <w:tcPr>
            <w:tcW w:w="1717" w:type="dxa"/>
            <w:tcBorders>
              <w:top w:val="single" w:sz="4" w:space="0" w:color="auto"/>
              <w:left w:val="nil"/>
              <w:bottom w:val="single" w:sz="4" w:space="0" w:color="auto"/>
              <w:right w:val="single" w:sz="4" w:space="0" w:color="auto"/>
            </w:tcBorders>
            <w:shd w:val="clear" w:color="auto" w:fill="C6EFCE"/>
            <w:noWrap/>
          </w:tcPr>
          <w:p w14:paraId="448B7419" w14:textId="77777777" w:rsidR="003A3D51" w:rsidRDefault="0002775A">
            <w:pPr>
              <w:pStyle w:val="P68B1DB1-Normal7"/>
              <w:spacing w:after="200" w:line="276" w:lineRule="auto"/>
              <w:rPr>
                <w:rFonts w:ascii="Times New Roman" w:hAnsi="Times New Roman" w:cs="Times New Roman"/>
                <w:noProof/>
              </w:rPr>
            </w:pPr>
            <w:r>
              <w:rPr>
                <w:noProof/>
              </w:rPr>
              <w:t>Nytt elektroniskt vägtullsystem som är i drift på hela motorvägsnätet i Kroatien</w:t>
            </w:r>
          </w:p>
        </w:tc>
        <w:tc>
          <w:tcPr>
            <w:tcW w:w="1168" w:type="dxa"/>
            <w:tcBorders>
              <w:top w:val="single" w:sz="4" w:space="0" w:color="auto"/>
              <w:left w:val="nil"/>
              <w:bottom w:val="single" w:sz="4" w:space="0" w:color="auto"/>
              <w:right w:val="single" w:sz="4" w:space="0" w:color="auto"/>
            </w:tcBorders>
            <w:shd w:val="clear" w:color="auto" w:fill="C6EFCE"/>
            <w:noWrap/>
          </w:tcPr>
          <w:p w14:paraId="34F1B7FA" w14:textId="77777777" w:rsidR="003A3D51" w:rsidRDefault="003A3D51">
            <w:pPr>
              <w:spacing w:after="200" w:line="276" w:lineRule="auto"/>
              <w:jc w:val="center"/>
              <w:rPr>
                <w:rFonts w:ascii="Times New Roman" w:eastAsia="Calibri" w:hAnsi="Times New Roman" w:cs="Times New Roman"/>
                <w:noProof/>
                <w:sz w:val="20"/>
              </w:rPr>
            </w:pPr>
          </w:p>
        </w:tc>
        <w:tc>
          <w:tcPr>
            <w:tcW w:w="826" w:type="dxa"/>
            <w:tcBorders>
              <w:top w:val="single" w:sz="4" w:space="0" w:color="auto"/>
              <w:left w:val="nil"/>
              <w:bottom w:val="single" w:sz="4" w:space="0" w:color="auto"/>
              <w:right w:val="single" w:sz="4" w:space="0" w:color="auto"/>
            </w:tcBorders>
            <w:shd w:val="clear" w:color="auto" w:fill="C6EFCE"/>
            <w:noWrap/>
          </w:tcPr>
          <w:p w14:paraId="382BC3F1" w14:textId="77777777" w:rsidR="003A3D51" w:rsidRDefault="003A3D51">
            <w:pPr>
              <w:spacing w:after="200" w:line="276" w:lineRule="auto"/>
              <w:jc w:val="center"/>
              <w:rPr>
                <w:rFonts w:ascii="Times New Roman" w:eastAsia="Calibri" w:hAnsi="Times New Roman" w:cs="Times New Roman"/>
                <w:noProof/>
                <w:sz w:val="20"/>
              </w:rPr>
            </w:pPr>
          </w:p>
        </w:tc>
        <w:tc>
          <w:tcPr>
            <w:tcW w:w="1059" w:type="dxa"/>
            <w:tcBorders>
              <w:top w:val="single" w:sz="4" w:space="0" w:color="auto"/>
              <w:left w:val="nil"/>
              <w:bottom w:val="single" w:sz="4" w:space="0" w:color="auto"/>
              <w:right w:val="single" w:sz="4" w:space="0" w:color="auto"/>
            </w:tcBorders>
            <w:shd w:val="clear" w:color="auto" w:fill="C6EFCE"/>
            <w:noWrap/>
          </w:tcPr>
          <w:p w14:paraId="0208D164" w14:textId="77777777" w:rsidR="003A3D51" w:rsidRDefault="003A3D51">
            <w:pPr>
              <w:spacing w:after="200" w:line="276" w:lineRule="auto"/>
              <w:jc w:val="center"/>
              <w:rPr>
                <w:rFonts w:ascii="Times New Roman" w:eastAsia="Calibri" w:hAnsi="Times New Roman" w:cs="Times New Roman"/>
                <w:noProof/>
                <w:sz w:val="20"/>
              </w:rPr>
            </w:pPr>
          </w:p>
        </w:tc>
        <w:tc>
          <w:tcPr>
            <w:tcW w:w="425" w:type="dxa"/>
            <w:tcBorders>
              <w:top w:val="single" w:sz="4" w:space="0" w:color="auto"/>
              <w:left w:val="nil"/>
              <w:bottom w:val="single" w:sz="4" w:space="0" w:color="auto"/>
              <w:right w:val="single" w:sz="4" w:space="0" w:color="auto"/>
            </w:tcBorders>
            <w:shd w:val="clear" w:color="auto" w:fill="C6EFCE"/>
            <w:noWrap/>
          </w:tcPr>
          <w:p w14:paraId="27559ED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1ABAF905"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381" w:type="dxa"/>
            <w:tcBorders>
              <w:top w:val="single" w:sz="4" w:space="0" w:color="auto"/>
              <w:left w:val="nil"/>
              <w:bottom w:val="single" w:sz="4" w:space="0" w:color="auto"/>
              <w:right w:val="single" w:sz="4" w:space="0" w:color="auto"/>
            </w:tcBorders>
            <w:shd w:val="clear" w:color="auto" w:fill="C6EFCE"/>
            <w:noWrap/>
          </w:tcPr>
          <w:p w14:paraId="11F002AC" w14:textId="77777777" w:rsidR="003A3D51" w:rsidRDefault="0002775A">
            <w:pPr>
              <w:pStyle w:val="P68B1DB1-Normal7"/>
              <w:spacing w:after="200" w:line="276" w:lineRule="auto"/>
              <w:rPr>
                <w:rFonts w:ascii="Times New Roman" w:hAnsi="Times New Roman" w:cs="Times New Roman"/>
                <w:noProof/>
              </w:rPr>
            </w:pPr>
            <w:r>
              <w:rPr>
                <w:noProof/>
              </w:rPr>
              <w:t>Investeringen ska, på motorvägar som drivs av Croatia Motorways Ltd, Highway Zagreb-Macelj (AZM) och BINA Istra, införa ett nytt system för elektroniska vägtullar som bygger på en lösning med flerfilsfria flöden (MLFF) utan att stoppa fordon med kontaktlösa betalningsmetoder, vilket ska avlägsna befintliga vägtullstationer, åtgärda den stora trängseln vid vägtullstationerna under sommarperioden, effektivisera systemet genom att använda elektroniska (kontaktlösa) betalningsmetoder och minska den överdrivna trafiken på alternativa lokala vägar.</w:t>
            </w:r>
          </w:p>
        </w:tc>
      </w:tr>
      <w:tr w:rsidR="003A3D51" w14:paraId="7A80BB0A" w14:textId="77777777">
        <w:trPr>
          <w:jc w:val="center"/>
        </w:trPr>
        <w:tc>
          <w:tcPr>
            <w:tcW w:w="1241" w:type="dxa"/>
            <w:tcBorders>
              <w:top w:val="single" w:sz="4" w:space="0" w:color="auto"/>
              <w:left w:val="single" w:sz="4" w:space="0" w:color="auto"/>
              <w:bottom w:val="single" w:sz="4" w:space="0" w:color="auto"/>
              <w:right w:val="single" w:sz="4" w:space="0" w:color="auto"/>
            </w:tcBorders>
            <w:shd w:val="clear" w:color="auto" w:fill="C6EFCE"/>
            <w:noWrap/>
          </w:tcPr>
          <w:p w14:paraId="7177E845" w14:textId="762017D7" w:rsidR="003A3D51" w:rsidRDefault="0002775A">
            <w:pPr>
              <w:pStyle w:val="P68B1DB1-Normal7"/>
              <w:spacing w:after="200" w:line="276" w:lineRule="auto"/>
              <w:jc w:val="center"/>
              <w:rPr>
                <w:noProof/>
              </w:rPr>
            </w:pPr>
            <w:r>
              <w:rPr>
                <w:noProof/>
              </w:rPr>
              <w:t>101</w:t>
            </w:r>
          </w:p>
        </w:tc>
        <w:tc>
          <w:tcPr>
            <w:tcW w:w="850" w:type="dxa"/>
            <w:tcBorders>
              <w:top w:val="single" w:sz="4" w:space="0" w:color="auto"/>
              <w:left w:val="nil"/>
              <w:bottom w:val="single" w:sz="4" w:space="0" w:color="auto"/>
              <w:right w:val="single" w:sz="4" w:space="0" w:color="auto"/>
            </w:tcBorders>
            <w:shd w:val="clear" w:color="auto" w:fill="C6EFCE"/>
            <w:noWrap/>
          </w:tcPr>
          <w:p w14:paraId="2016A471" w14:textId="77777777" w:rsidR="003A3D51" w:rsidRDefault="0002775A">
            <w:pPr>
              <w:pStyle w:val="P68B1DB1-Normal7"/>
              <w:spacing w:after="200" w:line="276" w:lineRule="auto"/>
              <w:jc w:val="center"/>
              <w:rPr>
                <w:rFonts w:ascii="Times New Roman" w:hAnsi="Times New Roman" w:cs="Times New Roman"/>
                <w:noProof/>
              </w:rPr>
            </w:pPr>
            <w:r>
              <w:rPr>
                <w:noProof/>
              </w:rPr>
              <w:t>C1.4 R2-I1</w:t>
            </w:r>
          </w:p>
        </w:tc>
        <w:tc>
          <w:tcPr>
            <w:tcW w:w="850" w:type="dxa"/>
            <w:tcBorders>
              <w:top w:val="single" w:sz="4" w:space="0" w:color="auto"/>
              <w:left w:val="nil"/>
              <w:bottom w:val="single" w:sz="4" w:space="0" w:color="auto"/>
              <w:right w:val="single" w:sz="4" w:space="0" w:color="auto"/>
            </w:tcBorders>
            <w:shd w:val="clear" w:color="auto" w:fill="C6EFCE"/>
            <w:noWrap/>
          </w:tcPr>
          <w:p w14:paraId="1FAF42D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259" w:type="dxa"/>
            <w:tcBorders>
              <w:top w:val="single" w:sz="4" w:space="0" w:color="auto"/>
              <w:left w:val="nil"/>
              <w:bottom w:val="single" w:sz="4" w:space="0" w:color="auto"/>
              <w:right w:val="single" w:sz="4" w:space="0" w:color="auto"/>
            </w:tcBorders>
            <w:shd w:val="clear" w:color="auto" w:fill="C6EFCE"/>
            <w:noWrap/>
          </w:tcPr>
          <w:p w14:paraId="21A31582" w14:textId="77777777" w:rsidR="003A3D51" w:rsidRDefault="0002775A">
            <w:pPr>
              <w:pStyle w:val="P68B1DB1-Normal7"/>
              <w:spacing w:after="200" w:line="276" w:lineRule="auto"/>
              <w:rPr>
                <w:rFonts w:ascii="Times New Roman" w:hAnsi="Times New Roman" w:cs="Times New Roman"/>
                <w:noProof/>
              </w:rPr>
            </w:pPr>
            <w:r>
              <w:rPr>
                <w:noProof/>
              </w:rPr>
              <w:t>Elektrifierade dubbelspår byggda och ombyggda på sträckan Dugo Selo-Novska, underavsnitt Kutina-Novska</w:t>
            </w:r>
          </w:p>
        </w:tc>
        <w:tc>
          <w:tcPr>
            <w:tcW w:w="1717" w:type="dxa"/>
            <w:tcBorders>
              <w:top w:val="single" w:sz="4" w:space="0" w:color="auto"/>
              <w:left w:val="nil"/>
              <w:bottom w:val="single" w:sz="4" w:space="0" w:color="auto"/>
              <w:right w:val="single" w:sz="4" w:space="0" w:color="auto"/>
            </w:tcBorders>
            <w:shd w:val="clear" w:color="auto" w:fill="C6EFCE"/>
            <w:noWrap/>
          </w:tcPr>
          <w:p w14:paraId="087CDDF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395B257E" w14:textId="77777777" w:rsidR="003A3D51" w:rsidRDefault="0002775A">
            <w:pPr>
              <w:pStyle w:val="P68B1DB1-Normal7"/>
              <w:spacing w:after="200" w:line="276" w:lineRule="auto"/>
              <w:jc w:val="center"/>
              <w:rPr>
                <w:rFonts w:ascii="Times New Roman" w:hAnsi="Times New Roman" w:cs="Times New Roman"/>
                <w:noProof/>
              </w:rPr>
            </w:pPr>
            <w:r>
              <w:rPr>
                <w:noProof/>
              </w:rPr>
              <w:t>Antal (km)</w:t>
            </w:r>
          </w:p>
        </w:tc>
        <w:tc>
          <w:tcPr>
            <w:tcW w:w="826" w:type="dxa"/>
            <w:tcBorders>
              <w:top w:val="single" w:sz="4" w:space="0" w:color="auto"/>
              <w:left w:val="nil"/>
              <w:bottom w:val="single" w:sz="4" w:space="0" w:color="auto"/>
              <w:right w:val="single" w:sz="4" w:space="0" w:color="auto"/>
            </w:tcBorders>
            <w:shd w:val="clear" w:color="auto" w:fill="C6EFCE"/>
            <w:noWrap/>
          </w:tcPr>
          <w:p w14:paraId="78BA1C6D"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059" w:type="dxa"/>
            <w:tcBorders>
              <w:top w:val="single" w:sz="4" w:space="0" w:color="auto"/>
              <w:left w:val="nil"/>
              <w:bottom w:val="single" w:sz="4" w:space="0" w:color="auto"/>
              <w:right w:val="single" w:sz="4" w:space="0" w:color="auto"/>
            </w:tcBorders>
            <w:shd w:val="clear" w:color="auto" w:fill="C6EFCE"/>
            <w:noWrap/>
          </w:tcPr>
          <w:p w14:paraId="16E170A5" w14:textId="77777777" w:rsidR="003A3D51" w:rsidRDefault="0002775A">
            <w:pPr>
              <w:pStyle w:val="P68B1DB1-Normal7"/>
              <w:spacing w:after="200" w:line="276" w:lineRule="auto"/>
              <w:jc w:val="center"/>
              <w:rPr>
                <w:rFonts w:ascii="Times New Roman" w:hAnsi="Times New Roman" w:cs="Times New Roman"/>
                <w:noProof/>
              </w:rPr>
            </w:pPr>
            <w:r>
              <w:rPr>
                <w:noProof/>
              </w:rPr>
              <w:t>22</w:t>
            </w:r>
          </w:p>
        </w:tc>
        <w:tc>
          <w:tcPr>
            <w:tcW w:w="425" w:type="dxa"/>
            <w:tcBorders>
              <w:top w:val="single" w:sz="4" w:space="0" w:color="auto"/>
              <w:left w:val="nil"/>
              <w:bottom w:val="single" w:sz="4" w:space="0" w:color="auto"/>
              <w:right w:val="single" w:sz="4" w:space="0" w:color="auto"/>
            </w:tcBorders>
            <w:shd w:val="clear" w:color="auto" w:fill="C6EFCE"/>
            <w:noWrap/>
          </w:tcPr>
          <w:p w14:paraId="61AB24E9"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7DB3D69B"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381" w:type="dxa"/>
            <w:tcBorders>
              <w:top w:val="single" w:sz="4" w:space="0" w:color="auto"/>
              <w:left w:val="nil"/>
              <w:bottom w:val="single" w:sz="4" w:space="0" w:color="auto"/>
              <w:right w:val="single" w:sz="4" w:space="0" w:color="auto"/>
            </w:tcBorders>
            <w:shd w:val="clear" w:color="auto" w:fill="C6EFCE"/>
            <w:noWrap/>
          </w:tcPr>
          <w:p w14:paraId="773D01F3" w14:textId="77777777" w:rsidR="003A3D51" w:rsidRDefault="0002775A">
            <w:pPr>
              <w:pStyle w:val="P68B1DB1-Normal7"/>
              <w:spacing w:after="200" w:line="276" w:lineRule="auto"/>
              <w:rPr>
                <w:rFonts w:ascii="Times New Roman" w:hAnsi="Times New Roman" w:cs="Times New Roman"/>
                <w:noProof/>
              </w:rPr>
            </w:pPr>
            <w:r>
              <w:rPr>
                <w:noProof/>
              </w:rPr>
              <w:t>Investeringen ska uppgradera och renovera det befintliga spåret och bygga ett andra spår, för totalt 22 km, på järnvägsavsnittet Dugo Selo-Novska, underavsnittet Kutina-Novska, i syfte att bygga en dubbelspårig elektrifierad linje längs hela den tidigare alleuropeiska korridoren X (RH1), som också är belägen i TEN-T-stomnätet och i järnvägskorridoren Alperna/västra Balkan.</w:t>
            </w:r>
            <w:r>
              <w:rPr>
                <w:noProof/>
              </w:rPr>
              <w:br/>
              <w:t>Det ska styrkas att tillståndsförfarandena enligt miljökonsekvensbedömningen följs i enlighet med direktiv 2011/92/EU.</w:t>
            </w:r>
          </w:p>
        </w:tc>
      </w:tr>
    </w:tbl>
    <w:p w14:paraId="379460E6" w14:textId="77777777" w:rsidR="003A3D51" w:rsidRDefault="003A3D51">
      <w:pPr>
        <w:pStyle w:val="paragraph"/>
        <w:spacing w:before="0" w:beforeAutospacing="0" w:after="0" w:afterAutospacing="0"/>
        <w:ind w:left="840"/>
        <w:jc w:val="both"/>
        <w:textAlignment w:val="baseline"/>
        <w:rPr>
          <w:rStyle w:val="normaltextrun"/>
          <w:i/>
          <w:noProof/>
          <w:color w:val="4F81BD"/>
        </w:rPr>
      </w:pPr>
    </w:p>
    <w:p w14:paraId="5256318B"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798BE985" w14:textId="77777777" w:rsidR="003A3D51" w:rsidRDefault="003A3D51">
      <w:pPr>
        <w:spacing w:before="120" w:after="120" w:line="240" w:lineRule="auto"/>
        <w:ind w:left="709"/>
        <w:jc w:val="both"/>
        <w:rPr>
          <w:rFonts w:ascii="Times New Roman" w:eastAsia="Calibri" w:hAnsi="Times New Roman" w:cs="Times New Roman"/>
          <w:b/>
          <w:smallCaps/>
          <w:noProof/>
          <w:sz w:val="24"/>
        </w:rPr>
        <w:sectPr w:rsidR="003A3D51" w:rsidSect="0001477B">
          <w:headerReference w:type="even" r:id="rId96"/>
          <w:headerReference w:type="default" r:id="rId97"/>
          <w:footerReference w:type="even" r:id="rId98"/>
          <w:footerReference w:type="default" r:id="rId99"/>
          <w:headerReference w:type="first" r:id="rId100"/>
          <w:footerReference w:type="first" r:id="rId101"/>
          <w:pgSz w:w="15840" w:h="12240" w:orient="landscape"/>
          <w:pgMar w:top="1440" w:right="1440" w:bottom="1440" w:left="1440" w:header="708" w:footer="708" w:gutter="0"/>
          <w:cols w:space="708"/>
          <w:docGrid w:linePitch="360"/>
        </w:sectPr>
      </w:pPr>
    </w:p>
    <w:p w14:paraId="63100DEF" w14:textId="77777777" w:rsidR="003A3D51" w:rsidRDefault="0002775A">
      <w:pPr>
        <w:pStyle w:val="P68B1DB1-Normal2"/>
        <w:spacing w:before="120" w:after="120" w:line="240" w:lineRule="auto"/>
        <w:ind w:left="709"/>
        <w:jc w:val="both"/>
        <w:rPr>
          <w:noProof/>
        </w:rPr>
      </w:pPr>
      <w:r>
        <w:rPr>
          <w:noProof/>
        </w:rPr>
        <w:t>E. KOMPONENT 1.5: FÖRBÄTTRA UTNYTTJANDET AV NATURRESURSER OCH STÄRKA LIVSMEDELSKEDJAN</w:t>
      </w:r>
    </w:p>
    <w:p w14:paraId="79F3781E" w14:textId="77777777" w:rsidR="003A3D51" w:rsidRDefault="0002775A">
      <w:pPr>
        <w:pStyle w:val="P68B1DB1-Normal11"/>
        <w:spacing w:before="120" w:after="120" w:line="240" w:lineRule="auto"/>
        <w:jc w:val="both"/>
        <w:rPr>
          <w:noProof/>
        </w:rPr>
      </w:pPr>
      <w:r>
        <w:rPr>
          <w:noProof/>
        </w:rPr>
        <w:t>Denna del av Kroatiens återhämtnings- och resiliensplan syftar till att öka livsmedelstryggheten och konkurrenskraften i den kroatiska jordbruksbaserade livsmedelssektorn.</w:t>
      </w:r>
    </w:p>
    <w:p w14:paraId="0C53FF21" w14:textId="77777777" w:rsidR="003A3D51" w:rsidRDefault="0002775A">
      <w:pPr>
        <w:pStyle w:val="P68B1DB1-Normal11"/>
        <w:spacing w:before="120" w:after="120" w:line="240" w:lineRule="auto"/>
        <w:jc w:val="both"/>
        <w:rPr>
          <w:noProof/>
        </w:rPr>
      </w:pPr>
      <w:r>
        <w:rPr>
          <w:noProof/>
        </w:rPr>
        <w:t xml:space="preserve">Komponenten ska omfatta följande: i) Inrättande av ett nätverk av logistisk infrastruktur för att stärka produktionskedjan inom frukt- och grönsakssektorn. II) Inrättande av ett system för omstrukturering och arrondering av jordbruksmark. III) Utveckling av digitala lösningar inom jordbrukssektorn. och iv) förbättra systemen för livsmedelsdonationer. </w:t>
      </w:r>
    </w:p>
    <w:p w14:paraId="0D6F3B94" w14:textId="77777777" w:rsidR="003A3D51" w:rsidRDefault="0002775A">
      <w:pPr>
        <w:pStyle w:val="NormalWeb"/>
        <w:spacing w:before="120" w:after="120" w:line="240" w:lineRule="auto"/>
        <w:jc w:val="both"/>
        <w:rPr>
          <w:rFonts w:eastAsia="Calibri"/>
          <w:noProof/>
        </w:rPr>
      </w:pPr>
      <w:r>
        <w:rPr>
          <w:noProof/>
        </w:rPr>
        <w:t>Komponenten ska bidra till att följa den landsspecifika rekommendationen om ”behovet av att vidta alla nödvändiga åtgärder och reagera effektivt på pandemin, upprätthålla ekonomin och stödja återhämtningen” (de landsspecifika rekommendationerna 1 och 2020). ”om behovet av att öka tillgången till digitala tjänster” (de landsspecifika rekommendationerna 2 och 2020) och om ”prioritering av genomförandet och finansieringen av offentliga och potentiellt offentlig-privata investeringsprojekt för att stödja återhämtningen av ekonomin” (landsspecifika rekommendationer 3 och 2020).</w:t>
      </w:r>
    </w:p>
    <w:p w14:paraId="7F4D6525"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E.1. </w:t>
      </w:r>
      <w:r>
        <w:rPr>
          <w:noProof/>
        </w:rPr>
        <w:tab/>
        <w:t>Beskrivning av reformer och investeringar avseende icke återbetalningspliktigt ekonomiskt stöd</w:t>
      </w:r>
    </w:p>
    <w:p w14:paraId="572E281D"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Reform C1.5. R1 – Upprättande av ett nätverk av logistisk infrastruktur för att stärka produktionskedjan inom frukt- och grönsakssektorn</w:t>
      </w:r>
    </w:p>
    <w:p w14:paraId="20C5BB20" w14:textId="77777777" w:rsidR="003A3D51" w:rsidRDefault="0002775A">
      <w:pPr>
        <w:pStyle w:val="P68B1DB1-Normal3"/>
        <w:spacing w:before="120" w:after="120" w:line="240" w:lineRule="auto"/>
        <w:jc w:val="both"/>
        <w:rPr>
          <w:noProof/>
        </w:rPr>
      </w:pPr>
      <w:r>
        <w:rPr>
          <w:noProof/>
        </w:rPr>
        <w:t>Syftet med reformen är att organisera och koppla samman utbudet av småjordbruk genom producentorganisationer för att uppmuntra sammanslagning, samarbete, utbyte av erfarenheter och kunskap. Reformen förväntas förbättra jordbrukarnas ställning i leveranskedjorna, särskilt inom frukt- och grönsakssektorn, och bidra till utvecklingen av produkter med större mervärde. Reformen ska omfatta den kroatiska regeringens antagande av det operativa programmet för att stärka marknadskapaciteten inom sektorn för frukt och grönsaker för perioden 2021–2026.</w:t>
      </w:r>
    </w:p>
    <w:p w14:paraId="5CA88541" w14:textId="77777777" w:rsidR="003A3D51" w:rsidRDefault="0002775A">
      <w:pPr>
        <w:pStyle w:val="P68B1DB1-Normal3"/>
        <w:spacing w:before="120" w:after="120" w:line="240" w:lineRule="auto"/>
        <w:jc w:val="both"/>
        <w:rPr>
          <w:noProof/>
        </w:rPr>
      </w:pPr>
      <w:r>
        <w:rPr>
          <w:noProof/>
        </w:rPr>
        <w:t>Reformen ska vara genomförd senast den 30 juni 2026.</w:t>
      </w:r>
    </w:p>
    <w:p w14:paraId="480CE528"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Investeringar C1.5. R1-I1 – Byggande och utrustning av logistik- och distributionscentraler för frukt och grönsaker</w:t>
      </w:r>
    </w:p>
    <w:p w14:paraId="31C00181" w14:textId="77777777" w:rsidR="003A3D51" w:rsidRDefault="0002775A">
      <w:pPr>
        <w:pStyle w:val="P68B1DB1-Normal3"/>
        <w:spacing w:before="120" w:after="120" w:line="240" w:lineRule="auto"/>
        <w:jc w:val="both"/>
        <w:rPr>
          <w:noProof/>
        </w:rPr>
      </w:pPr>
      <w:r>
        <w:rPr>
          <w:noProof/>
        </w:rPr>
        <w:t>Syftet med investeringen är att förbättra konkurrensen inom sektorn genom att bygga och utrusta en logistik- och distributionsinfrastruktur för frukt och grönsaker. Distributionscentralen ska ha en kapacitet på minst 3 000 ton lagringsutrymme och kundanpassat logistiskt utrymme, och upp till en maximal kapacitet på 12 000 ton lagringsutrymme och kundanpassat logistiskt utrymme. De byggda logistikdistributionscentralerna ska använda förnybara energikällor och bidra till att minska livsmedelsförluster och matsvinn.</w:t>
      </w:r>
    </w:p>
    <w:p w14:paraId="2E0680C4"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4A869CF2" w14:textId="77777777" w:rsidR="003A3D51" w:rsidRDefault="0002775A">
      <w:pPr>
        <w:pStyle w:val="P68B1DB1-Normal10"/>
        <w:keepNext/>
        <w:numPr>
          <w:ilvl w:val="2"/>
          <w:numId w:val="0"/>
        </w:numPr>
        <w:spacing w:before="120" w:after="120" w:line="240" w:lineRule="auto"/>
        <w:ind w:left="850"/>
        <w:jc w:val="both"/>
        <w:outlineLvl w:val="2"/>
        <w:rPr>
          <w:rFonts w:eastAsia="SimSun"/>
          <w:i/>
          <w:noProof/>
        </w:rPr>
      </w:pPr>
      <w:r>
        <w:rPr>
          <w:noProof/>
        </w:rPr>
        <w:t>Investeringarna: C1.5 R1-I2 Att stärka producenternas ställning och synlighet i livsmedelskedjan</w:t>
      </w:r>
    </w:p>
    <w:p w14:paraId="293FBD2B" w14:textId="77777777" w:rsidR="003A3D51" w:rsidRDefault="0002775A">
      <w:pPr>
        <w:pStyle w:val="P68B1DB1-Normal3"/>
        <w:spacing w:before="120" w:after="120" w:line="240" w:lineRule="auto"/>
        <w:jc w:val="both"/>
        <w:rPr>
          <w:noProof/>
        </w:rPr>
      </w:pPr>
      <w:r>
        <w:rPr>
          <w:noProof/>
        </w:rPr>
        <w:t>Investeringen syftar till att förbättra styrningen och den ekonomiska hållbarheten i producentorganisationerna och göra det möjligt för producenterna att spela en viktigare roll i logistik- och distributionscentrumens styr- och ägarstruktur. Investeringen ska omfatta utbildning av producentorganisationer på förvaltnings- och finansområdet. Investeringen ska också omfatta ett märkningssystem för frukt och grönsaker i syfte att ge lokala och regionala producenter ett bättre erkännande och förbättra kvalitetssäkringen av jordbruksbaserade livsmedelsprodukter.</w:t>
      </w:r>
    </w:p>
    <w:p w14:paraId="0D48D884"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3EA6F4C7"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Reform C1.5. R2 – Förbättra systemen för omstrukturering och arrondering av jordbruksmark</w:t>
      </w:r>
    </w:p>
    <w:p w14:paraId="2609524F" w14:textId="77777777" w:rsidR="003A3D51" w:rsidRDefault="0002775A">
      <w:pPr>
        <w:pStyle w:val="P68B1DB1-Normal3"/>
        <w:spacing w:before="120" w:after="120" w:line="240" w:lineRule="auto"/>
        <w:jc w:val="both"/>
        <w:rPr>
          <w:noProof/>
        </w:rPr>
      </w:pPr>
      <w:r>
        <w:rPr>
          <w:noProof/>
        </w:rPr>
        <w:t xml:space="preserve">Syftet med reformen är att underlätta arronderingsförfaranden och kontinuerlig övervakning av jordbruksmark, vilket ska skapa förutsättningar för tillämpning av moderna jordbruksmetoder, för uppbyggnad av infrastruktur (t.ex. nät av vägar på fältet och förbättringskanaler) och för hantering av rättsförhållanden som rör fastigheter på jordbruksmark. Reformen ska bidra till en effektivare användning av jordbruksmark inom jordbruket, öka jordbruksproduktionens produktivitet och hållbarhet med fokus på att bevara miljön och förbättra livet på landsbygden. Som en del av reformen träder den nya lagen om konsolidering av jordbruksmark i kraft. </w:t>
      </w:r>
    </w:p>
    <w:p w14:paraId="4EA75646" w14:textId="77777777" w:rsidR="003A3D51" w:rsidRDefault="0002775A">
      <w:pPr>
        <w:pStyle w:val="P68B1DB1-Normal3"/>
        <w:spacing w:before="120" w:after="120" w:line="240" w:lineRule="auto"/>
        <w:jc w:val="both"/>
        <w:rPr>
          <w:noProof/>
        </w:rPr>
      </w:pPr>
      <w:r>
        <w:rPr>
          <w:noProof/>
        </w:rPr>
        <w:t>Reformen ska vara genomförd senast den 31 mars 2026.</w:t>
      </w:r>
    </w:p>
    <w:p w14:paraId="04A59067"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 xml:space="preserve">Investeringar C1.5. R2-I1 – Arrondering av jordbruksmark </w:t>
      </w:r>
    </w:p>
    <w:p w14:paraId="5EA17225" w14:textId="77777777" w:rsidR="003A3D51" w:rsidRDefault="0002775A">
      <w:pPr>
        <w:pStyle w:val="P68B1DB1-Normal3"/>
        <w:spacing w:before="120" w:after="120" w:line="240" w:lineRule="auto"/>
        <w:jc w:val="both"/>
        <w:rPr>
          <w:noProof/>
        </w:rPr>
      </w:pPr>
      <w:r>
        <w:rPr>
          <w:noProof/>
        </w:rPr>
        <w:t xml:space="preserve">Syftet med investeringen är att skapa förutsättningar för tillämpning av moderna jordbruksmetoder genom att konsolidera jordbruksmarken, vilket ska möjliggöra enklare och effektivare tillgång till mark genom att bygga infrastruktur (t.ex. ett nät av vägar på fältet och förbättringskanaler). </w:t>
      </w:r>
    </w:p>
    <w:p w14:paraId="72A4CE27" w14:textId="77777777" w:rsidR="003A3D51" w:rsidRDefault="0002775A">
      <w:pPr>
        <w:pStyle w:val="P68B1DB1-Normal3"/>
        <w:spacing w:before="120" w:after="120" w:line="240" w:lineRule="auto"/>
        <w:jc w:val="both"/>
        <w:rPr>
          <w:noProof/>
        </w:rPr>
      </w:pPr>
      <w:r>
        <w:rPr>
          <w:noProof/>
        </w:rPr>
        <w:t>Investeringen ska bidra till bättre vattenförvaltning och vattenhushållning, förebyggande av markerosion och försurning, luftskydd, planläggning och landskapsskydd samt ökad sysselsättning, med direkt och indirekt inverkan på förnyelse av landsbygden.</w:t>
      </w:r>
    </w:p>
    <w:p w14:paraId="3785B0C5" w14:textId="77777777" w:rsidR="003A3D51" w:rsidRDefault="0002775A">
      <w:pPr>
        <w:pStyle w:val="P68B1DB1-Normal3"/>
        <w:spacing w:before="120" w:after="120" w:line="240" w:lineRule="auto"/>
        <w:jc w:val="both"/>
        <w:rPr>
          <w:noProof/>
        </w:rPr>
      </w:pPr>
      <w:r>
        <w:rPr>
          <w:noProof/>
        </w:rPr>
        <w:t>Investeringen ska vara slutförd senast den 31 mars 2026.</w:t>
      </w:r>
    </w:p>
    <w:p w14:paraId="1EDB401F"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InvesteringC1.5. R2-I2 – Program för övervakning av jordbruksmark</w:t>
      </w:r>
    </w:p>
    <w:p w14:paraId="5C37B4D6" w14:textId="77777777" w:rsidR="003A3D51" w:rsidRDefault="0002775A">
      <w:pPr>
        <w:pStyle w:val="P68B1DB1-Normal3"/>
        <w:spacing w:before="120" w:after="120" w:line="240" w:lineRule="auto"/>
        <w:jc w:val="both"/>
        <w:rPr>
          <w:noProof/>
        </w:rPr>
      </w:pPr>
      <w:r>
        <w:rPr>
          <w:noProof/>
        </w:rPr>
        <w:t>Investeringen syftar till att säkerställa förutsättningarna för ett effektivt skydd av jordbruksmark, fortsatt tillgång till de uppgifter som krävs för att bedöma markens tillstånd och genomförandet av politiken för hållbar förvaltning, genom fältforskning och genomförandet av det geografiska informationssystemet (GIS). Investeringen ska omfatta inrättande och genomförande av ett program för permanent övervakning av jordbruksmarkens tillstånd för att stödja en systematisk och planerad förvaltning av denna resurs. Programmets resultat ska också göra det möjligt att identifiera krisområden där marken är utsatt för hot enligt definitionen i kommissionens temainriktade strategi för markskydd och ligga till grund för en effektivare markskyddspolitik samt en politik för hållbart jordbruk och landsbygdsutveckling.</w:t>
      </w:r>
    </w:p>
    <w:p w14:paraId="60214BD5" w14:textId="77777777" w:rsidR="003A3D51" w:rsidRDefault="0002775A">
      <w:pPr>
        <w:pStyle w:val="P68B1DB1-Normal3"/>
        <w:spacing w:before="120" w:after="120" w:line="240" w:lineRule="auto"/>
        <w:jc w:val="both"/>
        <w:rPr>
          <w:noProof/>
        </w:rPr>
      </w:pPr>
      <w:r>
        <w:rPr>
          <w:noProof/>
        </w:rPr>
        <w:t>Investeringen ska vara slutförd senast den 30 juni 2025.</w:t>
      </w:r>
    </w:p>
    <w:p w14:paraId="78671F44"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Reform C1.5. R3 – Jordbrukets digitala omvandling</w:t>
      </w:r>
    </w:p>
    <w:p w14:paraId="27275B55" w14:textId="77777777" w:rsidR="003A3D51" w:rsidRDefault="0002775A">
      <w:pPr>
        <w:pStyle w:val="P68B1DB1-Normal3"/>
        <w:spacing w:before="120" w:after="120" w:line="240" w:lineRule="auto"/>
        <w:jc w:val="both"/>
        <w:rPr>
          <w:noProof/>
        </w:rPr>
      </w:pPr>
      <w:r>
        <w:rPr>
          <w:noProof/>
        </w:rPr>
        <w:t>Syftet med reformen är att göra offentliga tjänster inom jordbrukssektorn mer tillgängliga för jordbrukare genom att digitalisera dessa tjänster, samtidigt som den administrativa bördan minskas. Reformen ska omfatta inrättandet av en samordningsenhet som ska planera och övervaka genomförandet av alla investeringar och säkerställa att fastställda mål uppnås: digitaliserade offentliga tjänster, operativ plattform för smart jordbruk och allmänt tillgängligt informationssystem för spårbarhet.</w:t>
      </w:r>
    </w:p>
    <w:p w14:paraId="2BE78773" w14:textId="77777777" w:rsidR="003A3D51" w:rsidRDefault="0002775A">
      <w:pPr>
        <w:pStyle w:val="P68B1DB1-Normal3"/>
        <w:spacing w:before="120" w:after="120" w:line="240" w:lineRule="auto"/>
        <w:jc w:val="both"/>
        <w:rPr>
          <w:noProof/>
        </w:rPr>
      </w:pPr>
      <w:r>
        <w:rPr>
          <w:noProof/>
        </w:rPr>
        <w:t>Reformen förväntas bidra till att öka jordbruksproduktionen, säkerställa jordbruksprodukternas kvalitet och spårbarhet och säkerställa tillämpningen av jordbruksmetoder som är hållbara på lång sikt för klimatet och miljön.</w:t>
      </w:r>
    </w:p>
    <w:p w14:paraId="6C4409C3" w14:textId="77777777" w:rsidR="003A3D51" w:rsidRDefault="0002775A">
      <w:pPr>
        <w:pStyle w:val="P68B1DB1-Normal3"/>
        <w:spacing w:before="120" w:after="120" w:line="240" w:lineRule="auto"/>
        <w:jc w:val="both"/>
        <w:rPr>
          <w:noProof/>
        </w:rPr>
      </w:pPr>
      <w:r>
        <w:rPr>
          <w:noProof/>
        </w:rPr>
        <w:t>Reformen ska vara genomförd senast den 31 december 2025.</w:t>
      </w:r>
    </w:p>
    <w:p w14:paraId="09376685" w14:textId="77777777" w:rsidR="003A3D51" w:rsidRDefault="003A3D51">
      <w:pPr>
        <w:spacing w:after="200" w:line="276" w:lineRule="auto"/>
        <w:jc w:val="center"/>
        <w:rPr>
          <w:rFonts w:ascii="Calibri" w:eastAsia="Calibri" w:hAnsi="Calibri" w:cs="Arial"/>
          <w:noProof/>
        </w:rPr>
      </w:pPr>
    </w:p>
    <w:p w14:paraId="2D64A65A"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Investeringar C1.5. R3-I1 – Utveckling av digitala offentliga tjänster</w:t>
      </w:r>
    </w:p>
    <w:p w14:paraId="094EA0B7" w14:textId="77777777" w:rsidR="003A3D51" w:rsidRDefault="0002775A">
      <w:pPr>
        <w:pStyle w:val="P68B1DB1-Normal3"/>
        <w:spacing w:before="120" w:after="120" w:line="240" w:lineRule="auto"/>
        <w:jc w:val="both"/>
        <w:rPr>
          <w:noProof/>
        </w:rPr>
      </w:pPr>
      <w:r>
        <w:rPr>
          <w:noProof/>
        </w:rPr>
        <w:t>Syftet med denna investering är en digital omvandling av minst 30 offentliga jordbrukstjänster. Investeringen ska bland annat omfatta utarbetandet av handlingsplanen för digital omvandling, som ska ligga till grund för registreringen av alla jordbrukstjänster som ska digitaliseras. Minst 30 offentliga tjänster som ska registreras i handlingsplanen ska digitaliseras och göras tillgängliga för stödmottagarna. Investeringen ska minska behovet av personliga tjänster och bidra till att skapa digitala offentliga tjänster för jordbrukare.</w:t>
      </w:r>
    </w:p>
    <w:p w14:paraId="2878540A" w14:textId="77777777" w:rsidR="003A3D51" w:rsidRDefault="0002775A">
      <w:pPr>
        <w:pStyle w:val="P68B1DB1-Normal3"/>
        <w:spacing w:before="120" w:after="120" w:line="240" w:lineRule="auto"/>
        <w:jc w:val="both"/>
        <w:rPr>
          <w:noProof/>
        </w:rPr>
      </w:pPr>
      <w:r>
        <w:rPr>
          <w:noProof/>
        </w:rPr>
        <w:t>Investeringen ska vara slutförd senast den 30 september 2025.</w:t>
      </w:r>
    </w:p>
    <w:p w14:paraId="2B3CC905"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Investeringar C1.5. R3-I2 – Smart jordbruk</w:t>
      </w:r>
    </w:p>
    <w:p w14:paraId="55F87FEF" w14:textId="77777777" w:rsidR="003A3D51" w:rsidRDefault="0002775A">
      <w:pPr>
        <w:pStyle w:val="P68B1DB1-Normal3"/>
        <w:spacing w:before="120" w:after="120" w:line="240" w:lineRule="auto"/>
        <w:jc w:val="both"/>
        <w:rPr>
          <w:noProof/>
        </w:rPr>
      </w:pPr>
      <w:r>
        <w:rPr>
          <w:noProof/>
        </w:rPr>
        <w:t>Syftet med investeringen är att stödja den digitala omvandlingen av Kroatiens jordbrukssektor genom att inrätta ett förvaltningssystem för jordbruksproduktion. Genom att erbjuda aktuell, strukturerad och aktuell information direkt från fält och jordbruksföretag, och med lämpligt expertstöd och tillämpning av principen om hållbar produktion, ska plattformen för smart jordbruk vara ett verktyg för att uppnå de mål som fastställs i den framtida gemensamma jordbrukspolitiken. Investeringen ska göra det lättare och mer motståndskraftigt för användarna att verka, förbättra tillgängligheten, synligheten och insynen i de program och projekt som genomförs av jordbruksministeriet samt kvaliteten på offentliga tjänster och professionellt stöd från jordbruksministeriet.</w:t>
      </w:r>
    </w:p>
    <w:p w14:paraId="3950D9BA" w14:textId="77777777" w:rsidR="003A3D51" w:rsidRDefault="0002775A">
      <w:pPr>
        <w:pStyle w:val="P68B1DB1-Normal3"/>
        <w:spacing w:before="120" w:after="120" w:line="240" w:lineRule="auto"/>
        <w:jc w:val="both"/>
        <w:rPr>
          <w:noProof/>
        </w:rPr>
      </w:pPr>
      <w:r>
        <w:rPr>
          <w:noProof/>
        </w:rPr>
        <w:t>Investeringen ska vara slutförd senast den 31 december 2025.</w:t>
      </w:r>
    </w:p>
    <w:p w14:paraId="6DBD8F9B"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Investeringar C1.5. R3-I3 – Spårbarhetssystem</w:t>
      </w:r>
    </w:p>
    <w:p w14:paraId="1C3B21C0" w14:textId="77777777" w:rsidR="003A3D51" w:rsidRDefault="0002775A">
      <w:pPr>
        <w:pStyle w:val="P68B1DB1-Normal3"/>
        <w:spacing w:before="120" w:after="120" w:line="240" w:lineRule="auto"/>
        <w:jc w:val="both"/>
        <w:rPr>
          <w:noProof/>
        </w:rPr>
      </w:pPr>
      <w:r>
        <w:rPr>
          <w:noProof/>
        </w:rPr>
        <w:t xml:space="preserve">Syftet med investeringen är att ytterligare främja hållbart jordbruk, särskilt av små lokala producenter, och att ytterligare informera konsumenterna om betydelsen av och tillgången till produkter som erhållits på ett hållbart sätt, på lokal nivå i hela Kroatien. Investeringen förväntas ha en positiv inverkan på landsbygdsutvecklingen i ett antal lokalsamhällen och bidra till att öka konsumenternas förtroende för lokalt producerade och hållbara livsmedelsprodukter. Investeringen ska omfatta inrättandet av ett nationellt informationssystem för spårbarhet som ska vara tillgängligt för allmänheten. </w:t>
      </w:r>
    </w:p>
    <w:p w14:paraId="238A80B8" w14:textId="176E9E11" w:rsidR="003A3D51" w:rsidRDefault="0002775A">
      <w:pPr>
        <w:pStyle w:val="P68B1DB1-Normal3"/>
        <w:spacing w:before="120" w:after="120" w:line="240" w:lineRule="auto"/>
        <w:jc w:val="both"/>
        <w:rPr>
          <w:noProof/>
        </w:rPr>
      </w:pPr>
      <w:r>
        <w:rPr>
          <w:noProof/>
        </w:rPr>
        <w:t>Investeringen ska vara slutförd senast den 31 december 2024.</w:t>
      </w:r>
    </w:p>
    <w:p w14:paraId="1378CEA4"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Reform C1.5. R4 – Förbättra systemen för livsmedelsdonationer</w:t>
      </w:r>
    </w:p>
    <w:p w14:paraId="1C9C1B1C" w14:textId="77777777" w:rsidR="003A3D51" w:rsidRDefault="0002775A">
      <w:pPr>
        <w:pStyle w:val="P68B1DB1-Normal3"/>
        <w:spacing w:before="120" w:after="120" w:line="240" w:lineRule="auto"/>
        <w:jc w:val="both"/>
        <w:rPr>
          <w:noProof/>
        </w:rPr>
      </w:pPr>
      <w:r>
        <w:rPr>
          <w:noProof/>
        </w:rPr>
        <w:t>Syftet med reformen är att främja den cirkulära ekonomin i den jordbruksbaserade livsmedelssektorn, minska matsvinnet och öka livsmedelstryggheten för de fattigare genom att förbättra systemet för livsmedelsdonationer. Reformen ska omfatta inrättandet av en livsmedelsbank, förstärkning av infrastrukturkapaciteten hos mellanhänder i livsmedelskedjan, lansering av en onlineplattform för förebyggande av livsmedelsavfall, uppgradering av it-systemet för livsmedelsdonationer, ingående av frivilliga avtal om förebyggande av livsmedelsavfall mellan relevanta myndigheter och berörda parter i livsmedelskedjan, den akademiska världen, forskarsamhället och det civila samhällets organisationer samt genomförande av en informations- och utbildningskampanj om förebyggande av livsmedelsavfall och livsmedelsdonationer.</w:t>
      </w:r>
    </w:p>
    <w:p w14:paraId="2BC8B71F" w14:textId="77777777" w:rsidR="003A3D51" w:rsidRDefault="0002775A">
      <w:pPr>
        <w:pStyle w:val="P68B1DB1-Normal3"/>
        <w:spacing w:before="120" w:after="120" w:line="240" w:lineRule="auto"/>
        <w:jc w:val="both"/>
        <w:rPr>
          <w:noProof/>
        </w:rPr>
      </w:pPr>
      <w:r>
        <w:rPr>
          <w:noProof/>
        </w:rPr>
        <w:t>Reformen ska vara genomförd senast den 31 december 2023.</w:t>
      </w:r>
    </w:p>
    <w:p w14:paraId="4E25F1B5" w14:textId="77777777" w:rsidR="003A3D51" w:rsidRDefault="0002775A">
      <w:pPr>
        <w:pStyle w:val="P68B1DB1-Normal10"/>
        <w:keepNext/>
        <w:numPr>
          <w:ilvl w:val="2"/>
          <w:numId w:val="0"/>
        </w:numPr>
        <w:spacing w:before="120" w:after="120" w:line="240" w:lineRule="auto"/>
        <w:ind w:left="851"/>
        <w:jc w:val="both"/>
        <w:outlineLvl w:val="2"/>
        <w:rPr>
          <w:rFonts w:eastAsia="SimSun"/>
          <w:i/>
          <w:noProof/>
        </w:rPr>
      </w:pPr>
      <w:r>
        <w:rPr>
          <w:noProof/>
        </w:rPr>
        <w:t>Investeringar C1.5. R4-I1 – Infrastrukturutrustning för livsmedelsbanker och mellanhänder i livsmedelskedjan</w:t>
      </w:r>
    </w:p>
    <w:p w14:paraId="20B6979B" w14:textId="77777777" w:rsidR="003A3D51" w:rsidRDefault="0002775A">
      <w:pPr>
        <w:pStyle w:val="P68B1DB1-Normal3"/>
        <w:spacing w:before="120" w:after="120" w:line="240" w:lineRule="auto"/>
        <w:jc w:val="both"/>
        <w:rPr>
          <w:noProof/>
        </w:rPr>
      </w:pPr>
      <w:r>
        <w:rPr>
          <w:noProof/>
        </w:rPr>
        <w:t>Syftet med investeringen är att stärka infrastrukturkapaciteten hos mellanhänder i livsmedelskedjan och livsmedelsbanken för att skapa grundläggande förutsättningar för att öka mängden donerade livsmedel och därigenom bidra till att minska matsvinnet och öka livsmedelstryggheten för fattigare befolkningsgrupper. Investeringen ska omfatta genomförandet av stödsystem för infrastruktur för livsmedelsbanker och mellanhänder i livsmedelskedjan, som utvecklats av jordbruksministeriet och antagits av den kroatiska regeringen.</w:t>
      </w:r>
    </w:p>
    <w:p w14:paraId="17E2C989" w14:textId="77777777" w:rsidR="003A3D51" w:rsidRDefault="0002775A">
      <w:pPr>
        <w:pStyle w:val="P68B1DB1-Normal3"/>
        <w:spacing w:before="120" w:after="120" w:line="240" w:lineRule="auto"/>
        <w:jc w:val="both"/>
        <w:rPr>
          <w:noProof/>
        </w:rPr>
      </w:pPr>
      <w:r>
        <w:rPr>
          <w:noProof/>
        </w:rPr>
        <w:t>Investeringen ska vara slutförd senast den 31 december 2023.</w:t>
      </w:r>
    </w:p>
    <w:p w14:paraId="725A5765" w14:textId="77777777" w:rsidR="003A3D51" w:rsidRDefault="003A3D51">
      <w:pPr>
        <w:rPr>
          <w:noProof/>
        </w:rPr>
        <w:sectPr w:rsidR="003A3D51" w:rsidSect="008F440B">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08" w:footer="708" w:gutter="0"/>
          <w:cols w:space="708"/>
          <w:docGrid w:linePitch="360"/>
        </w:sectPr>
      </w:pPr>
    </w:p>
    <w:p w14:paraId="0ED7BA9A"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E.2. </w:t>
      </w:r>
      <w:r>
        <w:rPr>
          <w:noProof/>
        </w:rPr>
        <w:tab/>
        <w:t>Delmål, mål, indikatorer och tidsplan för övervakning och genomförande avseende icke återbetalningspliktigt ekonomiskt stöd</w:t>
      </w:r>
    </w:p>
    <w:tbl>
      <w:tblPr>
        <w:tblW w:w="14743" w:type="dxa"/>
        <w:tblInd w:w="-823" w:type="dxa"/>
        <w:tblCellMar>
          <w:top w:w="28" w:type="dxa"/>
          <w:left w:w="28" w:type="dxa"/>
          <w:bottom w:w="28" w:type="dxa"/>
          <w:right w:w="28" w:type="dxa"/>
        </w:tblCellMar>
        <w:tblLook w:val="04A0" w:firstRow="1" w:lastRow="0" w:firstColumn="1" w:lastColumn="0" w:noHBand="0" w:noVBand="1"/>
      </w:tblPr>
      <w:tblGrid>
        <w:gridCol w:w="851"/>
        <w:gridCol w:w="993"/>
        <w:gridCol w:w="992"/>
        <w:gridCol w:w="2410"/>
        <w:gridCol w:w="2037"/>
        <w:gridCol w:w="1168"/>
        <w:gridCol w:w="826"/>
        <w:gridCol w:w="850"/>
        <w:gridCol w:w="795"/>
        <w:gridCol w:w="709"/>
        <w:gridCol w:w="3577"/>
      </w:tblGrid>
      <w:tr w:rsidR="003A3D51" w14:paraId="4EC90947"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1E51A2" w14:textId="101EF504" w:rsidR="003A3D51" w:rsidRDefault="0002775A">
            <w:pPr>
              <w:pStyle w:val="P68B1DB1-Normal6"/>
              <w:spacing w:after="0" w:line="276" w:lineRule="auto"/>
              <w:jc w:val="center"/>
              <w:rPr>
                <w:noProof/>
              </w:rPr>
            </w:pPr>
            <w:r>
              <w:rPr>
                <w:noProof/>
              </w:rPr>
              <w:t>Antal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2E635A" w14:textId="77777777" w:rsidR="003A3D51" w:rsidRDefault="0002775A">
            <w:pPr>
              <w:pStyle w:val="P68B1DB1-Normal6"/>
              <w:spacing w:after="0" w:line="276" w:lineRule="auto"/>
              <w:jc w:val="center"/>
              <w:rPr>
                <w:noProof/>
              </w:rPr>
            </w:pPr>
            <w:r>
              <w:rPr>
                <w:noProof/>
              </w:rPr>
              <w:t>Åtgärd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A67A0B" w14:textId="77777777" w:rsidR="003A3D51" w:rsidRDefault="0002775A">
            <w:pPr>
              <w:pStyle w:val="P68B1DB1-Normal6"/>
              <w:spacing w:after="0" w:line="276" w:lineRule="auto"/>
              <w:jc w:val="center"/>
              <w:rPr>
                <w:noProof/>
              </w:rPr>
            </w:pPr>
            <w:r>
              <w:rPr>
                <w:noProof/>
              </w:rPr>
              <w:t>Delmål/mål</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A4C5B3" w14:textId="77777777" w:rsidR="003A3D51" w:rsidRDefault="0002775A">
            <w:pPr>
              <w:pStyle w:val="P68B1DB1-Normal6"/>
              <w:spacing w:after="0" w:line="276" w:lineRule="auto"/>
              <w:jc w:val="center"/>
              <w:rPr>
                <w:noProof/>
              </w:rPr>
            </w:pPr>
            <w:r>
              <w:rPr>
                <w:noProof/>
              </w:rPr>
              <w:t>Namn</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41255D"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2844"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1C43499D"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5C6BC3EE" w14:textId="77777777" w:rsidR="003A3D51" w:rsidRDefault="0002775A">
            <w:pPr>
              <w:pStyle w:val="P68B1DB1-Normal6"/>
              <w:spacing w:after="0" w:line="276" w:lineRule="auto"/>
              <w:jc w:val="center"/>
              <w:rPr>
                <w:noProof/>
              </w:rPr>
            </w:pPr>
            <w:r>
              <w:rPr>
                <w:noProof/>
              </w:rPr>
              <w:t>Tid</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2D486EA2" w14:textId="77777777" w:rsidR="003A3D51" w:rsidRDefault="0002775A">
            <w:pPr>
              <w:pStyle w:val="P68B1DB1-Normal6"/>
              <w:spacing w:after="0" w:line="276" w:lineRule="auto"/>
              <w:jc w:val="center"/>
              <w:rPr>
                <w:noProof/>
              </w:rPr>
            </w:pPr>
            <w:r>
              <w:rPr>
                <w:noProof/>
              </w:rPr>
              <w:t>Beskrivning av varje delmål och mål</w:t>
            </w:r>
          </w:p>
        </w:tc>
      </w:tr>
      <w:tr w:rsidR="003A3D51" w14:paraId="12C2BBA7" w14:textId="77777777">
        <w:trPr>
          <w:tblHeader/>
        </w:trPr>
        <w:tc>
          <w:tcPr>
            <w:tcW w:w="851" w:type="dxa"/>
            <w:vMerge/>
            <w:tcBorders>
              <w:top w:val="single" w:sz="4" w:space="0" w:color="auto"/>
              <w:left w:val="single" w:sz="4" w:space="0" w:color="auto"/>
              <w:bottom w:val="single" w:sz="4" w:space="0" w:color="auto"/>
              <w:right w:val="single" w:sz="4" w:space="0" w:color="auto"/>
            </w:tcBorders>
            <w:hideMark/>
          </w:tcPr>
          <w:p w14:paraId="1175CD20" w14:textId="77777777" w:rsidR="003A3D51" w:rsidRDefault="003A3D51">
            <w:pPr>
              <w:spacing w:after="0" w:line="276" w:lineRule="auto"/>
              <w:jc w:val="center"/>
              <w:rPr>
                <w:rFonts w:ascii="Times New Roman" w:eastAsia="Times New Roman" w:hAnsi="Times New Roman" w:cs="Times New Roman"/>
                <w:b/>
                <w:noProof/>
              </w:rPr>
            </w:pPr>
          </w:p>
        </w:tc>
        <w:tc>
          <w:tcPr>
            <w:tcW w:w="993" w:type="dxa"/>
            <w:vMerge/>
            <w:tcBorders>
              <w:top w:val="single" w:sz="4" w:space="0" w:color="auto"/>
              <w:left w:val="single" w:sz="4" w:space="0" w:color="auto"/>
              <w:bottom w:val="single" w:sz="4" w:space="0" w:color="auto"/>
              <w:right w:val="single" w:sz="4" w:space="0" w:color="auto"/>
            </w:tcBorders>
            <w:hideMark/>
          </w:tcPr>
          <w:p w14:paraId="6F4B006A" w14:textId="77777777" w:rsidR="003A3D51" w:rsidRDefault="003A3D51">
            <w:pPr>
              <w:spacing w:after="0" w:line="276" w:lineRule="auto"/>
              <w:jc w:val="center"/>
              <w:rPr>
                <w:rFonts w:ascii="Times New Roman" w:eastAsia="Times New Roman" w:hAnsi="Times New Roman" w:cs="Times New Roman"/>
                <w:b/>
                <w:noProof/>
              </w:rPr>
            </w:pPr>
          </w:p>
        </w:tc>
        <w:tc>
          <w:tcPr>
            <w:tcW w:w="992" w:type="dxa"/>
            <w:vMerge/>
            <w:tcBorders>
              <w:top w:val="single" w:sz="4" w:space="0" w:color="auto"/>
              <w:left w:val="single" w:sz="4" w:space="0" w:color="auto"/>
              <w:bottom w:val="single" w:sz="4" w:space="0" w:color="auto"/>
              <w:right w:val="single" w:sz="4" w:space="0" w:color="auto"/>
            </w:tcBorders>
            <w:hideMark/>
          </w:tcPr>
          <w:p w14:paraId="2B5BE0C3" w14:textId="77777777" w:rsidR="003A3D51" w:rsidRDefault="003A3D51">
            <w:pPr>
              <w:spacing w:after="0" w:line="276" w:lineRule="auto"/>
              <w:jc w:val="center"/>
              <w:rPr>
                <w:rFonts w:ascii="Times New Roman" w:eastAsia="Times New Roman" w:hAnsi="Times New Roman" w:cs="Times New Roman"/>
                <w:b/>
                <w:noProof/>
              </w:rPr>
            </w:pPr>
          </w:p>
        </w:tc>
        <w:tc>
          <w:tcPr>
            <w:tcW w:w="2410" w:type="dxa"/>
            <w:vMerge/>
            <w:tcBorders>
              <w:top w:val="single" w:sz="4" w:space="0" w:color="auto"/>
              <w:left w:val="single" w:sz="4" w:space="0" w:color="auto"/>
              <w:bottom w:val="single" w:sz="4" w:space="0" w:color="auto"/>
              <w:right w:val="single" w:sz="4" w:space="0" w:color="auto"/>
            </w:tcBorders>
            <w:hideMark/>
          </w:tcPr>
          <w:p w14:paraId="7ECA7539" w14:textId="77777777" w:rsidR="003A3D51" w:rsidRDefault="003A3D51">
            <w:pPr>
              <w:spacing w:after="0" w:line="276" w:lineRule="auto"/>
              <w:rPr>
                <w:rFonts w:ascii="Times New Roman" w:eastAsia="Times New Roman" w:hAnsi="Times New Roman" w:cs="Times New Roman"/>
                <w:b/>
                <w:noProof/>
              </w:rPr>
            </w:pPr>
          </w:p>
        </w:tc>
        <w:tc>
          <w:tcPr>
            <w:tcW w:w="1942" w:type="dxa"/>
            <w:vMerge/>
            <w:tcBorders>
              <w:top w:val="single" w:sz="4" w:space="0" w:color="auto"/>
              <w:left w:val="single" w:sz="4" w:space="0" w:color="auto"/>
              <w:bottom w:val="single" w:sz="4" w:space="0" w:color="auto"/>
              <w:right w:val="single" w:sz="4" w:space="0" w:color="auto"/>
            </w:tcBorders>
            <w:hideMark/>
          </w:tcPr>
          <w:p w14:paraId="38000A7D" w14:textId="77777777" w:rsidR="003A3D51" w:rsidRDefault="003A3D51">
            <w:pPr>
              <w:spacing w:after="0" w:line="276" w:lineRule="auto"/>
              <w:rPr>
                <w:rFonts w:ascii="Times New Roman" w:eastAsia="Times New Roman" w:hAnsi="Times New Roman" w:cs="Times New Roman"/>
                <w:b/>
                <w:noProof/>
              </w:rPr>
            </w:pPr>
          </w:p>
        </w:tc>
        <w:tc>
          <w:tcPr>
            <w:tcW w:w="1168" w:type="dxa"/>
            <w:tcBorders>
              <w:top w:val="nil"/>
              <w:left w:val="single" w:sz="4" w:space="0" w:color="auto"/>
              <w:bottom w:val="single" w:sz="4" w:space="0" w:color="auto"/>
              <w:right w:val="single" w:sz="4" w:space="0" w:color="auto"/>
            </w:tcBorders>
            <w:shd w:val="clear" w:color="auto" w:fill="BDD7EE"/>
            <w:hideMark/>
          </w:tcPr>
          <w:p w14:paraId="749F1DC5" w14:textId="77777777" w:rsidR="003A3D51" w:rsidRDefault="0002775A">
            <w:pPr>
              <w:pStyle w:val="P68B1DB1-Normal6"/>
              <w:spacing w:after="0" w:line="276" w:lineRule="auto"/>
              <w:jc w:val="center"/>
              <w:rPr>
                <w:noProof/>
              </w:rPr>
            </w:pPr>
            <w:r>
              <w:rPr>
                <w:noProof/>
              </w:rPr>
              <w:t>Enhet</w:t>
            </w:r>
          </w:p>
        </w:tc>
        <w:tc>
          <w:tcPr>
            <w:tcW w:w="826" w:type="dxa"/>
            <w:tcBorders>
              <w:top w:val="nil"/>
              <w:left w:val="nil"/>
              <w:bottom w:val="single" w:sz="4" w:space="0" w:color="auto"/>
              <w:right w:val="single" w:sz="4" w:space="0" w:color="auto"/>
            </w:tcBorders>
            <w:shd w:val="clear" w:color="auto" w:fill="BDD7EE"/>
            <w:hideMark/>
          </w:tcPr>
          <w:p w14:paraId="17460FE5" w14:textId="77777777" w:rsidR="003A3D51" w:rsidRDefault="0002775A">
            <w:pPr>
              <w:pStyle w:val="P68B1DB1-Normal6"/>
              <w:spacing w:after="0" w:line="276" w:lineRule="auto"/>
              <w:jc w:val="center"/>
              <w:rPr>
                <w:noProof/>
              </w:rPr>
            </w:pPr>
            <w:r>
              <w:rPr>
                <w:noProof/>
              </w:rPr>
              <w:t>Baslinjen</w:t>
            </w:r>
          </w:p>
        </w:tc>
        <w:tc>
          <w:tcPr>
            <w:tcW w:w="850" w:type="dxa"/>
            <w:tcBorders>
              <w:top w:val="nil"/>
              <w:left w:val="nil"/>
              <w:bottom w:val="single" w:sz="4" w:space="0" w:color="auto"/>
              <w:right w:val="single" w:sz="4" w:space="0" w:color="auto"/>
            </w:tcBorders>
            <w:shd w:val="clear" w:color="auto" w:fill="BDD7EE"/>
            <w:hideMark/>
          </w:tcPr>
          <w:p w14:paraId="75DC8B72" w14:textId="77777777" w:rsidR="003A3D51" w:rsidRDefault="0002775A">
            <w:pPr>
              <w:pStyle w:val="P68B1DB1-Normal6"/>
              <w:spacing w:after="0" w:line="276" w:lineRule="auto"/>
              <w:jc w:val="center"/>
              <w:rPr>
                <w:noProof/>
              </w:rPr>
            </w:pPr>
            <w:r>
              <w:rPr>
                <w:noProof/>
              </w:rPr>
              <w:t>Mål</w:t>
            </w:r>
          </w:p>
        </w:tc>
        <w:tc>
          <w:tcPr>
            <w:tcW w:w="425" w:type="dxa"/>
            <w:tcBorders>
              <w:top w:val="nil"/>
              <w:left w:val="nil"/>
              <w:bottom w:val="single" w:sz="4" w:space="0" w:color="auto"/>
              <w:right w:val="single" w:sz="4" w:space="0" w:color="auto"/>
            </w:tcBorders>
            <w:shd w:val="clear" w:color="auto" w:fill="BDD7EE"/>
            <w:hideMark/>
          </w:tcPr>
          <w:p w14:paraId="28DE8AA7" w14:textId="77777777" w:rsidR="003A3D51" w:rsidRDefault="0002775A">
            <w:pPr>
              <w:pStyle w:val="P68B1DB1-Normal6"/>
              <w:spacing w:after="0" w:line="276" w:lineRule="auto"/>
              <w:jc w:val="center"/>
              <w:rPr>
                <w:noProof/>
              </w:rPr>
            </w:pPr>
            <w:r>
              <w:rPr>
                <w:noProof/>
              </w:rPr>
              <w:t>Q</w:t>
            </w:r>
          </w:p>
        </w:tc>
        <w:tc>
          <w:tcPr>
            <w:tcW w:w="709" w:type="dxa"/>
            <w:tcBorders>
              <w:top w:val="nil"/>
              <w:left w:val="nil"/>
              <w:bottom w:val="single" w:sz="4" w:space="0" w:color="auto"/>
              <w:right w:val="single" w:sz="4" w:space="0" w:color="auto"/>
            </w:tcBorders>
            <w:shd w:val="clear" w:color="auto" w:fill="BDD7EE"/>
            <w:hideMark/>
          </w:tcPr>
          <w:p w14:paraId="7C79F46B" w14:textId="77777777" w:rsidR="003A3D51" w:rsidRDefault="0002775A">
            <w:pPr>
              <w:pStyle w:val="P68B1DB1-Normal6"/>
              <w:spacing w:after="0" w:line="276" w:lineRule="auto"/>
              <w:jc w:val="center"/>
              <w:rPr>
                <w:noProof/>
              </w:rPr>
            </w:pPr>
            <w:r>
              <w:rPr>
                <w:noProof/>
              </w:rPr>
              <w:t>Året</w:t>
            </w:r>
          </w:p>
        </w:tc>
        <w:tc>
          <w:tcPr>
            <w:tcW w:w="3577" w:type="dxa"/>
            <w:vMerge/>
            <w:tcBorders>
              <w:top w:val="single" w:sz="4" w:space="0" w:color="auto"/>
              <w:bottom w:val="single" w:sz="4" w:space="0" w:color="auto"/>
              <w:right w:val="single" w:sz="4" w:space="0" w:color="auto"/>
            </w:tcBorders>
            <w:hideMark/>
          </w:tcPr>
          <w:p w14:paraId="6DA29F36" w14:textId="77777777" w:rsidR="003A3D51" w:rsidRDefault="003A3D51">
            <w:pPr>
              <w:spacing w:after="0" w:line="276" w:lineRule="auto"/>
              <w:rPr>
                <w:rFonts w:ascii="Times New Roman" w:eastAsia="Times New Roman" w:hAnsi="Times New Roman" w:cs="Times New Roman"/>
                <w:b/>
                <w:noProof/>
              </w:rPr>
            </w:pPr>
          </w:p>
        </w:tc>
      </w:tr>
      <w:tr w:rsidR="003A3D51" w14:paraId="75878D93"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3A5B1D6" w14:textId="77777777" w:rsidR="003A3D51" w:rsidRDefault="0002775A">
            <w:pPr>
              <w:pStyle w:val="P68B1DB1-Normal7"/>
              <w:spacing w:after="0" w:line="276" w:lineRule="auto"/>
              <w:jc w:val="center"/>
              <w:rPr>
                <w:rFonts w:ascii="Times New Roman" w:hAnsi="Times New Roman" w:cs="Times New Roman"/>
                <w:noProof/>
              </w:rPr>
            </w:pPr>
            <w:r>
              <w:rPr>
                <w:noProof/>
              </w:rPr>
              <w:t>126</w:t>
            </w:r>
          </w:p>
        </w:tc>
        <w:tc>
          <w:tcPr>
            <w:tcW w:w="993" w:type="dxa"/>
            <w:tcBorders>
              <w:top w:val="single" w:sz="4" w:space="0" w:color="auto"/>
              <w:left w:val="nil"/>
              <w:bottom w:val="single" w:sz="4" w:space="0" w:color="auto"/>
              <w:right w:val="single" w:sz="4" w:space="0" w:color="auto"/>
            </w:tcBorders>
            <w:shd w:val="clear" w:color="auto" w:fill="C6EFCE"/>
            <w:noWrap/>
          </w:tcPr>
          <w:p w14:paraId="16A4331D" w14:textId="77777777" w:rsidR="003A3D51" w:rsidRDefault="0002775A">
            <w:pPr>
              <w:pStyle w:val="P68B1DB1-Normal7"/>
              <w:spacing w:after="200" w:line="276" w:lineRule="auto"/>
              <w:jc w:val="center"/>
              <w:rPr>
                <w:rFonts w:ascii="Times New Roman" w:hAnsi="Times New Roman" w:cs="Times New Roman"/>
                <w:noProof/>
              </w:rPr>
            </w:pPr>
            <w:r>
              <w:rPr>
                <w:noProof/>
              </w:rPr>
              <w:t>C1.5 R1</w:t>
            </w:r>
          </w:p>
        </w:tc>
        <w:tc>
          <w:tcPr>
            <w:tcW w:w="992" w:type="dxa"/>
            <w:tcBorders>
              <w:top w:val="single" w:sz="4" w:space="0" w:color="auto"/>
              <w:left w:val="nil"/>
              <w:bottom w:val="single" w:sz="4" w:space="0" w:color="auto"/>
              <w:right w:val="single" w:sz="4" w:space="0" w:color="auto"/>
            </w:tcBorders>
            <w:shd w:val="clear" w:color="auto" w:fill="C6EFCE"/>
            <w:noWrap/>
          </w:tcPr>
          <w:p w14:paraId="3449A73E"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08A1C8D9" w14:textId="77777777" w:rsidR="003A3D51" w:rsidRDefault="0002775A">
            <w:pPr>
              <w:pStyle w:val="P68B1DB1-Normal7"/>
              <w:spacing w:after="200" w:line="276" w:lineRule="auto"/>
              <w:rPr>
                <w:rFonts w:ascii="Times New Roman" w:hAnsi="Times New Roman" w:cs="Times New Roman"/>
                <w:noProof/>
              </w:rPr>
            </w:pPr>
            <w:r>
              <w:rPr>
                <w:noProof/>
              </w:rPr>
              <w:t>Det operativa programmet för att stärka marknadskapaciteten inom sektorn för frukt och grönsaker för perioden 2021–2026</w:t>
            </w:r>
          </w:p>
        </w:tc>
        <w:tc>
          <w:tcPr>
            <w:tcW w:w="1942" w:type="dxa"/>
            <w:tcBorders>
              <w:top w:val="single" w:sz="4" w:space="0" w:color="auto"/>
              <w:left w:val="nil"/>
              <w:bottom w:val="single" w:sz="4" w:space="0" w:color="auto"/>
              <w:right w:val="single" w:sz="4" w:space="0" w:color="auto"/>
            </w:tcBorders>
            <w:shd w:val="clear" w:color="auto" w:fill="C6EFCE"/>
            <w:noWrap/>
          </w:tcPr>
          <w:p w14:paraId="41A2DFB5" w14:textId="77777777" w:rsidR="003A3D51" w:rsidRDefault="0002775A">
            <w:pPr>
              <w:pStyle w:val="P68B1DB1-Normal7"/>
              <w:spacing w:after="200" w:line="276" w:lineRule="auto"/>
              <w:rPr>
                <w:rFonts w:ascii="Times New Roman" w:hAnsi="Times New Roman" w:cs="Times New Roman"/>
                <w:noProof/>
              </w:rPr>
            </w:pPr>
            <w:r>
              <w:rPr>
                <w:noProof/>
              </w:rPr>
              <w:t>Ikraftträdande av den kroatiska regeringens beslut om antagande av det operativa programmet för att stärka marknadskapaciteten inom frukt- och grönsakssektorn för perioden 2021–2026</w:t>
            </w:r>
          </w:p>
        </w:tc>
        <w:tc>
          <w:tcPr>
            <w:tcW w:w="1168" w:type="dxa"/>
            <w:tcBorders>
              <w:top w:val="nil"/>
              <w:left w:val="nil"/>
              <w:bottom w:val="single" w:sz="4" w:space="0" w:color="auto"/>
              <w:right w:val="single" w:sz="4" w:space="0" w:color="auto"/>
            </w:tcBorders>
            <w:shd w:val="clear" w:color="auto" w:fill="C6EFCE"/>
            <w:noWrap/>
          </w:tcPr>
          <w:p w14:paraId="206D096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120EAEC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nil"/>
              <w:left w:val="nil"/>
              <w:bottom w:val="single" w:sz="4" w:space="0" w:color="auto"/>
              <w:right w:val="single" w:sz="4" w:space="0" w:color="auto"/>
            </w:tcBorders>
            <w:shd w:val="clear" w:color="auto" w:fill="C6EFCE"/>
            <w:noWrap/>
          </w:tcPr>
          <w:p w14:paraId="5853D38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nil"/>
              <w:left w:val="nil"/>
              <w:bottom w:val="single" w:sz="4" w:space="0" w:color="auto"/>
              <w:right w:val="single" w:sz="4" w:space="0" w:color="auto"/>
            </w:tcBorders>
            <w:shd w:val="clear" w:color="auto" w:fill="C6EFCE"/>
            <w:noWrap/>
          </w:tcPr>
          <w:p w14:paraId="22E67D3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7F5F8AE3"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3577" w:type="dxa"/>
            <w:tcBorders>
              <w:top w:val="single" w:sz="4" w:space="0" w:color="auto"/>
              <w:left w:val="nil"/>
              <w:bottom w:val="single" w:sz="4" w:space="0" w:color="auto"/>
              <w:right w:val="single" w:sz="4" w:space="0" w:color="auto"/>
            </w:tcBorders>
            <w:shd w:val="clear" w:color="auto" w:fill="C6EFCE"/>
            <w:noWrap/>
          </w:tcPr>
          <w:p w14:paraId="0F601EBA" w14:textId="77777777" w:rsidR="003A3D51" w:rsidRDefault="0002775A">
            <w:pPr>
              <w:pStyle w:val="P68B1DB1-Normal7"/>
              <w:spacing w:after="200" w:line="276" w:lineRule="auto"/>
              <w:rPr>
                <w:rFonts w:ascii="Times New Roman" w:hAnsi="Times New Roman" w:cs="Times New Roman"/>
                <w:noProof/>
              </w:rPr>
            </w:pPr>
            <w:r>
              <w:rPr>
                <w:noProof/>
              </w:rPr>
              <w:t>För att genomföra den åtgärd som främst syftar till att stärka producentorganisationernas roll och förvaltningskapacitet i produktions- och saluföringskedjan för frukt och grönsaker ska det operativa programmet för att stärka marknadskapaciteten inom frukt- och grönsakssektorn för perioden 2021–2026 antas av Kroatiens regering. Den ska omfatta genomförandet av följande åtgärder: i) Bygga och utrusta logistikcentrum för frukt och grönsaker och ii) stärka producenternas ställning och erkännande i leveranskedjan för frukt och grönsaker.</w:t>
            </w:r>
          </w:p>
        </w:tc>
      </w:tr>
      <w:tr w:rsidR="003A3D51" w14:paraId="657C8024" w14:textId="77777777">
        <w:tc>
          <w:tcPr>
            <w:tcW w:w="851" w:type="dxa"/>
            <w:tcBorders>
              <w:top w:val="nil"/>
              <w:left w:val="single" w:sz="4" w:space="0" w:color="auto"/>
              <w:bottom w:val="single" w:sz="4" w:space="0" w:color="auto"/>
              <w:right w:val="single" w:sz="4" w:space="0" w:color="auto"/>
            </w:tcBorders>
            <w:shd w:val="clear" w:color="auto" w:fill="C6EFCE"/>
            <w:noWrap/>
          </w:tcPr>
          <w:p w14:paraId="6C4F2F98" w14:textId="77777777" w:rsidR="003A3D51" w:rsidRDefault="0002775A">
            <w:pPr>
              <w:pStyle w:val="P68B1DB1-Normal7"/>
              <w:spacing w:after="200" w:line="276" w:lineRule="auto"/>
              <w:jc w:val="center"/>
              <w:rPr>
                <w:rFonts w:ascii="Times New Roman" w:hAnsi="Times New Roman" w:cs="Times New Roman"/>
                <w:noProof/>
              </w:rPr>
            </w:pPr>
            <w:r>
              <w:rPr>
                <w:noProof/>
              </w:rPr>
              <w:t>127</w:t>
            </w:r>
          </w:p>
        </w:tc>
        <w:tc>
          <w:tcPr>
            <w:tcW w:w="993" w:type="dxa"/>
            <w:tcBorders>
              <w:top w:val="nil"/>
              <w:left w:val="nil"/>
              <w:bottom w:val="single" w:sz="4" w:space="0" w:color="auto"/>
              <w:right w:val="single" w:sz="4" w:space="0" w:color="auto"/>
            </w:tcBorders>
            <w:shd w:val="clear" w:color="auto" w:fill="C6EFCE"/>
            <w:noWrap/>
          </w:tcPr>
          <w:p w14:paraId="34E1C957" w14:textId="77777777" w:rsidR="003A3D51" w:rsidRDefault="0002775A">
            <w:pPr>
              <w:pStyle w:val="P68B1DB1-Normal7"/>
              <w:spacing w:after="200" w:line="276" w:lineRule="auto"/>
              <w:jc w:val="center"/>
              <w:rPr>
                <w:rFonts w:ascii="Times New Roman" w:hAnsi="Times New Roman" w:cs="Times New Roman"/>
                <w:noProof/>
              </w:rPr>
            </w:pPr>
            <w:r>
              <w:rPr>
                <w:noProof/>
              </w:rPr>
              <w:t>C1.5 R1-I1</w:t>
            </w:r>
          </w:p>
        </w:tc>
        <w:tc>
          <w:tcPr>
            <w:tcW w:w="992" w:type="dxa"/>
            <w:tcBorders>
              <w:top w:val="nil"/>
              <w:left w:val="nil"/>
              <w:bottom w:val="single" w:sz="4" w:space="0" w:color="auto"/>
              <w:right w:val="single" w:sz="4" w:space="0" w:color="auto"/>
            </w:tcBorders>
            <w:shd w:val="clear" w:color="auto" w:fill="C6EFCE"/>
            <w:noWrap/>
          </w:tcPr>
          <w:p w14:paraId="54F5D07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nil"/>
              <w:left w:val="nil"/>
              <w:bottom w:val="single" w:sz="4" w:space="0" w:color="auto"/>
              <w:right w:val="single" w:sz="4" w:space="0" w:color="auto"/>
            </w:tcBorders>
            <w:shd w:val="clear" w:color="auto" w:fill="C6EFCE"/>
            <w:noWrap/>
          </w:tcPr>
          <w:p w14:paraId="754B5878" w14:textId="77777777" w:rsidR="003A3D51" w:rsidRDefault="0002775A">
            <w:pPr>
              <w:pStyle w:val="P68B1DB1-Normal7"/>
              <w:spacing w:after="200" w:line="276" w:lineRule="auto"/>
              <w:rPr>
                <w:rFonts w:ascii="Times New Roman" w:hAnsi="Times New Roman" w:cs="Times New Roman"/>
                <w:noProof/>
              </w:rPr>
            </w:pPr>
            <w:r>
              <w:rPr>
                <w:noProof/>
              </w:rPr>
              <w:t xml:space="preserve">Ett logistikdistributionscentrum som byggs och är i drift.  </w:t>
            </w:r>
          </w:p>
        </w:tc>
        <w:tc>
          <w:tcPr>
            <w:tcW w:w="1942" w:type="dxa"/>
            <w:tcBorders>
              <w:top w:val="nil"/>
              <w:left w:val="nil"/>
              <w:bottom w:val="single" w:sz="4" w:space="0" w:color="auto"/>
              <w:right w:val="single" w:sz="4" w:space="0" w:color="auto"/>
            </w:tcBorders>
            <w:shd w:val="clear" w:color="auto" w:fill="C6EFCE"/>
            <w:noWrap/>
          </w:tcPr>
          <w:p w14:paraId="668DDB5E"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nil"/>
              <w:left w:val="nil"/>
              <w:bottom w:val="single" w:sz="4" w:space="0" w:color="auto"/>
              <w:right w:val="single" w:sz="4" w:space="0" w:color="auto"/>
            </w:tcBorders>
            <w:shd w:val="clear" w:color="auto" w:fill="C6EFCE"/>
            <w:noWrap/>
          </w:tcPr>
          <w:p w14:paraId="6B25950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nil"/>
              <w:left w:val="nil"/>
              <w:bottom w:val="single" w:sz="4" w:space="0" w:color="auto"/>
              <w:right w:val="single" w:sz="4" w:space="0" w:color="auto"/>
            </w:tcBorders>
            <w:shd w:val="clear" w:color="auto" w:fill="C6EFCE"/>
            <w:noWrap/>
          </w:tcPr>
          <w:p w14:paraId="1BD29B90"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tcPr>
          <w:p w14:paraId="79A6A65F"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425" w:type="dxa"/>
            <w:tcBorders>
              <w:top w:val="nil"/>
              <w:left w:val="nil"/>
              <w:bottom w:val="single" w:sz="4" w:space="0" w:color="auto"/>
              <w:right w:val="single" w:sz="4" w:space="0" w:color="auto"/>
            </w:tcBorders>
            <w:shd w:val="clear" w:color="auto" w:fill="C6EFCE"/>
            <w:noWrap/>
          </w:tcPr>
          <w:p w14:paraId="09497A2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62E01CE2"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3577" w:type="dxa"/>
            <w:tcBorders>
              <w:top w:val="nil"/>
              <w:left w:val="nil"/>
              <w:bottom w:val="single" w:sz="4" w:space="0" w:color="auto"/>
              <w:right w:val="single" w:sz="4" w:space="0" w:color="auto"/>
            </w:tcBorders>
            <w:shd w:val="clear" w:color="auto" w:fill="C6EFCE"/>
            <w:noWrap/>
          </w:tcPr>
          <w:p w14:paraId="4AC0E776" w14:textId="77777777" w:rsidR="003A3D51" w:rsidRDefault="0002775A">
            <w:pPr>
              <w:pStyle w:val="P68B1DB1-Normal7"/>
              <w:spacing w:after="200" w:line="276" w:lineRule="auto"/>
              <w:rPr>
                <w:rFonts w:ascii="Times New Roman" w:hAnsi="Times New Roman" w:cs="Times New Roman"/>
                <w:noProof/>
              </w:rPr>
            </w:pPr>
            <w:r>
              <w:rPr>
                <w:noProof/>
              </w:rPr>
              <w:t>Det byggda logistikdistributionscentrumet (LDC) ska omfatta en renoveringsdel avsedd för mottagning av produkten, rengöring, tvättning, sortering och förpackning, samt en lagringsdel av lämplig mottagnings- och lagringskapacitet under kylning och långtidslagring samt en viss grad av bearbetning av produkten. Den primära bearbetningen av frukt och grönsaker planeras för att använda produkter av icke-standardiserad kvalitet och på så sätt undvika matsvinn (avfall). De minst utvecklade ländernas lagringskapacitet ska vara minst 3 000 och högst 12 000 ton. Åtgärden gäller uppförandet av en ny byggnad, med ett primärenergibehov som är minst 20 % lägre än nära-nollenergibyggnaden.</w:t>
            </w:r>
          </w:p>
        </w:tc>
      </w:tr>
      <w:tr w:rsidR="003A3D51" w14:paraId="24A56C4A" w14:textId="77777777">
        <w:tc>
          <w:tcPr>
            <w:tcW w:w="851" w:type="dxa"/>
            <w:tcBorders>
              <w:top w:val="nil"/>
              <w:left w:val="single" w:sz="4" w:space="0" w:color="auto"/>
              <w:bottom w:val="single" w:sz="4" w:space="0" w:color="auto"/>
              <w:right w:val="single" w:sz="4" w:space="0" w:color="auto"/>
            </w:tcBorders>
            <w:shd w:val="clear" w:color="auto" w:fill="C6EFCE"/>
            <w:noWrap/>
          </w:tcPr>
          <w:p w14:paraId="744CE2F4" w14:textId="77777777" w:rsidR="003A3D51" w:rsidRDefault="0002775A">
            <w:pPr>
              <w:pStyle w:val="P68B1DB1-Normal7"/>
              <w:spacing w:after="200" w:line="276" w:lineRule="auto"/>
              <w:jc w:val="center"/>
              <w:rPr>
                <w:rFonts w:ascii="Times New Roman" w:hAnsi="Times New Roman" w:cs="Times New Roman"/>
                <w:noProof/>
              </w:rPr>
            </w:pPr>
            <w:r>
              <w:rPr>
                <w:noProof/>
              </w:rPr>
              <w:t>128</w:t>
            </w:r>
          </w:p>
        </w:tc>
        <w:tc>
          <w:tcPr>
            <w:tcW w:w="993" w:type="dxa"/>
            <w:tcBorders>
              <w:top w:val="nil"/>
              <w:left w:val="nil"/>
              <w:bottom w:val="single" w:sz="4" w:space="0" w:color="auto"/>
              <w:right w:val="single" w:sz="4" w:space="0" w:color="auto"/>
            </w:tcBorders>
            <w:shd w:val="clear" w:color="auto" w:fill="C6EFCE"/>
            <w:noWrap/>
          </w:tcPr>
          <w:p w14:paraId="44ABB0D6" w14:textId="77777777" w:rsidR="003A3D51" w:rsidRDefault="0002775A">
            <w:pPr>
              <w:pStyle w:val="P68B1DB1-Normal7"/>
              <w:spacing w:after="200" w:line="276" w:lineRule="auto"/>
              <w:jc w:val="center"/>
              <w:rPr>
                <w:rFonts w:ascii="Times New Roman" w:hAnsi="Times New Roman" w:cs="Times New Roman"/>
                <w:noProof/>
              </w:rPr>
            </w:pPr>
            <w:r>
              <w:rPr>
                <w:noProof/>
              </w:rPr>
              <w:t>C1.5 R1-I1</w:t>
            </w:r>
          </w:p>
        </w:tc>
        <w:tc>
          <w:tcPr>
            <w:tcW w:w="992" w:type="dxa"/>
            <w:tcBorders>
              <w:top w:val="nil"/>
              <w:left w:val="nil"/>
              <w:bottom w:val="single" w:sz="4" w:space="0" w:color="auto"/>
              <w:right w:val="single" w:sz="4" w:space="0" w:color="auto"/>
            </w:tcBorders>
            <w:shd w:val="clear" w:color="auto" w:fill="C6EFCE"/>
            <w:noWrap/>
          </w:tcPr>
          <w:p w14:paraId="09ABE7E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nil"/>
              <w:left w:val="nil"/>
              <w:bottom w:val="single" w:sz="4" w:space="0" w:color="auto"/>
              <w:right w:val="single" w:sz="4" w:space="0" w:color="auto"/>
            </w:tcBorders>
            <w:shd w:val="clear" w:color="auto" w:fill="C6EFCE"/>
            <w:noWrap/>
          </w:tcPr>
          <w:p w14:paraId="22EB1F98" w14:textId="77777777" w:rsidR="003A3D51" w:rsidRDefault="0002775A">
            <w:pPr>
              <w:pStyle w:val="P68B1DB1-Normal7"/>
              <w:spacing w:after="200" w:line="276" w:lineRule="auto"/>
              <w:rPr>
                <w:rFonts w:ascii="Times New Roman" w:hAnsi="Times New Roman" w:cs="Times New Roman"/>
                <w:noProof/>
              </w:rPr>
            </w:pPr>
            <w:r>
              <w:rPr>
                <w:noProof/>
              </w:rPr>
              <w:t xml:space="preserve">Minst tre logistikdistributionscentraler har byggts och tagits i drift.  </w:t>
            </w:r>
          </w:p>
        </w:tc>
        <w:tc>
          <w:tcPr>
            <w:tcW w:w="1942" w:type="dxa"/>
            <w:tcBorders>
              <w:top w:val="nil"/>
              <w:left w:val="nil"/>
              <w:bottom w:val="single" w:sz="4" w:space="0" w:color="auto"/>
              <w:right w:val="single" w:sz="4" w:space="0" w:color="auto"/>
            </w:tcBorders>
            <w:shd w:val="clear" w:color="auto" w:fill="C6EFCE"/>
            <w:noWrap/>
          </w:tcPr>
          <w:p w14:paraId="3127CBEF"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nil"/>
              <w:left w:val="nil"/>
              <w:bottom w:val="single" w:sz="4" w:space="0" w:color="auto"/>
              <w:right w:val="single" w:sz="4" w:space="0" w:color="auto"/>
            </w:tcBorders>
            <w:shd w:val="clear" w:color="auto" w:fill="C6EFCE"/>
            <w:noWrap/>
          </w:tcPr>
          <w:p w14:paraId="5EC74EC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nil"/>
              <w:left w:val="nil"/>
              <w:bottom w:val="single" w:sz="4" w:space="0" w:color="auto"/>
              <w:right w:val="single" w:sz="4" w:space="0" w:color="auto"/>
            </w:tcBorders>
            <w:shd w:val="clear" w:color="auto" w:fill="C6EFCE"/>
            <w:noWrap/>
          </w:tcPr>
          <w:p w14:paraId="1F257EDC"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tcPr>
          <w:p w14:paraId="7C808699" w14:textId="77777777" w:rsidR="003A3D51" w:rsidRDefault="0002775A">
            <w:pPr>
              <w:pStyle w:val="P68B1DB1-Normal7"/>
              <w:spacing w:after="200" w:line="276" w:lineRule="auto"/>
              <w:jc w:val="center"/>
              <w:rPr>
                <w:rFonts w:ascii="Times New Roman" w:hAnsi="Times New Roman" w:cs="Times New Roman"/>
                <w:noProof/>
              </w:rPr>
            </w:pPr>
            <w:r>
              <w:rPr>
                <w:noProof/>
              </w:rPr>
              <w:t>3</w:t>
            </w:r>
          </w:p>
        </w:tc>
        <w:tc>
          <w:tcPr>
            <w:tcW w:w="425" w:type="dxa"/>
            <w:tcBorders>
              <w:top w:val="nil"/>
              <w:left w:val="nil"/>
              <w:bottom w:val="single" w:sz="4" w:space="0" w:color="auto"/>
              <w:right w:val="single" w:sz="4" w:space="0" w:color="auto"/>
            </w:tcBorders>
            <w:shd w:val="clear" w:color="auto" w:fill="C6EFCE"/>
            <w:noWrap/>
          </w:tcPr>
          <w:p w14:paraId="69B8A320"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709" w:type="dxa"/>
            <w:tcBorders>
              <w:top w:val="nil"/>
              <w:left w:val="nil"/>
              <w:bottom w:val="single" w:sz="4" w:space="0" w:color="auto"/>
              <w:right w:val="single" w:sz="4" w:space="0" w:color="auto"/>
            </w:tcBorders>
            <w:shd w:val="clear" w:color="auto" w:fill="C6EFCE"/>
            <w:noWrap/>
          </w:tcPr>
          <w:p w14:paraId="6B56F317"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3577" w:type="dxa"/>
            <w:tcBorders>
              <w:top w:val="nil"/>
              <w:left w:val="nil"/>
              <w:bottom w:val="single" w:sz="4" w:space="0" w:color="auto"/>
              <w:right w:val="single" w:sz="4" w:space="0" w:color="auto"/>
            </w:tcBorders>
            <w:shd w:val="clear" w:color="auto" w:fill="C6EFCE"/>
            <w:noWrap/>
          </w:tcPr>
          <w:p w14:paraId="01B8ABDA" w14:textId="77777777" w:rsidR="003A3D51" w:rsidRDefault="0002775A">
            <w:pPr>
              <w:pStyle w:val="P68B1DB1-Normal7"/>
              <w:spacing w:after="200" w:line="276" w:lineRule="auto"/>
              <w:rPr>
                <w:rFonts w:ascii="Times New Roman" w:hAnsi="Times New Roman" w:cs="Times New Roman"/>
                <w:noProof/>
              </w:rPr>
            </w:pPr>
            <w:r>
              <w:rPr>
                <w:noProof/>
              </w:rPr>
              <w:t>Det 3 byggda logistikdistributionscentrumet (LDC) ska omfatta en renoveringsdel avsedd för mottagning av produkten, rengöring, tvättning, sortering och förpackning, samt en lagringsdel av lämplig mottagnings- och lagringskapacitet under kylning och långtidslagring och en viss bearbetningsnivå för produkten. Den primära bearbetningen av frukt och grönsaker planeras för att använda produkter av icke-standardiserad kvalitet och på så sätt undvika matsvinn (avfall). Lagringskapaciteten för varje minst utvecklat land ska vara minst 3 000 upp till högst 12 000 ton. Åtgärden gäller uppförandet av en ny byggnad, med ett primärenergibehov som är minst 20 % lägre än nära-nollenergibyggnaden.</w:t>
            </w:r>
          </w:p>
        </w:tc>
      </w:tr>
      <w:tr w:rsidR="003A3D51" w14:paraId="3D63D7A8" w14:textId="77777777">
        <w:tc>
          <w:tcPr>
            <w:tcW w:w="851" w:type="dxa"/>
            <w:tcBorders>
              <w:top w:val="nil"/>
              <w:left w:val="single" w:sz="4" w:space="0" w:color="auto"/>
              <w:bottom w:val="single" w:sz="4" w:space="0" w:color="auto"/>
              <w:right w:val="single" w:sz="4" w:space="0" w:color="auto"/>
            </w:tcBorders>
            <w:shd w:val="clear" w:color="auto" w:fill="C6EFCE"/>
            <w:noWrap/>
          </w:tcPr>
          <w:p w14:paraId="79381F29" w14:textId="77777777" w:rsidR="003A3D51" w:rsidRDefault="0002775A">
            <w:pPr>
              <w:pStyle w:val="P68B1DB1-Normal7"/>
              <w:spacing w:after="200" w:line="276" w:lineRule="auto"/>
              <w:jc w:val="center"/>
              <w:rPr>
                <w:rFonts w:ascii="Times New Roman" w:hAnsi="Times New Roman" w:cs="Times New Roman"/>
                <w:noProof/>
              </w:rPr>
            </w:pPr>
            <w:r>
              <w:rPr>
                <w:noProof/>
              </w:rPr>
              <w:t>129</w:t>
            </w:r>
          </w:p>
        </w:tc>
        <w:tc>
          <w:tcPr>
            <w:tcW w:w="993" w:type="dxa"/>
            <w:tcBorders>
              <w:top w:val="nil"/>
              <w:left w:val="nil"/>
              <w:bottom w:val="single" w:sz="4" w:space="0" w:color="auto"/>
              <w:right w:val="single" w:sz="4" w:space="0" w:color="auto"/>
            </w:tcBorders>
            <w:shd w:val="clear" w:color="auto" w:fill="C6EFCE"/>
            <w:noWrap/>
          </w:tcPr>
          <w:p w14:paraId="79105549" w14:textId="77777777" w:rsidR="003A3D51" w:rsidRDefault="0002775A">
            <w:pPr>
              <w:pStyle w:val="P68B1DB1-Normal7"/>
              <w:spacing w:after="200" w:line="276" w:lineRule="auto"/>
              <w:jc w:val="center"/>
              <w:rPr>
                <w:rFonts w:ascii="Times New Roman" w:hAnsi="Times New Roman" w:cs="Times New Roman"/>
                <w:noProof/>
              </w:rPr>
            </w:pPr>
            <w:r>
              <w:rPr>
                <w:noProof/>
              </w:rPr>
              <w:t>C1.5 R1-I2</w:t>
            </w:r>
          </w:p>
        </w:tc>
        <w:tc>
          <w:tcPr>
            <w:tcW w:w="992" w:type="dxa"/>
            <w:tcBorders>
              <w:top w:val="nil"/>
              <w:left w:val="nil"/>
              <w:bottom w:val="single" w:sz="4" w:space="0" w:color="auto"/>
              <w:right w:val="single" w:sz="4" w:space="0" w:color="auto"/>
            </w:tcBorders>
            <w:shd w:val="clear" w:color="auto" w:fill="C6EFCE"/>
            <w:noWrap/>
          </w:tcPr>
          <w:p w14:paraId="02A4D93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nil"/>
              <w:left w:val="nil"/>
              <w:bottom w:val="single" w:sz="4" w:space="0" w:color="auto"/>
              <w:right w:val="single" w:sz="4" w:space="0" w:color="auto"/>
            </w:tcBorders>
            <w:shd w:val="clear" w:color="auto" w:fill="C6EFCE"/>
            <w:noWrap/>
          </w:tcPr>
          <w:p w14:paraId="092DEB06" w14:textId="77777777" w:rsidR="003A3D51" w:rsidRDefault="0002775A">
            <w:pPr>
              <w:pStyle w:val="P68B1DB1-Normal7"/>
              <w:spacing w:after="200" w:line="276" w:lineRule="auto"/>
              <w:rPr>
                <w:rFonts w:ascii="Times New Roman" w:hAnsi="Times New Roman" w:cs="Times New Roman"/>
                <w:noProof/>
              </w:rPr>
            </w:pPr>
            <w:r>
              <w:rPr>
                <w:noProof/>
              </w:rPr>
              <w:t xml:space="preserve">Utbildning för producentorganisationer     </w:t>
            </w:r>
          </w:p>
        </w:tc>
        <w:tc>
          <w:tcPr>
            <w:tcW w:w="1942" w:type="dxa"/>
            <w:tcBorders>
              <w:top w:val="nil"/>
              <w:left w:val="nil"/>
              <w:bottom w:val="single" w:sz="4" w:space="0" w:color="auto"/>
              <w:right w:val="single" w:sz="4" w:space="0" w:color="auto"/>
            </w:tcBorders>
            <w:shd w:val="clear" w:color="auto" w:fill="C6EFCE"/>
            <w:noWrap/>
          </w:tcPr>
          <w:p w14:paraId="419E091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nil"/>
              <w:left w:val="nil"/>
              <w:bottom w:val="single" w:sz="4" w:space="0" w:color="auto"/>
              <w:right w:val="single" w:sz="4" w:space="0" w:color="auto"/>
            </w:tcBorders>
            <w:shd w:val="clear" w:color="auto" w:fill="C6EFCE"/>
            <w:noWrap/>
          </w:tcPr>
          <w:p w14:paraId="66CEB15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nil"/>
              <w:left w:val="nil"/>
              <w:bottom w:val="single" w:sz="4" w:space="0" w:color="auto"/>
              <w:right w:val="single" w:sz="4" w:space="0" w:color="auto"/>
            </w:tcBorders>
            <w:shd w:val="clear" w:color="auto" w:fill="C6EFCE"/>
            <w:noWrap/>
          </w:tcPr>
          <w:p w14:paraId="2277831F"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tcPr>
          <w:p w14:paraId="5DEE0E88" w14:textId="77777777" w:rsidR="003A3D51" w:rsidRDefault="0002775A">
            <w:pPr>
              <w:pStyle w:val="P68B1DB1-Normal7"/>
              <w:spacing w:after="200" w:line="276" w:lineRule="auto"/>
              <w:jc w:val="center"/>
              <w:rPr>
                <w:rFonts w:ascii="Times New Roman" w:hAnsi="Times New Roman" w:cs="Times New Roman"/>
                <w:noProof/>
              </w:rPr>
            </w:pPr>
            <w:r>
              <w:rPr>
                <w:noProof/>
              </w:rPr>
              <w:t>3</w:t>
            </w:r>
          </w:p>
        </w:tc>
        <w:tc>
          <w:tcPr>
            <w:tcW w:w="425" w:type="dxa"/>
            <w:tcBorders>
              <w:top w:val="nil"/>
              <w:left w:val="nil"/>
              <w:bottom w:val="single" w:sz="4" w:space="0" w:color="auto"/>
              <w:right w:val="single" w:sz="4" w:space="0" w:color="auto"/>
            </w:tcBorders>
            <w:shd w:val="clear" w:color="auto" w:fill="C6EFCE"/>
            <w:noWrap/>
          </w:tcPr>
          <w:p w14:paraId="10B0622F"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709" w:type="dxa"/>
            <w:tcBorders>
              <w:top w:val="nil"/>
              <w:left w:val="nil"/>
              <w:bottom w:val="single" w:sz="4" w:space="0" w:color="auto"/>
              <w:right w:val="single" w:sz="4" w:space="0" w:color="auto"/>
            </w:tcBorders>
            <w:shd w:val="clear" w:color="auto" w:fill="C6EFCE"/>
            <w:noWrap/>
          </w:tcPr>
          <w:p w14:paraId="59B35254"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3577" w:type="dxa"/>
            <w:tcBorders>
              <w:top w:val="nil"/>
              <w:left w:val="nil"/>
              <w:bottom w:val="single" w:sz="4" w:space="0" w:color="auto"/>
              <w:right w:val="single" w:sz="4" w:space="0" w:color="auto"/>
            </w:tcBorders>
            <w:shd w:val="clear" w:color="auto" w:fill="C6EFCE"/>
            <w:noWrap/>
          </w:tcPr>
          <w:p w14:paraId="4F6A55A1" w14:textId="77777777" w:rsidR="003A3D51" w:rsidRDefault="0002775A">
            <w:pPr>
              <w:pStyle w:val="P68B1DB1-Normal7"/>
              <w:spacing w:after="200" w:line="276" w:lineRule="auto"/>
              <w:rPr>
                <w:rFonts w:ascii="Times New Roman" w:hAnsi="Times New Roman" w:cs="Times New Roman"/>
                <w:noProof/>
              </w:rPr>
            </w:pPr>
            <w:r>
              <w:rPr>
                <w:noProof/>
              </w:rPr>
              <w:t>För minst 3 producentorganisationer med minst 15 personer ska utbildning genomföras på området förvaltning och finansiering av producentorganisationer som är kopplade till det logistiska distributionscentrumet. Förvaltningsutbildning och ekonomisk utbildning ska genomföras för att göra det möjligt för producentorganisationerna att spela en nyckelroll i producentorganisationen, förbättra deras ställning när det gäller gemensam marknadspenetration och för de logistiska distributionscentrumens styrnings- och ägarstruktur.</w:t>
            </w:r>
          </w:p>
        </w:tc>
      </w:tr>
      <w:tr w:rsidR="003A3D51" w14:paraId="65B85EEB" w14:textId="77777777">
        <w:tc>
          <w:tcPr>
            <w:tcW w:w="851" w:type="dxa"/>
            <w:tcBorders>
              <w:top w:val="nil"/>
              <w:left w:val="single" w:sz="4" w:space="0" w:color="auto"/>
              <w:bottom w:val="single" w:sz="4" w:space="0" w:color="auto"/>
              <w:right w:val="single" w:sz="4" w:space="0" w:color="auto"/>
            </w:tcBorders>
            <w:shd w:val="clear" w:color="auto" w:fill="C6EFCE"/>
            <w:noWrap/>
          </w:tcPr>
          <w:p w14:paraId="3A551D86" w14:textId="77777777" w:rsidR="003A3D51" w:rsidRDefault="0002775A">
            <w:pPr>
              <w:pStyle w:val="P68B1DB1-Normal7"/>
              <w:spacing w:after="200" w:line="276" w:lineRule="auto"/>
              <w:jc w:val="center"/>
              <w:rPr>
                <w:rFonts w:ascii="Times New Roman" w:hAnsi="Times New Roman" w:cs="Times New Roman"/>
                <w:noProof/>
              </w:rPr>
            </w:pPr>
            <w:r>
              <w:rPr>
                <w:noProof/>
              </w:rPr>
              <w:t>130</w:t>
            </w:r>
          </w:p>
        </w:tc>
        <w:tc>
          <w:tcPr>
            <w:tcW w:w="993" w:type="dxa"/>
            <w:tcBorders>
              <w:top w:val="nil"/>
              <w:left w:val="nil"/>
              <w:bottom w:val="single" w:sz="4" w:space="0" w:color="auto"/>
              <w:right w:val="single" w:sz="4" w:space="0" w:color="auto"/>
            </w:tcBorders>
            <w:shd w:val="clear" w:color="auto" w:fill="C6EFCE"/>
            <w:noWrap/>
          </w:tcPr>
          <w:p w14:paraId="6E5A812F" w14:textId="77777777" w:rsidR="003A3D51" w:rsidRDefault="0002775A">
            <w:pPr>
              <w:pStyle w:val="P68B1DB1-Normal7"/>
              <w:spacing w:after="200" w:line="276" w:lineRule="auto"/>
              <w:jc w:val="center"/>
              <w:rPr>
                <w:rFonts w:ascii="Times New Roman" w:hAnsi="Times New Roman" w:cs="Times New Roman"/>
                <w:noProof/>
              </w:rPr>
            </w:pPr>
            <w:r>
              <w:rPr>
                <w:noProof/>
              </w:rPr>
              <w:t>C1.5 R1-I2</w:t>
            </w:r>
          </w:p>
        </w:tc>
        <w:tc>
          <w:tcPr>
            <w:tcW w:w="992" w:type="dxa"/>
            <w:tcBorders>
              <w:top w:val="nil"/>
              <w:left w:val="nil"/>
              <w:bottom w:val="single" w:sz="4" w:space="0" w:color="auto"/>
              <w:right w:val="single" w:sz="4" w:space="0" w:color="auto"/>
            </w:tcBorders>
            <w:shd w:val="clear" w:color="auto" w:fill="C6EFCE"/>
            <w:noWrap/>
          </w:tcPr>
          <w:p w14:paraId="211ACA4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nil"/>
              <w:left w:val="nil"/>
              <w:bottom w:val="single" w:sz="4" w:space="0" w:color="auto"/>
              <w:right w:val="single" w:sz="4" w:space="0" w:color="auto"/>
            </w:tcBorders>
            <w:shd w:val="clear" w:color="auto" w:fill="C6EFCE"/>
            <w:noWrap/>
          </w:tcPr>
          <w:p w14:paraId="1BCFF146" w14:textId="77777777" w:rsidR="003A3D51" w:rsidRDefault="0002775A">
            <w:pPr>
              <w:pStyle w:val="P68B1DB1-Normal7"/>
              <w:spacing w:after="200" w:line="276" w:lineRule="auto"/>
              <w:rPr>
                <w:rFonts w:ascii="Times New Roman" w:hAnsi="Times New Roman" w:cs="Times New Roman"/>
                <w:noProof/>
              </w:rPr>
            </w:pPr>
            <w:r>
              <w:rPr>
                <w:noProof/>
              </w:rPr>
              <w:t>System för märkning av frukt och grönsaker</w:t>
            </w:r>
          </w:p>
        </w:tc>
        <w:tc>
          <w:tcPr>
            <w:tcW w:w="1942" w:type="dxa"/>
            <w:tcBorders>
              <w:top w:val="nil"/>
              <w:left w:val="nil"/>
              <w:bottom w:val="single" w:sz="4" w:space="0" w:color="auto"/>
              <w:right w:val="single" w:sz="4" w:space="0" w:color="auto"/>
            </w:tcBorders>
            <w:shd w:val="clear" w:color="auto" w:fill="C6EFCE"/>
            <w:noWrap/>
          </w:tcPr>
          <w:p w14:paraId="1367C33A"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1168" w:type="dxa"/>
            <w:tcBorders>
              <w:top w:val="nil"/>
              <w:left w:val="nil"/>
              <w:bottom w:val="single" w:sz="4" w:space="0" w:color="auto"/>
              <w:right w:val="single" w:sz="4" w:space="0" w:color="auto"/>
            </w:tcBorders>
            <w:shd w:val="clear" w:color="auto" w:fill="C6EFCE"/>
            <w:noWrap/>
          </w:tcPr>
          <w:p w14:paraId="0EB955C6"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nil"/>
              <w:left w:val="nil"/>
              <w:bottom w:val="single" w:sz="4" w:space="0" w:color="auto"/>
              <w:right w:val="single" w:sz="4" w:space="0" w:color="auto"/>
            </w:tcBorders>
            <w:shd w:val="clear" w:color="auto" w:fill="C6EFCE"/>
            <w:noWrap/>
          </w:tcPr>
          <w:p w14:paraId="771C4E4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tcPr>
          <w:p w14:paraId="13F36F88"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425" w:type="dxa"/>
            <w:tcBorders>
              <w:top w:val="nil"/>
              <w:left w:val="nil"/>
              <w:bottom w:val="single" w:sz="4" w:space="0" w:color="auto"/>
              <w:right w:val="single" w:sz="4" w:space="0" w:color="auto"/>
            </w:tcBorders>
            <w:shd w:val="clear" w:color="auto" w:fill="C6EFCE"/>
            <w:noWrap/>
          </w:tcPr>
          <w:p w14:paraId="7D0A6C60"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709" w:type="dxa"/>
            <w:tcBorders>
              <w:top w:val="nil"/>
              <w:left w:val="nil"/>
              <w:bottom w:val="single" w:sz="4" w:space="0" w:color="auto"/>
              <w:right w:val="single" w:sz="4" w:space="0" w:color="auto"/>
            </w:tcBorders>
            <w:shd w:val="clear" w:color="auto" w:fill="C6EFCE"/>
            <w:noWrap/>
          </w:tcPr>
          <w:p w14:paraId="13EC9304"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3577" w:type="dxa"/>
            <w:tcBorders>
              <w:top w:val="nil"/>
              <w:left w:val="nil"/>
              <w:bottom w:val="single" w:sz="4" w:space="0" w:color="auto"/>
              <w:right w:val="single" w:sz="4" w:space="0" w:color="auto"/>
            </w:tcBorders>
            <w:shd w:val="clear" w:color="auto" w:fill="C6EFCE"/>
            <w:noWrap/>
          </w:tcPr>
          <w:p w14:paraId="75D0C8E8" w14:textId="77777777" w:rsidR="003A3D51" w:rsidRDefault="0002775A">
            <w:pPr>
              <w:pStyle w:val="P68B1DB1-Normal7"/>
              <w:spacing w:after="200" w:line="276" w:lineRule="auto"/>
              <w:rPr>
                <w:rFonts w:ascii="Times New Roman" w:hAnsi="Times New Roman" w:cs="Times New Roman"/>
                <w:noProof/>
              </w:rPr>
            </w:pPr>
            <w:r>
              <w:rPr>
                <w:noProof/>
              </w:rPr>
              <w:t>Ett system för att skapa igenkännliga märkningar på frukt- och grönsaksmarknaden ska utvecklas i samarbete med jordbruksministeriet och den kroatiska jordbruks- och livsmedelsmyndigheten. Systemet ska vara frivilligt och komplettera redan befintliga kvalitetssystem som tagits fram av jordbruksministeriet. Ett utvecklat system förväntas ge ett bättre erkännande till lokala och regionala producenter och förbättra kvalitetssäkringen av jordbruksbaserade livsmedelsprodukter.</w:t>
            </w:r>
          </w:p>
        </w:tc>
      </w:tr>
      <w:tr w:rsidR="003A3D51" w14:paraId="13CFB197"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6D1E5A46" w14:textId="77777777" w:rsidR="003A3D51" w:rsidRDefault="0002775A">
            <w:pPr>
              <w:pStyle w:val="P68B1DB1-Normal7"/>
              <w:spacing w:after="200" w:line="276" w:lineRule="auto"/>
              <w:jc w:val="center"/>
              <w:rPr>
                <w:rFonts w:ascii="Times New Roman" w:hAnsi="Times New Roman" w:cs="Times New Roman"/>
                <w:noProof/>
              </w:rPr>
            </w:pPr>
            <w:r>
              <w:rPr>
                <w:noProof/>
              </w:rPr>
              <w:t>131</w:t>
            </w:r>
          </w:p>
        </w:tc>
        <w:tc>
          <w:tcPr>
            <w:tcW w:w="993" w:type="dxa"/>
            <w:tcBorders>
              <w:top w:val="single" w:sz="4" w:space="0" w:color="auto"/>
              <w:left w:val="nil"/>
              <w:bottom w:val="single" w:sz="4" w:space="0" w:color="auto"/>
              <w:right w:val="single" w:sz="4" w:space="0" w:color="auto"/>
            </w:tcBorders>
            <w:shd w:val="clear" w:color="auto" w:fill="C6EFCE"/>
            <w:noWrap/>
          </w:tcPr>
          <w:p w14:paraId="407A27C4" w14:textId="77777777" w:rsidR="003A3D51" w:rsidRDefault="0002775A">
            <w:pPr>
              <w:pStyle w:val="P68B1DB1-Normal7"/>
              <w:spacing w:after="200" w:line="276" w:lineRule="auto"/>
              <w:jc w:val="center"/>
              <w:rPr>
                <w:rFonts w:ascii="Times New Roman" w:hAnsi="Times New Roman" w:cs="Times New Roman"/>
                <w:noProof/>
              </w:rPr>
            </w:pPr>
            <w:r>
              <w:rPr>
                <w:noProof/>
              </w:rPr>
              <w:t>C1.5 R2</w:t>
            </w:r>
          </w:p>
        </w:tc>
        <w:tc>
          <w:tcPr>
            <w:tcW w:w="992" w:type="dxa"/>
            <w:tcBorders>
              <w:top w:val="single" w:sz="4" w:space="0" w:color="auto"/>
              <w:left w:val="nil"/>
              <w:bottom w:val="single" w:sz="4" w:space="0" w:color="auto"/>
              <w:right w:val="single" w:sz="4" w:space="0" w:color="auto"/>
            </w:tcBorders>
            <w:shd w:val="clear" w:color="auto" w:fill="C6EFCE"/>
            <w:noWrap/>
          </w:tcPr>
          <w:p w14:paraId="2954594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23F0DE4B" w14:textId="77777777" w:rsidR="003A3D51" w:rsidRDefault="0002775A">
            <w:pPr>
              <w:pStyle w:val="P68B1DB1-Normal7"/>
              <w:spacing w:after="200" w:line="276" w:lineRule="auto"/>
              <w:rPr>
                <w:rFonts w:ascii="Times New Roman" w:hAnsi="Times New Roman" w:cs="Times New Roman"/>
                <w:noProof/>
              </w:rPr>
            </w:pPr>
            <w:r>
              <w:rPr>
                <w:noProof/>
              </w:rPr>
              <w:t>Ny lag om konsolidering av jordbruksmark</w:t>
            </w:r>
          </w:p>
        </w:tc>
        <w:tc>
          <w:tcPr>
            <w:tcW w:w="1942" w:type="dxa"/>
            <w:tcBorders>
              <w:top w:val="single" w:sz="4" w:space="0" w:color="auto"/>
              <w:left w:val="nil"/>
              <w:bottom w:val="single" w:sz="4" w:space="0" w:color="auto"/>
              <w:right w:val="single" w:sz="4" w:space="0" w:color="auto"/>
            </w:tcBorders>
            <w:shd w:val="clear" w:color="auto" w:fill="C6EFCE"/>
            <w:noWrap/>
          </w:tcPr>
          <w:p w14:paraId="6A8CA841"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den nya lagen om konsolidering av jordbruksmark </w:t>
            </w:r>
          </w:p>
        </w:tc>
        <w:tc>
          <w:tcPr>
            <w:tcW w:w="1168" w:type="dxa"/>
            <w:tcBorders>
              <w:top w:val="single" w:sz="4" w:space="0" w:color="auto"/>
              <w:left w:val="nil"/>
              <w:bottom w:val="single" w:sz="4" w:space="0" w:color="auto"/>
              <w:right w:val="single" w:sz="4" w:space="0" w:color="auto"/>
            </w:tcBorders>
            <w:shd w:val="clear" w:color="auto" w:fill="C6EFCE"/>
            <w:noWrap/>
          </w:tcPr>
          <w:p w14:paraId="311FAA9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26E1438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2AE904A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single" w:sz="4" w:space="0" w:color="auto"/>
              <w:left w:val="nil"/>
              <w:bottom w:val="single" w:sz="4" w:space="0" w:color="auto"/>
              <w:right w:val="single" w:sz="4" w:space="0" w:color="auto"/>
            </w:tcBorders>
            <w:shd w:val="clear" w:color="auto" w:fill="C6EFCE"/>
            <w:noWrap/>
          </w:tcPr>
          <w:p w14:paraId="4864A714"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709" w:type="dxa"/>
            <w:tcBorders>
              <w:top w:val="single" w:sz="4" w:space="0" w:color="auto"/>
              <w:left w:val="nil"/>
              <w:bottom w:val="single" w:sz="4" w:space="0" w:color="auto"/>
              <w:right w:val="single" w:sz="4" w:space="0" w:color="auto"/>
            </w:tcBorders>
            <w:shd w:val="clear" w:color="auto" w:fill="C6EFCE"/>
            <w:noWrap/>
          </w:tcPr>
          <w:p w14:paraId="586A8261"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3577" w:type="dxa"/>
            <w:tcBorders>
              <w:top w:val="single" w:sz="4" w:space="0" w:color="auto"/>
              <w:left w:val="nil"/>
              <w:bottom w:val="single" w:sz="4" w:space="0" w:color="auto"/>
              <w:right w:val="single" w:sz="4" w:space="0" w:color="auto"/>
            </w:tcBorders>
            <w:shd w:val="clear" w:color="auto" w:fill="C6EFCE"/>
            <w:noWrap/>
          </w:tcPr>
          <w:p w14:paraId="0918B475" w14:textId="77777777" w:rsidR="003A3D51" w:rsidRDefault="0002775A">
            <w:pPr>
              <w:pStyle w:val="P68B1DB1-Normal7"/>
              <w:spacing w:after="200" w:line="276" w:lineRule="auto"/>
              <w:rPr>
                <w:rFonts w:ascii="Times New Roman" w:hAnsi="Times New Roman" w:cs="Times New Roman"/>
                <w:noProof/>
              </w:rPr>
            </w:pPr>
            <w:r>
              <w:rPr>
                <w:noProof/>
              </w:rPr>
              <w:t>Den planerade nya lagen om konsolidering av jordbruksmark ska bland annat</w:t>
            </w:r>
            <w:r>
              <w:rPr>
                <w:noProof/>
              </w:rPr>
              <w:br/>
              <w:t xml:space="preserve">• Införa villkor för att förenkla konsolideringsprocessen, </w:t>
            </w:r>
            <w:r>
              <w:rPr>
                <w:noProof/>
              </w:rPr>
              <w:br/>
              <w:t xml:space="preserve">• Minska antalet deltagande organ, </w:t>
            </w:r>
            <w:r>
              <w:rPr>
                <w:noProof/>
              </w:rPr>
              <w:br/>
              <w:t xml:space="preserve">• Förkorta den tid som behövs för att genomföra verksamhet inom ramen för tilldelningen, </w:t>
            </w:r>
            <w:r>
              <w:rPr>
                <w:noProof/>
              </w:rPr>
              <w:br/>
              <w:t>• Tillämpa informationsteknik och ansluta sig till befintliga och nya databaser hos olika berörda parter, samtidigt som man skapar en databas för markkvalitet.</w:t>
            </w:r>
          </w:p>
        </w:tc>
      </w:tr>
      <w:tr w:rsidR="003A3D51" w14:paraId="49E44292"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1DCB377" w14:textId="77777777" w:rsidR="003A3D51" w:rsidRDefault="0002775A">
            <w:pPr>
              <w:pStyle w:val="P68B1DB1-Normal7"/>
              <w:spacing w:after="200" w:line="276" w:lineRule="auto"/>
              <w:jc w:val="center"/>
              <w:rPr>
                <w:rFonts w:ascii="Times New Roman" w:hAnsi="Times New Roman" w:cs="Times New Roman"/>
                <w:noProof/>
              </w:rPr>
            </w:pPr>
            <w:r>
              <w:rPr>
                <w:noProof/>
              </w:rPr>
              <w:t>132</w:t>
            </w:r>
          </w:p>
        </w:tc>
        <w:tc>
          <w:tcPr>
            <w:tcW w:w="993" w:type="dxa"/>
            <w:tcBorders>
              <w:top w:val="single" w:sz="4" w:space="0" w:color="auto"/>
              <w:left w:val="nil"/>
              <w:bottom w:val="single" w:sz="4" w:space="0" w:color="auto"/>
              <w:right w:val="single" w:sz="4" w:space="0" w:color="auto"/>
            </w:tcBorders>
            <w:shd w:val="clear" w:color="auto" w:fill="C6EFCE"/>
            <w:noWrap/>
          </w:tcPr>
          <w:p w14:paraId="2ADDAC41" w14:textId="77777777" w:rsidR="003A3D51" w:rsidRDefault="0002775A">
            <w:pPr>
              <w:pStyle w:val="P68B1DB1-Normal7"/>
              <w:spacing w:after="200" w:line="276" w:lineRule="auto"/>
              <w:jc w:val="center"/>
              <w:rPr>
                <w:rFonts w:ascii="Times New Roman" w:hAnsi="Times New Roman" w:cs="Times New Roman"/>
                <w:noProof/>
              </w:rPr>
            </w:pPr>
            <w:r>
              <w:rPr>
                <w:noProof/>
              </w:rPr>
              <w:t>C1.5 R2-I1</w:t>
            </w:r>
          </w:p>
        </w:tc>
        <w:tc>
          <w:tcPr>
            <w:tcW w:w="992" w:type="dxa"/>
            <w:tcBorders>
              <w:top w:val="single" w:sz="4" w:space="0" w:color="auto"/>
              <w:left w:val="nil"/>
              <w:bottom w:val="single" w:sz="4" w:space="0" w:color="auto"/>
              <w:right w:val="single" w:sz="4" w:space="0" w:color="auto"/>
            </w:tcBorders>
            <w:shd w:val="clear" w:color="auto" w:fill="C6EFCE"/>
            <w:noWrap/>
          </w:tcPr>
          <w:p w14:paraId="1526132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70B99B54" w14:textId="77777777" w:rsidR="003A3D51" w:rsidRDefault="0002775A">
            <w:pPr>
              <w:pStyle w:val="P68B1DB1-Normal7"/>
              <w:spacing w:after="200" w:line="276" w:lineRule="auto"/>
              <w:rPr>
                <w:rFonts w:ascii="Times New Roman" w:hAnsi="Times New Roman" w:cs="Times New Roman"/>
                <w:noProof/>
              </w:rPr>
            </w:pPr>
            <w:r>
              <w:rPr>
                <w:noProof/>
              </w:rPr>
              <w:t>18 000 ha konsoliderad jordbruksmark</w:t>
            </w:r>
          </w:p>
        </w:tc>
        <w:tc>
          <w:tcPr>
            <w:tcW w:w="1942" w:type="dxa"/>
            <w:tcBorders>
              <w:top w:val="single" w:sz="4" w:space="0" w:color="auto"/>
              <w:left w:val="nil"/>
              <w:bottom w:val="single" w:sz="4" w:space="0" w:color="auto"/>
              <w:right w:val="single" w:sz="4" w:space="0" w:color="auto"/>
            </w:tcBorders>
            <w:shd w:val="clear" w:color="auto" w:fill="C6EFCE"/>
            <w:noWrap/>
          </w:tcPr>
          <w:p w14:paraId="1B88CF64"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6A88FC21"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243D5ECC"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616A85A9" w14:textId="77777777" w:rsidR="003A3D51" w:rsidRDefault="0002775A">
            <w:pPr>
              <w:pStyle w:val="P68B1DB1-Normal7"/>
              <w:spacing w:after="200" w:line="276" w:lineRule="auto"/>
              <w:jc w:val="center"/>
              <w:rPr>
                <w:rFonts w:ascii="Times New Roman" w:hAnsi="Times New Roman" w:cs="Times New Roman"/>
                <w:noProof/>
              </w:rPr>
            </w:pPr>
            <w:r>
              <w:rPr>
                <w:noProof/>
              </w:rPr>
              <w:t>18 000</w:t>
            </w:r>
          </w:p>
        </w:tc>
        <w:tc>
          <w:tcPr>
            <w:tcW w:w="425" w:type="dxa"/>
            <w:tcBorders>
              <w:top w:val="single" w:sz="4" w:space="0" w:color="auto"/>
              <w:left w:val="nil"/>
              <w:bottom w:val="single" w:sz="4" w:space="0" w:color="auto"/>
              <w:right w:val="single" w:sz="4" w:space="0" w:color="auto"/>
            </w:tcBorders>
            <w:shd w:val="clear" w:color="auto" w:fill="C6EFCE"/>
            <w:noWrap/>
          </w:tcPr>
          <w:p w14:paraId="4E967E28"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709" w:type="dxa"/>
            <w:tcBorders>
              <w:top w:val="single" w:sz="4" w:space="0" w:color="auto"/>
              <w:left w:val="nil"/>
              <w:bottom w:val="single" w:sz="4" w:space="0" w:color="auto"/>
              <w:right w:val="single" w:sz="4" w:space="0" w:color="auto"/>
            </w:tcBorders>
            <w:shd w:val="clear" w:color="auto" w:fill="C6EFCE"/>
            <w:noWrap/>
          </w:tcPr>
          <w:p w14:paraId="7E72B598"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3577" w:type="dxa"/>
            <w:tcBorders>
              <w:top w:val="single" w:sz="4" w:space="0" w:color="auto"/>
              <w:left w:val="nil"/>
              <w:bottom w:val="single" w:sz="4" w:space="0" w:color="auto"/>
              <w:right w:val="single" w:sz="4" w:space="0" w:color="auto"/>
            </w:tcBorders>
            <w:shd w:val="clear" w:color="auto" w:fill="C6EFCE"/>
            <w:noWrap/>
          </w:tcPr>
          <w:p w14:paraId="11AD8C18" w14:textId="77777777" w:rsidR="003A3D51" w:rsidRDefault="0002775A">
            <w:pPr>
              <w:pStyle w:val="P68B1DB1-Normal7"/>
              <w:spacing w:after="0" w:line="276" w:lineRule="auto"/>
              <w:rPr>
                <w:rFonts w:ascii="Times New Roman" w:hAnsi="Times New Roman" w:cs="Times New Roman"/>
                <w:noProof/>
              </w:rPr>
            </w:pPr>
            <w:r>
              <w:rPr>
                <w:noProof/>
              </w:rPr>
              <w:t>En konsolidering av 18 000 hektar jordbruksmark ska möjliggöra enklare och effektivare tillgång till mark genom anläggning av infrastruktur (t.ex. ett nät av åkervägar och förbättringskanaler), samtidigt som bestämmelserna i artikel 6.3 i habitatdirektiv 92/43/EEG och tillståndsförfarandena enligt MKB-direktivet respekteras i enlighet med direktiv 2011/92/EU. Den ska också bidra till bättre vattenförvaltning och vattenhushållning, förebyggande av markerosion och försurning, luftskydd, planläggning och landskapsskydd samt ökad sysselsättning, med direkt och indirekt inverkan på förnyelse av landsbygden.</w:t>
            </w:r>
          </w:p>
        </w:tc>
      </w:tr>
      <w:tr w:rsidR="003A3D51" w14:paraId="742B64EA"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4DAAA50" w14:textId="77777777" w:rsidR="003A3D51" w:rsidRDefault="0002775A">
            <w:pPr>
              <w:pStyle w:val="P68B1DB1-Normal7"/>
              <w:spacing w:after="200" w:line="276" w:lineRule="auto"/>
              <w:jc w:val="center"/>
              <w:rPr>
                <w:rFonts w:ascii="Times New Roman" w:hAnsi="Times New Roman" w:cs="Times New Roman"/>
                <w:noProof/>
              </w:rPr>
            </w:pPr>
            <w:r>
              <w:rPr>
                <w:noProof/>
              </w:rPr>
              <w:t>133</w:t>
            </w:r>
          </w:p>
        </w:tc>
        <w:tc>
          <w:tcPr>
            <w:tcW w:w="993" w:type="dxa"/>
            <w:tcBorders>
              <w:top w:val="single" w:sz="4" w:space="0" w:color="auto"/>
              <w:left w:val="nil"/>
              <w:bottom w:val="single" w:sz="4" w:space="0" w:color="auto"/>
              <w:right w:val="single" w:sz="4" w:space="0" w:color="auto"/>
            </w:tcBorders>
            <w:shd w:val="clear" w:color="auto" w:fill="C6EFCE"/>
            <w:noWrap/>
          </w:tcPr>
          <w:p w14:paraId="63C49FA5" w14:textId="77777777" w:rsidR="003A3D51" w:rsidRDefault="0002775A">
            <w:pPr>
              <w:pStyle w:val="P68B1DB1-Normal7"/>
              <w:spacing w:after="200" w:line="276" w:lineRule="auto"/>
              <w:jc w:val="center"/>
              <w:rPr>
                <w:rFonts w:ascii="Times New Roman" w:hAnsi="Times New Roman" w:cs="Times New Roman"/>
                <w:noProof/>
              </w:rPr>
            </w:pPr>
            <w:r>
              <w:rPr>
                <w:noProof/>
              </w:rPr>
              <w:t>C1.5 R2-I2</w:t>
            </w:r>
          </w:p>
        </w:tc>
        <w:tc>
          <w:tcPr>
            <w:tcW w:w="992" w:type="dxa"/>
            <w:tcBorders>
              <w:top w:val="single" w:sz="4" w:space="0" w:color="auto"/>
              <w:left w:val="nil"/>
              <w:bottom w:val="single" w:sz="4" w:space="0" w:color="auto"/>
              <w:right w:val="single" w:sz="4" w:space="0" w:color="auto"/>
            </w:tcBorders>
            <w:shd w:val="clear" w:color="auto" w:fill="C6EFCE"/>
            <w:noWrap/>
          </w:tcPr>
          <w:p w14:paraId="092D5BF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2C2D5F68" w14:textId="77777777" w:rsidR="003A3D51" w:rsidRDefault="0002775A">
            <w:pPr>
              <w:pStyle w:val="P68B1DB1-Normal7"/>
              <w:spacing w:after="200" w:line="276" w:lineRule="auto"/>
              <w:rPr>
                <w:rFonts w:ascii="Times New Roman" w:hAnsi="Times New Roman" w:cs="Times New Roman"/>
                <w:noProof/>
              </w:rPr>
            </w:pPr>
            <w:r>
              <w:rPr>
                <w:noProof/>
              </w:rPr>
              <w:t>Uppgradering av det operativa informationssystemet för övervakning av jordbruksmark och inrättande av 90 permanenta stationer för övervakning av jordbruksmarkens tillstånd</w:t>
            </w:r>
          </w:p>
        </w:tc>
        <w:tc>
          <w:tcPr>
            <w:tcW w:w="1942" w:type="dxa"/>
            <w:tcBorders>
              <w:top w:val="single" w:sz="4" w:space="0" w:color="auto"/>
              <w:left w:val="nil"/>
              <w:bottom w:val="single" w:sz="4" w:space="0" w:color="auto"/>
              <w:right w:val="single" w:sz="4" w:space="0" w:color="auto"/>
            </w:tcBorders>
            <w:shd w:val="clear" w:color="auto" w:fill="C6EFCE"/>
            <w:noWrap/>
          </w:tcPr>
          <w:p w14:paraId="63B1E25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3A45CB7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229CAC7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6F9034B4" w14:textId="77777777" w:rsidR="003A3D51" w:rsidRDefault="0002775A">
            <w:pPr>
              <w:pStyle w:val="P68B1DB1-Normal7"/>
              <w:spacing w:after="200" w:line="276" w:lineRule="auto"/>
              <w:jc w:val="center"/>
              <w:rPr>
                <w:rFonts w:ascii="Times New Roman" w:hAnsi="Times New Roman" w:cs="Times New Roman"/>
                <w:noProof/>
              </w:rPr>
            </w:pPr>
            <w:r>
              <w:rPr>
                <w:noProof/>
              </w:rPr>
              <w:t>90</w:t>
            </w:r>
          </w:p>
        </w:tc>
        <w:tc>
          <w:tcPr>
            <w:tcW w:w="425" w:type="dxa"/>
            <w:tcBorders>
              <w:top w:val="single" w:sz="4" w:space="0" w:color="auto"/>
              <w:left w:val="nil"/>
              <w:bottom w:val="single" w:sz="4" w:space="0" w:color="auto"/>
              <w:right w:val="single" w:sz="4" w:space="0" w:color="auto"/>
            </w:tcBorders>
            <w:shd w:val="clear" w:color="auto" w:fill="C6EFCE"/>
            <w:noWrap/>
          </w:tcPr>
          <w:p w14:paraId="0A42CC70"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3FA99FA8"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3577" w:type="dxa"/>
            <w:tcBorders>
              <w:top w:val="single" w:sz="4" w:space="0" w:color="auto"/>
              <w:left w:val="nil"/>
              <w:bottom w:val="single" w:sz="4" w:space="0" w:color="auto"/>
              <w:right w:val="single" w:sz="4" w:space="0" w:color="auto"/>
            </w:tcBorders>
            <w:shd w:val="clear" w:color="auto" w:fill="C6EFCE"/>
            <w:noWrap/>
          </w:tcPr>
          <w:p w14:paraId="695EC7FF" w14:textId="77777777" w:rsidR="003A3D51" w:rsidRDefault="0002775A">
            <w:pPr>
              <w:pStyle w:val="P68B1DB1-Normal7"/>
              <w:spacing w:after="200" w:line="276" w:lineRule="auto"/>
              <w:rPr>
                <w:rFonts w:ascii="Times New Roman" w:hAnsi="Times New Roman" w:cs="Times New Roman"/>
                <w:noProof/>
              </w:rPr>
            </w:pPr>
            <w:r>
              <w:rPr>
                <w:noProof/>
              </w:rPr>
              <w:t>Uppgraderingen av informationssystemet för övervakning av jordbruksmark ska göra det möjligt att få fram realistiska och jämförbara parametrar som kan ligga till grund för en systematisk och planerad förvaltning av jordbruksmark.</w:t>
            </w:r>
            <w:r>
              <w:rPr>
                <w:noProof/>
              </w:rPr>
              <w:br/>
              <w:t>Minst 90 stationer ska inrättas som en del av det uppgraderade systemet för övervakning av jordbruksmarkens tillstånd, fördelade över Kroatiens territorium för att täcka alla delregioner så att de i så stor utsträckning som möjligt motsvarar deras agroekologiska förhållanden.</w:t>
            </w:r>
          </w:p>
        </w:tc>
      </w:tr>
      <w:tr w:rsidR="003A3D51" w14:paraId="583D1246"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FCB58B3" w14:textId="77777777" w:rsidR="003A3D51" w:rsidRDefault="0002775A">
            <w:pPr>
              <w:pStyle w:val="P68B1DB1-Normal7"/>
              <w:spacing w:after="200" w:line="276" w:lineRule="auto"/>
              <w:jc w:val="center"/>
              <w:rPr>
                <w:rFonts w:ascii="Times New Roman" w:hAnsi="Times New Roman" w:cs="Times New Roman"/>
                <w:noProof/>
              </w:rPr>
            </w:pPr>
            <w:r>
              <w:rPr>
                <w:noProof/>
              </w:rPr>
              <w:t>134</w:t>
            </w:r>
          </w:p>
        </w:tc>
        <w:tc>
          <w:tcPr>
            <w:tcW w:w="993" w:type="dxa"/>
            <w:tcBorders>
              <w:top w:val="single" w:sz="4" w:space="0" w:color="auto"/>
              <w:left w:val="nil"/>
              <w:bottom w:val="single" w:sz="4" w:space="0" w:color="auto"/>
              <w:right w:val="single" w:sz="4" w:space="0" w:color="auto"/>
            </w:tcBorders>
            <w:shd w:val="clear" w:color="auto" w:fill="C6EFCE"/>
            <w:noWrap/>
          </w:tcPr>
          <w:p w14:paraId="77168FE2" w14:textId="77777777" w:rsidR="003A3D51" w:rsidRDefault="0002775A">
            <w:pPr>
              <w:pStyle w:val="P68B1DB1-Normal7"/>
              <w:spacing w:after="200" w:line="276" w:lineRule="auto"/>
              <w:jc w:val="center"/>
              <w:rPr>
                <w:rFonts w:ascii="Times New Roman" w:hAnsi="Times New Roman" w:cs="Times New Roman"/>
                <w:noProof/>
              </w:rPr>
            </w:pPr>
            <w:r>
              <w:rPr>
                <w:noProof/>
              </w:rPr>
              <w:t>C1.5 R3</w:t>
            </w:r>
          </w:p>
        </w:tc>
        <w:tc>
          <w:tcPr>
            <w:tcW w:w="992" w:type="dxa"/>
            <w:tcBorders>
              <w:top w:val="single" w:sz="4" w:space="0" w:color="auto"/>
              <w:left w:val="nil"/>
              <w:bottom w:val="single" w:sz="4" w:space="0" w:color="auto"/>
              <w:right w:val="single" w:sz="4" w:space="0" w:color="auto"/>
            </w:tcBorders>
            <w:shd w:val="clear" w:color="auto" w:fill="C6EFCE"/>
            <w:noWrap/>
          </w:tcPr>
          <w:p w14:paraId="379ACE8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48F213F1" w14:textId="77777777" w:rsidR="003A3D51" w:rsidRDefault="0002775A">
            <w:pPr>
              <w:pStyle w:val="P68B1DB1-Normal7"/>
              <w:spacing w:after="200" w:line="276" w:lineRule="auto"/>
              <w:rPr>
                <w:rFonts w:ascii="Times New Roman" w:hAnsi="Times New Roman" w:cs="Times New Roman"/>
                <w:noProof/>
              </w:rPr>
            </w:pPr>
            <w:r>
              <w:rPr>
                <w:noProof/>
              </w:rPr>
              <w:t xml:space="preserve">Inrättande av en enhet för genomförande och förvaltning av projekt för digital omvandling vid jordbruksministeriet </w:t>
            </w:r>
          </w:p>
        </w:tc>
        <w:tc>
          <w:tcPr>
            <w:tcW w:w="1942" w:type="dxa"/>
            <w:tcBorders>
              <w:top w:val="single" w:sz="4" w:space="0" w:color="auto"/>
              <w:left w:val="nil"/>
              <w:bottom w:val="single" w:sz="4" w:space="0" w:color="auto"/>
              <w:right w:val="single" w:sz="4" w:space="0" w:color="auto"/>
            </w:tcBorders>
            <w:shd w:val="clear" w:color="auto" w:fill="C6EFCE"/>
            <w:noWrap/>
          </w:tcPr>
          <w:p w14:paraId="09F3EAE8" w14:textId="77777777" w:rsidR="003A3D51" w:rsidRDefault="0002775A">
            <w:pPr>
              <w:pStyle w:val="P68B1DB1-Normal7"/>
              <w:spacing w:after="200" w:line="276" w:lineRule="auto"/>
              <w:rPr>
                <w:rFonts w:ascii="Times New Roman" w:hAnsi="Times New Roman" w:cs="Times New Roman"/>
                <w:noProof/>
              </w:rPr>
            </w:pPr>
            <w:r>
              <w:rPr>
                <w:noProof/>
              </w:rPr>
              <w:t>Jordbruksministerns beslut om att inrätta en enhet för genomförande och förvaltning av digitala omvandlingsprojekt vid jordbruksministeriet</w:t>
            </w:r>
          </w:p>
        </w:tc>
        <w:tc>
          <w:tcPr>
            <w:tcW w:w="1168" w:type="dxa"/>
            <w:tcBorders>
              <w:top w:val="single" w:sz="4" w:space="0" w:color="auto"/>
              <w:left w:val="nil"/>
              <w:bottom w:val="single" w:sz="4" w:space="0" w:color="auto"/>
              <w:right w:val="single" w:sz="4" w:space="0" w:color="auto"/>
            </w:tcBorders>
            <w:shd w:val="clear" w:color="auto" w:fill="C6EFCE"/>
            <w:noWrap/>
          </w:tcPr>
          <w:p w14:paraId="6D877E6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0209112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30E3056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single" w:sz="4" w:space="0" w:color="auto"/>
              <w:left w:val="nil"/>
              <w:bottom w:val="single" w:sz="4" w:space="0" w:color="auto"/>
              <w:right w:val="single" w:sz="4" w:space="0" w:color="auto"/>
            </w:tcBorders>
            <w:shd w:val="clear" w:color="auto" w:fill="C6EFCE"/>
            <w:noWrap/>
          </w:tcPr>
          <w:p w14:paraId="105398F7"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722003F5"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3577" w:type="dxa"/>
            <w:tcBorders>
              <w:top w:val="single" w:sz="4" w:space="0" w:color="auto"/>
              <w:left w:val="nil"/>
              <w:bottom w:val="single" w:sz="4" w:space="0" w:color="auto"/>
              <w:right w:val="single" w:sz="4" w:space="0" w:color="auto"/>
            </w:tcBorders>
            <w:shd w:val="clear" w:color="auto" w:fill="C6EFCE"/>
            <w:noWrap/>
          </w:tcPr>
          <w:p w14:paraId="5144D21A" w14:textId="77777777" w:rsidR="003A3D51" w:rsidRDefault="0002775A">
            <w:pPr>
              <w:pStyle w:val="P68B1DB1-Normal7"/>
              <w:spacing w:after="200" w:line="276" w:lineRule="auto"/>
              <w:rPr>
                <w:rFonts w:ascii="Times New Roman" w:hAnsi="Times New Roman" w:cs="Times New Roman"/>
                <w:noProof/>
              </w:rPr>
            </w:pPr>
            <w:r>
              <w:rPr>
                <w:noProof/>
              </w:rPr>
              <w:t>Den etablerade enheten ska i samarbete med de berörda myndigheterna (utbetalande organ, kroatiska jordbruks- och livsmedelsmyndigheten och det centrala statliga kontoret för utveckling av det digitala samhället) planera och övervaka genomförandet av alla investeringar för att säkerställa att minst 30 digitaliserade offentliga tjänster, operativ plattform för smart jordbruk och allmänt tillgängligt informationssystem för spårbarhet.</w:t>
            </w:r>
          </w:p>
        </w:tc>
      </w:tr>
      <w:tr w:rsidR="003A3D51" w14:paraId="4871BBB3"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39F2F7AC" w14:textId="77777777" w:rsidR="003A3D51" w:rsidRDefault="0002775A">
            <w:pPr>
              <w:pStyle w:val="P68B1DB1-Normal7"/>
              <w:spacing w:after="200" w:line="276" w:lineRule="auto"/>
              <w:jc w:val="center"/>
              <w:rPr>
                <w:rFonts w:ascii="Times New Roman" w:hAnsi="Times New Roman" w:cs="Times New Roman"/>
                <w:noProof/>
              </w:rPr>
            </w:pPr>
            <w:r>
              <w:rPr>
                <w:noProof/>
              </w:rPr>
              <w:t>135</w:t>
            </w:r>
          </w:p>
        </w:tc>
        <w:tc>
          <w:tcPr>
            <w:tcW w:w="993" w:type="dxa"/>
            <w:tcBorders>
              <w:top w:val="single" w:sz="4" w:space="0" w:color="auto"/>
              <w:left w:val="nil"/>
              <w:bottom w:val="single" w:sz="4" w:space="0" w:color="auto"/>
              <w:right w:val="single" w:sz="4" w:space="0" w:color="auto"/>
            </w:tcBorders>
            <w:shd w:val="clear" w:color="auto" w:fill="C6EFCE"/>
            <w:noWrap/>
          </w:tcPr>
          <w:p w14:paraId="39145F12" w14:textId="77777777" w:rsidR="003A3D51" w:rsidRDefault="0002775A">
            <w:pPr>
              <w:pStyle w:val="P68B1DB1-Normal7"/>
              <w:spacing w:after="200" w:line="276" w:lineRule="auto"/>
              <w:jc w:val="center"/>
              <w:rPr>
                <w:rFonts w:ascii="Times New Roman" w:hAnsi="Times New Roman" w:cs="Times New Roman"/>
                <w:noProof/>
              </w:rPr>
            </w:pPr>
            <w:r>
              <w:rPr>
                <w:noProof/>
              </w:rPr>
              <w:t>C1.5 R3-I1</w:t>
            </w:r>
          </w:p>
        </w:tc>
        <w:tc>
          <w:tcPr>
            <w:tcW w:w="992" w:type="dxa"/>
            <w:tcBorders>
              <w:top w:val="single" w:sz="4" w:space="0" w:color="auto"/>
              <w:left w:val="nil"/>
              <w:bottom w:val="single" w:sz="4" w:space="0" w:color="auto"/>
              <w:right w:val="single" w:sz="4" w:space="0" w:color="auto"/>
            </w:tcBorders>
            <w:shd w:val="clear" w:color="auto" w:fill="C6EFCE"/>
            <w:noWrap/>
          </w:tcPr>
          <w:p w14:paraId="5D900A5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79EA3692" w14:textId="77777777" w:rsidR="003A3D51" w:rsidRDefault="0002775A">
            <w:pPr>
              <w:pStyle w:val="P68B1DB1-Normal7"/>
              <w:spacing w:after="200" w:line="276" w:lineRule="auto"/>
              <w:rPr>
                <w:rFonts w:ascii="Times New Roman" w:hAnsi="Times New Roman" w:cs="Times New Roman"/>
                <w:noProof/>
              </w:rPr>
            </w:pPr>
            <w:r>
              <w:rPr>
                <w:noProof/>
              </w:rPr>
              <w:t xml:space="preserve">Digitalisering av minst 30 offentliga tjänster inom jordbruket som förtecknas i handlingsplanen för digital omställning av offentliga tjänster inom jordbruket </w:t>
            </w:r>
          </w:p>
        </w:tc>
        <w:tc>
          <w:tcPr>
            <w:tcW w:w="1942" w:type="dxa"/>
            <w:tcBorders>
              <w:top w:val="single" w:sz="4" w:space="0" w:color="auto"/>
              <w:left w:val="nil"/>
              <w:bottom w:val="single" w:sz="4" w:space="0" w:color="auto"/>
              <w:right w:val="single" w:sz="4" w:space="0" w:color="auto"/>
            </w:tcBorders>
            <w:shd w:val="clear" w:color="auto" w:fill="C6EFCE"/>
            <w:noWrap/>
          </w:tcPr>
          <w:p w14:paraId="293C865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168" w:type="dxa"/>
            <w:tcBorders>
              <w:top w:val="single" w:sz="4" w:space="0" w:color="auto"/>
              <w:left w:val="nil"/>
              <w:bottom w:val="single" w:sz="4" w:space="0" w:color="auto"/>
              <w:right w:val="single" w:sz="4" w:space="0" w:color="auto"/>
            </w:tcBorders>
            <w:shd w:val="clear" w:color="auto" w:fill="C6EFCE"/>
            <w:noWrap/>
          </w:tcPr>
          <w:p w14:paraId="11FB5310"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71AE45E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45BCBEDB" w14:textId="77777777" w:rsidR="003A3D51" w:rsidRDefault="0002775A">
            <w:pPr>
              <w:pStyle w:val="P68B1DB1-Normal7"/>
              <w:spacing w:after="200" w:line="276" w:lineRule="auto"/>
              <w:jc w:val="center"/>
              <w:rPr>
                <w:rFonts w:ascii="Times New Roman" w:hAnsi="Times New Roman" w:cs="Times New Roman"/>
                <w:noProof/>
              </w:rPr>
            </w:pPr>
            <w:r>
              <w:rPr>
                <w:noProof/>
              </w:rPr>
              <w:t>30</w:t>
            </w:r>
          </w:p>
        </w:tc>
        <w:tc>
          <w:tcPr>
            <w:tcW w:w="425" w:type="dxa"/>
            <w:tcBorders>
              <w:top w:val="single" w:sz="4" w:space="0" w:color="auto"/>
              <w:left w:val="nil"/>
              <w:bottom w:val="single" w:sz="4" w:space="0" w:color="auto"/>
              <w:right w:val="single" w:sz="4" w:space="0" w:color="auto"/>
            </w:tcBorders>
            <w:shd w:val="clear" w:color="auto" w:fill="C6EFCE"/>
            <w:noWrap/>
          </w:tcPr>
          <w:p w14:paraId="74F2AED9"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709" w:type="dxa"/>
            <w:tcBorders>
              <w:top w:val="single" w:sz="4" w:space="0" w:color="auto"/>
              <w:left w:val="nil"/>
              <w:bottom w:val="single" w:sz="4" w:space="0" w:color="auto"/>
              <w:right w:val="single" w:sz="4" w:space="0" w:color="auto"/>
            </w:tcBorders>
            <w:shd w:val="clear" w:color="auto" w:fill="C6EFCE"/>
            <w:noWrap/>
          </w:tcPr>
          <w:p w14:paraId="1D2AAC20"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3577" w:type="dxa"/>
            <w:tcBorders>
              <w:top w:val="single" w:sz="4" w:space="0" w:color="auto"/>
              <w:left w:val="nil"/>
              <w:bottom w:val="single" w:sz="4" w:space="0" w:color="auto"/>
              <w:right w:val="single" w:sz="4" w:space="0" w:color="auto"/>
            </w:tcBorders>
            <w:shd w:val="clear" w:color="auto" w:fill="C6EFCE"/>
            <w:noWrap/>
          </w:tcPr>
          <w:p w14:paraId="091A13AE" w14:textId="77777777" w:rsidR="003A3D51" w:rsidRDefault="0002775A">
            <w:pPr>
              <w:pStyle w:val="P68B1DB1-Normal7"/>
              <w:spacing w:after="200" w:line="276" w:lineRule="auto"/>
              <w:rPr>
                <w:rFonts w:ascii="Times New Roman" w:hAnsi="Times New Roman" w:cs="Times New Roman"/>
                <w:noProof/>
              </w:rPr>
            </w:pPr>
            <w:r>
              <w:rPr>
                <w:noProof/>
              </w:rPr>
              <w:t>Handlingsplanen för digital omställning ska ligga till grund för registreringen av alla jordbrukstjänster som ska digitaliseras. Handlingsplanen ska innehålla en modell och en omvandlingsprocess för varje offentlig tjänst som registreras. Minst 30 offentliga tjänster som ska registreras i handlingsplanen och stödjas inom ramen för Kroatiens plan för återhämtning och resiliens ska digitaliseras och göras tillgängliga för stödmottagarna. Handlingsplanen ska definiera de enskilda offentliga tjänster som ska digitaliseras genom genomförandet av projektet. Minst 30 tjänster ska digitaliseras och göras tillgängliga för stödmottagarna.</w:t>
            </w:r>
          </w:p>
        </w:tc>
      </w:tr>
      <w:tr w:rsidR="003A3D51" w14:paraId="15B15D7D"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E3A926D" w14:textId="77777777" w:rsidR="003A3D51" w:rsidRDefault="0002775A">
            <w:pPr>
              <w:pStyle w:val="P68B1DB1-Normal7"/>
              <w:spacing w:after="200" w:line="276" w:lineRule="auto"/>
              <w:jc w:val="center"/>
              <w:rPr>
                <w:rFonts w:ascii="Times New Roman" w:hAnsi="Times New Roman" w:cs="Times New Roman"/>
                <w:noProof/>
              </w:rPr>
            </w:pPr>
            <w:r>
              <w:rPr>
                <w:noProof/>
              </w:rPr>
              <w:t>136</w:t>
            </w:r>
          </w:p>
        </w:tc>
        <w:tc>
          <w:tcPr>
            <w:tcW w:w="993" w:type="dxa"/>
            <w:tcBorders>
              <w:top w:val="single" w:sz="4" w:space="0" w:color="auto"/>
              <w:left w:val="nil"/>
              <w:bottom w:val="single" w:sz="4" w:space="0" w:color="auto"/>
              <w:right w:val="single" w:sz="4" w:space="0" w:color="auto"/>
            </w:tcBorders>
            <w:shd w:val="clear" w:color="auto" w:fill="C6EFCE"/>
            <w:noWrap/>
          </w:tcPr>
          <w:p w14:paraId="3810359E" w14:textId="77777777" w:rsidR="003A3D51" w:rsidRDefault="0002775A">
            <w:pPr>
              <w:pStyle w:val="P68B1DB1-Normal7"/>
              <w:spacing w:after="200" w:line="276" w:lineRule="auto"/>
              <w:jc w:val="center"/>
              <w:rPr>
                <w:rFonts w:ascii="Times New Roman" w:hAnsi="Times New Roman" w:cs="Times New Roman"/>
                <w:noProof/>
              </w:rPr>
            </w:pPr>
            <w:r>
              <w:rPr>
                <w:noProof/>
              </w:rPr>
              <w:t>C1.5 R3-I2</w:t>
            </w:r>
          </w:p>
        </w:tc>
        <w:tc>
          <w:tcPr>
            <w:tcW w:w="992" w:type="dxa"/>
            <w:tcBorders>
              <w:top w:val="single" w:sz="4" w:space="0" w:color="auto"/>
              <w:left w:val="nil"/>
              <w:bottom w:val="single" w:sz="4" w:space="0" w:color="auto"/>
              <w:right w:val="single" w:sz="4" w:space="0" w:color="auto"/>
            </w:tcBorders>
            <w:shd w:val="clear" w:color="auto" w:fill="C6EFCE"/>
            <w:noWrap/>
          </w:tcPr>
          <w:p w14:paraId="60E5B5F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67823D63" w14:textId="77777777" w:rsidR="003A3D51" w:rsidRDefault="0002775A">
            <w:pPr>
              <w:pStyle w:val="P68B1DB1-Normal7"/>
              <w:spacing w:after="200" w:line="276" w:lineRule="auto"/>
              <w:rPr>
                <w:rFonts w:ascii="Times New Roman" w:hAnsi="Times New Roman" w:cs="Times New Roman"/>
                <w:noProof/>
              </w:rPr>
            </w:pPr>
            <w:r>
              <w:rPr>
                <w:noProof/>
              </w:rPr>
              <w:t>Inrättande av en plattform för smart jordbruk</w:t>
            </w:r>
          </w:p>
        </w:tc>
        <w:tc>
          <w:tcPr>
            <w:tcW w:w="1942" w:type="dxa"/>
            <w:tcBorders>
              <w:top w:val="single" w:sz="4" w:space="0" w:color="auto"/>
              <w:left w:val="nil"/>
              <w:bottom w:val="single" w:sz="4" w:space="0" w:color="auto"/>
              <w:right w:val="single" w:sz="4" w:space="0" w:color="auto"/>
            </w:tcBorders>
            <w:shd w:val="clear" w:color="auto" w:fill="C6EFCE"/>
            <w:noWrap/>
          </w:tcPr>
          <w:p w14:paraId="0A79E073" w14:textId="77777777" w:rsidR="003A3D51" w:rsidRDefault="0002775A">
            <w:pPr>
              <w:pStyle w:val="P68B1DB1-Normal7"/>
              <w:spacing w:after="200" w:line="276" w:lineRule="auto"/>
              <w:rPr>
                <w:rFonts w:ascii="Times New Roman" w:hAnsi="Times New Roman" w:cs="Times New Roman"/>
                <w:noProof/>
              </w:rPr>
            </w:pPr>
            <w:r>
              <w:rPr>
                <w:noProof/>
              </w:rPr>
              <w:t xml:space="preserve">En fullt fungerande plattform för smart jordbruk, inbegripet centralisering av infrastruktur, tillgång till alla uppgifter om jordbruksproduktion och tillgång till plattformar. </w:t>
            </w:r>
          </w:p>
        </w:tc>
        <w:tc>
          <w:tcPr>
            <w:tcW w:w="1168" w:type="dxa"/>
            <w:tcBorders>
              <w:top w:val="single" w:sz="4" w:space="0" w:color="auto"/>
              <w:left w:val="nil"/>
              <w:bottom w:val="single" w:sz="4" w:space="0" w:color="auto"/>
              <w:right w:val="single" w:sz="4" w:space="0" w:color="auto"/>
            </w:tcBorders>
            <w:shd w:val="clear" w:color="auto" w:fill="C6EFCE"/>
            <w:noWrap/>
          </w:tcPr>
          <w:p w14:paraId="00A45B5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3C500D7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66215C4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single" w:sz="4" w:space="0" w:color="auto"/>
              <w:left w:val="nil"/>
              <w:bottom w:val="single" w:sz="4" w:space="0" w:color="auto"/>
              <w:right w:val="single" w:sz="4" w:space="0" w:color="auto"/>
            </w:tcBorders>
            <w:shd w:val="clear" w:color="auto" w:fill="C6EFCE"/>
            <w:noWrap/>
          </w:tcPr>
          <w:p w14:paraId="28DF0BFB"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0FDB6864"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3577" w:type="dxa"/>
            <w:tcBorders>
              <w:top w:val="single" w:sz="4" w:space="0" w:color="auto"/>
              <w:left w:val="nil"/>
              <w:bottom w:val="single" w:sz="4" w:space="0" w:color="auto"/>
              <w:right w:val="single" w:sz="4" w:space="0" w:color="auto"/>
            </w:tcBorders>
            <w:shd w:val="clear" w:color="auto" w:fill="C6EFCE"/>
            <w:noWrap/>
          </w:tcPr>
          <w:p w14:paraId="6F406D63" w14:textId="77777777" w:rsidR="003A3D51" w:rsidRDefault="0002775A">
            <w:pPr>
              <w:pStyle w:val="P68B1DB1-Normal7"/>
              <w:spacing w:after="200" w:line="276" w:lineRule="auto"/>
              <w:rPr>
                <w:noProof/>
              </w:rPr>
            </w:pPr>
            <w:r>
              <w:rPr>
                <w:noProof/>
              </w:rPr>
              <w:t>En plattform för smart jordbruk ska vara fullt operativ och tillgänglig för stödmottagarna. Plattformen för smart jordbruk ska, genom att erbjuda aktuell, strukturerad och aktuell information direkt från fält och jordbruk, och med lämpligt expertstöd och tillämpning av hållbarhetsprincipen, lägga grunden för en effektiv, lönsam och hållbar kroatiska jordbrukssektor. Plattformen ska ha potential att minska jordbrukets ekologiska fotavtryck (t.ex. minimerad eller platsspecifik användning av insatsvaror, såsom gödselmedel och bekämpningsmedel, i precisionsjordbrukssystem ska minska utlakning/potentiella föroreningsproblem samt utsläppen av växthusgaser).</w:t>
            </w:r>
          </w:p>
        </w:tc>
      </w:tr>
      <w:tr w:rsidR="003A3D51" w14:paraId="76337170"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505C34E3" w14:textId="77777777" w:rsidR="003A3D51" w:rsidRDefault="0002775A">
            <w:pPr>
              <w:pStyle w:val="P68B1DB1-Normal7"/>
              <w:spacing w:after="200" w:line="276" w:lineRule="auto"/>
              <w:jc w:val="center"/>
              <w:rPr>
                <w:rFonts w:ascii="Times New Roman" w:hAnsi="Times New Roman" w:cs="Times New Roman"/>
                <w:noProof/>
              </w:rPr>
            </w:pPr>
            <w:r>
              <w:rPr>
                <w:noProof/>
              </w:rPr>
              <w:t>137</w:t>
            </w:r>
          </w:p>
        </w:tc>
        <w:tc>
          <w:tcPr>
            <w:tcW w:w="993" w:type="dxa"/>
            <w:tcBorders>
              <w:top w:val="single" w:sz="4" w:space="0" w:color="auto"/>
              <w:left w:val="nil"/>
              <w:bottom w:val="single" w:sz="4" w:space="0" w:color="auto"/>
              <w:right w:val="single" w:sz="4" w:space="0" w:color="auto"/>
            </w:tcBorders>
            <w:shd w:val="clear" w:color="auto" w:fill="C6EFCE"/>
            <w:noWrap/>
          </w:tcPr>
          <w:p w14:paraId="7C65D64E" w14:textId="77777777" w:rsidR="003A3D51" w:rsidRDefault="0002775A">
            <w:pPr>
              <w:pStyle w:val="P68B1DB1-Normal7"/>
              <w:spacing w:after="200" w:line="276" w:lineRule="auto"/>
              <w:jc w:val="center"/>
              <w:rPr>
                <w:rFonts w:ascii="Times New Roman" w:hAnsi="Times New Roman" w:cs="Times New Roman"/>
                <w:noProof/>
              </w:rPr>
            </w:pPr>
            <w:r>
              <w:rPr>
                <w:noProof/>
              </w:rPr>
              <w:t>C1.5 R3-I3</w:t>
            </w:r>
          </w:p>
        </w:tc>
        <w:tc>
          <w:tcPr>
            <w:tcW w:w="992" w:type="dxa"/>
            <w:tcBorders>
              <w:top w:val="single" w:sz="4" w:space="0" w:color="auto"/>
              <w:left w:val="nil"/>
              <w:bottom w:val="single" w:sz="4" w:space="0" w:color="auto"/>
              <w:right w:val="single" w:sz="4" w:space="0" w:color="auto"/>
            </w:tcBorders>
            <w:shd w:val="clear" w:color="auto" w:fill="C6EFCE"/>
            <w:noWrap/>
          </w:tcPr>
          <w:p w14:paraId="69DB797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23D02300" w14:textId="77777777" w:rsidR="003A3D51" w:rsidRDefault="0002775A">
            <w:pPr>
              <w:pStyle w:val="P68B1DB1-Normal7"/>
              <w:spacing w:after="200" w:line="276" w:lineRule="auto"/>
              <w:rPr>
                <w:rFonts w:ascii="Times New Roman" w:hAnsi="Times New Roman" w:cs="Times New Roman"/>
                <w:noProof/>
              </w:rPr>
            </w:pPr>
            <w:r>
              <w:rPr>
                <w:noProof/>
              </w:rPr>
              <w:t xml:space="preserve">Inrättande av ett informationssystem för spårbarhet </w:t>
            </w:r>
          </w:p>
        </w:tc>
        <w:tc>
          <w:tcPr>
            <w:tcW w:w="1942" w:type="dxa"/>
            <w:tcBorders>
              <w:top w:val="single" w:sz="4" w:space="0" w:color="auto"/>
              <w:left w:val="nil"/>
              <w:bottom w:val="single" w:sz="4" w:space="0" w:color="auto"/>
              <w:right w:val="single" w:sz="4" w:space="0" w:color="auto"/>
            </w:tcBorders>
            <w:shd w:val="clear" w:color="auto" w:fill="C6EFCE"/>
            <w:noWrap/>
          </w:tcPr>
          <w:p w14:paraId="02DB7D23" w14:textId="77777777" w:rsidR="003A3D51" w:rsidRDefault="0002775A">
            <w:pPr>
              <w:pStyle w:val="P68B1DB1-Normal7"/>
              <w:spacing w:after="200" w:line="276" w:lineRule="auto"/>
              <w:rPr>
                <w:rFonts w:ascii="Times New Roman" w:hAnsi="Times New Roman" w:cs="Times New Roman"/>
                <w:noProof/>
              </w:rPr>
            </w:pPr>
            <w:r>
              <w:rPr>
                <w:noProof/>
              </w:rPr>
              <w:t>Informationssystemet för spårbarhet fungerar och är tillgängligt för allmänheten</w:t>
            </w:r>
          </w:p>
        </w:tc>
        <w:tc>
          <w:tcPr>
            <w:tcW w:w="1168" w:type="dxa"/>
            <w:tcBorders>
              <w:top w:val="single" w:sz="4" w:space="0" w:color="auto"/>
              <w:left w:val="nil"/>
              <w:bottom w:val="single" w:sz="4" w:space="0" w:color="auto"/>
              <w:right w:val="single" w:sz="4" w:space="0" w:color="auto"/>
            </w:tcBorders>
            <w:shd w:val="clear" w:color="auto" w:fill="C6EFCE"/>
            <w:noWrap/>
          </w:tcPr>
          <w:p w14:paraId="395C5BC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273A377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7F6DB97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single" w:sz="4" w:space="0" w:color="auto"/>
              <w:left w:val="nil"/>
              <w:bottom w:val="single" w:sz="4" w:space="0" w:color="auto"/>
              <w:right w:val="single" w:sz="4" w:space="0" w:color="auto"/>
            </w:tcBorders>
            <w:shd w:val="clear" w:color="auto" w:fill="C6EFCE"/>
            <w:noWrap/>
          </w:tcPr>
          <w:p w14:paraId="2F71457A" w14:textId="2D94D65A" w:rsidR="003A3D51" w:rsidRDefault="0002775A">
            <w:pPr>
              <w:pStyle w:val="P68B1DB1-Normal7"/>
              <w:spacing w:after="200" w:line="276" w:lineRule="auto"/>
              <w:jc w:val="center"/>
              <w:rPr>
                <w:rFonts w:ascii="Times New Roman" w:hAnsi="Times New Roman" w:cs="Times New Roman"/>
                <w:noProof/>
              </w:rPr>
            </w:pPr>
            <w:r>
              <w:rPr>
                <w:noProof/>
              </w:rPr>
              <w:t xml:space="preserve">KVARTAL 4 </w:t>
            </w:r>
          </w:p>
        </w:tc>
        <w:tc>
          <w:tcPr>
            <w:tcW w:w="709" w:type="dxa"/>
            <w:tcBorders>
              <w:top w:val="single" w:sz="4" w:space="0" w:color="auto"/>
              <w:left w:val="nil"/>
              <w:bottom w:val="single" w:sz="4" w:space="0" w:color="auto"/>
              <w:right w:val="single" w:sz="4" w:space="0" w:color="auto"/>
            </w:tcBorders>
            <w:shd w:val="clear" w:color="auto" w:fill="C6EFCE"/>
            <w:noWrap/>
          </w:tcPr>
          <w:p w14:paraId="2783302A" w14:textId="58383E6C"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3577" w:type="dxa"/>
            <w:tcBorders>
              <w:top w:val="single" w:sz="4" w:space="0" w:color="auto"/>
              <w:left w:val="nil"/>
              <w:bottom w:val="single" w:sz="4" w:space="0" w:color="auto"/>
              <w:right w:val="single" w:sz="4" w:space="0" w:color="auto"/>
            </w:tcBorders>
            <w:shd w:val="clear" w:color="auto" w:fill="C6EFCE"/>
            <w:noWrap/>
          </w:tcPr>
          <w:p w14:paraId="6EDB82BD" w14:textId="77777777" w:rsidR="003A3D51" w:rsidRDefault="0002775A">
            <w:pPr>
              <w:pStyle w:val="P68B1DB1-Normal7"/>
              <w:spacing w:after="200" w:line="276" w:lineRule="auto"/>
              <w:rPr>
                <w:noProof/>
              </w:rPr>
            </w:pPr>
            <w:r>
              <w:rPr>
                <w:noProof/>
              </w:rPr>
              <w:t>Det planerade informationssystemet för spårbarhet ska möjliggöra bättre information till konsumenterna i form av övervakning av spårbarheten för jordbruks- och livsmedelsprodukter. Systemet ska vara frivilligt och ska användas för att harmonisera och underlätta spårning av information, underlätta affärsverksamhet och tillhandahålla information till konsumenter via QR-kod. Systemet ska vara utformat så att det är anslutet till andra e-system och kontinuerligt uppdaterar information om spårbarhet. Systemet ska också kunna registrera information om näringsidkare och mellanhänder som aldrig kommer i fysisk kontakt med produkten.</w:t>
            </w:r>
          </w:p>
        </w:tc>
      </w:tr>
      <w:tr w:rsidR="003A3D51" w14:paraId="203FA3C8"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2E93BB5E" w14:textId="77777777" w:rsidR="003A3D51" w:rsidRDefault="0002775A">
            <w:pPr>
              <w:pStyle w:val="P68B1DB1-Normal7"/>
              <w:spacing w:after="200" w:line="276" w:lineRule="auto"/>
              <w:jc w:val="center"/>
              <w:rPr>
                <w:rFonts w:ascii="Times New Roman" w:hAnsi="Times New Roman" w:cs="Times New Roman"/>
                <w:noProof/>
              </w:rPr>
            </w:pPr>
            <w:r>
              <w:rPr>
                <w:noProof/>
              </w:rPr>
              <w:t>138</w:t>
            </w:r>
          </w:p>
        </w:tc>
        <w:tc>
          <w:tcPr>
            <w:tcW w:w="993" w:type="dxa"/>
            <w:tcBorders>
              <w:top w:val="single" w:sz="4" w:space="0" w:color="auto"/>
              <w:left w:val="nil"/>
              <w:bottom w:val="single" w:sz="4" w:space="0" w:color="auto"/>
              <w:right w:val="single" w:sz="4" w:space="0" w:color="auto"/>
            </w:tcBorders>
            <w:shd w:val="clear" w:color="auto" w:fill="C6EFCE"/>
            <w:noWrap/>
          </w:tcPr>
          <w:p w14:paraId="7487CB5A" w14:textId="77777777" w:rsidR="003A3D51" w:rsidRDefault="0002775A">
            <w:pPr>
              <w:pStyle w:val="P68B1DB1-Normal7"/>
              <w:spacing w:after="200" w:line="276" w:lineRule="auto"/>
              <w:jc w:val="center"/>
              <w:rPr>
                <w:rFonts w:ascii="Times New Roman" w:hAnsi="Times New Roman" w:cs="Times New Roman"/>
                <w:noProof/>
              </w:rPr>
            </w:pPr>
            <w:r>
              <w:rPr>
                <w:noProof/>
              </w:rPr>
              <w:t>C1.5 R4</w:t>
            </w:r>
          </w:p>
        </w:tc>
        <w:tc>
          <w:tcPr>
            <w:tcW w:w="992" w:type="dxa"/>
            <w:tcBorders>
              <w:top w:val="single" w:sz="4" w:space="0" w:color="auto"/>
              <w:left w:val="nil"/>
              <w:bottom w:val="single" w:sz="4" w:space="0" w:color="auto"/>
              <w:right w:val="single" w:sz="4" w:space="0" w:color="auto"/>
            </w:tcBorders>
            <w:shd w:val="clear" w:color="auto" w:fill="C6EFCE"/>
            <w:noWrap/>
          </w:tcPr>
          <w:p w14:paraId="1891437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17D60B2B" w14:textId="77777777" w:rsidR="003A3D51" w:rsidRDefault="0002775A">
            <w:pPr>
              <w:pStyle w:val="P68B1DB1-Normal7"/>
              <w:spacing w:after="200" w:line="276" w:lineRule="auto"/>
              <w:rPr>
                <w:rFonts w:ascii="Times New Roman" w:hAnsi="Times New Roman" w:cs="Times New Roman"/>
                <w:noProof/>
              </w:rPr>
            </w:pPr>
            <w:r>
              <w:rPr>
                <w:noProof/>
              </w:rPr>
              <w:t xml:space="preserve">Onlineplattformen för förebyggande av livsmedelsavfall och uppgraderat it-system för livsmedelsdonationer </w:t>
            </w:r>
          </w:p>
        </w:tc>
        <w:tc>
          <w:tcPr>
            <w:tcW w:w="1942" w:type="dxa"/>
            <w:tcBorders>
              <w:top w:val="single" w:sz="4" w:space="0" w:color="auto"/>
              <w:left w:val="nil"/>
              <w:bottom w:val="single" w:sz="4" w:space="0" w:color="auto"/>
              <w:right w:val="single" w:sz="4" w:space="0" w:color="auto"/>
            </w:tcBorders>
            <w:shd w:val="clear" w:color="auto" w:fill="C6EFCE"/>
            <w:noWrap/>
          </w:tcPr>
          <w:p w14:paraId="0977296C" w14:textId="77777777" w:rsidR="003A3D51" w:rsidRDefault="0002775A">
            <w:pPr>
              <w:pStyle w:val="P68B1DB1-Normal7"/>
              <w:spacing w:after="200" w:line="276" w:lineRule="auto"/>
              <w:rPr>
                <w:rFonts w:ascii="Times New Roman" w:hAnsi="Times New Roman" w:cs="Times New Roman"/>
                <w:noProof/>
              </w:rPr>
            </w:pPr>
            <w:r>
              <w:rPr>
                <w:noProof/>
              </w:rPr>
              <w:t>Onlineplattformen för förebyggande av matsvinn och uppgradering av den tekniska lösningen för it-systemet för livsmedelsdonationer är operativ och tillgänglig för allmänheten.</w:t>
            </w:r>
          </w:p>
        </w:tc>
        <w:tc>
          <w:tcPr>
            <w:tcW w:w="1168" w:type="dxa"/>
            <w:tcBorders>
              <w:top w:val="single" w:sz="4" w:space="0" w:color="auto"/>
              <w:left w:val="nil"/>
              <w:bottom w:val="single" w:sz="4" w:space="0" w:color="auto"/>
              <w:right w:val="single" w:sz="4" w:space="0" w:color="auto"/>
            </w:tcBorders>
            <w:shd w:val="clear" w:color="auto" w:fill="C6EFCE"/>
            <w:noWrap/>
          </w:tcPr>
          <w:p w14:paraId="3B7CBB9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3B34B7B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7079B67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single" w:sz="4" w:space="0" w:color="auto"/>
              <w:left w:val="nil"/>
              <w:bottom w:val="single" w:sz="4" w:space="0" w:color="auto"/>
              <w:right w:val="single" w:sz="4" w:space="0" w:color="auto"/>
            </w:tcBorders>
            <w:shd w:val="clear" w:color="auto" w:fill="C6EFCE"/>
            <w:noWrap/>
          </w:tcPr>
          <w:p w14:paraId="085A914F"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15854AA9"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3577" w:type="dxa"/>
            <w:tcBorders>
              <w:top w:val="single" w:sz="4" w:space="0" w:color="auto"/>
              <w:left w:val="nil"/>
              <w:bottom w:val="single" w:sz="4" w:space="0" w:color="auto"/>
              <w:right w:val="single" w:sz="4" w:space="0" w:color="auto"/>
            </w:tcBorders>
            <w:shd w:val="clear" w:color="auto" w:fill="C6EFCE"/>
            <w:noWrap/>
          </w:tcPr>
          <w:p w14:paraId="358DE965" w14:textId="77777777" w:rsidR="003A3D51" w:rsidRDefault="0002775A">
            <w:pPr>
              <w:pStyle w:val="P68B1DB1-Normal7"/>
              <w:spacing w:after="200" w:line="276" w:lineRule="auto"/>
              <w:rPr>
                <w:rFonts w:ascii="Times New Roman" w:hAnsi="Times New Roman" w:cs="Times New Roman"/>
                <w:noProof/>
              </w:rPr>
            </w:pPr>
            <w:r>
              <w:rPr>
                <w:noProof/>
              </w:rPr>
              <w:t xml:space="preserve">Onlineplattformen för förebyggande och minskning av matsvinn ska lanseras för att sprida bästa praxis, öka medvetenheten och utbilda om frågan om matsvinn och livsmedelsdonationer. It-systemet för livsmedelsdonationer, som redan är i drift, ska uppgraderas med nya funktioner, där möjligheten till regional styrning av systemet och statistisk redovisning av uppgifter lyfts fram. </w:t>
            </w:r>
          </w:p>
        </w:tc>
      </w:tr>
      <w:tr w:rsidR="003A3D51" w14:paraId="37910CDC"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47AEC33" w14:textId="77777777" w:rsidR="003A3D51" w:rsidRDefault="0002775A">
            <w:pPr>
              <w:pStyle w:val="P68B1DB1-Normal7"/>
              <w:spacing w:after="200" w:line="276" w:lineRule="auto"/>
              <w:jc w:val="center"/>
              <w:rPr>
                <w:rFonts w:ascii="Times New Roman" w:hAnsi="Times New Roman" w:cs="Times New Roman"/>
                <w:noProof/>
              </w:rPr>
            </w:pPr>
            <w:r>
              <w:rPr>
                <w:noProof/>
              </w:rPr>
              <w:t>139</w:t>
            </w:r>
          </w:p>
        </w:tc>
        <w:tc>
          <w:tcPr>
            <w:tcW w:w="993" w:type="dxa"/>
            <w:tcBorders>
              <w:top w:val="single" w:sz="4" w:space="0" w:color="auto"/>
              <w:left w:val="nil"/>
              <w:bottom w:val="single" w:sz="4" w:space="0" w:color="auto"/>
              <w:right w:val="single" w:sz="4" w:space="0" w:color="auto"/>
            </w:tcBorders>
            <w:shd w:val="clear" w:color="auto" w:fill="C6EFCE"/>
            <w:noWrap/>
          </w:tcPr>
          <w:p w14:paraId="3AC43160" w14:textId="77777777" w:rsidR="003A3D51" w:rsidRDefault="0002775A">
            <w:pPr>
              <w:pStyle w:val="P68B1DB1-Normal7"/>
              <w:spacing w:after="200" w:line="276" w:lineRule="auto"/>
              <w:jc w:val="center"/>
              <w:rPr>
                <w:rFonts w:ascii="Times New Roman" w:hAnsi="Times New Roman" w:cs="Times New Roman"/>
                <w:noProof/>
              </w:rPr>
            </w:pPr>
            <w:r>
              <w:rPr>
                <w:noProof/>
              </w:rPr>
              <w:t>C1.5 R4-I1</w:t>
            </w:r>
          </w:p>
        </w:tc>
        <w:tc>
          <w:tcPr>
            <w:tcW w:w="992" w:type="dxa"/>
            <w:tcBorders>
              <w:top w:val="single" w:sz="4" w:space="0" w:color="auto"/>
              <w:left w:val="nil"/>
              <w:bottom w:val="single" w:sz="4" w:space="0" w:color="auto"/>
              <w:right w:val="single" w:sz="4" w:space="0" w:color="auto"/>
            </w:tcBorders>
            <w:shd w:val="clear" w:color="auto" w:fill="C6EFCE"/>
            <w:noWrap/>
          </w:tcPr>
          <w:p w14:paraId="13A7095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0A1E23CD" w14:textId="77777777" w:rsidR="003A3D51" w:rsidRDefault="0002775A">
            <w:pPr>
              <w:pStyle w:val="P68B1DB1-Normal7"/>
              <w:spacing w:after="200" w:line="276" w:lineRule="auto"/>
              <w:rPr>
                <w:rFonts w:ascii="Times New Roman" w:hAnsi="Times New Roman" w:cs="Times New Roman"/>
                <w:noProof/>
              </w:rPr>
            </w:pPr>
            <w:r>
              <w:rPr>
                <w:noProof/>
              </w:rPr>
              <w:t xml:space="preserve">Stödsystem för infrastruktur för livsmedelsbanker och livsmedelsmellanhänder i livsmedelskedjan </w:t>
            </w:r>
          </w:p>
        </w:tc>
        <w:tc>
          <w:tcPr>
            <w:tcW w:w="1942" w:type="dxa"/>
            <w:tcBorders>
              <w:top w:val="single" w:sz="4" w:space="0" w:color="auto"/>
              <w:left w:val="nil"/>
              <w:bottom w:val="single" w:sz="4" w:space="0" w:color="auto"/>
              <w:right w:val="single" w:sz="4" w:space="0" w:color="auto"/>
            </w:tcBorders>
            <w:shd w:val="clear" w:color="auto" w:fill="C6EFCE"/>
            <w:noWrap/>
          </w:tcPr>
          <w:p w14:paraId="4150371B" w14:textId="77777777" w:rsidR="003A3D51" w:rsidRDefault="0002775A">
            <w:pPr>
              <w:pStyle w:val="P68B1DB1-Normal7"/>
              <w:spacing w:after="200" w:line="276" w:lineRule="auto"/>
              <w:rPr>
                <w:rFonts w:ascii="Times New Roman" w:hAnsi="Times New Roman" w:cs="Times New Roman"/>
                <w:noProof/>
              </w:rPr>
            </w:pPr>
            <w:r>
              <w:rPr>
                <w:noProof/>
              </w:rPr>
              <w:t>Stödsystem för infrastruktur för livsmedelsbanker och livsmedelsmellanhänder i livsmedelskedjan som genomförs och utbetalade medel</w:t>
            </w:r>
          </w:p>
        </w:tc>
        <w:tc>
          <w:tcPr>
            <w:tcW w:w="1168" w:type="dxa"/>
            <w:tcBorders>
              <w:top w:val="single" w:sz="4" w:space="0" w:color="auto"/>
              <w:left w:val="nil"/>
              <w:bottom w:val="single" w:sz="4" w:space="0" w:color="auto"/>
              <w:right w:val="single" w:sz="4" w:space="0" w:color="auto"/>
            </w:tcBorders>
            <w:shd w:val="clear" w:color="auto" w:fill="C6EFCE"/>
            <w:noWrap/>
          </w:tcPr>
          <w:p w14:paraId="3D5ED32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79D7A94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618508E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5" w:type="dxa"/>
            <w:tcBorders>
              <w:top w:val="single" w:sz="4" w:space="0" w:color="auto"/>
              <w:left w:val="nil"/>
              <w:bottom w:val="single" w:sz="4" w:space="0" w:color="auto"/>
              <w:right w:val="single" w:sz="4" w:space="0" w:color="auto"/>
            </w:tcBorders>
            <w:shd w:val="clear" w:color="auto" w:fill="C6EFCE"/>
            <w:noWrap/>
          </w:tcPr>
          <w:p w14:paraId="47B2EA6B"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35D7F1AC"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3577" w:type="dxa"/>
            <w:tcBorders>
              <w:top w:val="single" w:sz="4" w:space="0" w:color="auto"/>
              <w:left w:val="nil"/>
              <w:bottom w:val="single" w:sz="4" w:space="0" w:color="auto"/>
              <w:right w:val="single" w:sz="4" w:space="0" w:color="auto"/>
            </w:tcBorders>
            <w:shd w:val="clear" w:color="auto" w:fill="C6EFCE"/>
            <w:noWrap/>
          </w:tcPr>
          <w:p w14:paraId="385F356B" w14:textId="77777777" w:rsidR="003A3D51" w:rsidRDefault="0002775A">
            <w:pPr>
              <w:pStyle w:val="P68B1DB1-Normal7"/>
              <w:spacing w:after="200" w:line="276" w:lineRule="auto"/>
              <w:rPr>
                <w:rFonts w:ascii="Times New Roman" w:hAnsi="Times New Roman" w:cs="Times New Roman"/>
                <w:noProof/>
              </w:rPr>
            </w:pPr>
            <w:r>
              <w:rPr>
                <w:noProof/>
              </w:rPr>
              <w:t>Stödsystemet ska tas i bruk efter en offentlig ansökningsomgång och kontrakt som ingås, genom utbetalning av medel, som ska användas för uppförande och renovering av lagringsanläggningar, lagringsutrustning och inventarier, kyl- och livsmedelslagringsutrustning, gaffeltruckar, kylfordon, fordon och it-utrustning.</w:t>
            </w:r>
          </w:p>
        </w:tc>
      </w:tr>
    </w:tbl>
    <w:p w14:paraId="52A7163C" w14:textId="77777777" w:rsidR="003A3D51" w:rsidRDefault="003A3D51">
      <w:pPr>
        <w:rPr>
          <w:noProof/>
        </w:rPr>
      </w:pPr>
    </w:p>
    <w:p w14:paraId="0931002A" w14:textId="77777777" w:rsidR="003A3D51" w:rsidRDefault="0002775A">
      <w:pPr>
        <w:pStyle w:val="P68B1DB1-Normal30"/>
        <w:keepNext/>
        <w:tabs>
          <w:tab w:val="left" w:pos="850"/>
        </w:tabs>
        <w:spacing w:after="200" w:line="276" w:lineRule="auto"/>
        <w:ind w:left="850" w:hanging="850"/>
        <w:jc w:val="both"/>
        <w:outlineLvl w:val="0"/>
        <w:rPr>
          <w:noProof/>
        </w:rPr>
        <w:sectPr w:rsidR="003A3D51" w:rsidSect="00E53234">
          <w:headerReference w:type="even" r:id="rId108"/>
          <w:headerReference w:type="default" r:id="rId109"/>
          <w:footerReference w:type="even" r:id="rId110"/>
          <w:footerReference w:type="default" r:id="rId111"/>
          <w:headerReference w:type="first" r:id="rId112"/>
          <w:footerReference w:type="first" r:id="rId113"/>
          <w:pgSz w:w="15840" w:h="12240" w:orient="landscape"/>
          <w:pgMar w:top="1440" w:right="1440" w:bottom="1440" w:left="1440" w:header="708" w:footer="708" w:gutter="0"/>
          <w:cols w:space="708"/>
          <w:docGrid w:linePitch="360"/>
        </w:sectPr>
      </w:pPr>
      <w:r>
        <w:rPr>
          <w:noProof/>
        </w:rPr>
        <w:tab/>
      </w:r>
    </w:p>
    <w:p w14:paraId="2D0C775E" w14:textId="2484095B" w:rsidR="003A3D51" w:rsidRDefault="0002775A">
      <w:pPr>
        <w:pStyle w:val="P68B1DB1-Normal31"/>
        <w:keepNext/>
        <w:tabs>
          <w:tab w:val="left" w:pos="850"/>
        </w:tabs>
        <w:spacing w:after="200" w:line="276" w:lineRule="auto"/>
        <w:ind w:left="850" w:hanging="850"/>
        <w:jc w:val="both"/>
        <w:outlineLvl w:val="0"/>
        <w:rPr>
          <w:rFonts w:ascii="Calibri" w:hAnsi="Calibri" w:cs="Arial"/>
          <w:noProof/>
        </w:rPr>
      </w:pPr>
      <w:r>
        <w:rPr>
          <w:noProof/>
        </w:rPr>
        <w:t>F. KOMPONENT 1.6: UTVECKLA HÅLLBAR, INNOVATIV OCH MOTSTÅNDSKRAFTIG TURISM</w:t>
      </w:r>
    </w:p>
    <w:p w14:paraId="524C20A6" w14:textId="77777777" w:rsidR="003A3D51" w:rsidRDefault="0002775A">
      <w:pPr>
        <w:pStyle w:val="P68B1DB1-Normal30"/>
        <w:spacing w:after="200" w:line="276" w:lineRule="auto"/>
        <w:jc w:val="both"/>
        <w:rPr>
          <w:rFonts w:ascii="Calibri" w:hAnsi="Calibri" w:cs="Arial"/>
          <w:noProof/>
        </w:rPr>
      </w:pPr>
      <w:r>
        <w:rPr>
          <w:noProof/>
        </w:rPr>
        <w:t>Covid-19-pandemin har haft en mycket negativ inverkan på turismsektorn både globalt och i Kroatien. Som en strategisk verksamhet i Kroatien står turismen för 11,4 % av BNP och en minskning med 55 % av antalet nätter 2020 jämfört med föregående år. Mot bakgrund av dessa effekter av krisen och förändrade efterfrågeförväntningar är syftet med denna del av Kroatiens återhämtnings- och resiliensplan att omvandla och modernisera turismsektorn och samtidigt öka dess konkurrenskraft, hållbarhet och resiliens genom att uppnå följande övergripande mål:</w:t>
      </w:r>
    </w:p>
    <w:p w14:paraId="4D8D4F6E" w14:textId="77777777" w:rsidR="003A3D51" w:rsidRDefault="0002775A">
      <w:pPr>
        <w:pStyle w:val="P68B1DB1-Normal30"/>
        <w:numPr>
          <w:ilvl w:val="0"/>
          <w:numId w:val="14"/>
        </w:numPr>
        <w:spacing w:before="120" w:after="120" w:line="240" w:lineRule="auto"/>
        <w:jc w:val="both"/>
        <w:rPr>
          <w:noProof/>
        </w:rPr>
      </w:pPr>
      <w:r>
        <w:rPr>
          <w:noProof/>
        </w:rPr>
        <w:t>Öka turismsektorns motståndskraft och hållbarhet genom att stödja den gröna och digitala omställningen.</w:t>
      </w:r>
    </w:p>
    <w:p w14:paraId="412D019B" w14:textId="77777777" w:rsidR="003A3D51" w:rsidRDefault="0002775A">
      <w:pPr>
        <w:pStyle w:val="P68B1DB1-Normal30"/>
        <w:numPr>
          <w:ilvl w:val="0"/>
          <w:numId w:val="14"/>
        </w:numPr>
        <w:spacing w:before="120" w:after="120" w:line="240" w:lineRule="auto"/>
        <w:jc w:val="both"/>
        <w:rPr>
          <w:noProof/>
        </w:rPr>
      </w:pPr>
      <w:r>
        <w:rPr>
          <w:noProof/>
        </w:rPr>
        <w:t>Bidra till turismsektorns återhämtning från covid-19-krisen genom att förbättra inkvarteringskapaciteten och den sociala och territoriella sammanhållningen.</w:t>
      </w:r>
    </w:p>
    <w:p w14:paraId="76A37E8F" w14:textId="77777777" w:rsidR="003A3D51" w:rsidRDefault="0002775A">
      <w:pPr>
        <w:pStyle w:val="P68B1DB1-Normal30"/>
        <w:numPr>
          <w:ilvl w:val="0"/>
          <w:numId w:val="14"/>
        </w:numPr>
        <w:spacing w:before="120" w:after="120" w:line="240" w:lineRule="auto"/>
        <w:jc w:val="both"/>
        <w:rPr>
          <w:noProof/>
        </w:rPr>
      </w:pPr>
      <w:r>
        <w:rPr>
          <w:noProof/>
        </w:rPr>
        <w:t>Öka den cirkulära ekonomin inom turismen och främja ansvarsfull konsumtion och öka turismens indirekta effekter på relaterad verksamhet.</w:t>
      </w:r>
    </w:p>
    <w:p w14:paraId="793B1953" w14:textId="77777777" w:rsidR="003A3D51" w:rsidRDefault="0002775A">
      <w:pPr>
        <w:spacing w:after="200" w:line="276" w:lineRule="auto"/>
        <w:jc w:val="both"/>
        <w:rPr>
          <w:rFonts w:ascii="Calibri" w:eastAsia="Calibri" w:hAnsi="Calibri" w:cs="Arial"/>
          <w:noProof/>
          <w:color w:val="000000" w:themeColor="text1"/>
        </w:rPr>
      </w:pPr>
      <w:r>
        <w:rPr>
          <w:rFonts w:ascii="Times New Roman" w:eastAsia="Calibri" w:hAnsi="Times New Roman" w:cs="Times New Roman"/>
          <w:noProof/>
          <w:color w:val="000000" w:themeColor="text1"/>
          <w:sz w:val="24"/>
        </w:rPr>
        <w:t xml:space="preserve">Komponenten stöder åtgärder för att </w:t>
      </w:r>
      <w:r>
        <w:rPr>
          <w:noProof/>
        </w:rPr>
        <w:tab/>
      </w:r>
      <w:r>
        <w:rPr>
          <w:rFonts w:ascii="Times New Roman" w:eastAsia="Calibri" w:hAnsi="Times New Roman" w:cs="Times New Roman"/>
          <w:noProof/>
          <w:color w:val="000000" w:themeColor="text1"/>
          <w:sz w:val="24"/>
        </w:rPr>
        <w:t>den landsspecifika rekommendationen att minska de mest betungande skatteliknande avgifterna (de landsspecifika rekommendationerna 4 och 2019), vidta alla nödvändiga åtgärder för att effektivt hantera pandemin (de landsspecifika rekommendationerna 1 och 2020) och tidigarelägga mogna offentliga investeringsprojekt och främja privata investeringar för att främja den ekonomiska återhämtningen (de landsspecifika rekommendationerna 3 och 2020).</w:t>
      </w:r>
    </w:p>
    <w:p w14:paraId="6B477C36" w14:textId="77777777" w:rsidR="003A3D51" w:rsidRDefault="0002775A">
      <w:pPr>
        <w:pStyle w:val="P68B1DB1-Normal30"/>
        <w:spacing w:after="200" w:line="276" w:lineRule="auto"/>
        <w:jc w:val="both"/>
        <w:rPr>
          <w:rFonts w:ascii="Calibri" w:hAnsi="Calibri" w:cs="Arial"/>
          <w:noProof/>
        </w:rPr>
      </w:pPr>
      <w:r>
        <w:rPr>
          <w:noProof/>
        </w:rPr>
        <w:t>Denna komponent bidrar också till de mål som anges i planens övriga delkomponenter, särskilt C1.5. Förbättra användningen av naturresurser och stärka livsmedelskedjan och C2.3.Den digitala omvandlingen av samhället och den offentliga förvaltningen.</w:t>
      </w:r>
    </w:p>
    <w:p w14:paraId="30751596" w14:textId="77777777" w:rsidR="003A3D51" w:rsidRDefault="0002775A">
      <w:pPr>
        <w:keepNext/>
        <w:tabs>
          <w:tab w:val="num" w:pos="850"/>
        </w:tabs>
        <w:spacing w:after="200" w:line="276" w:lineRule="auto"/>
        <w:ind w:left="851"/>
        <w:jc w:val="both"/>
        <w:outlineLvl w:val="1"/>
        <w:rPr>
          <w:rFonts w:ascii="Calibri" w:eastAsia="Calibri" w:hAnsi="Calibri" w:cs="Arial"/>
          <w:noProof/>
          <w:color w:val="000000" w:themeColor="text1"/>
        </w:rPr>
      </w:pPr>
      <w:r>
        <w:rPr>
          <w:rFonts w:ascii="Times New Roman" w:eastAsia="SimSun" w:hAnsi="Times New Roman" w:cs="Times New Roman"/>
          <w:b/>
          <w:noProof/>
          <w:color w:val="000000" w:themeColor="text1"/>
          <w:sz w:val="24"/>
          <w:u w:val="single"/>
        </w:rPr>
        <w:t xml:space="preserve">F.1. </w:t>
      </w:r>
      <w:r>
        <w:rPr>
          <w:noProof/>
        </w:rPr>
        <w:tab/>
      </w:r>
      <w:r>
        <w:rPr>
          <w:rFonts w:ascii="Times New Roman" w:eastAsia="Calibri" w:hAnsi="Times New Roman" w:cs="Times New Roman"/>
          <w:b/>
          <w:noProof/>
          <w:color w:val="000000" w:themeColor="text1"/>
          <w:sz w:val="24"/>
          <w:u w:val="single"/>
        </w:rPr>
        <w:t>Beskrivning av reformer och investeringar avseende icke återbetalningspliktigt ekonomiskt stöd</w:t>
      </w:r>
    </w:p>
    <w:p w14:paraId="16C9D99C" w14:textId="77777777" w:rsidR="003A3D51" w:rsidRDefault="0002775A">
      <w:pPr>
        <w:pStyle w:val="P68B1DB1-Normal32"/>
        <w:keepNext/>
        <w:spacing w:after="200" w:line="276" w:lineRule="auto"/>
        <w:ind w:left="850"/>
        <w:jc w:val="both"/>
        <w:rPr>
          <w:rFonts w:ascii="Calibri" w:hAnsi="Calibri" w:cs="Arial"/>
          <w:noProof/>
        </w:rPr>
      </w:pPr>
      <w:r>
        <w:rPr>
          <w:noProof/>
        </w:rPr>
        <w:t>C1.6.R1 Öka turistsektorns motståndskraft och hållbarhet</w:t>
      </w:r>
    </w:p>
    <w:p w14:paraId="58ADFF66" w14:textId="77777777" w:rsidR="003A3D51" w:rsidRDefault="0002775A">
      <w:pPr>
        <w:pStyle w:val="P68B1DB1-Normal30"/>
        <w:spacing w:after="120" w:line="240" w:lineRule="auto"/>
        <w:jc w:val="both"/>
        <w:rPr>
          <w:noProof/>
        </w:rPr>
      </w:pPr>
      <w:r>
        <w:rPr>
          <w:noProof/>
        </w:rPr>
        <w:t>Reformen syftar till att inrätta en effektiv organisatorisk och rättslig ram för att hantera utvecklingen av hållbar turism genom att utarbeta turismlagen, strategin för hållbar utveckling av turismen från 2030, den nationella planen för hållbar utveckling av turismen senast 2027 och den strategiska miljöbedömningen.</w:t>
      </w:r>
    </w:p>
    <w:p w14:paraId="262BE212" w14:textId="77777777" w:rsidR="003A3D51" w:rsidRDefault="0002775A">
      <w:pPr>
        <w:pStyle w:val="P68B1DB1-Normal30"/>
        <w:spacing w:after="120" w:line="240" w:lineRule="auto"/>
        <w:jc w:val="both"/>
        <w:rPr>
          <w:noProof/>
        </w:rPr>
      </w:pPr>
      <w:r>
        <w:rPr>
          <w:noProof/>
        </w:rPr>
        <w:t>Reformen ska omfatta följande:</w:t>
      </w:r>
    </w:p>
    <w:p w14:paraId="7C8C833C" w14:textId="77777777" w:rsidR="003A3D51" w:rsidRDefault="0002775A">
      <w:pPr>
        <w:pStyle w:val="P68B1DB1-Normal30"/>
        <w:numPr>
          <w:ilvl w:val="0"/>
          <w:numId w:val="14"/>
        </w:numPr>
        <w:spacing w:after="120" w:line="240" w:lineRule="auto"/>
        <w:jc w:val="both"/>
        <w:rPr>
          <w:noProof/>
        </w:rPr>
      </w:pPr>
      <w:r>
        <w:rPr>
          <w:noProof/>
        </w:rPr>
        <w:t>Ytterligare administrativa och skatteliknande lättnader för turismsektorn.</w:t>
      </w:r>
    </w:p>
    <w:p w14:paraId="35938591" w14:textId="77777777" w:rsidR="003A3D51" w:rsidRDefault="0002775A">
      <w:pPr>
        <w:pStyle w:val="P68B1DB1-Normal30"/>
        <w:numPr>
          <w:ilvl w:val="0"/>
          <w:numId w:val="14"/>
        </w:numPr>
        <w:spacing w:after="120" w:line="240" w:lineRule="auto"/>
        <w:jc w:val="both"/>
        <w:rPr>
          <w:noProof/>
        </w:rPr>
      </w:pPr>
      <w:r>
        <w:rPr>
          <w:noProof/>
        </w:rPr>
        <w:t>Ytterligare ändringar av den rättsliga ramen som kommer att möjliggöra en bättre förvaltning av turismutvecklingen och samtidigt uppmuntra</w:t>
      </w:r>
      <w:r>
        <w:rPr>
          <w:noProof/>
          <w:shd w:val="clear" w:color="auto" w:fill="E6E6E6"/>
        </w:rPr>
        <w:t xml:space="preserve"> </w:t>
      </w:r>
      <w:r>
        <w:rPr>
          <w:noProof/>
        </w:rPr>
        <w:t>företagsinvesteringar i innovation.</w:t>
      </w:r>
    </w:p>
    <w:p w14:paraId="7777CD63" w14:textId="77777777" w:rsidR="003A3D51" w:rsidRDefault="0002775A">
      <w:pPr>
        <w:pStyle w:val="P68B1DB1-Normal30"/>
        <w:numPr>
          <w:ilvl w:val="0"/>
          <w:numId w:val="14"/>
        </w:numPr>
        <w:spacing w:after="120" w:line="240" w:lineRule="auto"/>
        <w:jc w:val="both"/>
        <w:rPr>
          <w:noProof/>
        </w:rPr>
      </w:pPr>
      <w:r>
        <w:rPr>
          <w:noProof/>
        </w:rPr>
        <w:t>Utveckla en ny modell för turism som erbjuder mer diversifierade turistprodukter, bidrar till turistföretagarnas gröna och digitala omställning och säkerställer efterlevnad av principerna för den cirkulära ekonomin.</w:t>
      </w:r>
    </w:p>
    <w:p w14:paraId="4A0F3445" w14:textId="77777777" w:rsidR="003A3D51" w:rsidRDefault="0002775A">
      <w:pPr>
        <w:pStyle w:val="P68B1DB1-Normal30"/>
        <w:numPr>
          <w:ilvl w:val="0"/>
          <w:numId w:val="14"/>
        </w:numPr>
        <w:spacing w:after="120" w:line="240" w:lineRule="auto"/>
        <w:jc w:val="both"/>
        <w:rPr>
          <w:noProof/>
        </w:rPr>
      </w:pPr>
      <w:r>
        <w:rPr>
          <w:noProof/>
        </w:rPr>
        <w:t>Minska de operativa förfaranden som ska bidra till enklare, snabbare och billigare start av turistföretag.</w:t>
      </w:r>
    </w:p>
    <w:p w14:paraId="445504B9" w14:textId="77777777" w:rsidR="003A3D51" w:rsidRDefault="0002775A">
      <w:pPr>
        <w:pStyle w:val="P68B1DB1-Normal30"/>
        <w:spacing w:after="120" w:line="240" w:lineRule="auto"/>
        <w:jc w:val="both"/>
        <w:rPr>
          <w:noProof/>
        </w:rPr>
      </w:pPr>
      <w:r>
        <w:rPr>
          <w:noProof/>
        </w:rPr>
        <w:t>Genomförandet av reformen av systemet för förvaltning av turismen planeras också genom investering C.2.3.R3 I15 – Inrättande av lösningar för tillämpning av turism i syfte att administrativt befria företagare och omvandla turismmodellen till hållbarhet. Reformen kommer att genomföras i enlighet med principen om offentligt samråd, med deltagande av ett brett spektrum av intressenter i det övergripande ekosystemet för turism, däribland entreprenörer, branschorganisationer och akademiker.</w:t>
      </w:r>
    </w:p>
    <w:p w14:paraId="0CA2F5E4" w14:textId="77777777" w:rsidR="003A3D51" w:rsidRDefault="0002775A">
      <w:pPr>
        <w:pStyle w:val="P68B1DB1-Normal30"/>
        <w:spacing w:after="200" w:line="276" w:lineRule="auto"/>
        <w:jc w:val="both"/>
        <w:rPr>
          <w:noProof/>
        </w:rPr>
      </w:pPr>
      <w:r>
        <w:rPr>
          <w:noProof/>
        </w:rPr>
        <w:t>Reformen ska vara genomförd senast den 31 december 2023.</w:t>
      </w:r>
    </w:p>
    <w:p w14:paraId="62BFE6A5" w14:textId="77777777" w:rsidR="003A3D51" w:rsidRDefault="0002775A">
      <w:pPr>
        <w:pStyle w:val="P68B1DB1-Normal32"/>
        <w:keepNext/>
        <w:spacing w:after="200" w:line="276" w:lineRule="auto"/>
        <w:ind w:left="850"/>
        <w:jc w:val="both"/>
        <w:rPr>
          <w:noProof/>
        </w:rPr>
      </w:pPr>
      <w:r>
        <w:rPr>
          <w:noProof/>
        </w:rPr>
        <w:t>C1.6.R1-I1 Regional diversifiering och specialisering av den kroatiska turismen genom investeringar i utveckling av turistprodukter med högt mervärde</w:t>
      </w:r>
    </w:p>
    <w:p w14:paraId="77003855" w14:textId="77777777" w:rsidR="003A3D51" w:rsidRDefault="0002775A">
      <w:pPr>
        <w:pStyle w:val="P68B1DB1-Normal30"/>
        <w:spacing w:after="200" w:line="276" w:lineRule="auto"/>
        <w:jc w:val="both"/>
        <w:rPr>
          <w:noProof/>
        </w:rPr>
      </w:pPr>
      <w:r>
        <w:rPr>
          <w:noProof/>
        </w:rPr>
        <w:t>Denna investering ska omfatta ekonomiskt stöd i form av bidrag för att utveckla, anpassa och uppgradera den offentliga turisminfrastrukturen i hela Kroatien i syfte att öka energieffektiviteten och andelen förnybara energikällor, stödja den gröna och digitala omställningen och samtidigt främja turistprodukter som kan generera ett större mervärde i enlighet med principerna för den cirkulära ekonomin.</w:t>
      </w:r>
    </w:p>
    <w:p w14:paraId="5E7E0066" w14:textId="77777777" w:rsidR="003A3D51" w:rsidRDefault="0002775A">
      <w:pPr>
        <w:pStyle w:val="P68B1DB1-Normal30"/>
        <w:spacing w:after="200" w:line="276" w:lineRule="auto"/>
        <w:jc w:val="both"/>
        <w:rPr>
          <w:noProof/>
        </w:rPr>
      </w:pPr>
      <w:r>
        <w:rPr>
          <w:noProof/>
        </w:rPr>
        <w:t>Ett annat mål med denna investering är att minska överturismen i de mest utvecklade turistområdena genom att göra mindre utvecklade turistmål mer attraktiva, höja resmålens kvalitet och möjliggöra förlängda säsonger, främja hållbara former av turism och utveckla turisminfrastruktur.</w:t>
      </w:r>
    </w:p>
    <w:p w14:paraId="22E23C12" w14:textId="40FF863F" w:rsidR="003A3D51" w:rsidRDefault="0002775A">
      <w:pPr>
        <w:pStyle w:val="P68B1DB1-Normal30"/>
        <w:spacing w:after="200" w:line="276" w:lineRule="auto"/>
        <w:jc w:val="both"/>
        <w:rPr>
          <w:noProof/>
        </w:rPr>
      </w:pPr>
      <w:r>
        <w:rPr>
          <w:noProof/>
        </w:rPr>
        <w:t>Investeringen ska vara slutförd senast den 30 juni 2026.</w:t>
      </w:r>
    </w:p>
    <w:p w14:paraId="5C275169" w14:textId="77777777" w:rsidR="003A3D51" w:rsidRDefault="0002775A">
      <w:pPr>
        <w:pStyle w:val="P68B1DB1-Normal32"/>
        <w:keepNext/>
        <w:spacing w:after="200" w:line="276" w:lineRule="auto"/>
        <w:ind w:left="850"/>
        <w:jc w:val="both"/>
        <w:rPr>
          <w:noProof/>
        </w:rPr>
      </w:pPr>
      <w:r>
        <w:rPr>
          <w:noProof/>
        </w:rPr>
        <w:t>C1.6.R1-I2 Stärka entreprenörers konkurrenskraft och främja den gröna och digitala omställningen inom turismsektorn</w:t>
      </w:r>
    </w:p>
    <w:p w14:paraId="6B6AFEEF" w14:textId="77777777" w:rsidR="003A3D51" w:rsidRDefault="0002775A">
      <w:pPr>
        <w:pStyle w:val="P68B1DB1-Normal30"/>
        <w:spacing w:after="200" w:line="276" w:lineRule="auto"/>
        <w:jc w:val="both"/>
        <w:rPr>
          <w:noProof/>
        </w:rPr>
      </w:pPr>
      <w:r>
        <w:rPr>
          <w:noProof/>
        </w:rPr>
        <w:t xml:space="preserve">Syftet med denna investering är att bidra till utvecklingen av hållbar turism genom den gröna och digitala omställningen genom att genomföra gröna projekt, såsom ökad energieffektivitet, användning av förnybara energikällor och den cirkulära ekonomin, användning av innovation och digital teknik samt utveckling av miljövänliga turistprodukter och resurseffektivitet. </w:t>
      </w:r>
    </w:p>
    <w:p w14:paraId="02C31635" w14:textId="77777777" w:rsidR="003A3D51" w:rsidRDefault="0002775A">
      <w:pPr>
        <w:pStyle w:val="P68B1DB1-Normal30"/>
        <w:spacing w:after="200" w:line="276" w:lineRule="auto"/>
        <w:jc w:val="both"/>
        <w:rPr>
          <w:noProof/>
        </w:rPr>
      </w:pPr>
      <w:r>
        <w:rPr>
          <w:noProof/>
        </w:rPr>
        <w:t>Finansieringen ska fördelas på grundval av Kroatiens index för turismutveckling så att investeringar i mindre utvecklade turistområden prioriteras. Dessutom förväntas denna investering främja turismens sociala hållbarhet genom att uppmuntra privata investeringar som bidrar till ökad sysselsättning i lokalsamhällena.</w:t>
      </w:r>
    </w:p>
    <w:p w14:paraId="11379AA4" w14:textId="5C2C71A9" w:rsidR="003A3D51" w:rsidRDefault="0002775A">
      <w:pPr>
        <w:pStyle w:val="P68B1DB1-Normal30"/>
        <w:spacing w:after="200" w:line="276" w:lineRule="auto"/>
        <w:jc w:val="both"/>
        <w:rPr>
          <w:noProof/>
        </w:rPr>
      </w:pPr>
      <w:r>
        <w:rPr>
          <w:noProof/>
        </w:rPr>
        <w:t>Investeringen kommer att vara slutförd senast den 30 juni 2026.</w:t>
      </w:r>
    </w:p>
    <w:p w14:paraId="1D343F94" w14:textId="77777777" w:rsidR="003A3D51" w:rsidRDefault="0002775A">
      <w:pPr>
        <w:pStyle w:val="P68B1DB1-Normal32"/>
        <w:keepNext/>
        <w:spacing w:after="200" w:line="276" w:lineRule="auto"/>
        <w:ind w:left="850"/>
        <w:jc w:val="both"/>
        <w:rPr>
          <w:noProof/>
        </w:rPr>
      </w:pPr>
      <w:r>
        <w:rPr>
          <w:noProof/>
        </w:rPr>
        <w:t>C1.6.R1-I3 Stärka systemkapaciteten för motståndskraftig och hållbar turism</w:t>
      </w:r>
    </w:p>
    <w:p w14:paraId="7877CB82" w14:textId="77777777" w:rsidR="003A3D51" w:rsidRDefault="0002775A">
      <w:pPr>
        <w:pStyle w:val="P68B1DB1-Normal30"/>
        <w:spacing w:after="200" w:line="276" w:lineRule="auto"/>
        <w:jc w:val="both"/>
        <w:rPr>
          <w:noProof/>
        </w:rPr>
      </w:pPr>
      <w:r>
        <w:rPr>
          <w:noProof/>
        </w:rPr>
        <w:t xml:space="preserve">Syftet med investeringen är att stärka humankapitalets motståndskraft inom hela turismsektorn genom utbildningsprogram som är särskilt utformade för arbetsmarknadens behov, med fokus på digital kompetens, grön kompetens och ledningskompetens. </w:t>
      </w:r>
    </w:p>
    <w:p w14:paraId="26C723A7" w14:textId="77777777" w:rsidR="003A3D51" w:rsidRDefault="0002775A">
      <w:pPr>
        <w:pStyle w:val="P68B1DB1-Normal30"/>
        <w:spacing w:after="200" w:line="276" w:lineRule="auto"/>
        <w:jc w:val="both"/>
        <w:rPr>
          <w:noProof/>
        </w:rPr>
      </w:pPr>
      <w:r>
        <w:rPr>
          <w:noProof/>
        </w:rPr>
        <w:t>Investeringens huvudsakliga verksamhet ska omfatta utformning av utbildningsprogram som svarar mot arbetsmarknadens behov, särskild utbildning för arbetsgivare, utbildning av studenter och arbetslösa samt utbildning av personal vid statsförvaltningen och länsstyrelserna för att bättre hantera hållbar turism.</w:t>
      </w:r>
    </w:p>
    <w:p w14:paraId="40AF8706" w14:textId="77777777" w:rsidR="003A3D51" w:rsidRDefault="0002775A">
      <w:pPr>
        <w:pStyle w:val="P68B1DB1-Normal30"/>
        <w:rPr>
          <w:noProof/>
        </w:rPr>
        <w:sectPr w:rsidR="003A3D51" w:rsidSect="00C75D46">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08" w:footer="708" w:gutter="0"/>
          <w:cols w:space="708"/>
          <w:docGrid w:linePitch="360"/>
        </w:sectPr>
      </w:pPr>
      <w:r>
        <w:rPr>
          <w:noProof/>
        </w:rPr>
        <w:t>Investeringen ska vara slutförd senast den 31 december 2025.</w:t>
      </w:r>
    </w:p>
    <w:p w14:paraId="28DBC45A" w14:textId="77777777" w:rsidR="003A3D51" w:rsidRDefault="0002775A">
      <w:pPr>
        <w:pStyle w:val="P68B1DB1-Normal33"/>
        <w:keepNext/>
        <w:tabs>
          <w:tab w:val="num" w:pos="850"/>
        </w:tabs>
        <w:spacing w:after="200" w:line="276" w:lineRule="auto"/>
        <w:ind w:left="851"/>
        <w:jc w:val="both"/>
        <w:outlineLvl w:val="1"/>
        <w:rPr>
          <w:rFonts w:ascii="Calibri" w:eastAsia="Calibri" w:hAnsi="Calibri" w:cs="Arial"/>
          <w:noProof/>
        </w:rPr>
      </w:pPr>
      <w:r>
        <w:rPr>
          <w:noProof/>
        </w:rPr>
        <w:t xml:space="preserve">F.2. </w:t>
      </w:r>
      <w:r>
        <w:rPr>
          <w:noProof/>
        </w:rPr>
        <w:tab/>
        <w:t>Delmål, mål, indikatorer och tidsplan för övervakning och genomförande avseende icke återbetalningspliktigt ekonomiskt stöd</w:t>
      </w:r>
    </w:p>
    <w:tbl>
      <w:tblPr>
        <w:tblW w:w="14743" w:type="dxa"/>
        <w:tblInd w:w="-823" w:type="dxa"/>
        <w:tblCellMar>
          <w:top w:w="28" w:type="dxa"/>
          <w:left w:w="28" w:type="dxa"/>
          <w:bottom w:w="28" w:type="dxa"/>
          <w:right w:w="28" w:type="dxa"/>
        </w:tblCellMar>
        <w:tblLook w:val="04A0" w:firstRow="1" w:lastRow="0" w:firstColumn="1" w:lastColumn="0" w:noHBand="0" w:noVBand="1"/>
      </w:tblPr>
      <w:tblGrid>
        <w:gridCol w:w="851"/>
        <w:gridCol w:w="993"/>
        <w:gridCol w:w="946"/>
        <w:gridCol w:w="2268"/>
        <w:gridCol w:w="1985"/>
        <w:gridCol w:w="850"/>
        <w:gridCol w:w="992"/>
        <w:gridCol w:w="1059"/>
        <w:gridCol w:w="795"/>
        <w:gridCol w:w="709"/>
        <w:gridCol w:w="3544"/>
      </w:tblGrid>
      <w:tr w:rsidR="003A3D51" w14:paraId="47D4A802"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2087C00" w14:textId="77777777" w:rsidR="003A3D51" w:rsidRDefault="0002775A">
            <w:pPr>
              <w:pStyle w:val="P68B1DB1-Normal34"/>
              <w:spacing w:after="0" w:line="276" w:lineRule="auto"/>
              <w:jc w:val="center"/>
              <w:rPr>
                <w:noProof/>
              </w:rPr>
            </w:pPr>
            <w:r>
              <w:rPr>
                <w:noProof/>
              </w:rPr>
              <w:t>Antal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6A89D487" w14:textId="77777777" w:rsidR="003A3D51" w:rsidRDefault="0002775A">
            <w:pPr>
              <w:pStyle w:val="P68B1DB1-Normal34"/>
              <w:spacing w:after="0" w:line="276" w:lineRule="auto"/>
              <w:jc w:val="center"/>
              <w:rPr>
                <w:noProof/>
              </w:rPr>
            </w:pPr>
            <w:r>
              <w:rPr>
                <w:noProof/>
              </w:rPr>
              <w:t>Åtgärd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4AB38A7" w14:textId="77777777" w:rsidR="003A3D51" w:rsidRDefault="0002775A">
            <w:pPr>
              <w:pStyle w:val="P68B1DB1-Normal34"/>
              <w:spacing w:after="0" w:line="276" w:lineRule="auto"/>
              <w:jc w:val="center"/>
              <w:rPr>
                <w:noProof/>
              </w:rPr>
            </w:pPr>
            <w:r>
              <w:rPr>
                <w:noProof/>
              </w:rPr>
              <w:t>Delmål/mål</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77A930F0" w14:textId="77777777" w:rsidR="003A3D51" w:rsidRDefault="0002775A">
            <w:pPr>
              <w:pStyle w:val="P68B1DB1-Normal34"/>
              <w:spacing w:after="0" w:line="276" w:lineRule="auto"/>
              <w:jc w:val="center"/>
              <w:rPr>
                <w:noProof/>
              </w:rPr>
            </w:pPr>
            <w:r>
              <w:rPr>
                <w:noProof/>
              </w:rPr>
              <w:t>Namn</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30C751F6" w14:textId="77777777" w:rsidR="003A3D51" w:rsidRDefault="0002775A">
            <w:pPr>
              <w:pStyle w:val="P68B1DB1-Normal34"/>
              <w:spacing w:after="0" w:line="276" w:lineRule="auto"/>
              <w:jc w:val="center"/>
              <w:rPr>
                <w:noProof/>
              </w:rPr>
            </w:pPr>
            <w:r>
              <w:rPr>
                <w:noProof/>
              </w:rPr>
              <w:t xml:space="preserve">Kvalitativa indikatorer </w:t>
            </w:r>
            <w:r>
              <w:rPr>
                <w:noProof/>
              </w:rPr>
              <w:br/>
              <w:t>(för delmål)</w:t>
            </w:r>
          </w:p>
        </w:tc>
        <w:tc>
          <w:tcPr>
            <w:tcW w:w="2901"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9A01E0F" w14:textId="77777777" w:rsidR="003A3D51" w:rsidRDefault="0002775A">
            <w:pPr>
              <w:pStyle w:val="P68B1DB1-Normal34"/>
              <w:spacing w:after="0" w:line="276" w:lineRule="auto"/>
              <w:jc w:val="center"/>
              <w:rPr>
                <w:noProof/>
              </w:rPr>
            </w:pPr>
            <w:r>
              <w:rPr>
                <w:noProof/>
              </w:rPr>
              <w:t xml:space="preserve">Kvantitativa indikatorer </w:t>
            </w:r>
            <w:r>
              <w:rPr>
                <w:noProof/>
              </w:rPr>
              <w:br/>
              <w:t>(för mål)</w:t>
            </w:r>
          </w:p>
        </w:tc>
        <w:tc>
          <w:tcPr>
            <w:tcW w:w="1351" w:type="dxa"/>
            <w:gridSpan w:val="2"/>
            <w:tcBorders>
              <w:top w:val="single" w:sz="4" w:space="0" w:color="auto"/>
              <w:left w:val="nil"/>
              <w:bottom w:val="single" w:sz="4" w:space="0" w:color="auto"/>
              <w:right w:val="single" w:sz="4" w:space="0" w:color="auto"/>
            </w:tcBorders>
            <w:shd w:val="clear" w:color="auto" w:fill="BDD7EE"/>
            <w:hideMark/>
          </w:tcPr>
          <w:p w14:paraId="3EAE2188" w14:textId="77777777" w:rsidR="003A3D51" w:rsidRDefault="0002775A">
            <w:pPr>
              <w:pStyle w:val="P68B1DB1-Normal34"/>
              <w:spacing w:after="0" w:line="276" w:lineRule="auto"/>
              <w:jc w:val="center"/>
              <w:rPr>
                <w:noProof/>
              </w:rPr>
            </w:pPr>
            <w:r>
              <w:rPr>
                <w:noProof/>
              </w:rPr>
              <w:t>Tid</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39493074" w14:textId="77777777" w:rsidR="003A3D51" w:rsidRDefault="0002775A">
            <w:pPr>
              <w:pStyle w:val="P68B1DB1-Normal34"/>
              <w:spacing w:after="0" w:line="276" w:lineRule="auto"/>
              <w:jc w:val="center"/>
              <w:rPr>
                <w:noProof/>
              </w:rPr>
            </w:pPr>
            <w:r>
              <w:rPr>
                <w:noProof/>
              </w:rPr>
              <w:t>Beskrivning av varje delmål och mål</w:t>
            </w:r>
          </w:p>
        </w:tc>
      </w:tr>
      <w:tr w:rsidR="003A3D51" w14:paraId="77E28D7A" w14:textId="77777777">
        <w:trPr>
          <w:tblHeader/>
        </w:trPr>
        <w:tc>
          <w:tcPr>
            <w:tcW w:w="851" w:type="dxa"/>
            <w:vMerge/>
            <w:tcBorders>
              <w:top w:val="single" w:sz="4" w:space="0" w:color="auto"/>
              <w:left w:val="single" w:sz="4" w:space="0" w:color="auto"/>
              <w:bottom w:val="single" w:sz="4" w:space="0" w:color="auto"/>
              <w:right w:val="single" w:sz="4" w:space="0" w:color="auto"/>
            </w:tcBorders>
            <w:hideMark/>
          </w:tcPr>
          <w:p w14:paraId="443E34B6" w14:textId="77777777" w:rsidR="003A3D51" w:rsidRDefault="003A3D51">
            <w:pPr>
              <w:spacing w:after="0" w:line="276" w:lineRule="auto"/>
              <w:jc w:val="center"/>
              <w:rPr>
                <w:rFonts w:ascii="Times New Roman" w:eastAsia="Times New Roman" w:hAnsi="Times New Roman" w:cs="Times New Roman"/>
                <w:b/>
                <w:noProof/>
                <w:color w:val="000000" w:themeColor="text1"/>
              </w:rPr>
            </w:pPr>
          </w:p>
        </w:tc>
        <w:tc>
          <w:tcPr>
            <w:tcW w:w="993" w:type="dxa"/>
            <w:vMerge/>
            <w:tcBorders>
              <w:top w:val="single" w:sz="4" w:space="0" w:color="auto"/>
              <w:left w:val="single" w:sz="4" w:space="0" w:color="auto"/>
              <w:bottom w:val="single" w:sz="4" w:space="0" w:color="auto"/>
              <w:right w:val="single" w:sz="4" w:space="0" w:color="auto"/>
            </w:tcBorders>
            <w:hideMark/>
          </w:tcPr>
          <w:p w14:paraId="2178F7BF" w14:textId="77777777" w:rsidR="003A3D51" w:rsidRDefault="003A3D51">
            <w:pPr>
              <w:spacing w:after="0" w:line="276" w:lineRule="auto"/>
              <w:jc w:val="center"/>
              <w:rPr>
                <w:rFonts w:ascii="Times New Roman" w:eastAsia="Times New Roman" w:hAnsi="Times New Roman" w:cs="Times New Roman"/>
                <w:b/>
                <w:noProof/>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hideMark/>
          </w:tcPr>
          <w:p w14:paraId="38C514C2" w14:textId="77777777" w:rsidR="003A3D51" w:rsidRDefault="003A3D51">
            <w:pPr>
              <w:spacing w:after="0" w:line="276" w:lineRule="auto"/>
              <w:jc w:val="center"/>
              <w:rPr>
                <w:rFonts w:ascii="Times New Roman" w:eastAsia="Times New Roman" w:hAnsi="Times New Roman" w:cs="Times New Roman"/>
                <w:b/>
                <w:noProof/>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hideMark/>
          </w:tcPr>
          <w:p w14:paraId="7BBA1D0E" w14:textId="77777777" w:rsidR="003A3D51" w:rsidRDefault="003A3D51">
            <w:pPr>
              <w:spacing w:after="0" w:line="276" w:lineRule="auto"/>
              <w:rPr>
                <w:rFonts w:ascii="Times New Roman" w:eastAsia="Times New Roman" w:hAnsi="Times New Roman" w:cs="Times New Roman"/>
                <w:b/>
                <w:noProof/>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hideMark/>
          </w:tcPr>
          <w:p w14:paraId="2DF9A656" w14:textId="77777777" w:rsidR="003A3D51" w:rsidRDefault="003A3D51">
            <w:pPr>
              <w:spacing w:after="0" w:line="276" w:lineRule="auto"/>
              <w:rPr>
                <w:rFonts w:ascii="Times New Roman" w:eastAsia="Times New Roman" w:hAnsi="Times New Roman" w:cs="Times New Roman"/>
                <w:b/>
                <w:noProof/>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BDD7EE"/>
            <w:hideMark/>
          </w:tcPr>
          <w:p w14:paraId="5D6EFBA5" w14:textId="77777777" w:rsidR="003A3D51" w:rsidRDefault="0002775A">
            <w:pPr>
              <w:pStyle w:val="P68B1DB1-Normal34"/>
              <w:spacing w:after="0" w:line="276" w:lineRule="auto"/>
              <w:jc w:val="center"/>
              <w:rPr>
                <w:noProof/>
              </w:rPr>
            </w:pPr>
            <w:r>
              <w:rPr>
                <w:noProof/>
              </w:rPr>
              <w:t>Enhet</w:t>
            </w:r>
          </w:p>
        </w:tc>
        <w:tc>
          <w:tcPr>
            <w:tcW w:w="992" w:type="dxa"/>
            <w:tcBorders>
              <w:top w:val="single" w:sz="4" w:space="0" w:color="auto"/>
              <w:left w:val="single" w:sz="4" w:space="0" w:color="auto"/>
              <w:bottom w:val="single" w:sz="4" w:space="0" w:color="auto"/>
              <w:right w:val="single" w:sz="4" w:space="0" w:color="auto"/>
            </w:tcBorders>
            <w:shd w:val="clear" w:color="auto" w:fill="BDD7EE"/>
            <w:hideMark/>
          </w:tcPr>
          <w:p w14:paraId="05B8D0F2" w14:textId="77777777" w:rsidR="003A3D51" w:rsidRDefault="0002775A">
            <w:pPr>
              <w:pStyle w:val="P68B1DB1-Normal34"/>
              <w:spacing w:after="0" w:line="276" w:lineRule="auto"/>
              <w:jc w:val="center"/>
              <w:rPr>
                <w:noProof/>
              </w:rPr>
            </w:pPr>
            <w:r>
              <w:rPr>
                <w:noProof/>
              </w:rPr>
              <w:t>Baslinjen</w:t>
            </w:r>
          </w:p>
        </w:tc>
        <w:tc>
          <w:tcPr>
            <w:tcW w:w="1059" w:type="dxa"/>
            <w:tcBorders>
              <w:top w:val="single" w:sz="4" w:space="0" w:color="auto"/>
              <w:left w:val="single" w:sz="4" w:space="0" w:color="auto"/>
              <w:bottom w:val="single" w:sz="4" w:space="0" w:color="auto"/>
              <w:right w:val="single" w:sz="4" w:space="0" w:color="auto"/>
            </w:tcBorders>
            <w:shd w:val="clear" w:color="auto" w:fill="BDD7EE"/>
            <w:hideMark/>
          </w:tcPr>
          <w:p w14:paraId="1E348BE3" w14:textId="77777777" w:rsidR="003A3D51" w:rsidRDefault="0002775A">
            <w:pPr>
              <w:pStyle w:val="P68B1DB1-Normal34"/>
              <w:spacing w:after="0" w:line="276" w:lineRule="auto"/>
              <w:jc w:val="center"/>
              <w:rPr>
                <w:noProof/>
              </w:rPr>
            </w:pPr>
            <w:r>
              <w:rPr>
                <w:noProof/>
              </w:rPr>
              <w:t>Mål</w:t>
            </w:r>
          </w:p>
        </w:tc>
        <w:tc>
          <w:tcPr>
            <w:tcW w:w="642" w:type="dxa"/>
            <w:tcBorders>
              <w:top w:val="single" w:sz="4" w:space="0" w:color="auto"/>
              <w:left w:val="single" w:sz="4" w:space="0" w:color="auto"/>
              <w:bottom w:val="single" w:sz="4" w:space="0" w:color="auto"/>
              <w:right w:val="single" w:sz="4" w:space="0" w:color="auto"/>
            </w:tcBorders>
            <w:shd w:val="clear" w:color="auto" w:fill="BDD7EE"/>
            <w:hideMark/>
          </w:tcPr>
          <w:p w14:paraId="60E7513D" w14:textId="77777777" w:rsidR="003A3D51" w:rsidRDefault="0002775A">
            <w:pPr>
              <w:pStyle w:val="P68B1DB1-Normal34"/>
              <w:spacing w:after="0" w:line="276" w:lineRule="auto"/>
              <w:jc w:val="center"/>
              <w:rPr>
                <w:noProof/>
              </w:rPr>
            </w:pPr>
            <w:r>
              <w:rPr>
                <w:noProof/>
              </w:rPr>
              <w:t>Q</w:t>
            </w:r>
          </w:p>
        </w:tc>
        <w:tc>
          <w:tcPr>
            <w:tcW w:w="709" w:type="dxa"/>
            <w:tcBorders>
              <w:top w:val="single" w:sz="4" w:space="0" w:color="auto"/>
              <w:left w:val="single" w:sz="4" w:space="0" w:color="auto"/>
              <w:bottom w:val="single" w:sz="4" w:space="0" w:color="auto"/>
              <w:right w:val="single" w:sz="4" w:space="0" w:color="auto"/>
            </w:tcBorders>
            <w:shd w:val="clear" w:color="auto" w:fill="BDD7EE"/>
            <w:hideMark/>
          </w:tcPr>
          <w:p w14:paraId="25247FD5" w14:textId="77777777" w:rsidR="003A3D51" w:rsidRDefault="0002775A">
            <w:pPr>
              <w:pStyle w:val="P68B1DB1-Normal34"/>
              <w:spacing w:after="0" w:line="276" w:lineRule="auto"/>
              <w:jc w:val="center"/>
              <w:rPr>
                <w:noProof/>
              </w:rPr>
            </w:pPr>
            <w:r>
              <w:rPr>
                <w:noProof/>
              </w:rPr>
              <w:t>Året</w:t>
            </w:r>
          </w:p>
        </w:tc>
        <w:tc>
          <w:tcPr>
            <w:tcW w:w="3544" w:type="dxa"/>
            <w:vMerge/>
            <w:tcBorders>
              <w:top w:val="single" w:sz="4" w:space="0" w:color="auto"/>
              <w:bottom w:val="single" w:sz="4" w:space="0" w:color="auto"/>
              <w:right w:val="single" w:sz="4" w:space="0" w:color="auto"/>
            </w:tcBorders>
            <w:hideMark/>
          </w:tcPr>
          <w:p w14:paraId="0448CCB9" w14:textId="77777777" w:rsidR="003A3D51" w:rsidRDefault="003A3D51">
            <w:pPr>
              <w:spacing w:after="0" w:line="276" w:lineRule="auto"/>
              <w:rPr>
                <w:rFonts w:ascii="Times New Roman" w:eastAsia="Calibri" w:hAnsi="Times New Roman" w:cs="Times New Roman"/>
                <w:b/>
                <w:noProof/>
                <w:color w:val="000000" w:themeColor="text1"/>
                <w:sz w:val="18"/>
              </w:rPr>
            </w:pPr>
          </w:p>
        </w:tc>
      </w:tr>
      <w:tr w:rsidR="003A3D51" w14:paraId="3A22F33C"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95A6AF8" w14:textId="77777777" w:rsidR="003A3D51" w:rsidRDefault="0002775A">
            <w:pPr>
              <w:pStyle w:val="P68B1DB1-Normal7"/>
              <w:spacing w:after="200" w:line="276" w:lineRule="auto"/>
              <w:jc w:val="center"/>
              <w:rPr>
                <w:noProof/>
                <w:color w:val="000000" w:themeColor="text1"/>
              </w:rPr>
            </w:pPr>
            <w:r>
              <w:rPr>
                <w:noProof/>
              </w:rPr>
              <w:t>140</w:t>
            </w:r>
          </w:p>
        </w:tc>
        <w:tc>
          <w:tcPr>
            <w:tcW w:w="993" w:type="dxa"/>
            <w:tcBorders>
              <w:top w:val="single" w:sz="4" w:space="0" w:color="auto"/>
              <w:left w:val="nil"/>
              <w:bottom w:val="single" w:sz="4" w:space="0" w:color="auto"/>
              <w:right w:val="single" w:sz="4" w:space="0" w:color="auto"/>
            </w:tcBorders>
            <w:shd w:val="clear" w:color="auto" w:fill="C6EFCE"/>
            <w:noWrap/>
          </w:tcPr>
          <w:p w14:paraId="2CC68A6E" w14:textId="77777777" w:rsidR="003A3D51" w:rsidRDefault="0002775A">
            <w:pPr>
              <w:pStyle w:val="P68B1DB1-Normal7"/>
              <w:spacing w:after="200" w:line="276" w:lineRule="auto"/>
              <w:jc w:val="center"/>
              <w:rPr>
                <w:noProof/>
                <w:color w:val="000000" w:themeColor="text1"/>
              </w:rPr>
            </w:pPr>
            <w:r>
              <w:rPr>
                <w:noProof/>
              </w:rPr>
              <w:t>C1.6 R1</w:t>
            </w:r>
          </w:p>
        </w:tc>
        <w:tc>
          <w:tcPr>
            <w:tcW w:w="850" w:type="dxa"/>
            <w:tcBorders>
              <w:top w:val="single" w:sz="4" w:space="0" w:color="auto"/>
              <w:left w:val="nil"/>
              <w:bottom w:val="single" w:sz="4" w:space="0" w:color="auto"/>
              <w:right w:val="single" w:sz="4" w:space="0" w:color="auto"/>
            </w:tcBorders>
            <w:shd w:val="clear" w:color="auto" w:fill="C6EFCE"/>
            <w:noWrap/>
          </w:tcPr>
          <w:p w14:paraId="57B96BBC" w14:textId="77777777" w:rsidR="003A3D51" w:rsidRDefault="0002775A">
            <w:pPr>
              <w:pStyle w:val="P68B1DB1-Normal7"/>
              <w:spacing w:after="200" w:line="276" w:lineRule="auto"/>
              <w:jc w:val="center"/>
              <w:rPr>
                <w:noProof/>
                <w:color w:val="000000" w:themeColor="text1"/>
              </w:rPr>
            </w:pPr>
            <w:r>
              <w:rPr>
                <w:noProof/>
              </w:rPr>
              <w:t>M</w:t>
            </w:r>
          </w:p>
        </w:tc>
        <w:tc>
          <w:tcPr>
            <w:tcW w:w="2268" w:type="dxa"/>
            <w:tcBorders>
              <w:top w:val="single" w:sz="4" w:space="0" w:color="auto"/>
              <w:left w:val="nil"/>
              <w:bottom w:val="single" w:sz="4" w:space="0" w:color="auto"/>
              <w:right w:val="single" w:sz="4" w:space="0" w:color="auto"/>
            </w:tcBorders>
            <w:shd w:val="clear" w:color="auto" w:fill="C6EFCE"/>
            <w:noWrap/>
          </w:tcPr>
          <w:p w14:paraId="7F66F9F6" w14:textId="77777777" w:rsidR="003A3D51" w:rsidRDefault="0002775A">
            <w:pPr>
              <w:pStyle w:val="P68B1DB1-Normal7"/>
              <w:spacing w:after="200" w:line="276" w:lineRule="auto"/>
              <w:rPr>
                <w:noProof/>
                <w:color w:val="000000" w:themeColor="text1"/>
              </w:rPr>
            </w:pPr>
            <w:r>
              <w:rPr>
                <w:noProof/>
              </w:rPr>
              <w:t>Scenarioanalys som en del av strategin för hållbar utveckling av turismen 2030</w:t>
            </w:r>
          </w:p>
        </w:tc>
        <w:tc>
          <w:tcPr>
            <w:tcW w:w="1985" w:type="dxa"/>
            <w:tcBorders>
              <w:top w:val="single" w:sz="4" w:space="0" w:color="auto"/>
              <w:left w:val="nil"/>
              <w:bottom w:val="single" w:sz="4" w:space="0" w:color="auto"/>
              <w:right w:val="single" w:sz="4" w:space="0" w:color="auto"/>
            </w:tcBorders>
            <w:shd w:val="clear" w:color="auto" w:fill="C6EFCE"/>
            <w:noWrap/>
          </w:tcPr>
          <w:p w14:paraId="2C905D70" w14:textId="77777777" w:rsidR="003A3D51" w:rsidRDefault="0002775A">
            <w:pPr>
              <w:pStyle w:val="P68B1DB1-Normal7"/>
              <w:spacing w:after="200" w:line="276" w:lineRule="auto"/>
              <w:rPr>
                <w:noProof/>
                <w:color w:val="000000" w:themeColor="text1"/>
              </w:rPr>
            </w:pPr>
            <w:r>
              <w:rPr>
                <w:noProof/>
              </w:rPr>
              <w:t>Utveckla scenarioanalysen</w:t>
            </w:r>
          </w:p>
        </w:tc>
        <w:tc>
          <w:tcPr>
            <w:tcW w:w="850" w:type="dxa"/>
            <w:tcBorders>
              <w:top w:val="single" w:sz="4" w:space="0" w:color="auto"/>
              <w:left w:val="nil"/>
              <w:bottom w:val="single" w:sz="4" w:space="0" w:color="auto"/>
              <w:right w:val="single" w:sz="4" w:space="0" w:color="auto"/>
            </w:tcBorders>
            <w:shd w:val="clear" w:color="auto" w:fill="C6EFCE"/>
            <w:noWrap/>
          </w:tcPr>
          <w:p w14:paraId="395D49F6" w14:textId="77777777" w:rsidR="003A3D51" w:rsidRDefault="0002775A">
            <w:pPr>
              <w:pStyle w:val="P68B1DB1-Normal7"/>
              <w:spacing w:after="200" w:line="276" w:lineRule="auto"/>
              <w:jc w:val="center"/>
              <w:rPr>
                <w:noProof/>
                <w:color w:val="000000" w:themeColor="text1"/>
              </w:rPr>
            </w:pPr>
            <w:r>
              <w:rPr>
                <w:noProof/>
              </w:rPr>
              <w:t> </w:t>
            </w:r>
          </w:p>
        </w:tc>
        <w:tc>
          <w:tcPr>
            <w:tcW w:w="992" w:type="dxa"/>
            <w:tcBorders>
              <w:top w:val="single" w:sz="4" w:space="0" w:color="auto"/>
              <w:left w:val="nil"/>
              <w:bottom w:val="single" w:sz="4" w:space="0" w:color="auto"/>
              <w:right w:val="single" w:sz="4" w:space="0" w:color="auto"/>
            </w:tcBorders>
            <w:shd w:val="clear" w:color="auto" w:fill="C6EFCE"/>
            <w:noWrap/>
          </w:tcPr>
          <w:p w14:paraId="4AEB25A7" w14:textId="77777777" w:rsidR="003A3D51" w:rsidRDefault="0002775A">
            <w:pPr>
              <w:pStyle w:val="P68B1DB1-Normal7"/>
              <w:spacing w:after="200" w:line="276" w:lineRule="auto"/>
              <w:jc w:val="center"/>
              <w:rPr>
                <w:noProof/>
                <w:color w:val="000000" w:themeColor="text1"/>
              </w:rPr>
            </w:pPr>
            <w:r>
              <w:rPr>
                <w:noProof/>
              </w:rPr>
              <w:t> </w:t>
            </w:r>
          </w:p>
        </w:tc>
        <w:tc>
          <w:tcPr>
            <w:tcW w:w="1059" w:type="dxa"/>
            <w:tcBorders>
              <w:top w:val="single" w:sz="4" w:space="0" w:color="auto"/>
              <w:left w:val="nil"/>
              <w:bottom w:val="single" w:sz="4" w:space="0" w:color="auto"/>
              <w:right w:val="single" w:sz="4" w:space="0" w:color="auto"/>
            </w:tcBorders>
            <w:shd w:val="clear" w:color="auto" w:fill="C6EFCE"/>
            <w:noWrap/>
          </w:tcPr>
          <w:p w14:paraId="3A1055DB" w14:textId="77777777" w:rsidR="003A3D51" w:rsidRDefault="0002775A">
            <w:pPr>
              <w:pStyle w:val="P68B1DB1-Normal7"/>
              <w:spacing w:after="200" w:line="276" w:lineRule="auto"/>
              <w:jc w:val="center"/>
              <w:rPr>
                <w:noProof/>
                <w:color w:val="000000" w:themeColor="text1"/>
              </w:rPr>
            </w:pPr>
            <w:r>
              <w:rPr>
                <w:noProof/>
              </w:rPr>
              <w:t> </w:t>
            </w:r>
          </w:p>
        </w:tc>
        <w:tc>
          <w:tcPr>
            <w:tcW w:w="642" w:type="dxa"/>
            <w:tcBorders>
              <w:top w:val="single" w:sz="4" w:space="0" w:color="auto"/>
              <w:left w:val="nil"/>
              <w:bottom w:val="single" w:sz="4" w:space="0" w:color="auto"/>
              <w:right w:val="single" w:sz="4" w:space="0" w:color="auto"/>
            </w:tcBorders>
            <w:shd w:val="clear" w:color="auto" w:fill="C6EFCE"/>
            <w:noWrap/>
          </w:tcPr>
          <w:p w14:paraId="1FBA7266" w14:textId="77777777" w:rsidR="003A3D51" w:rsidRDefault="0002775A">
            <w:pPr>
              <w:pStyle w:val="P68B1DB1-Normal7"/>
              <w:spacing w:after="200" w:line="276" w:lineRule="auto"/>
              <w:jc w:val="center"/>
              <w:rPr>
                <w:noProof/>
                <w:color w:val="000000" w:themeColor="text1"/>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4EC3839A" w14:textId="77777777" w:rsidR="003A3D51" w:rsidRDefault="0002775A">
            <w:pPr>
              <w:pStyle w:val="P68B1DB1-Normal7"/>
              <w:spacing w:after="200" w:line="276" w:lineRule="auto"/>
              <w:jc w:val="center"/>
              <w:rPr>
                <w:noProof/>
                <w:color w:val="000000" w:themeColor="text1"/>
              </w:rPr>
            </w:pPr>
            <w:r>
              <w:rPr>
                <w:noProof/>
              </w:rPr>
              <w:t>2021</w:t>
            </w:r>
          </w:p>
        </w:tc>
        <w:tc>
          <w:tcPr>
            <w:tcW w:w="3544" w:type="dxa"/>
            <w:tcBorders>
              <w:top w:val="single" w:sz="4" w:space="0" w:color="auto"/>
              <w:left w:val="nil"/>
              <w:bottom w:val="single" w:sz="4" w:space="0" w:color="auto"/>
              <w:right w:val="single" w:sz="4" w:space="0" w:color="auto"/>
            </w:tcBorders>
            <w:shd w:val="clear" w:color="auto" w:fill="C6EFCE"/>
            <w:noWrap/>
          </w:tcPr>
          <w:p w14:paraId="3D9C8EE6" w14:textId="77777777" w:rsidR="003A3D51" w:rsidRDefault="0002775A">
            <w:pPr>
              <w:pStyle w:val="P68B1DB1-Normal7"/>
              <w:spacing w:after="240" w:line="276" w:lineRule="auto"/>
              <w:rPr>
                <w:noProof/>
                <w:color w:val="000000" w:themeColor="text1"/>
              </w:rPr>
            </w:pPr>
            <w:r>
              <w:rPr>
                <w:noProof/>
              </w:rPr>
              <w:t>Den scenarioanalys som tas fram som en del av strategiutvecklingsprocessen ska ligga till grund för mobiliseringen av de investeringar som avses i denna delkomponent. Scenarioanalysen ska utveckla projektionen av utvecklingsriktningen på nationell och territoriell nivå i samråd med viktiga intressenter inom sektorn.</w:t>
            </w:r>
          </w:p>
        </w:tc>
      </w:tr>
      <w:tr w:rsidR="003A3D51" w14:paraId="2B32EDF9" w14:textId="77777777">
        <w:tc>
          <w:tcPr>
            <w:tcW w:w="851" w:type="dxa"/>
            <w:tcBorders>
              <w:top w:val="nil"/>
              <w:left w:val="single" w:sz="4" w:space="0" w:color="auto"/>
              <w:bottom w:val="single" w:sz="4" w:space="0" w:color="auto"/>
              <w:right w:val="single" w:sz="4" w:space="0" w:color="auto"/>
            </w:tcBorders>
            <w:shd w:val="clear" w:color="auto" w:fill="C6EFCE"/>
            <w:noWrap/>
          </w:tcPr>
          <w:p w14:paraId="69DA0AED" w14:textId="77777777" w:rsidR="003A3D51" w:rsidRDefault="0002775A">
            <w:pPr>
              <w:pStyle w:val="P68B1DB1-Normal7"/>
              <w:spacing w:after="200" w:line="276" w:lineRule="auto"/>
              <w:jc w:val="center"/>
              <w:rPr>
                <w:noProof/>
                <w:color w:val="000000" w:themeColor="text1"/>
              </w:rPr>
            </w:pPr>
            <w:r>
              <w:rPr>
                <w:noProof/>
              </w:rPr>
              <w:t>141</w:t>
            </w:r>
          </w:p>
        </w:tc>
        <w:tc>
          <w:tcPr>
            <w:tcW w:w="993" w:type="dxa"/>
            <w:tcBorders>
              <w:top w:val="nil"/>
              <w:left w:val="nil"/>
              <w:bottom w:val="single" w:sz="4" w:space="0" w:color="auto"/>
              <w:right w:val="single" w:sz="4" w:space="0" w:color="auto"/>
            </w:tcBorders>
            <w:shd w:val="clear" w:color="auto" w:fill="C6EFCE"/>
            <w:noWrap/>
          </w:tcPr>
          <w:p w14:paraId="6CE226E6" w14:textId="77777777" w:rsidR="003A3D51" w:rsidRDefault="0002775A">
            <w:pPr>
              <w:pStyle w:val="P68B1DB1-Normal7"/>
              <w:spacing w:after="200" w:line="276" w:lineRule="auto"/>
              <w:jc w:val="center"/>
              <w:rPr>
                <w:noProof/>
                <w:color w:val="000000" w:themeColor="text1"/>
              </w:rPr>
            </w:pPr>
            <w:r>
              <w:rPr>
                <w:noProof/>
              </w:rPr>
              <w:t>C1.6 R1</w:t>
            </w:r>
          </w:p>
        </w:tc>
        <w:tc>
          <w:tcPr>
            <w:tcW w:w="850" w:type="dxa"/>
            <w:tcBorders>
              <w:top w:val="nil"/>
              <w:left w:val="nil"/>
              <w:bottom w:val="single" w:sz="4" w:space="0" w:color="auto"/>
              <w:right w:val="single" w:sz="4" w:space="0" w:color="auto"/>
            </w:tcBorders>
            <w:shd w:val="clear" w:color="auto" w:fill="C6EFCE"/>
            <w:noWrap/>
          </w:tcPr>
          <w:p w14:paraId="3AFB289C" w14:textId="77777777" w:rsidR="003A3D51" w:rsidRDefault="0002775A">
            <w:pPr>
              <w:pStyle w:val="P68B1DB1-Normal7"/>
              <w:spacing w:after="200" w:line="276" w:lineRule="auto"/>
              <w:jc w:val="center"/>
              <w:rPr>
                <w:noProof/>
                <w:color w:val="000000" w:themeColor="text1"/>
              </w:rPr>
            </w:pPr>
            <w:r>
              <w:rPr>
                <w:noProof/>
              </w:rPr>
              <w:t>M</w:t>
            </w:r>
          </w:p>
        </w:tc>
        <w:tc>
          <w:tcPr>
            <w:tcW w:w="2268" w:type="dxa"/>
            <w:tcBorders>
              <w:top w:val="nil"/>
              <w:left w:val="nil"/>
              <w:bottom w:val="single" w:sz="4" w:space="0" w:color="auto"/>
              <w:right w:val="single" w:sz="4" w:space="0" w:color="auto"/>
            </w:tcBorders>
            <w:shd w:val="clear" w:color="auto" w:fill="C6EFCE"/>
            <w:noWrap/>
          </w:tcPr>
          <w:p w14:paraId="5051C79B" w14:textId="77777777" w:rsidR="003A3D51" w:rsidRDefault="0002775A">
            <w:pPr>
              <w:pStyle w:val="P68B1DB1-Normal7"/>
              <w:spacing w:after="200" w:line="276" w:lineRule="auto"/>
              <w:rPr>
                <w:noProof/>
                <w:color w:val="000000" w:themeColor="text1"/>
              </w:rPr>
            </w:pPr>
            <w:r>
              <w:rPr>
                <w:noProof/>
              </w:rPr>
              <w:t xml:space="preserve">Antagande av strategin för utveckling av hållbar turism senast 2030 av Republiken Kroatiens regering  </w:t>
            </w:r>
          </w:p>
        </w:tc>
        <w:tc>
          <w:tcPr>
            <w:tcW w:w="1985" w:type="dxa"/>
            <w:tcBorders>
              <w:top w:val="nil"/>
              <w:left w:val="nil"/>
              <w:bottom w:val="single" w:sz="4" w:space="0" w:color="auto"/>
              <w:right w:val="single" w:sz="4" w:space="0" w:color="auto"/>
            </w:tcBorders>
            <w:shd w:val="clear" w:color="auto" w:fill="C6EFCE"/>
            <w:noWrap/>
          </w:tcPr>
          <w:p w14:paraId="6C636477" w14:textId="77777777" w:rsidR="003A3D51" w:rsidRDefault="0002775A">
            <w:pPr>
              <w:pStyle w:val="P68B1DB1-Normal7"/>
              <w:spacing w:after="200" w:line="276" w:lineRule="auto"/>
              <w:rPr>
                <w:noProof/>
                <w:color w:val="000000" w:themeColor="text1"/>
              </w:rPr>
            </w:pPr>
            <w:r>
              <w:rPr>
                <w:noProof/>
              </w:rPr>
              <w:t>Bestämmelse om ikraftträdandet av strategin för utveckling av hållbar turism senast 2030</w:t>
            </w:r>
          </w:p>
        </w:tc>
        <w:tc>
          <w:tcPr>
            <w:tcW w:w="850" w:type="dxa"/>
            <w:tcBorders>
              <w:top w:val="nil"/>
              <w:left w:val="nil"/>
              <w:bottom w:val="single" w:sz="4" w:space="0" w:color="auto"/>
              <w:right w:val="single" w:sz="4" w:space="0" w:color="auto"/>
            </w:tcBorders>
            <w:shd w:val="clear" w:color="auto" w:fill="C6EFCE"/>
            <w:noWrap/>
          </w:tcPr>
          <w:p w14:paraId="3C121D4C" w14:textId="77777777" w:rsidR="003A3D51" w:rsidRDefault="0002775A">
            <w:pPr>
              <w:pStyle w:val="P68B1DB1-Normal35"/>
              <w:spacing w:after="200" w:line="276" w:lineRule="auto"/>
              <w:jc w:val="center"/>
              <w:rPr>
                <w:rFonts w:ascii="Times New Roman" w:hAnsi="Times New Roman" w:cs="Times New Roman"/>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1DFAAE06" w14:textId="77777777" w:rsidR="003A3D51" w:rsidRDefault="0002775A">
            <w:pPr>
              <w:pStyle w:val="P68B1DB1-Normal35"/>
              <w:spacing w:after="200" w:line="276" w:lineRule="auto"/>
              <w:jc w:val="center"/>
              <w:rPr>
                <w:rFonts w:ascii="Times New Roman" w:hAnsi="Times New Roman" w:cs="Times New Roman"/>
                <w:noProof/>
              </w:rPr>
            </w:pPr>
            <w:r>
              <w:rPr>
                <w:noProof/>
              </w:rPr>
              <w:t> </w:t>
            </w:r>
          </w:p>
        </w:tc>
        <w:tc>
          <w:tcPr>
            <w:tcW w:w="1059" w:type="dxa"/>
            <w:tcBorders>
              <w:top w:val="nil"/>
              <w:left w:val="nil"/>
              <w:bottom w:val="single" w:sz="4" w:space="0" w:color="auto"/>
              <w:right w:val="single" w:sz="4" w:space="0" w:color="auto"/>
            </w:tcBorders>
            <w:shd w:val="clear" w:color="auto" w:fill="C6EFCE"/>
            <w:noWrap/>
          </w:tcPr>
          <w:p w14:paraId="34F2E59C" w14:textId="77777777" w:rsidR="003A3D51" w:rsidRDefault="0002775A">
            <w:pPr>
              <w:pStyle w:val="P68B1DB1-Normal35"/>
              <w:spacing w:after="200" w:line="276" w:lineRule="auto"/>
              <w:jc w:val="center"/>
              <w:rPr>
                <w:rFonts w:ascii="Times New Roman" w:hAnsi="Times New Roman" w:cs="Times New Roman"/>
                <w:noProof/>
              </w:rPr>
            </w:pPr>
            <w:r>
              <w:rPr>
                <w:noProof/>
              </w:rPr>
              <w:t> </w:t>
            </w:r>
          </w:p>
        </w:tc>
        <w:tc>
          <w:tcPr>
            <w:tcW w:w="642" w:type="dxa"/>
            <w:tcBorders>
              <w:top w:val="nil"/>
              <w:left w:val="nil"/>
              <w:bottom w:val="single" w:sz="4" w:space="0" w:color="auto"/>
              <w:right w:val="single" w:sz="4" w:space="0" w:color="auto"/>
            </w:tcBorders>
            <w:shd w:val="clear" w:color="auto" w:fill="C6EFCE"/>
            <w:noWrap/>
          </w:tcPr>
          <w:p w14:paraId="655F6BCF" w14:textId="77777777" w:rsidR="003A3D51" w:rsidRDefault="0002775A">
            <w:pPr>
              <w:pStyle w:val="P68B1DB1-Normal7"/>
              <w:spacing w:after="200" w:line="276" w:lineRule="auto"/>
              <w:jc w:val="center"/>
              <w:rPr>
                <w:noProof/>
                <w:color w:val="000000" w:themeColor="text1"/>
              </w:rPr>
            </w:pPr>
            <w:r>
              <w:rPr>
                <w:noProof/>
              </w:rPr>
              <w:t>KVARTAL 3</w:t>
            </w:r>
          </w:p>
        </w:tc>
        <w:tc>
          <w:tcPr>
            <w:tcW w:w="709" w:type="dxa"/>
            <w:tcBorders>
              <w:top w:val="nil"/>
              <w:left w:val="nil"/>
              <w:bottom w:val="single" w:sz="4" w:space="0" w:color="auto"/>
              <w:right w:val="single" w:sz="4" w:space="0" w:color="auto"/>
            </w:tcBorders>
            <w:shd w:val="clear" w:color="auto" w:fill="C6EFCE"/>
            <w:noWrap/>
          </w:tcPr>
          <w:p w14:paraId="18B7D1BF" w14:textId="77777777" w:rsidR="003A3D51" w:rsidRDefault="0002775A">
            <w:pPr>
              <w:pStyle w:val="P68B1DB1-Normal7"/>
              <w:spacing w:after="200" w:line="276" w:lineRule="auto"/>
              <w:jc w:val="center"/>
              <w:rPr>
                <w:noProof/>
                <w:color w:val="000000" w:themeColor="text1"/>
              </w:rPr>
            </w:pPr>
            <w:r>
              <w:rPr>
                <w:noProof/>
              </w:rPr>
              <w:t>2022</w:t>
            </w:r>
          </w:p>
        </w:tc>
        <w:tc>
          <w:tcPr>
            <w:tcW w:w="3544" w:type="dxa"/>
            <w:tcBorders>
              <w:top w:val="nil"/>
              <w:left w:val="nil"/>
              <w:bottom w:val="single" w:sz="4" w:space="0" w:color="auto"/>
              <w:right w:val="single" w:sz="4" w:space="0" w:color="auto"/>
            </w:tcBorders>
            <w:shd w:val="clear" w:color="auto" w:fill="C6EFCE"/>
            <w:noWrap/>
          </w:tcPr>
          <w:p w14:paraId="5EF6554A" w14:textId="77777777" w:rsidR="003A3D51" w:rsidRDefault="0002775A">
            <w:pPr>
              <w:pStyle w:val="P68B1DB1-Normal7"/>
              <w:spacing w:after="200" w:line="276" w:lineRule="auto"/>
              <w:rPr>
                <w:noProof/>
                <w:color w:val="000000" w:themeColor="text1"/>
              </w:rPr>
            </w:pPr>
            <w:r>
              <w:rPr>
                <w:noProof/>
              </w:rPr>
              <w:t>Som en del av denna reform kommer processen för att omvandla modellen för utveckling av turismen till hållbarhet att genomföras genom utarbetandet av strategin för hållbar utveckling av turismen från 2030, med avseende på socioekonomisk hållbarhet, miljömässig och territoriell hållbarhet.</w:t>
            </w:r>
            <w:r>
              <w:rPr>
                <w:noProof/>
              </w:rPr>
              <w:br/>
              <w:t>Strategin, som är en långsiktig strategisk planeringsåtgärd av nationell betydelse, kommer också att ägna särskild uppmärksamhet åt frågan om markanvändning hittills, dvs. överturism på enskilda resmål, som ett av de största problemen i samband med utvecklingen av turismen. Strategin kommer också att ge svar på hur man bättre kan främja minskningen av den ojämna regionala utvecklingen i Kroatien.</w:t>
            </w:r>
          </w:p>
        </w:tc>
      </w:tr>
      <w:tr w:rsidR="003A3D51" w14:paraId="1519020C" w14:textId="77777777">
        <w:tc>
          <w:tcPr>
            <w:tcW w:w="851" w:type="dxa"/>
            <w:tcBorders>
              <w:top w:val="nil"/>
              <w:left w:val="single" w:sz="4" w:space="0" w:color="auto"/>
              <w:bottom w:val="single" w:sz="4" w:space="0" w:color="auto"/>
              <w:right w:val="single" w:sz="4" w:space="0" w:color="auto"/>
            </w:tcBorders>
            <w:shd w:val="clear" w:color="auto" w:fill="C6EFCE"/>
            <w:noWrap/>
          </w:tcPr>
          <w:p w14:paraId="5BE0271F" w14:textId="77777777" w:rsidR="003A3D51" w:rsidRDefault="0002775A">
            <w:pPr>
              <w:pStyle w:val="P68B1DB1-Normal7"/>
              <w:spacing w:after="0" w:line="276" w:lineRule="auto"/>
              <w:jc w:val="center"/>
              <w:rPr>
                <w:noProof/>
                <w:color w:val="000000" w:themeColor="text1"/>
              </w:rPr>
            </w:pPr>
            <w:r>
              <w:rPr>
                <w:noProof/>
              </w:rPr>
              <w:t>142</w:t>
            </w:r>
          </w:p>
        </w:tc>
        <w:tc>
          <w:tcPr>
            <w:tcW w:w="993" w:type="dxa"/>
            <w:tcBorders>
              <w:top w:val="nil"/>
              <w:left w:val="nil"/>
              <w:bottom w:val="single" w:sz="4" w:space="0" w:color="auto"/>
              <w:right w:val="single" w:sz="4" w:space="0" w:color="auto"/>
            </w:tcBorders>
            <w:shd w:val="clear" w:color="auto" w:fill="C6EFCE"/>
            <w:noWrap/>
          </w:tcPr>
          <w:p w14:paraId="4149BCE8" w14:textId="77777777" w:rsidR="003A3D51" w:rsidRDefault="0002775A">
            <w:pPr>
              <w:pStyle w:val="P68B1DB1-Normal7"/>
              <w:spacing w:after="200" w:line="276" w:lineRule="auto"/>
              <w:jc w:val="center"/>
              <w:rPr>
                <w:noProof/>
                <w:color w:val="000000" w:themeColor="text1"/>
              </w:rPr>
            </w:pPr>
            <w:r>
              <w:rPr>
                <w:noProof/>
              </w:rPr>
              <w:t>C1.6 R1</w:t>
            </w:r>
          </w:p>
        </w:tc>
        <w:tc>
          <w:tcPr>
            <w:tcW w:w="850" w:type="dxa"/>
            <w:tcBorders>
              <w:top w:val="nil"/>
              <w:left w:val="nil"/>
              <w:bottom w:val="single" w:sz="4" w:space="0" w:color="auto"/>
              <w:right w:val="single" w:sz="4" w:space="0" w:color="auto"/>
            </w:tcBorders>
            <w:shd w:val="clear" w:color="auto" w:fill="C6EFCE"/>
            <w:noWrap/>
          </w:tcPr>
          <w:p w14:paraId="44E0F8A8" w14:textId="77777777" w:rsidR="003A3D51" w:rsidRDefault="0002775A">
            <w:pPr>
              <w:pStyle w:val="P68B1DB1-Normal7"/>
              <w:spacing w:after="200" w:line="276" w:lineRule="auto"/>
              <w:jc w:val="center"/>
              <w:rPr>
                <w:noProof/>
                <w:color w:val="000000" w:themeColor="text1"/>
              </w:rPr>
            </w:pPr>
            <w:r>
              <w:rPr>
                <w:noProof/>
              </w:rPr>
              <w:t>M</w:t>
            </w:r>
          </w:p>
        </w:tc>
        <w:tc>
          <w:tcPr>
            <w:tcW w:w="2268" w:type="dxa"/>
            <w:tcBorders>
              <w:top w:val="nil"/>
              <w:left w:val="nil"/>
              <w:bottom w:val="single" w:sz="4" w:space="0" w:color="auto"/>
              <w:right w:val="single" w:sz="4" w:space="0" w:color="auto"/>
            </w:tcBorders>
            <w:shd w:val="clear" w:color="auto" w:fill="C6EFCE"/>
            <w:noWrap/>
          </w:tcPr>
          <w:p w14:paraId="05B01FD9" w14:textId="77777777" w:rsidR="003A3D51" w:rsidRDefault="0002775A">
            <w:pPr>
              <w:pStyle w:val="P68B1DB1-Normal7"/>
              <w:spacing w:after="200" w:line="276" w:lineRule="auto"/>
              <w:rPr>
                <w:rFonts w:ascii="Times New Roman" w:hAnsi="Times New Roman" w:cs="Times New Roman"/>
                <w:noProof/>
                <w:color w:val="000000" w:themeColor="text1"/>
              </w:rPr>
            </w:pPr>
            <w:r>
              <w:rPr>
                <w:noProof/>
              </w:rPr>
              <w:t>Utarbetande av metodologiska ramar för Republiken Kroatiens satellitkonto för hållbar turism</w:t>
            </w:r>
          </w:p>
        </w:tc>
        <w:tc>
          <w:tcPr>
            <w:tcW w:w="1985" w:type="dxa"/>
            <w:tcBorders>
              <w:top w:val="nil"/>
              <w:left w:val="nil"/>
              <w:bottom w:val="single" w:sz="4" w:space="0" w:color="auto"/>
              <w:right w:val="single" w:sz="4" w:space="0" w:color="auto"/>
            </w:tcBorders>
            <w:shd w:val="clear" w:color="auto" w:fill="C6EFCE"/>
            <w:noWrap/>
          </w:tcPr>
          <w:p w14:paraId="50C28100" w14:textId="77777777" w:rsidR="003A3D51" w:rsidRDefault="0002775A">
            <w:pPr>
              <w:pStyle w:val="P68B1DB1-Normal7"/>
              <w:spacing w:after="200" w:line="276" w:lineRule="auto"/>
              <w:rPr>
                <w:rFonts w:ascii="Times New Roman" w:hAnsi="Times New Roman" w:cs="Times New Roman"/>
                <w:noProof/>
                <w:color w:val="000000" w:themeColor="text1"/>
              </w:rPr>
            </w:pPr>
            <w:r>
              <w:rPr>
                <w:noProof/>
              </w:rPr>
              <w:t xml:space="preserve">Bestämmelse om ikraftträdandet av den metodologiska ramen för satellitkontot för hållbar turism </w:t>
            </w:r>
          </w:p>
        </w:tc>
        <w:tc>
          <w:tcPr>
            <w:tcW w:w="850" w:type="dxa"/>
            <w:tcBorders>
              <w:top w:val="nil"/>
              <w:left w:val="nil"/>
              <w:bottom w:val="single" w:sz="4" w:space="0" w:color="auto"/>
              <w:right w:val="single" w:sz="4" w:space="0" w:color="auto"/>
            </w:tcBorders>
            <w:shd w:val="clear" w:color="auto" w:fill="C6EFCE"/>
            <w:noWrap/>
          </w:tcPr>
          <w:p w14:paraId="50DBCD8B" w14:textId="77777777" w:rsidR="003A3D51" w:rsidRDefault="0002775A">
            <w:pPr>
              <w:pStyle w:val="P68B1DB1-Normal35"/>
              <w:spacing w:after="200" w:line="276" w:lineRule="auto"/>
              <w:jc w:val="center"/>
              <w:rPr>
                <w:rFonts w:ascii="Times New Roman" w:hAnsi="Times New Roman" w:cs="Times New Roman"/>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1B692098" w14:textId="77777777" w:rsidR="003A3D51" w:rsidRDefault="0002775A">
            <w:pPr>
              <w:pStyle w:val="P68B1DB1-Normal35"/>
              <w:spacing w:after="200" w:line="276" w:lineRule="auto"/>
              <w:jc w:val="center"/>
              <w:rPr>
                <w:rFonts w:ascii="Times New Roman" w:hAnsi="Times New Roman" w:cs="Times New Roman"/>
                <w:noProof/>
              </w:rPr>
            </w:pPr>
            <w:r>
              <w:rPr>
                <w:noProof/>
              </w:rPr>
              <w:t> </w:t>
            </w:r>
          </w:p>
        </w:tc>
        <w:tc>
          <w:tcPr>
            <w:tcW w:w="1059" w:type="dxa"/>
            <w:tcBorders>
              <w:top w:val="nil"/>
              <w:left w:val="nil"/>
              <w:bottom w:val="single" w:sz="4" w:space="0" w:color="auto"/>
              <w:right w:val="single" w:sz="4" w:space="0" w:color="auto"/>
            </w:tcBorders>
            <w:shd w:val="clear" w:color="auto" w:fill="C6EFCE"/>
            <w:noWrap/>
          </w:tcPr>
          <w:p w14:paraId="2B142B8E" w14:textId="77777777" w:rsidR="003A3D51" w:rsidRDefault="0002775A">
            <w:pPr>
              <w:pStyle w:val="P68B1DB1-Normal35"/>
              <w:spacing w:after="200" w:line="276" w:lineRule="auto"/>
              <w:jc w:val="center"/>
              <w:rPr>
                <w:rFonts w:ascii="Times New Roman" w:hAnsi="Times New Roman" w:cs="Times New Roman"/>
                <w:noProof/>
              </w:rPr>
            </w:pPr>
            <w:r>
              <w:rPr>
                <w:noProof/>
              </w:rPr>
              <w:t> </w:t>
            </w:r>
          </w:p>
        </w:tc>
        <w:tc>
          <w:tcPr>
            <w:tcW w:w="642" w:type="dxa"/>
            <w:tcBorders>
              <w:top w:val="nil"/>
              <w:left w:val="nil"/>
              <w:bottom w:val="single" w:sz="4" w:space="0" w:color="auto"/>
              <w:right w:val="single" w:sz="4" w:space="0" w:color="auto"/>
            </w:tcBorders>
            <w:shd w:val="clear" w:color="auto" w:fill="C6EFCE"/>
            <w:noWrap/>
          </w:tcPr>
          <w:p w14:paraId="3FD7B33D" w14:textId="77777777" w:rsidR="003A3D51" w:rsidRDefault="0002775A">
            <w:pPr>
              <w:pStyle w:val="P68B1DB1-Normal7"/>
              <w:spacing w:after="200" w:line="276" w:lineRule="auto"/>
              <w:jc w:val="center"/>
              <w:rPr>
                <w:rFonts w:ascii="Times New Roman" w:hAnsi="Times New Roman" w:cs="Times New Roman"/>
                <w:noProof/>
                <w:color w:val="000000" w:themeColor="text1"/>
              </w:rPr>
            </w:pPr>
            <w:r>
              <w:rPr>
                <w:noProof/>
              </w:rPr>
              <w:t>KVARTAL 3</w:t>
            </w:r>
          </w:p>
        </w:tc>
        <w:tc>
          <w:tcPr>
            <w:tcW w:w="709" w:type="dxa"/>
            <w:tcBorders>
              <w:top w:val="nil"/>
              <w:left w:val="nil"/>
              <w:bottom w:val="single" w:sz="4" w:space="0" w:color="auto"/>
              <w:right w:val="single" w:sz="4" w:space="0" w:color="auto"/>
            </w:tcBorders>
            <w:shd w:val="clear" w:color="auto" w:fill="C6EFCE"/>
            <w:noWrap/>
          </w:tcPr>
          <w:p w14:paraId="5103FE08" w14:textId="77777777" w:rsidR="003A3D51" w:rsidRDefault="0002775A">
            <w:pPr>
              <w:pStyle w:val="P68B1DB1-Normal7"/>
              <w:spacing w:after="200" w:line="276" w:lineRule="auto"/>
              <w:jc w:val="center"/>
              <w:rPr>
                <w:noProof/>
                <w:color w:val="000000" w:themeColor="text1"/>
              </w:rPr>
            </w:pPr>
            <w:r>
              <w:rPr>
                <w:noProof/>
              </w:rPr>
              <w:t>2023</w:t>
            </w:r>
          </w:p>
        </w:tc>
        <w:tc>
          <w:tcPr>
            <w:tcW w:w="3544" w:type="dxa"/>
            <w:tcBorders>
              <w:top w:val="nil"/>
              <w:left w:val="nil"/>
              <w:bottom w:val="single" w:sz="4" w:space="0" w:color="auto"/>
              <w:right w:val="single" w:sz="4" w:space="0" w:color="auto"/>
            </w:tcBorders>
            <w:shd w:val="clear" w:color="auto" w:fill="C6EFCE"/>
            <w:noWrap/>
          </w:tcPr>
          <w:p w14:paraId="21354EB4" w14:textId="77777777" w:rsidR="003A3D51" w:rsidRDefault="0002775A">
            <w:pPr>
              <w:pStyle w:val="P68B1DB1-Normal7"/>
              <w:spacing w:after="240" w:line="276" w:lineRule="auto"/>
              <w:rPr>
                <w:noProof/>
                <w:color w:val="000000" w:themeColor="text1"/>
              </w:rPr>
            </w:pPr>
            <w:r>
              <w:rPr>
                <w:noProof/>
              </w:rPr>
              <w:t>Systemet med satelliträkenskaper för Tourism-Sustainability ska skapa förutsättningar för förvaltning och övervakning av turismens utveckling genom fastställda hållbarhetsindikatorer för turism på både nationell och regional nivå.</w:t>
            </w:r>
            <w:r>
              <w:rPr>
                <w:noProof/>
              </w:rPr>
              <w:br/>
              <w:t>Satellitkontot ska bli ett verktyg för förvaltning av den offentliga politiken. Insamling och sammanställning av uppgifter kommer att harmoniseras med det europeiska systemet för indikatorer för turism (Etis) och begrepp, definitioner, klassificeringar och redovisningsregler i miljöredovisningssystemet (SEEA). För att förbättra effektiviteten i den regionala turismpolitiken kommer ett regionalt Tourism-hållbart satellitkonto att inrättas, med tillägg av särskilda indikatorer för turistverksamhet på resmålsnivå som är anpassade för att signalera en eventuell förekomst av överturism. Data och analyser ska ligga till grund för både offentlig och privat planering samt bli ett relevant verktyg för politisk förvaltning.</w:t>
            </w:r>
          </w:p>
        </w:tc>
      </w:tr>
      <w:tr w:rsidR="003A3D51" w14:paraId="3C6AFBF7" w14:textId="77777777">
        <w:tc>
          <w:tcPr>
            <w:tcW w:w="851" w:type="dxa"/>
            <w:tcBorders>
              <w:top w:val="nil"/>
              <w:left w:val="single" w:sz="4" w:space="0" w:color="auto"/>
              <w:bottom w:val="single" w:sz="4" w:space="0" w:color="auto"/>
              <w:right w:val="single" w:sz="4" w:space="0" w:color="auto"/>
            </w:tcBorders>
            <w:shd w:val="clear" w:color="auto" w:fill="C6EFCE"/>
            <w:noWrap/>
          </w:tcPr>
          <w:p w14:paraId="7B7031BD" w14:textId="77777777" w:rsidR="003A3D51" w:rsidRDefault="0002775A">
            <w:pPr>
              <w:pStyle w:val="P68B1DB1-Normal7"/>
              <w:spacing w:after="0" w:line="276" w:lineRule="auto"/>
              <w:jc w:val="center"/>
              <w:rPr>
                <w:noProof/>
                <w:color w:val="000000" w:themeColor="text1"/>
              </w:rPr>
            </w:pPr>
            <w:r>
              <w:rPr>
                <w:noProof/>
              </w:rPr>
              <w:t>143</w:t>
            </w:r>
          </w:p>
        </w:tc>
        <w:tc>
          <w:tcPr>
            <w:tcW w:w="993" w:type="dxa"/>
            <w:tcBorders>
              <w:top w:val="nil"/>
              <w:left w:val="nil"/>
              <w:bottom w:val="single" w:sz="4" w:space="0" w:color="auto"/>
              <w:right w:val="single" w:sz="4" w:space="0" w:color="auto"/>
            </w:tcBorders>
            <w:shd w:val="clear" w:color="auto" w:fill="C6EFCE"/>
            <w:noWrap/>
          </w:tcPr>
          <w:p w14:paraId="1A312662" w14:textId="77777777" w:rsidR="003A3D51" w:rsidRDefault="0002775A">
            <w:pPr>
              <w:pStyle w:val="P68B1DB1-Normal7"/>
              <w:spacing w:after="200" w:line="276" w:lineRule="auto"/>
              <w:jc w:val="center"/>
              <w:rPr>
                <w:noProof/>
                <w:color w:val="000000" w:themeColor="text1"/>
              </w:rPr>
            </w:pPr>
            <w:r>
              <w:rPr>
                <w:noProof/>
              </w:rPr>
              <w:t>C1.6 R1</w:t>
            </w:r>
          </w:p>
        </w:tc>
        <w:tc>
          <w:tcPr>
            <w:tcW w:w="850" w:type="dxa"/>
            <w:tcBorders>
              <w:top w:val="nil"/>
              <w:left w:val="nil"/>
              <w:bottom w:val="single" w:sz="4" w:space="0" w:color="auto"/>
              <w:right w:val="single" w:sz="4" w:space="0" w:color="auto"/>
            </w:tcBorders>
            <w:shd w:val="clear" w:color="auto" w:fill="C6EFCE"/>
            <w:noWrap/>
          </w:tcPr>
          <w:p w14:paraId="6A9A47DA" w14:textId="77777777" w:rsidR="003A3D51" w:rsidRDefault="0002775A">
            <w:pPr>
              <w:pStyle w:val="P68B1DB1-Normal7"/>
              <w:spacing w:after="200" w:line="276" w:lineRule="auto"/>
              <w:jc w:val="center"/>
              <w:rPr>
                <w:noProof/>
                <w:color w:val="000000" w:themeColor="text1"/>
              </w:rPr>
            </w:pPr>
            <w:r>
              <w:rPr>
                <w:noProof/>
              </w:rPr>
              <w:t>M</w:t>
            </w:r>
          </w:p>
        </w:tc>
        <w:tc>
          <w:tcPr>
            <w:tcW w:w="2268" w:type="dxa"/>
            <w:tcBorders>
              <w:top w:val="nil"/>
              <w:left w:val="nil"/>
              <w:bottom w:val="single" w:sz="4" w:space="0" w:color="auto"/>
              <w:right w:val="single" w:sz="4" w:space="0" w:color="auto"/>
            </w:tcBorders>
            <w:shd w:val="clear" w:color="auto" w:fill="C6EFCE"/>
            <w:noWrap/>
          </w:tcPr>
          <w:p w14:paraId="3BC3769F" w14:textId="77777777" w:rsidR="003A3D51" w:rsidRDefault="0002775A">
            <w:pPr>
              <w:pStyle w:val="P68B1DB1-Normal7"/>
              <w:spacing w:after="200" w:line="276" w:lineRule="auto"/>
              <w:rPr>
                <w:noProof/>
                <w:color w:val="000000" w:themeColor="text1"/>
              </w:rPr>
            </w:pPr>
            <w:r>
              <w:rPr>
                <w:noProof/>
              </w:rPr>
              <w:t>Turismlagen om inrättande av en ram för övervakning och utveckling av turistnäringen</w:t>
            </w:r>
          </w:p>
        </w:tc>
        <w:tc>
          <w:tcPr>
            <w:tcW w:w="1985" w:type="dxa"/>
            <w:tcBorders>
              <w:top w:val="nil"/>
              <w:left w:val="nil"/>
              <w:bottom w:val="single" w:sz="4" w:space="0" w:color="auto"/>
              <w:right w:val="single" w:sz="4" w:space="0" w:color="auto"/>
            </w:tcBorders>
            <w:shd w:val="clear" w:color="auto" w:fill="C6EFCE"/>
            <w:noWrap/>
          </w:tcPr>
          <w:p w14:paraId="54AA9856" w14:textId="77777777" w:rsidR="003A3D51" w:rsidRDefault="0002775A">
            <w:pPr>
              <w:pStyle w:val="P68B1DB1-Normal7"/>
              <w:spacing w:after="200" w:line="276" w:lineRule="auto"/>
              <w:rPr>
                <w:noProof/>
                <w:color w:val="000000" w:themeColor="text1"/>
              </w:rPr>
            </w:pPr>
            <w:r>
              <w:rPr>
                <w:noProof/>
              </w:rPr>
              <w:t xml:space="preserve">Turismlagen träder i kraft </w:t>
            </w:r>
          </w:p>
        </w:tc>
        <w:tc>
          <w:tcPr>
            <w:tcW w:w="850" w:type="dxa"/>
            <w:tcBorders>
              <w:top w:val="nil"/>
              <w:left w:val="nil"/>
              <w:bottom w:val="single" w:sz="4" w:space="0" w:color="auto"/>
              <w:right w:val="single" w:sz="4" w:space="0" w:color="auto"/>
            </w:tcBorders>
            <w:shd w:val="clear" w:color="auto" w:fill="C6EFCE"/>
            <w:noWrap/>
          </w:tcPr>
          <w:p w14:paraId="2FA30EA2" w14:textId="77777777" w:rsidR="003A3D51" w:rsidRDefault="0002775A">
            <w:pPr>
              <w:pStyle w:val="P68B1DB1-Normal7"/>
              <w:spacing w:after="200" w:line="276" w:lineRule="auto"/>
              <w:jc w:val="center"/>
              <w:rPr>
                <w:noProof/>
                <w:color w:val="000000" w:themeColor="text1"/>
              </w:rPr>
            </w:pPr>
            <w:r>
              <w:rPr>
                <w:noProof/>
              </w:rPr>
              <w:t> </w:t>
            </w:r>
          </w:p>
        </w:tc>
        <w:tc>
          <w:tcPr>
            <w:tcW w:w="992" w:type="dxa"/>
            <w:tcBorders>
              <w:top w:val="nil"/>
              <w:left w:val="nil"/>
              <w:bottom w:val="single" w:sz="4" w:space="0" w:color="auto"/>
              <w:right w:val="single" w:sz="4" w:space="0" w:color="auto"/>
            </w:tcBorders>
            <w:shd w:val="clear" w:color="auto" w:fill="C6EFCE"/>
            <w:noWrap/>
          </w:tcPr>
          <w:p w14:paraId="1D752C34" w14:textId="77777777" w:rsidR="003A3D51" w:rsidRDefault="0002775A">
            <w:pPr>
              <w:pStyle w:val="P68B1DB1-Normal7"/>
              <w:spacing w:after="200" w:line="276" w:lineRule="auto"/>
              <w:jc w:val="center"/>
              <w:rPr>
                <w:noProof/>
                <w:color w:val="000000" w:themeColor="text1"/>
              </w:rPr>
            </w:pPr>
            <w:r>
              <w:rPr>
                <w:noProof/>
              </w:rPr>
              <w:t> </w:t>
            </w:r>
          </w:p>
        </w:tc>
        <w:tc>
          <w:tcPr>
            <w:tcW w:w="1059" w:type="dxa"/>
            <w:tcBorders>
              <w:top w:val="nil"/>
              <w:left w:val="nil"/>
              <w:bottom w:val="single" w:sz="4" w:space="0" w:color="auto"/>
              <w:right w:val="single" w:sz="4" w:space="0" w:color="auto"/>
            </w:tcBorders>
            <w:shd w:val="clear" w:color="auto" w:fill="C6EFCE"/>
            <w:noWrap/>
          </w:tcPr>
          <w:p w14:paraId="332D8814" w14:textId="77777777" w:rsidR="003A3D51" w:rsidRDefault="0002775A">
            <w:pPr>
              <w:pStyle w:val="P68B1DB1-Normal7"/>
              <w:spacing w:after="200" w:line="276" w:lineRule="auto"/>
              <w:jc w:val="center"/>
              <w:rPr>
                <w:noProof/>
                <w:color w:val="000000" w:themeColor="text1"/>
              </w:rPr>
            </w:pPr>
            <w:r>
              <w:rPr>
                <w:noProof/>
              </w:rPr>
              <w:t> </w:t>
            </w:r>
          </w:p>
        </w:tc>
        <w:tc>
          <w:tcPr>
            <w:tcW w:w="642" w:type="dxa"/>
            <w:tcBorders>
              <w:top w:val="nil"/>
              <w:left w:val="nil"/>
              <w:bottom w:val="single" w:sz="4" w:space="0" w:color="auto"/>
              <w:right w:val="single" w:sz="4" w:space="0" w:color="auto"/>
            </w:tcBorders>
            <w:shd w:val="clear" w:color="auto" w:fill="C6EFCE"/>
            <w:noWrap/>
          </w:tcPr>
          <w:p w14:paraId="74CA4227" w14:textId="77777777" w:rsidR="003A3D51" w:rsidRDefault="0002775A">
            <w:pPr>
              <w:pStyle w:val="P68B1DB1-Normal7"/>
              <w:spacing w:after="200" w:line="276" w:lineRule="auto"/>
              <w:jc w:val="center"/>
              <w:rPr>
                <w:noProof/>
                <w:color w:val="000000" w:themeColor="text1"/>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0E58B8AC" w14:textId="77777777" w:rsidR="003A3D51" w:rsidRDefault="0002775A">
            <w:pPr>
              <w:pStyle w:val="P68B1DB1-Normal7"/>
              <w:spacing w:after="200" w:line="276" w:lineRule="auto"/>
              <w:jc w:val="center"/>
              <w:rPr>
                <w:noProof/>
                <w:color w:val="000000" w:themeColor="text1"/>
              </w:rPr>
            </w:pPr>
            <w:r>
              <w:rPr>
                <w:noProof/>
              </w:rPr>
              <w:t>2023</w:t>
            </w:r>
          </w:p>
        </w:tc>
        <w:tc>
          <w:tcPr>
            <w:tcW w:w="3544" w:type="dxa"/>
            <w:tcBorders>
              <w:top w:val="nil"/>
              <w:left w:val="nil"/>
              <w:bottom w:val="single" w:sz="4" w:space="0" w:color="auto"/>
              <w:right w:val="single" w:sz="4" w:space="0" w:color="auto"/>
            </w:tcBorders>
            <w:shd w:val="clear" w:color="auto" w:fill="C6EFCE"/>
            <w:noWrap/>
          </w:tcPr>
          <w:p w14:paraId="7CB1648A" w14:textId="77777777" w:rsidR="003A3D51" w:rsidRDefault="0002775A">
            <w:pPr>
              <w:pStyle w:val="P68B1DB1-Normal7"/>
              <w:spacing w:after="240" w:line="276" w:lineRule="auto"/>
              <w:rPr>
                <w:noProof/>
                <w:color w:val="000000" w:themeColor="text1"/>
              </w:rPr>
            </w:pPr>
            <w:r>
              <w:rPr>
                <w:noProof/>
              </w:rPr>
              <w:t>Turismlagen ska tillhandahålla en ram för övervakning och utveckling av turismsektorn genom inrättandet av ett system för övervakning och analys av uppgifter, ett system för incitament, övervakning och analys av investeringar, fastställande av viktiga intressenters roll i utvecklingen av turism och samarbete mellan tjänster samt fastställande av indikatorer och standarder för att säkerställa turismens hållbarhet (särskilt gröna och digitala standarder).</w:t>
            </w:r>
          </w:p>
        </w:tc>
      </w:tr>
      <w:tr w:rsidR="003A3D51" w14:paraId="0EBB83D7" w14:textId="77777777">
        <w:tc>
          <w:tcPr>
            <w:tcW w:w="851" w:type="dxa"/>
            <w:tcBorders>
              <w:top w:val="nil"/>
              <w:left w:val="single" w:sz="4" w:space="0" w:color="auto"/>
              <w:bottom w:val="single" w:sz="4" w:space="0" w:color="auto"/>
              <w:right w:val="single" w:sz="4" w:space="0" w:color="auto"/>
            </w:tcBorders>
            <w:shd w:val="clear" w:color="auto" w:fill="C6EFCE"/>
            <w:noWrap/>
          </w:tcPr>
          <w:p w14:paraId="6F511A0E" w14:textId="77777777" w:rsidR="003A3D51" w:rsidRDefault="0002775A">
            <w:pPr>
              <w:pStyle w:val="P68B1DB1-Normal7"/>
              <w:spacing w:after="0" w:line="276" w:lineRule="auto"/>
              <w:jc w:val="center"/>
              <w:rPr>
                <w:noProof/>
                <w:color w:val="000000" w:themeColor="text1"/>
              </w:rPr>
            </w:pPr>
            <w:r>
              <w:rPr>
                <w:noProof/>
              </w:rPr>
              <w:t>144</w:t>
            </w:r>
          </w:p>
        </w:tc>
        <w:tc>
          <w:tcPr>
            <w:tcW w:w="993" w:type="dxa"/>
            <w:tcBorders>
              <w:top w:val="nil"/>
              <w:left w:val="nil"/>
              <w:bottom w:val="single" w:sz="4" w:space="0" w:color="auto"/>
              <w:right w:val="single" w:sz="4" w:space="0" w:color="auto"/>
            </w:tcBorders>
            <w:shd w:val="clear" w:color="auto" w:fill="C6EFCE"/>
            <w:noWrap/>
          </w:tcPr>
          <w:p w14:paraId="1561776F" w14:textId="77777777" w:rsidR="003A3D51" w:rsidRDefault="0002775A">
            <w:pPr>
              <w:pStyle w:val="P68B1DB1-Normal7"/>
              <w:spacing w:after="200" w:line="276" w:lineRule="auto"/>
              <w:jc w:val="center"/>
              <w:rPr>
                <w:noProof/>
                <w:color w:val="000000" w:themeColor="text1"/>
              </w:rPr>
            </w:pPr>
            <w:r>
              <w:rPr>
                <w:noProof/>
              </w:rPr>
              <w:t>C1.6 R1-I1</w:t>
            </w:r>
          </w:p>
        </w:tc>
        <w:tc>
          <w:tcPr>
            <w:tcW w:w="850" w:type="dxa"/>
            <w:tcBorders>
              <w:top w:val="nil"/>
              <w:left w:val="nil"/>
              <w:bottom w:val="single" w:sz="4" w:space="0" w:color="auto"/>
              <w:right w:val="single" w:sz="4" w:space="0" w:color="auto"/>
            </w:tcBorders>
            <w:shd w:val="clear" w:color="auto" w:fill="C6EFCE"/>
            <w:noWrap/>
          </w:tcPr>
          <w:p w14:paraId="572FA9FA" w14:textId="77777777" w:rsidR="003A3D51" w:rsidRDefault="0002775A">
            <w:pPr>
              <w:pStyle w:val="P68B1DB1-Normal7"/>
              <w:spacing w:after="200" w:line="276" w:lineRule="auto"/>
              <w:jc w:val="center"/>
              <w:rPr>
                <w:noProof/>
                <w:color w:val="000000" w:themeColor="text1"/>
              </w:rPr>
            </w:pPr>
            <w:r>
              <w:rPr>
                <w:noProof/>
              </w:rPr>
              <w:t>M</w:t>
            </w:r>
          </w:p>
        </w:tc>
        <w:tc>
          <w:tcPr>
            <w:tcW w:w="2268" w:type="dxa"/>
            <w:tcBorders>
              <w:top w:val="nil"/>
              <w:left w:val="nil"/>
              <w:bottom w:val="single" w:sz="4" w:space="0" w:color="auto"/>
              <w:right w:val="single" w:sz="4" w:space="0" w:color="auto"/>
            </w:tcBorders>
            <w:shd w:val="clear" w:color="auto" w:fill="C6EFCE"/>
            <w:noWrap/>
          </w:tcPr>
          <w:p w14:paraId="5A98AEB1" w14:textId="77777777" w:rsidR="003A3D51" w:rsidRDefault="0002775A">
            <w:pPr>
              <w:pStyle w:val="P68B1DB1-Normal7"/>
              <w:spacing w:after="200" w:line="276" w:lineRule="auto"/>
              <w:rPr>
                <w:noProof/>
                <w:color w:val="000000" w:themeColor="text1"/>
              </w:rPr>
            </w:pPr>
            <w:r>
              <w:rPr>
                <w:noProof/>
              </w:rPr>
              <w:t>Inleda offentliga ansökningsomgångar för en grön och digital omställning av befintlig offentlig turisminfrastruktur och utveckling av offentlig turisminfrastruktur utanför de viktigaste turist- och kustområdena</w:t>
            </w:r>
          </w:p>
        </w:tc>
        <w:tc>
          <w:tcPr>
            <w:tcW w:w="1985" w:type="dxa"/>
            <w:tcBorders>
              <w:top w:val="nil"/>
              <w:left w:val="nil"/>
              <w:bottom w:val="single" w:sz="4" w:space="0" w:color="auto"/>
              <w:right w:val="single" w:sz="4" w:space="0" w:color="auto"/>
            </w:tcBorders>
            <w:shd w:val="clear" w:color="auto" w:fill="C6EFCE"/>
            <w:noWrap/>
          </w:tcPr>
          <w:p w14:paraId="2E729218" w14:textId="77777777" w:rsidR="003A3D51" w:rsidRDefault="0002775A">
            <w:pPr>
              <w:pStyle w:val="P68B1DB1-Normal7"/>
              <w:spacing w:after="200" w:line="276" w:lineRule="auto"/>
              <w:rPr>
                <w:noProof/>
                <w:color w:val="000000" w:themeColor="text1"/>
              </w:rPr>
            </w:pPr>
            <w:r>
              <w:rPr>
                <w:noProof/>
              </w:rPr>
              <w:t xml:space="preserve">Offentliggörande av anbudsunderlag för den gröna och digitala omställningen av befintlig offentlig turisminfrastruktur och utveckling av offentlig turisminfrastruktur utanför de viktigaste turist- och kustområdena </w:t>
            </w:r>
          </w:p>
        </w:tc>
        <w:tc>
          <w:tcPr>
            <w:tcW w:w="850" w:type="dxa"/>
            <w:tcBorders>
              <w:top w:val="nil"/>
              <w:left w:val="nil"/>
              <w:bottom w:val="single" w:sz="4" w:space="0" w:color="auto"/>
              <w:right w:val="single" w:sz="4" w:space="0" w:color="auto"/>
            </w:tcBorders>
            <w:shd w:val="clear" w:color="auto" w:fill="C6EFCE"/>
            <w:noWrap/>
          </w:tcPr>
          <w:p w14:paraId="7C5B7BBB" w14:textId="77777777" w:rsidR="003A3D51" w:rsidRDefault="0002775A">
            <w:pPr>
              <w:pStyle w:val="P68B1DB1-Normal7"/>
              <w:spacing w:after="200" w:line="276" w:lineRule="auto"/>
              <w:jc w:val="center"/>
              <w:rPr>
                <w:noProof/>
                <w:color w:val="000000" w:themeColor="text1"/>
              </w:rPr>
            </w:pPr>
            <w:r>
              <w:rPr>
                <w:noProof/>
              </w:rPr>
              <w:t> </w:t>
            </w:r>
          </w:p>
        </w:tc>
        <w:tc>
          <w:tcPr>
            <w:tcW w:w="992" w:type="dxa"/>
            <w:tcBorders>
              <w:top w:val="nil"/>
              <w:left w:val="nil"/>
              <w:bottom w:val="single" w:sz="4" w:space="0" w:color="auto"/>
              <w:right w:val="single" w:sz="4" w:space="0" w:color="auto"/>
            </w:tcBorders>
            <w:shd w:val="clear" w:color="auto" w:fill="C6EFCE"/>
            <w:noWrap/>
          </w:tcPr>
          <w:p w14:paraId="5CA6AD0B" w14:textId="77777777" w:rsidR="003A3D51" w:rsidRDefault="0002775A">
            <w:pPr>
              <w:pStyle w:val="P68B1DB1-Normal7"/>
              <w:spacing w:after="200" w:line="276" w:lineRule="auto"/>
              <w:jc w:val="center"/>
              <w:rPr>
                <w:noProof/>
                <w:color w:val="000000" w:themeColor="text1"/>
              </w:rPr>
            </w:pPr>
            <w:r>
              <w:rPr>
                <w:noProof/>
              </w:rPr>
              <w:t> </w:t>
            </w:r>
          </w:p>
        </w:tc>
        <w:tc>
          <w:tcPr>
            <w:tcW w:w="1059" w:type="dxa"/>
            <w:tcBorders>
              <w:top w:val="nil"/>
              <w:left w:val="nil"/>
              <w:bottom w:val="single" w:sz="4" w:space="0" w:color="auto"/>
              <w:right w:val="single" w:sz="4" w:space="0" w:color="auto"/>
            </w:tcBorders>
            <w:shd w:val="clear" w:color="auto" w:fill="C6EFCE"/>
            <w:noWrap/>
          </w:tcPr>
          <w:p w14:paraId="01495F6F" w14:textId="77777777" w:rsidR="003A3D51" w:rsidRDefault="0002775A">
            <w:pPr>
              <w:pStyle w:val="P68B1DB1-Normal7"/>
              <w:spacing w:after="200" w:line="276" w:lineRule="auto"/>
              <w:jc w:val="center"/>
              <w:rPr>
                <w:noProof/>
                <w:color w:val="000000" w:themeColor="text1"/>
              </w:rPr>
            </w:pPr>
            <w:r>
              <w:rPr>
                <w:noProof/>
              </w:rPr>
              <w:t> </w:t>
            </w:r>
          </w:p>
        </w:tc>
        <w:tc>
          <w:tcPr>
            <w:tcW w:w="642" w:type="dxa"/>
            <w:tcBorders>
              <w:top w:val="nil"/>
              <w:left w:val="nil"/>
              <w:bottom w:val="single" w:sz="4" w:space="0" w:color="auto"/>
              <w:right w:val="single" w:sz="4" w:space="0" w:color="auto"/>
            </w:tcBorders>
            <w:shd w:val="clear" w:color="auto" w:fill="C6EFCE"/>
            <w:noWrap/>
          </w:tcPr>
          <w:p w14:paraId="76DED008" w14:textId="77777777" w:rsidR="003A3D51" w:rsidRDefault="0002775A">
            <w:pPr>
              <w:pStyle w:val="P68B1DB1-Normal7"/>
              <w:spacing w:after="200" w:line="276" w:lineRule="auto"/>
              <w:jc w:val="center"/>
              <w:rPr>
                <w:noProof/>
                <w:color w:val="000000" w:themeColor="text1"/>
              </w:rPr>
            </w:pPr>
            <w:r>
              <w:rPr>
                <w:noProof/>
              </w:rPr>
              <w:t>KVARTAL 3</w:t>
            </w:r>
          </w:p>
        </w:tc>
        <w:tc>
          <w:tcPr>
            <w:tcW w:w="709" w:type="dxa"/>
            <w:tcBorders>
              <w:top w:val="nil"/>
              <w:left w:val="nil"/>
              <w:bottom w:val="single" w:sz="4" w:space="0" w:color="auto"/>
              <w:right w:val="single" w:sz="4" w:space="0" w:color="auto"/>
            </w:tcBorders>
            <w:shd w:val="clear" w:color="auto" w:fill="C6EFCE"/>
            <w:noWrap/>
          </w:tcPr>
          <w:p w14:paraId="5CDFB146" w14:textId="77777777" w:rsidR="003A3D51" w:rsidRDefault="0002775A">
            <w:pPr>
              <w:pStyle w:val="P68B1DB1-Normal7"/>
              <w:spacing w:after="200" w:line="276" w:lineRule="auto"/>
              <w:jc w:val="center"/>
              <w:rPr>
                <w:noProof/>
                <w:color w:val="000000" w:themeColor="text1"/>
              </w:rPr>
            </w:pPr>
            <w:r>
              <w:rPr>
                <w:noProof/>
              </w:rPr>
              <w:t>2022</w:t>
            </w:r>
          </w:p>
        </w:tc>
        <w:tc>
          <w:tcPr>
            <w:tcW w:w="3544" w:type="dxa"/>
            <w:tcBorders>
              <w:top w:val="nil"/>
              <w:left w:val="nil"/>
              <w:bottom w:val="single" w:sz="4" w:space="0" w:color="auto"/>
              <w:right w:val="single" w:sz="4" w:space="0" w:color="auto"/>
            </w:tcBorders>
            <w:shd w:val="clear" w:color="auto" w:fill="C6EFCE"/>
            <w:noWrap/>
          </w:tcPr>
          <w:p w14:paraId="0CA0C53E" w14:textId="77777777" w:rsidR="003A3D51" w:rsidRDefault="0002775A">
            <w:pPr>
              <w:pStyle w:val="P68B1DB1-Normal7"/>
              <w:spacing w:after="200" w:line="276" w:lineRule="auto"/>
              <w:rPr>
                <w:noProof/>
                <w:color w:val="000000" w:themeColor="text1"/>
              </w:rPr>
            </w:pPr>
            <w:r>
              <w:rPr>
                <w:noProof/>
              </w:rPr>
              <w:t>I anbudsunderlaget ska det anges att investeringarna ska inriktas på projekt som kan öka turistinfrastrukturens gröna och digitala kvalitet och minska miljöpåverkan och följaktligen koncentrationen av gäster under säsongen. I de viktigaste turist- och kustområdena ska enligt turistutvecklingsindexet endast investeringar i den gröna och digitala omställningen av befintlig turistinfrastruktur och upp till 29 623 731 EUR av den totala budgeten för investeringen vara stödberättigande för att bidra till en hållbar förvaltning av resmål och minska miljöpåverkan under turistsäsongen.  Kriterierna för stödberättigande ska omfatta efterlevnad av den tekniska vägledningen om att inte orsaka betydande skada (2021/C58/01).</w:t>
            </w:r>
          </w:p>
        </w:tc>
      </w:tr>
      <w:tr w:rsidR="003A3D51" w14:paraId="799FE40D" w14:textId="77777777">
        <w:tc>
          <w:tcPr>
            <w:tcW w:w="851" w:type="dxa"/>
            <w:tcBorders>
              <w:top w:val="nil"/>
              <w:left w:val="single" w:sz="4" w:space="0" w:color="auto"/>
              <w:bottom w:val="single" w:sz="4" w:space="0" w:color="auto"/>
              <w:right w:val="single" w:sz="4" w:space="0" w:color="auto"/>
            </w:tcBorders>
            <w:shd w:val="clear" w:color="auto" w:fill="C6EFCE"/>
            <w:noWrap/>
          </w:tcPr>
          <w:p w14:paraId="4ABD77F1" w14:textId="77777777" w:rsidR="003A3D51" w:rsidRDefault="0002775A">
            <w:pPr>
              <w:pStyle w:val="P68B1DB1-Normal7"/>
              <w:spacing w:after="0" w:line="276" w:lineRule="auto"/>
              <w:jc w:val="center"/>
              <w:rPr>
                <w:noProof/>
                <w:color w:val="000000" w:themeColor="text1"/>
              </w:rPr>
            </w:pPr>
            <w:r>
              <w:rPr>
                <w:noProof/>
              </w:rPr>
              <w:t>145</w:t>
            </w:r>
          </w:p>
        </w:tc>
        <w:tc>
          <w:tcPr>
            <w:tcW w:w="993" w:type="dxa"/>
            <w:tcBorders>
              <w:top w:val="nil"/>
              <w:left w:val="nil"/>
              <w:bottom w:val="single" w:sz="4" w:space="0" w:color="auto"/>
              <w:right w:val="single" w:sz="4" w:space="0" w:color="auto"/>
            </w:tcBorders>
            <w:shd w:val="clear" w:color="auto" w:fill="C6EFCE"/>
            <w:noWrap/>
          </w:tcPr>
          <w:p w14:paraId="61AF322A" w14:textId="77777777" w:rsidR="003A3D51" w:rsidRDefault="0002775A">
            <w:pPr>
              <w:pStyle w:val="P68B1DB1-Normal7"/>
              <w:spacing w:after="0" w:line="276" w:lineRule="auto"/>
              <w:jc w:val="center"/>
              <w:rPr>
                <w:noProof/>
                <w:color w:val="000000" w:themeColor="text1"/>
              </w:rPr>
            </w:pPr>
            <w:r>
              <w:rPr>
                <w:noProof/>
              </w:rPr>
              <w:t>C1.6 R1-I1</w:t>
            </w:r>
          </w:p>
        </w:tc>
        <w:tc>
          <w:tcPr>
            <w:tcW w:w="850" w:type="dxa"/>
            <w:tcBorders>
              <w:top w:val="nil"/>
              <w:left w:val="nil"/>
              <w:bottom w:val="single" w:sz="4" w:space="0" w:color="auto"/>
              <w:right w:val="single" w:sz="4" w:space="0" w:color="auto"/>
            </w:tcBorders>
            <w:shd w:val="clear" w:color="auto" w:fill="C6EFCE"/>
            <w:noWrap/>
          </w:tcPr>
          <w:p w14:paraId="19245864" w14:textId="77777777" w:rsidR="003A3D51" w:rsidRDefault="0002775A">
            <w:pPr>
              <w:pStyle w:val="P68B1DB1-Normal7"/>
              <w:spacing w:after="0" w:line="276" w:lineRule="auto"/>
              <w:jc w:val="center"/>
              <w:rPr>
                <w:noProof/>
                <w:color w:val="000000" w:themeColor="text1"/>
              </w:rPr>
            </w:pPr>
            <w:r>
              <w:rPr>
                <w:noProof/>
              </w:rPr>
              <w:t>T</w:t>
            </w:r>
          </w:p>
        </w:tc>
        <w:tc>
          <w:tcPr>
            <w:tcW w:w="2268" w:type="dxa"/>
            <w:tcBorders>
              <w:top w:val="nil"/>
              <w:left w:val="nil"/>
              <w:bottom w:val="single" w:sz="4" w:space="0" w:color="auto"/>
              <w:right w:val="single" w:sz="4" w:space="0" w:color="auto"/>
            </w:tcBorders>
            <w:shd w:val="clear" w:color="auto" w:fill="C6EFCE"/>
            <w:noWrap/>
          </w:tcPr>
          <w:p w14:paraId="4C7E66F2" w14:textId="76D578E2" w:rsidR="003A3D51" w:rsidRDefault="0002775A">
            <w:pPr>
              <w:pStyle w:val="P68B1DB1-Normal7"/>
              <w:spacing w:after="0" w:line="276" w:lineRule="auto"/>
              <w:rPr>
                <w:noProof/>
                <w:color w:val="000000" w:themeColor="text1"/>
              </w:rPr>
            </w:pPr>
            <w:r>
              <w:rPr>
                <w:noProof/>
              </w:rPr>
              <w:t>Slutföra genomförandet av stödberättigande projekt för investeringen eller omfördela de outnyttjade medlen för uppförande och anpassning av offentlig turisminfrastruktur i enlighet med kriterierna för stödberättigande.</w:t>
            </w:r>
          </w:p>
        </w:tc>
        <w:tc>
          <w:tcPr>
            <w:tcW w:w="1985" w:type="dxa"/>
            <w:tcBorders>
              <w:top w:val="nil"/>
              <w:left w:val="nil"/>
              <w:bottom w:val="single" w:sz="4" w:space="0" w:color="auto"/>
              <w:right w:val="single" w:sz="4" w:space="0" w:color="auto"/>
            </w:tcBorders>
            <w:shd w:val="clear" w:color="auto" w:fill="C6EFCE"/>
            <w:noWrap/>
          </w:tcPr>
          <w:p w14:paraId="2840283C" w14:textId="77777777" w:rsidR="003A3D51" w:rsidRDefault="0002775A">
            <w:pPr>
              <w:pStyle w:val="P68B1DB1-Normal7"/>
              <w:spacing w:after="0" w:line="276" w:lineRule="auto"/>
              <w:rPr>
                <w:noProof/>
                <w:color w:val="000000" w:themeColor="text1"/>
              </w:rPr>
            </w:pPr>
            <w:r>
              <w:rPr>
                <w:noProof/>
              </w:rPr>
              <w:t xml:space="preserve"> </w:t>
            </w:r>
          </w:p>
        </w:tc>
        <w:tc>
          <w:tcPr>
            <w:tcW w:w="850" w:type="dxa"/>
            <w:tcBorders>
              <w:top w:val="nil"/>
              <w:left w:val="nil"/>
              <w:bottom w:val="single" w:sz="4" w:space="0" w:color="auto"/>
              <w:right w:val="single" w:sz="4" w:space="0" w:color="auto"/>
            </w:tcBorders>
            <w:shd w:val="clear" w:color="auto" w:fill="C6EFCE"/>
            <w:noWrap/>
          </w:tcPr>
          <w:p w14:paraId="405442DD" w14:textId="77777777" w:rsidR="003A3D51" w:rsidRDefault="0002775A">
            <w:pPr>
              <w:pStyle w:val="P68B1DB1-Normal7"/>
              <w:spacing w:after="0" w:line="276" w:lineRule="auto"/>
              <w:rPr>
                <w:noProof/>
                <w:color w:val="000000" w:themeColor="text1"/>
              </w:rPr>
            </w:pPr>
            <w:r>
              <w:rPr>
                <w:noProof/>
              </w:rPr>
              <w:t>Antal (euro)</w:t>
            </w:r>
          </w:p>
        </w:tc>
        <w:tc>
          <w:tcPr>
            <w:tcW w:w="992" w:type="dxa"/>
            <w:tcBorders>
              <w:top w:val="nil"/>
              <w:left w:val="nil"/>
              <w:bottom w:val="single" w:sz="4" w:space="0" w:color="auto"/>
              <w:right w:val="single" w:sz="4" w:space="0" w:color="auto"/>
            </w:tcBorders>
            <w:shd w:val="clear" w:color="auto" w:fill="C6EFCE"/>
            <w:noWrap/>
          </w:tcPr>
          <w:p w14:paraId="7B95F38B" w14:textId="77777777" w:rsidR="003A3D51" w:rsidRDefault="0002775A">
            <w:pPr>
              <w:pStyle w:val="P68B1DB1-Normal7"/>
              <w:spacing w:after="0" w:line="276" w:lineRule="auto"/>
              <w:jc w:val="center"/>
              <w:rPr>
                <w:noProof/>
                <w:color w:val="000000" w:themeColor="text1"/>
              </w:rPr>
            </w:pPr>
            <w:r>
              <w:rPr>
                <w:noProof/>
              </w:rPr>
              <w:t>0</w:t>
            </w:r>
          </w:p>
        </w:tc>
        <w:tc>
          <w:tcPr>
            <w:tcW w:w="1059" w:type="dxa"/>
            <w:tcBorders>
              <w:top w:val="nil"/>
              <w:left w:val="nil"/>
              <w:bottom w:val="single" w:sz="4" w:space="0" w:color="auto"/>
              <w:right w:val="single" w:sz="4" w:space="0" w:color="auto"/>
            </w:tcBorders>
            <w:shd w:val="clear" w:color="auto" w:fill="C6EFCE"/>
            <w:noWrap/>
          </w:tcPr>
          <w:p w14:paraId="42AD24D7" w14:textId="77777777" w:rsidR="003A3D51" w:rsidRDefault="0002775A">
            <w:pPr>
              <w:pStyle w:val="P68B1DB1-Normal7"/>
              <w:spacing w:after="0" w:line="276" w:lineRule="auto"/>
              <w:jc w:val="center"/>
              <w:rPr>
                <w:noProof/>
                <w:color w:val="000000" w:themeColor="text1"/>
              </w:rPr>
            </w:pPr>
            <w:r>
              <w:rPr>
                <w:noProof/>
              </w:rPr>
              <w:t>111 088 991</w:t>
            </w:r>
          </w:p>
        </w:tc>
        <w:tc>
          <w:tcPr>
            <w:tcW w:w="642" w:type="dxa"/>
            <w:tcBorders>
              <w:top w:val="nil"/>
              <w:left w:val="nil"/>
              <w:bottom w:val="single" w:sz="4" w:space="0" w:color="auto"/>
              <w:right w:val="single" w:sz="4" w:space="0" w:color="auto"/>
            </w:tcBorders>
            <w:shd w:val="clear" w:color="auto" w:fill="C6EFCE"/>
            <w:noWrap/>
          </w:tcPr>
          <w:p w14:paraId="076B2400" w14:textId="77777777" w:rsidR="003A3D51" w:rsidRDefault="0002775A">
            <w:pPr>
              <w:pStyle w:val="P68B1DB1-Normal7"/>
              <w:spacing w:after="0" w:line="276" w:lineRule="auto"/>
              <w:jc w:val="center"/>
              <w:rPr>
                <w:noProof/>
                <w:color w:val="000000" w:themeColor="text1"/>
              </w:rPr>
            </w:pPr>
            <w:r>
              <w:rPr>
                <w:noProof/>
              </w:rPr>
              <w:t>KVARTAL 2</w:t>
            </w:r>
          </w:p>
        </w:tc>
        <w:tc>
          <w:tcPr>
            <w:tcW w:w="709" w:type="dxa"/>
            <w:tcBorders>
              <w:top w:val="nil"/>
              <w:left w:val="nil"/>
              <w:bottom w:val="single" w:sz="4" w:space="0" w:color="auto"/>
              <w:right w:val="single" w:sz="4" w:space="0" w:color="auto"/>
            </w:tcBorders>
            <w:shd w:val="clear" w:color="auto" w:fill="C6EFCE"/>
            <w:noWrap/>
          </w:tcPr>
          <w:p w14:paraId="3450C9F3" w14:textId="77777777" w:rsidR="003A3D51" w:rsidRDefault="0002775A">
            <w:pPr>
              <w:pStyle w:val="P68B1DB1-Normal7"/>
              <w:spacing w:after="0" w:line="276" w:lineRule="auto"/>
              <w:jc w:val="center"/>
              <w:rPr>
                <w:noProof/>
                <w:color w:val="000000" w:themeColor="text1"/>
              </w:rPr>
            </w:pPr>
            <w:r>
              <w:rPr>
                <w:noProof/>
              </w:rPr>
              <w:t>2026</w:t>
            </w:r>
          </w:p>
        </w:tc>
        <w:tc>
          <w:tcPr>
            <w:tcW w:w="3544" w:type="dxa"/>
            <w:tcBorders>
              <w:top w:val="nil"/>
              <w:left w:val="nil"/>
              <w:bottom w:val="single" w:sz="4" w:space="0" w:color="auto"/>
              <w:right w:val="single" w:sz="4" w:space="0" w:color="auto"/>
            </w:tcBorders>
            <w:shd w:val="clear" w:color="auto" w:fill="C6EFCE"/>
            <w:noWrap/>
          </w:tcPr>
          <w:p w14:paraId="1A6040BA" w14:textId="0C18CABD" w:rsidR="003A3D51" w:rsidRDefault="0002775A">
            <w:pPr>
              <w:pStyle w:val="P68B1DB1-Normal7"/>
              <w:spacing w:after="0" w:line="276" w:lineRule="auto"/>
              <w:rPr>
                <w:noProof/>
                <w:color w:val="000000" w:themeColor="text1"/>
              </w:rPr>
            </w:pPr>
            <w:r>
              <w:rPr>
                <w:noProof/>
              </w:rPr>
              <w:t xml:space="preserve">Slutföra genomförandet av stödberättigande projekt för investeringen eller håller på att omfördela de outnyttjade medlen från oavslutade projekt, åtminstone till målmålet för uppförande och anpassning av offentlig turisminfrastruktur i enlighet med kriterierna för stödberättigande/urvalskriterier för den gröna och digitala omställningen av befintlig offentlig turistinfrastruktur och utvecklingen av offentlig turisminfrastruktur utanför de viktigaste turist- och kustområdena, med urvalskriterier/kriterier för stödberättigande som säkerställer att de projekt som får stöd uppfyller kraven i den tekniska vägledningen om att inte orsaka betydande skada (2021/C58/01) och att de projekt som får stöd är förenliga med relevant EU-lagstiftning och nationell miljölagstiftning. </w:t>
            </w:r>
          </w:p>
        </w:tc>
      </w:tr>
      <w:tr w:rsidR="003A3D51" w14:paraId="68BEDA7F" w14:textId="77777777">
        <w:tc>
          <w:tcPr>
            <w:tcW w:w="851" w:type="dxa"/>
            <w:tcBorders>
              <w:top w:val="nil"/>
              <w:left w:val="single" w:sz="4" w:space="0" w:color="auto"/>
              <w:bottom w:val="single" w:sz="4" w:space="0" w:color="auto"/>
              <w:right w:val="single" w:sz="4" w:space="0" w:color="auto"/>
            </w:tcBorders>
            <w:shd w:val="clear" w:color="auto" w:fill="C6EFCE"/>
            <w:noWrap/>
          </w:tcPr>
          <w:p w14:paraId="05FCC7AE" w14:textId="77777777" w:rsidR="003A3D51" w:rsidRDefault="0002775A">
            <w:pPr>
              <w:pStyle w:val="P68B1DB1-Normal7"/>
              <w:spacing w:after="0" w:line="276" w:lineRule="auto"/>
              <w:jc w:val="center"/>
              <w:rPr>
                <w:noProof/>
                <w:color w:val="000000" w:themeColor="text1"/>
              </w:rPr>
            </w:pPr>
            <w:r>
              <w:rPr>
                <w:noProof/>
              </w:rPr>
              <w:t>146</w:t>
            </w:r>
          </w:p>
        </w:tc>
        <w:tc>
          <w:tcPr>
            <w:tcW w:w="993" w:type="dxa"/>
            <w:tcBorders>
              <w:top w:val="nil"/>
              <w:left w:val="nil"/>
              <w:bottom w:val="single" w:sz="4" w:space="0" w:color="auto"/>
              <w:right w:val="single" w:sz="4" w:space="0" w:color="auto"/>
            </w:tcBorders>
            <w:shd w:val="clear" w:color="auto" w:fill="C6EFCE"/>
            <w:noWrap/>
          </w:tcPr>
          <w:p w14:paraId="4D85028D" w14:textId="77777777" w:rsidR="003A3D51" w:rsidRDefault="0002775A">
            <w:pPr>
              <w:pStyle w:val="P68B1DB1-Normal7"/>
              <w:spacing w:after="0" w:line="276" w:lineRule="auto"/>
              <w:jc w:val="center"/>
              <w:rPr>
                <w:noProof/>
                <w:color w:val="000000" w:themeColor="text1"/>
              </w:rPr>
            </w:pPr>
            <w:r>
              <w:rPr>
                <w:noProof/>
              </w:rPr>
              <w:t>C1.6 R1-I2</w:t>
            </w:r>
          </w:p>
        </w:tc>
        <w:tc>
          <w:tcPr>
            <w:tcW w:w="850" w:type="dxa"/>
            <w:tcBorders>
              <w:top w:val="nil"/>
              <w:left w:val="nil"/>
              <w:bottom w:val="single" w:sz="4" w:space="0" w:color="auto"/>
              <w:right w:val="single" w:sz="4" w:space="0" w:color="auto"/>
            </w:tcBorders>
            <w:shd w:val="clear" w:color="auto" w:fill="C6EFCE"/>
            <w:noWrap/>
          </w:tcPr>
          <w:p w14:paraId="02BFB8BD" w14:textId="77777777" w:rsidR="003A3D51" w:rsidRDefault="0002775A">
            <w:pPr>
              <w:pStyle w:val="P68B1DB1-Normal7"/>
              <w:spacing w:after="0" w:line="276" w:lineRule="auto"/>
              <w:jc w:val="center"/>
              <w:rPr>
                <w:noProof/>
                <w:color w:val="000000" w:themeColor="text1"/>
              </w:rPr>
            </w:pPr>
            <w:r>
              <w:rPr>
                <w:noProof/>
              </w:rPr>
              <w:t>M</w:t>
            </w:r>
          </w:p>
        </w:tc>
        <w:tc>
          <w:tcPr>
            <w:tcW w:w="2268" w:type="dxa"/>
            <w:tcBorders>
              <w:top w:val="nil"/>
              <w:left w:val="nil"/>
              <w:bottom w:val="single" w:sz="4" w:space="0" w:color="auto"/>
              <w:right w:val="single" w:sz="4" w:space="0" w:color="auto"/>
            </w:tcBorders>
            <w:shd w:val="clear" w:color="auto" w:fill="C6EFCE"/>
            <w:noWrap/>
          </w:tcPr>
          <w:p w14:paraId="101ED227" w14:textId="77777777" w:rsidR="003A3D51" w:rsidRDefault="0002775A">
            <w:pPr>
              <w:pStyle w:val="P68B1DB1-Normal7"/>
              <w:spacing w:after="0" w:line="276" w:lineRule="auto"/>
              <w:rPr>
                <w:noProof/>
                <w:color w:val="000000" w:themeColor="text1"/>
              </w:rPr>
            </w:pPr>
            <w:r>
              <w:rPr>
                <w:noProof/>
              </w:rPr>
              <w:t>Inleda offentliga ansökningsomgångar för att stärka hållbarheten och främja den gröna och digitala omställningen för turistföretagare, med minst 50 % av de totala investeringarna till stöd för den gröna omställningen.</w:t>
            </w:r>
          </w:p>
        </w:tc>
        <w:tc>
          <w:tcPr>
            <w:tcW w:w="1985" w:type="dxa"/>
            <w:tcBorders>
              <w:top w:val="nil"/>
              <w:left w:val="nil"/>
              <w:bottom w:val="single" w:sz="4" w:space="0" w:color="auto"/>
              <w:right w:val="single" w:sz="4" w:space="0" w:color="auto"/>
            </w:tcBorders>
            <w:shd w:val="clear" w:color="auto" w:fill="C6EFCE"/>
            <w:noWrap/>
          </w:tcPr>
          <w:p w14:paraId="0970CB16" w14:textId="77777777" w:rsidR="003A3D51" w:rsidRDefault="0002775A">
            <w:pPr>
              <w:pStyle w:val="P68B1DB1-Normal7"/>
              <w:spacing w:after="0" w:line="276" w:lineRule="auto"/>
              <w:rPr>
                <w:noProof/>
                <w:color w:val="000000" w:themeColor="text1"/>
              </w:rPr>
            </w:pPr>
            <w:r>
              <w:rPr>
                <w:noProof/>
              </w:rPr>
              <w:t>Offentliggörande av anbudsunderlag för att stärka hållbarheten och främja turismens gröna och digitala omställning entrepreneurs/2088.</w:t>
            </w:r>
          </w:p>
        </w:tc>
        <w:tc>
          <w:tcPr>
            <w:tcW w:w="850" w:type="dxa"/>
            <w:tcBorders>
              <w:top w:val="nil"/>
              <w:left w:val="nil"/>
              <w:bottom w:val="single" w:sz="4" w:space="0" w:color="auto"/>
              <w:right w:val="single" w:sz="4" w:space="0" w:color="auto"/>
            </w:tcBorders>
            <w:shd w:val="clear" w:color="auto" w:fill="C6EFCE"/>
            <w:noWrap/>
          </w:tcPr>
          <w:p w14:paraId="472BB5DA" w14:textId="77777777" w:rsidR="003A3D51" w:rsidRDefault="0002775A">
            <w:pPr>
              <w:pStyle w:val="P68B1DB1-Normal7"/>
              <w:spacing w:after="0" w:line="276" w:lineRule="auto"/>
              <w:jc w:val="center"/>
              <w:rPr>
                <w:noProof/>
                <w:color w:val="000000" w:themeColor="text1"/>
              </w:rPr>
            </w:pPr>
            <w:r>
              <w:rPr>
                <w:noProof/>
              </w:rPr>
              <w:t> </w:t>
            </w:r>
          </w:p>
        </w:tc>
        <w:tc>
          <w:tcPr>
            <w:tcW w:w="992" w:type="dxa"/>
            <w:tcBorders>
              <w:top w:val="nil"/>
              <w:left w:val="nil"/>
              <w:bottom w:val="single" w:sz="4" w:space="0" w:color="auto"/>
              <w:right w:val="single" w:sz="4" w:space="0" w:color="auto"/>
            </w:tcBorders>
            <w:shd w:val="clear" w:color="auto" w:fill="C6EFCE"/>
            <w:noWrap/>
          </w:tcPr>
          <w:p w14:paraId="72EC4223" w14:textId="77777777" w:rsidR="003A3D51" w:rsidRDefault="0002775A">
            <w:pPr>
              <w:pStyle w:val="P68B1DB1-Normal7"/>
              <w:spacing w:after="0" w:line="276" w:lineRule="auto"/>
              <w:jc w:val="center"/>
              <w:rPr>
                <w:noProof/>
                <w:color w:val="000000" w:themeColor="text1"/>
              </w:rPr>
            </w:pPr>
            <w:r>
              <w:rPr>
                <w:noProof/>
              </w:rPr>
              <w:t> </w:t>
            </w:r>
          </w:p>
        </w:tc>
        <w:tc>
          <w:tcPr>
            <w:tcW w:w="1059" w:type="dxa"/>
            <w:tcBorders>
              <w:top w:val="nil"/>
              <w:left w:val="nil"/>
              <w:bottom w:val="single" w:sz="4" w:space="0" w:color="auto"/>
              <w:right w:val="single" w:sz="4" w:space="0" w:color="auto"/>
            </w:tcBorders>
            <w:shd w:val="clear" w:color="auto" w:fill="C6EFCE"/>
            <w:noWrap/>
          </w:tcPr>
          <w:p w14:paraId="6CB21FAA" w14:textId="77777777" w:rsidR="003A3D51" w:rsidRDefault="0002775A">
            <w:pPr>
              <w:pStyle w:val="P68B1DB1-Normal7"/>
              <w:spacing w:after="0" w:line="276" w:lineRule="auto"/>
              <w:jc w:val="center"/>
              <w:rPr>
                <w:noProof/>
                <w:color w:val="000000" w:themeColor="text1"/>
              </w:rPr>
            </w:pPr>
            <w:r>
              <w:rPr>
                <w:noProof/>
              </w:rPr>
              <w:t> </w:t>
            </w:r>
          </w:p>
        </w:tc>
        <w:tc>
          <w:tcPr>
            <w:tcW w:w="642" w:type="dxa"/>
            <w:tcBorders>
              <w:top w:val="nil"/>
              <w:left w:val="nil"/>
              <w:bottom w:val="single" w:sz="4" w:space="0" w:color="auto"/>
              <w:right w:val="single" w:sz="4" w:space="0" w:color="auto"/>
            </w:tcBorders>
            <w:shd w:val="clear" w:color="auto" w:fill="C6EFCE"/>
            <w:noWrap/>
          </w:tcPr>
          <w:p w14:paraId="0875ACC8" w14:textId="77777777" w:rsidR="003A3D51" w:rsidRDefault="0002775A">
            <w:pPr>
              <w:pStyle w:val="P68B1DB1-Normal7"/>
              <w:spacing w:after="0" w:line="276" w:lineRule="auto"/>
              <w:jc w:val="center"/>
              <w:rPr>
                <w:noProof/>
                <w:color w:val="000000" w:themeColor="text1"/>
              </w:rPr>
            </w:pPr>
            <w:r>
              <w:rPr>
                <w:noProof/>
              </w:rPr>
              <w:t>KVARTAL 3</w:t>
            </w:r>
          </w:p>
        </w:tc>
        <w:tc>
          <w:tcPr>
            <w:tcW w:w="709" w:type="dxa"/>
            <w:tcBorders>
              <w:top w:val="nil"/>
              <w:left w:val="nil"/>
              <w:bottom w:val="single" w:sz="4" w:space="0" w:color="auto"/>
              <w:right w:val="single" w:sz="4" w:space="0" w:color="auto"/>
            </w:tcBorders>
            <w:shd w:val="clear" w:color="auto" w:fill="C6EFCE"/>
            <w:noWrap/>
          </w:tcPr>
          <w:p w14:paraId="2572170D" w14:textId="77777777" w:rsidR="003A3D51" w:rsidRDefault="0002775A">
            <w:pPr>
              <w:pStyle w:val="P68B1DB1-Normal7"/>
              <w:spacing w:after="0" w:line="276" w:lineRule="auto"/>
              <w:jc w:val="center"/>
              <w:rPr>
                <w:noProof/>
                <w:color w:val="000000" w:themeColor="text1"/>
              </w:rPr>
            </w:pPr>
            <w:r>
              <w:rPr>
                <w:noProof/>
              </w:rPr>
              <w:t>2022</w:t>
            </w:r>
          </w:p>
        </w:tc>
        <w:tc>
          <w:tcPr>
            <w:tcW w:w="3544" w:type="dxa"/>
            <w:tcBorders>
              <w:top w:val="nil"/>
              <w:left w:val="nil"/>
              <w:bottom w:val="single" w:sz="4" w:space="0" w:color="auto"/>
              <w:right w:val="single" w:sz="4" w:space="0" w:color="auto"/>
            </w:tcBorders>
            <w:shd w:val="clear" w:color="auto" w:fill="C6EFCE"/>
            <w:noWrap/>
          </w:tcPr>
          <w:p w14:paraId="24EB0F83" w14:textId="77777777" w:rsidR="003A3D51" w:rsidRDefault="0002775A">
            <w:pPr>
              <w:pStyle w:val="P68B1DB1-Normal7"/>
              <w:spacing w:after="0" w:line="276" w:lineRule="auto"/>
              <w:rPr>
                <w:noProof/>
                <w:color w:val="000000" w:themeColor="text1"/>
              </w:rPr>
            </w:pPr>
            <w:r>
              <w:rPr>
                <w:noProof/>
              </w:rPr>
              <w:t>I anbudsunderlaget ska det anges att minst 29 862 632 EUR av de totala investeringarna kommer att tilldelas investeringar som är inriktade på begränsning av eller anpassning till klimatförändringar, digitalisering av verksamheter i enlighet med kriterierna för minskade växthusgasutsläpp eller minskad energieffektivitet och avfallsminskning samt övergången till en cirkulär ekonomi.</w:t>
            </w:r>
            <w:r>
              <w:rPr>
                <w:noProof/>
              </w:rPr>
              <w:br/>
              <w:t xml:space="preserve">Urvalskriterierna för projekt ska bidra till den gröna omställningen, i linje med NRS, det gröna fördraget för Europa, de hållbarhetsindikatorer som fastställs i genomförbarhetsstudien för inrättandet av Republiken Kroatiens satelliträkenskaper för hållbar turism och riktlinjerna för utarbetandet av strategin för hållbar utveckling av turismen 2030. I enlighet med principerna om att inte orsaka betydande skada ska sökande visa hur de kommer att mildra den negativa miljöpåverkan som kan förknippas med projektet och hur de kommer att bidra till positiva effekter under projektets genomförande. </w:t>
            </w:r>
            <w:r>
              <w:rPr>
                <w:noProof/>
              </w:rPr>
              <w:br/>
            </w:r>
            <w:r>
              <w:rPr>
                <w:noProof/>
              </w:rPr>
              <w:br/>
              <w:t xml:space="preserve">I anbudsdokumentet ska minst 29 862 632 EUR av de totala investeringarna anslås till stöd för den gröna omställningen, och för dessa investeringar ska det anges vilka urvals- och stödkriterier som återspeglar kraven i de tillämpliga interventionsområdena [3–100] i bilaga [VI/VII] och överensstämmelse med den tekniska vägledningen om att inte orsaka betydande skada (2021/C58/01) och de understödda projektens överensstämmelse med relevant EU-lagstiftning och nationell miljölagstiftning. </w:t>
            </w:r>
            <w:r>
              <w:rPr>
                <w:noProof/>
              </w:rPr>
              <w:br/>
            </w:r>
          </w:p>
        </w:tc>
      </w:tr>
      <w:tr w:rsidR="003A3D51" w14:paraId="25912438" w14:textId="77777777">
        <w:tc>
          <w:tcPr>
            <w:tcW w:w="851" w:type="dxa"/>
            <w:tcBorders>
              <w:top w:val="nil"/>
              <w:left w:val="single" w:sz="4" w:space="0" w:color="auto"/>
              <w:bottom w:val="single" w:sz="4" w:space="0" w:color="auto"/>
              <w:right w:val="single" w:sz="4" w:space="0" w:color="auto"/>
            </w:tcBorders>
            <w:shd w:val="clear" w:color="auto" w:fill="C6EFCE"/>
            <w:noWrap/>
          </w:tcPr>
          <w:p w14:paraId="7CD12608" w14:textId="77777777" w:rsidR="003A3D51" w:rsidRDefault="0002775A">
            <w:pPr>
              <w:pStyle w:val="P68B1DB1-Normal7"/>
              <w:spacing w:after="0" w:line="276" w:lineRule="auto"/>
              <w:jc w:val="center"/>
              <w:rPr>
                <w:noProof/>
                <w:color w:val="000000" w:themeColor="text1"/>
              </w:rPr>
            </w:pPr>
            <w:r>
              <w:rPr>
                <w:noProof/>
              </w:rPr>
              <w:t>147</w:t>
            </w:r>
          </w:p>
        </w:tc>
        <w:tc>
          <w:tcPr>
            <w:tcW w:w="993" w:type="dxa"/>
            <w:tcBorders>
              <w:top w:val="nil"/>
              <w:left w:val="nil"/>
              <w:bottom w:val="single" w:sz="4" w:space="0" w:color="auto"/>
              <w:right w:val="single" w:sz="4" w:space="0" w:color="auto"/>
            </w:tcBorders>
            <w:shd w:val="clear" w:color="auto" w:fill="C6EFCE"/>
            <w:noWrap/>
          </w:tcPr>
          <w:p w14:paraId="7EACF052" w14:textId="77777777" w:rsidR="003A3D51" w:rsidRDefault="0002775A">
            <w:pPr>
              <w:pStyle w:val="P68B1DB1-Normal7"/>
              <w:spacing w:after="0" w:line="276" w:lineRule="auto"/>
              <w:jc w:val="center"/>
              <w:rPr>
                <w:noProof/>
                <w:color w:val="000000" w:themeColor="text1"/>
              </w:rPr>
            </w:pPr>
            <w:r>
              <w:rPr>
                <w:noProof/>
              </w:rPr>
              <w:t>C1.6 R1-I2</w:t>
            </w:r>
          </w:p>
        </w:tc>
        <w:tc>
          <w:tcPr>
            <w:tcW w:w="850" w:type="dxa"/>
            <w:tcBorders>
              <w:top w:val="nil"/>
              <w:left w:val="nil"/>
              <w:bottom w:val="single" w:sz="4" w:space="0" w:color="auto"/>
              <w:right w:val="single" w:sz="4" w:space="0" w:color="auto"/>
            </w:tcBorders>
            <w:shd w:val="clear" w:color="auto" w:fill="C6EFCE"/>
            <w:noWrap/>
          </w:tcPr>
          <w:p w14:paraId="4B8C7DE3" w14:textId="77777777" w:rsidR="003A3D51" w:rsidRDefault="0002775A">
            <w:pPr>
              <w:pStyle w:val="P68B1DB1-Normal7"/>
              <w:spacing w:after="0" w:line="276" w:lineRule="auto"/>
              <w:jc w:val="center"/>
              <w:rPr>
                <w:noProof/>
                <w:color w:val="000000" w:themeColor="text1"/>
              </w:rPr>
            </w:pPr>
            <w:r>
              <w:rPr>
                <w:noProof/>
              </w:rPr>
              <w:t>T</w:t>
            </w:r>
          </w:p>
        </w:tc>
        <w:tc>
          <w:tcPr>
            <w:tcW w:w="2268" w:type="dxa"/>
            <w:tcBorders>
              <w:top w:val="nil"/>
              <w:left w:val="nil"/>
              <w:bottom w:val="single" w:sz="4" w:space="0" w:color="auto"/>
              <w:right w:val="single" w:sz="4" w:space="0" w:color="auto"/>
            </w:tcBorders>
            <w:shd w:val="clear" w:color="auto" w:fill="C6EFCE"/>
            <w:noWrap/>
          </w:tcPr>
          <w:p w14:paraId="67C6504B" w14:textId="77777777" w:rsidR="003A3D51" w:rsidRDefault="0002775A">
            <w:pPr>
              <w:pStyle w:val="P68B1DB1-Normal7"/>
              <w:spacing w:after="0" w:line="276" w:lineRule="auto"/>
              <w:rPr>
                <w:noProof/>
                <w:color w:val="000000" w:themeColor="text1"/>
              </w:rPr>
            </w:pPr>
            <w:r>
              <w:rPr>
                <w:noProof/>
              </w:rPr>
              <w:t>Slutföra genomförandet av stödberättigande investeringsprojekt eller omfördela outnyttjade medel för att stärka hållbarheten och främja den gröna och digitala omställningen för företagare inom turistnäringen</w:t>
            </w:r>
          </w:p>
        </w:tc>
        <w:tc>
          <w:tcPr>
            <w:tcW w:w="1985" w:type="dxa"/>
            <w:tcBorders>
              <w:top w:val="nil"/>
              <w:left w:val="nil"/>
              <w:bottom w:val="single" w:sz="4" w:space="0" w:color="auto"/>
              <w:right w:val="single" w:sz="4" w:space="0" w:color="auto"/>
            </w:tcBorders>
            <w:shd w:val="clear" w:color="auto" w:fill="C6EFCE"/>
            <w:noWrap/>
          </w:tcPr>
          <w:p w14:paraId="3E033D7D" w14:textId="77777777" w:rsidR="003A3D51" w:rsidRDefault="0002775A">
            <w:pPr>
              <w:pStyle w:val="P68B1DB1-Normal7"/>
              <w:spacing w:after="0" w:line="276" w:lineRule="auto"/>
              <w:rPr>
                <w:noProof/>
                <w:color w:val="000000" w:themeColor="text1"/>
              </w:rPr>
            </w:pPr>
            <w:r>
              <w:rPr>
                <w:noProof/>
              </w:rPr>
              <w:t xml:space="preserve"> </w:t>
            </w:r>
          </w:p>
        </w:tc>
        <w:tc>
          <w:tcPr>
            <w:tcW w:w="850" w:type="dxa"/>
            <w:tcBorders>
              <w:top w:val="nil"/>
              <w:left w:val="nil"/>
              <w:bottom w:val="single" w:sz="4" w:space="0" w:color="auto"/>
              <w:right w:val="single" w:sz="4" w:space="0" w:color="auto"/>
            </w:tcBorders>
            <w:shd w:val="clear" w:color="auto" w:fill="C6EFCE"/>
            <w:noWrap/>
          </w:tcPr>
          <w:p w14:paraId="1D5AC1FF" w14:textId="77777777" w:rsidR="003A3D51" w:rsidRDefault="0002775A">
            <w:pPr>
              <w:pStyle w:val="P68B1DB1-Normal7"/>
              <w:spacing w:after="0" w:line="276" w:lineRule="auto"/>
              <w:jc w:val="center"/>
              <w:rPr>
                <w:noProof/>
                <w:color w:val="000000" w:themeColor="text1"/>
              </w:rPr>
            </w:pPr>
            <w:r>
              <w:rPr>
                <w:noProof/>
              </w:rPr>
              <w:t>Antal (euro)</w:t>
            </w:r>
          </w:p>
        </w:tc>
        <w:tc>
          <w:tcPr>
            <w:tcW w:w="992" w:type="dxa"/>
            <w:tcBorders>
              <w:top w:val="nil"/>
              <w:left w:val="nil"/>
              <w:bottom w:val="single" w:sz="4" w:space="0" w:color="auto"/>
              <w:right w:val="single" w:sz="4" w:space="0" w:color="auto"/>
            </w:tcBorders>
            <w:shd w:val="clear" w:color="auto" w:fill="C6EFCE"/>
            <w:noWrap/>
          </w:tcPr>
          <w:p w14:paraId="3DD12875" w14:textId="77777777" w:rsidR="003A3D51" w:rsidRDefault="0002775A">
            <w:pPr>
              <w:pStyle w:val="P68B1DB1-Normal7"/>
              <w:spacing w:after="0" w:line="276" w:lineRule="auto"/>
              <w:jc w:val="center"/>
              <w:rPr>
                <w:noProof/>
                <w:color w:val="000000" w:themeColor="text1"/>
              </w:rPr>
            </w:pPr>
            <w:r>
              <w:rPr>
                <w:noProof/>
              </w:rPr>
              <w:t>0</w:t>
            </w:r>
          </w:p>
        </w:tc>
        <w:tc>
          <w:tcPr>
            <w:tcW w:w="1059" w:type="dxa"/>
            <w:tcBorders>
              <w:top w:val="nil"/>
              <w:left w:val="nil"/>
              <w:bottom w:val="single" w:sz="4" w:space="0" w:color="auto"/>
              <w:right w:val="single" w:sz="4" w:space="0" w:color="auto"/>
            </w:tcBorders>
            <w:shd w:val="clear" w:color="auto" w:fill="C6EFCE"/>
            <w:noWrap/>
          </w:tcPr>
          <w:p w14:paraId="1C09DBA9" w14:textId="77777777" w:rsidR="003A3D51" w:rsidRDefault="0002775A">
            <w:pPr>
              <w:pStyle w:val="P68B1DB1-Normal7"/>
              <w:spacing w:after="0" w:line="276" w:lineRule="auto"/>
              <w:jc w:val="center"/>
              <w:rPr>
                <w:noProof/>
                <w:color w:val="000000" w:themeColor="text1"/>
              </w:rPr>
            </w:pPr>
            <w:r>
              <w:rPr>
                <w:noProof/>
              </w:rPr>
              <w:t>149 313 160</w:t>
            </w:r>
          </w:p>
        </w:tc>
        <w:tc>
          <w:tcPr>
            <w:tcW w:w="642" w:type="dxa"/>
            <w:tcBorders>
              <w:top w:val="nil"/>
              <w:left w:val="nil"/>
              <w:bottom w:val="single" w:sz="4" w:space="0" w:color="auto"/>
              <w:right w:val="single" w:sz="4" w:space="0" w:color="auto"/>
            </w:tcBorders>
            <w:shd w:val="clear" w:color="auto" w:fill="C6EFCE"/>
            <w:noWrap/>
          </w:tcPr>
          <w:p w14:paraId="413C9CFD" w14:textId="4405588D" w:rsidR="003A3D51" w:rsidRDefault="0002775A">
            <w:pPr>
              <w:pStyle w:val="P68B1DB1-Normal7"/>
              <w:spacing w:after="0" w:line="276" w:lineRule="auto"/>
              <w:jc w:val="center"/>
              <w:rPr>
                <w:noProof/>
                <w:color w:val="000000" w:themeColor="text1"/>
              </w:rPr>
            </w:pPr>
            <w:r>
              <w:rPr>
                <w:noProof/>
              </w:rPr>
              <w:t>KVARTAL 2</w:t>
            </w:r>
          </w:p>
        </w:tc>
        <w:tc>
          <w:tcPr>
            <w:tcW w:w="709" w:type="dxa"/>
            <w:tcBorders>
              <w:top w:val="nil"/>
              <w:left w:val="nil"/>
              <w:bottom w:val="single" w:sz="4" w:space="0" w:color="auto"/>
              <w:right w:val="single" w:sz="4" w:space="0" w:color="auto"/>
            </w:tcBorders>
            <w:shd w:val="clear" w:color="auto" w:fill="C6EFCE"/>
            <w:noWrap/>
          </w:tcPr>
          <w:p w14:paraId="4D5F7166" w14:textId="50E2908B" w:rsidR="003A3D51" w:rsidRDefault="0002775A">
            <w:pPr>
              <w:pStyle w:val="P68B1DB1-Normal7"/>
              <w:spacing w:after="0" w:line="276" w:lineRule="auto"/>
              <w:jc w:val="center"/>
              <w:rPr>
                <w:noProof/>
                <w:color w:val="000000" w:themeColor="text1"/>
              </w:rPr>
            </w:pPr>
            <w:r>
              <w:rPr>
                <w:noProof/>
              </w:rPr>
              <w:t>2026</w:t>
            </w:r>
          </w:p>
        </w:tc>
        <w:tc>
          <w:tcPr>
            <w:tcW w:w="3544" w:type="dxa"/>
            <w:tcBorders>
              <w:top w:val="nil"/>
              <w:left w:val="nil"/>
              <w:bottom w:val="single" w:sz="4" w:space="0" w:color="auto"/>
              <w:right w:val="single" w:sz="4" w:space="0" w:color="auto"/>
            </w:tcBorders>
            <w:shd w:val="clear" w:color="auto" w:fill="C6EFCE"/>
            <w:noWrap/>
          </w:tcPr>
          <w:p w14:paraId="618E2793" w14:textId="77777777" w:rsidR="003A3D51" w:rsidRDefault="0002775A">
            <w:pPr>
              <w:pStyle w:val="P68B1DB1-Normal7"/>
              <w:spacing w:after="0" w:line="276" w:lineRule="auto"/>
              <w:rPr>
                <w:noProof/>
                <w:color w:val="000000" w:themeColor="text1"/>
              </w:rPr>
            </w:pPr>
            <w:r>
              <w:rPr>
                <w:noProof/>
              </w:rPr>
              <w:t xml:space="preserve">Slutföra genomförandet av stödberättigande projekt för investeringen eller håller på att omfördela outnyttjade medel från oavslutade projekt, åtminstone till målmålet att stärka hållbarheten och främja den gröna och digitala omställningen för företagare inom turistnäringen, med anbudsförfaranden som innehåller urvals- och godtagbarhetskriterier som återspeglar kraven för de tillämpliga insatsområdena [3–100] som anges i bilaga [VI/VII] till förordningen om faciliteten för återhämtning och resiliens och efterlevnad av tekniska riktlinjer för att inte orsaka betydande skada (2021/C58/01) för projekt som får stöd och de understödda projektens överensstämmelse med relevant EU-lagstiftning och nationell miljölagstiftning. </w:t>
            </w:r>
          </w:p>
        </w:tc>
      </w:tr>
      <w:tr w:rsidR="003A3D51" w14:paraId="1CBE255D"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C274ED0" w14:textId="77777777" w:rsidR="003A3D51" w:rsidRDefault="0002775A">
            <w:pPr>
              <w:pStyle w:val="P68B1DB1-Normal7"/>
              <w:spacing w:after="0" w:line="276" w:lineRule="auto"/>
              <w:jc w:val="center"/>
              <w:rPr>
                <w:noProof/>
                <w:color w:val="000000" w:themeColor="text1"/>
              </w:rPr>
            </w:pPr>
            <w:r>
              <w:rPr>
                <w:noProof/>
              </w:rPr>
              <w:t>148</w:t>
            </w:r>
          </w:p>
        </w:tc>
        <w:tc>
          <w:tcPr>
            <w:tcW w:w="993" w:type="dxa"/>
            <w:tcBorders>
              <w:top w:val="single" w:sz="4" w:space="0" w:color="auto"/>
              <w:left w:val="nil"/>
              <w:bottom w:val="single" w:sz="4" w:space="0" w:color="auto"/>
              <w:right w:val="single" w:sz="4" w:space="0" w:color="auto"/>
            </w:tcBorders>
            <w:shd w:val="clear" w:color="auto" w:fill="C6EFCE"/>
            <w:noWrap/>
          </w:tcPr>
          <w:p w14:paraId="1B074C91" w14:textId="77777777" w:rsidR="003A3D51" w:rsidRDefault="0002775A">
            <w:pPr>
              <w:pStyle w:val="P68B1DB1-Normal7"/>
              <w:spacing w:after="0" w:line="276" w:lineRule="auto"/>
              <w:jc w:val="center"/>
              <w:rPr>
                <w:noProof/>
                <w:color w:val="000000" w:themeColor="text1"/>
              </w:rPr>
            </w:pPr>
            <w:r>
              <w:rPr>
                <w:noProof/>
              </w:rPr>
              <w:t>C1.6 R1-I3</w:t>
            </w:r>
          </w:p>
        </w:tc>
        <w:tc>
          <w:tcPr>
            <w:tcW w:w="850" w:type="dxa"/>
            <w:tcBorders>
              <w:top w:val="single" w:sz="4" w:space="0" w:color="auto"/>
              <w:left w:val="nil"/>
              <w:bottom w:val="single" w:sz="4" w:space="0" w:color="auto"/>
              <w:right w:val="single" w:sz="4" w:space="0" w:color="auto"/>
            </w:tcBorders>
            <w:shd w:val="clear" w:color="auto" w:fill="C6EFCE"/>
            <w:noWrap/>
          </w:tcPr>
          <w:p w14:paraId="021129B3" w14:textId="77777777" w:rsidR="003A3D51" w:rsidRDefault="0002775A">
            <w:pPr>
              <w:pStyle w:val="P68B1DB1-Normal7"/>
              <w:spacing w:after="0" w:line="276" w:lineRule="auto"/>
              <w:jc w:val="center"/>
              <w:rPr>
                <w:noProof/>
                <w:color w:val="000000" w:themeColor="text1"/>
              </w:rPr>
            </w:pPr>
            <w:r>
              <w:rPr>
                <w:noProof/>
              </w:rPr>
              <w:t>M</w:t>
            </w:r>
          </w:p>
        </w:tc>
        <w:tc>
          <w:tcPr>
            <w:tcW w:w="2268" w:type="dxa"/>
            <w:tcBorders>
              <w:top w:val="single" w:sz="4" w:space="0" w:color="auto"/>
              <w:left w:val="nil"/>
              <w:bottom w:val="single" w:sz="4" w:space="0" w:color="auto"/>
              <w:right w:val="single" w:sz="4" w:space="0" w:color="auto"/>
            </w:tcBorders>
            <w:shd w:val="clear" w:color="auto" w:fill="C6EFCE"/>
            <w:noWrap/>
          </w:tcPr>
          <w:p w14:paraId="67797564" w14:textId="77777777" w:rsidR="003A3D51" w:rsidRDefault="0002775A">
            <w:pPr>
              <w:pStyle w:val="P68B1DB1-Normal7"/>
              <w:spacing w:after="0" w:line="276" w:lineRule="auto"/>
              <w:rPr>
                <w:noProof/>
                <w:color w:val="000000" w:themeColor="text1"/>
              </w:rPr>
            </w:pPr>
            <w:r>
              <w:rPr>
                <w:noProof/>
              </w:rPr>
              <w:t>Utbildningsprogram för att stärka kunskaper och färdigheter inom turism</w:t>
            </w:r>
          </w:p>
        </w:tc>
        <w:tc>
          <w:tcPr>
            <w:tcW w:w="1985" w:type="dxa"/>
            <w:tcBorders>
              <w:top w:val="single" w:sz="4" w:space="0" w:color="auto"/>
              <w:left w:val="nil"/>
              <w:bottom w:val="single" w:sz="4" w:space="0" w:color="auto"/>
              <w:right w:val="single" w:sz="4" w:space="0" w:color="auto"/>
            </w:tcBorders>
            <w:shd w:val="clear" w:color="auto" w:fill="C6EFCE"/>
            <w:noWrap/>
          </w:tcPr>
          <w:p w14:paraId="39997478" w14:textId="77777777" w:rsidR="003A3D51" w:rsidRDefault="0002775A">
            <w:pPr>
              <w:pStyle w:val="P68B1DB1-Normal7"/>
              <w:spacing w:after="0" w:line="276" w:lineRule="auto"/>
              <w:rPr>
                <w:noProof/>
                <w:color w:val="000000" w:themeColor="text1"/>
              </w:rPr>
            </w:pPr>
            <w:r>
              <w:rPr>
                <w:noProof/>
              </w:rPr>
              <w:t>Publicering av utbildningsprogrammet</w:t>
            </w:r>
          </w:p>
        </w:tc>
        <w:tc>
          <w:tcPr>
            <w:tcW w:w="850" w:type="dxa"/>
            <w:tcBorders>
              <w:top w:val="single" w:sz="4" w:space="0" w:color="auto"/>
              <w:left w:val="nil"/>
              <w:bottom w:val="single" w:sz="4" w:space="0" w:color="auto"/>
              <w:right w:val="single" w:sz="4" w:space="0" w:color="auto"/>
            </w:tcBorders>
            <w:shd w:val="clear" w:color="auto" w:fill="C6EFCE"/>
            <w:noWrap/>
          </w:tcPr>
          <w:p w14:paraId="4F15E2BB" w14:textId="77777777" w:rsidR="003A3D51" w:rsidRDefault="0002775A">
            <w:pPr>
              <w:pStyle w:val="P68B1DB1-Normal7"/>
              <w:spacing w:after="0" w:line="276" w:lineRule="auto"/>
              <w:jc w:val="center"/>
              <w:rPr>
                <w:noProof/>
                <w:color w:val="000000" w:themeColor="text1"/>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15A7F02F" w14:textId="77777777" w:rsidR="003A3D51" w:rsidRDefault="0002775A">
            <w:pPr>
              <w:pStyle w:val="P68B1DB1-Normal7"/>
              <w:spacing w:after="0" w:line="276" w:lineRule="auto"/>
              <w:jc w:val="center"/>
              <w:rPr>
                <w:noProof/>
                <w:color w:val="000000" w:themeColor="text1"/>
              </w:rPr>
            </w:pPr>
            <w:r>
              <w:rPr>
                <w:noProof/>
              </w:rPr>
              <w:t>0</w:t>
            </w:r>
          </w:p>
        </w:tc>
        <w:tc>
          <w:tcPr>
            <w:tcW w:w="1059" w:type="dxa"/>
            <w:tcBorders>
              <w:top w:val="single" w:sz="4" w:space="0" w:color="auto"/>
              <w:left w:val="nil"/>
              <w:bottom w:val="single" w:sz="4" w:space="0" w:color="auto"/>
              <w:right w:val="single" w:sz="4" w:space="0" w:color="auto"/>
            </w:tcBorders>
            <w:shd w:val="clear" w:color="auto" w:fill="C6EFCE"/>
            <w:noWrap/>
          </w:tcPr>
          <w:p w14:paraId="66B60327" w14:textId="77777777" w:rsidR="003A3D51" w:rsidRDefault="0002775A">
            <w:pPr>
              <w:pStyle w:val="P68B1DB1-Normal7"/>
              <w:spacing w:after="0" w:line="276" w:lineRule="auto"/>
              <w:jc w:val="center"/>
              <w:rPr>
                <w:noProof/>
                <w:color w:val="000000" w:themeColor="text1"/>
              </w:rPr>
            </w:pPr>
            <w:r>
              <w:rPr>
                <w:noProof/>
              </w:rPr>
              <w:t>10</w:t>
            </w:r>
          </w:p>
        </w:tc>
        <w:tc>
          <w:tcPr>
            <w:tcW w:w="642" w:type="dxa"/>
            <w:tcBorders>
              <w:top w:val="single" w:sz="4" w:space="0" w:color="auto"/>
              <w:left w:val="nil"/>
              <w:bottom w:val="single" w:sz="4" w:space="0" w:color="auto"/>
              <w:right w:val="single" w:sz="4" w:space="0" w:color="auto"/>
            </w:tcBorders>
            <w:shd w:val="clear" w:color="auto" w:fill="C6EFCE"/>
            <w:noWrap/>
          </w:tcPr>
          <w:p w14:paraId="6FA3E554" w14:textId="77777777" w:rsidR="003A3D51" w:rsidRDefault="0002775A">
            <w:pPr>
              <w:pStyle w:val="P68B1DB1-Normal7"/>
              <w:spacing w:after="0" w:line="276" w:lineRule="auto"/>
              <w:jc w:val="center"/>
              <w:rPr>
                <w:noProof/>
                <w:color w:val="000000" w:themeColor="text1"/>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7DA1B283" w14:textId="77777777" w:rsidR="003A3D51" w:rsidRDefault="0002775A">
            <w:pPr>
              <w:pStyle w:val="P68B1DB1-Normal7"/>
              <w:spacing w:after="0" w:line="276" w:lineRule="auto"/>
              <w:jc w:val="center"/>
              <w:rPr>
                <w:noProof/>
                <w:color w:val="000000" w:themeColor="text1"/>
              </w:rPr>
            </w:pPr>
            <w:r>
              <w:rPr>
                <w:noProof/>
              </w:rPr>
              <w:t>2024</w:t>
            </w:r>
          </w:p>
        </w:tc>
        <w:tc>
          <w:tcPr>
            <w:tcW w:w="3544" w:type="dxa"/>
            <w:tcBorders>
              <w:top w:val="single" w:sz="4" w:space="0" w:color="auto"/>
              <w:left w:val="nil"/>
              <w:bottom w:val="single" w:sz="4" w:space="0" w:color="auto"/>
              <w:right w:val="single" w:sz="4" w:space="0" w:color="auto"/>
            </w:tcBorders>
            <w:shd w:val="clear" w:color="auto" w:fill="C6EFCE"/>
            <w:noWrap/>
          </w:tcPr>
          <w:p w14:paraId="3F4A341D" w14:textId="1F7A2DED" w:rsidR="003A3D51" w:rsidRDefault="0002775A">
            <w:pPr>
              <w:pStyle w:val="P68B1DB1-Normal7"/>
              <w:spacing w:after="0" w:line="276" w:lineRule="auto"/>
              <w:rPr>
                <w:noProof/>
                <w:color w:val="000000" w:themeColor="text1"/>
              </w:rPr>
            </w:pPr>
            <w:r>
              <w:rPr>
                <w:noProof/>
              </w:rPr>
              <w:t>Utbildningsprogram som utvecklats för att stärka kunskaper och färdigheter inom turism, inbegripet digitala färdigheter för myndigheter och offentliga tjänstemän i turismsystemet, arbetslösa och arbetsgivarutbildning.</w:t>
            </w:r>
            <w:r>
              <w:rPr>
                <w:noProof/>
              </w:rPr>
              <w:br/>
              <w:t>De utbildningsprogram som utvecklas kommer att baseras på analyser av arbetsmarknadens behov och kommer att resultera i en grund för att stärka kunskaperna och färdigheterna inom turism, inbegripet digitala färdigheter för statliga tjänstemän i turismsystemet och anställda inom turistnäringen, arbetslösa och utbildning hos arbetsgivare. Kriterierna för att välja ut de program som ska utvecklas kommer att vara att bidra till uppnåendet av målen för den digitala och gröna omställningen, nämligen att förvärva de kunskaper och färdigheter som krävs för att genomföra projekt som finansieras genom investeringarna C1.6 I2 och I1 i denna delkomponent, såsom kunskap om grönt byggande, förnybar energi, innovativa produkter, entreprenörsfärdigheter och hållbar förvaltning av resmål.</w:t>
            </w:r>
          </w:p>
        </w:tc>
      </w:tr>
      <w:tr w:rsidR="003A3D51" w14:paraId="7861FDF2" w14:textId="77777777">
        <w:tc>
          <w:tcPr>
            <w:tcW w:w="851" w:type="dxa"/>
            <w:tcBorders>
              <w:top w:val="single" w:sz="4" w:space="0" w:color="auto"/>
              <w:left w:val="single" w:sz="4" w:space="0" w:color="auto"/>
              <w:bottom w:val="single" w:sz="4" w:space="0" w:color="auto"/>
              <w:right w:val="single" w:sz="4" w:space="0" w:color="auto"/>
            </w:tcBorders>
            <w:shd w:val="clear" w:color="auto" w:fill="C6EFCE"/>
            <w:noWrap/>
          </w:tcPr>
          <w:p w14:paraId="45AC18AF" w14:textId="77777777" w:rsidR="003A3D51" w:rsidRDefault="0002775A">
            <w:pPr>
              <w:pStyle w:val="P68B1DB1-Normal7"/>
              <w:spacing w:after="0" w:line="276" w:lineRule="auto"/>
              <w:jc w:val="center"/>
              <w:rPr>
                <w:noProof/>
                <w:color w:val="000000" w:themeColor="text1"/>
              </w:rPr>
            </w:pPr>
            <w:r>
              <w:rPr>
                <w:noProof/>
              </w:rPr>
              <w:t>149</w:t>
            </w:r>
          </w:p>
        </w:tc>
        <w:tc>
          <w:tcPr>
            <w:tcW w:w="993" w:type="dxa"/>
            <w:tcBorders>
              <w:top w:val="single" w:sz="4" w:space="0" w:color="auto"/>
              <w:left w:val="nil"/>
              <w:bottom w:val="single" w:sz="4" w:space="0" w:color="auto"/>
              <w:right w:val="single" w:sz="4" w:space="0" w:color="auto"/>
            </w:tcBorders>
            <w:shd w:val="clear" w:color="auto" w:fill="C6EFCE"/>
            <w:noWrap/>
          </w:tcPr>
          <w:p w14:paraId="763BB861" w14:textId="77777777" w:rsidR="003A3D51" w:rsidRDefault="0002775A">
            <w:pPr>
              <w:pStyle w:val="P68B1DB1-Normal7"/>
              <w:spacing w:after="0" w:line="276" w:lineRule="auto"/>
              <w:jc w:val="center"/>
              <w:rPr>
                <w:noProof/>
                <w:color w:val="000000" w:themeColor="text1"/>
              </w:rPr>
            </w:pPr>
            <w:r>
              <w:rPr>
                <w:noProof/>
              </w:rPr>
              <w:t>C1.6 R1-I3</w:t>
            </w:r>
          </w:p>
        </w:tc>
        <w:tc>
          <w:tcPr>
            <w:tcW w:w="850" w:type="dxa"/>
            <w:tcBorders>
              <w:top w:val="single" w:sz="4" w:space="0" w:color="auto"/>
              <w:left w:val="nil"/>
              <w:bottom w:val="single" w:sz="4" w:space="0" w:color="auto"/>
              <w:right w:val="single" w:sz="4" w:space="0" w:color="auto"/>
            </w:tcBorders>
            <w:shd w:val="clear" w:color="auto" w:fill="C6EFCE"/>
            <w:noWrap/>
          </w:tcPr>
          <w:p w14:paraId="6C1D5407" w14:textId="77777777" w:rsidR="003A3D51" w:rsidRDefault="0002775A">
            <w:pPr>
              <w:pStyle w:val="P68B1DB1-Normal7"/>
              <w:spacing w:after="0" w:line="276" w:lineRule="auto"/>
              <w:jc w:val="center"/>
              <w:rPr>
                <w:noProof/>
                <w:color w:val="000000" w:themeColor="text1"/>
              </w:rPr>
            </w:pPr>
            <w:r>
              <w:rPr>
                <w:noProof/>
              </w:rPr>
              <w:t>T</w:t>
            </w:r>
          </w:p>
        </w:tc>
        <w:tc>
          <w:tcPr>
            <w:tcW w:w="2268" w:type="dxa"/>
            <w:tcBorders>
              <w:top w:val="single" w:sz="4" w:space="0" w:color="auto"/>
              <w:left w:val="nil"/>
              <w:bottom w:val="single" w:sz="4" w:space="0" w:color="auto"/>
              <w:right w:val="single" w:sz="4" w:space="0" w:color="auto"/>
            </w:tcBorders>
            <w:shd w:val="clear" w:color="auto" w:fill="C6EFCE"/>
            <w:noWrap/>
          </w:tcPr>
          <w:p w14:paraId="3C2D74DF" w14:textId="77777777" w:rsidR="003A3D51" w:rsidRDefault="0002775A">
            <w:pPr>
              <w:pStyle w:val="P68B1DB1-Normal7"/>
              <w:spacing w:after="0" w:line="276" w:lineRule="auto"/>
              <w:rPr>
                <w:noProof/>
                <w:color w:val="000000" w:themeColor="text1"/>
              </w:rPr>
            </w:pPr>
            <w:r>
              <w:rPr>
                <w:noProof/>
              </w:rPr>
              <w:t>Utbildade studenter i utbildningsprogram för att stärka kunskaperna och färdigheterna inom turism, inbegripet digitala färdigheter för myndigheter och offentliga tjänstemän i turismsystemet, arbetslösa och arbetsgivarutbildning.</w:t>
            </w:r>
          </w:p>
        </w:tc>
        <w:tc>
          <w:tcPr>
            <w:tcW w:w="1985" w:type="dxa"/>
            <w:tcBorders>
              <w:top w:val="single" w:sz="4" w:space="0" w:color="auto"/>
              <w:left w:val="nil"/>
              <w:bottom w:val="single" w:sz="4" w:space="0" w:color="auto"/>
              <w:right w:val="single" w:sz="4" w:space="0" w:color="auto"/>
            </w:tcBorders>
            <w:shd w:val="clear" w:color="auto" w:fill="C6EFCE"/>
            <w:noWrap/>
          </w:tcPr>
          <w:p w14:paraId="36E9713E" w14:textId="77777777" w:rsidR="003A3D51" w:rsidRDefault="0002775A">
            <w:pPr>
              <w:pStyle w:val="P68B1DB1-Normal7"/>
              <w:spacing w:after="0" w:line="276" w:lineRule="auto"/>
              <w:rPr>
                <w:noProof/>
                <w:color w:val="000000" w:themeColor="text1"/>
              </w:rPr>
            </w:pPr>
            <w:r>
              <w:rPr>
                <w:noProof/>
              </w:rPr>
              <w:t xml:space="preserve"> </w:t>
            </w:r>
          </w:p>
        </w:tc>
        <w:tc>
          <w:tcPr>
            <w:tcW w:w="850" w:type="dxa"/>
            <w:tcBorders>
              <w:top w:val="single" w:sz="4" w:space="0" w:color="auto"/>
              <w:left w:val="nil"/>
              <w:bottom w:val="single" w:sz="4" w:space="0" w:color="auto"/>
              <w:right w:val="single" w:sz="4" w:space="0" w:color="auto"/>
            </w:tcBorders>
            <w:shd w:val="clear" w:color="auto" w:fill="C6EFCE"/>
            <w:noWrap/>
          </w:tcPr>
          <w:p w14:paraId="34AA3662" w14:textId="77777777" w:rsidR="003A3D51" w:rsidRDefault="0002775A">
            <w:pPr>
              <w:pStyle w:val="P68B1DB1-Normal7"/>
              <w:spacing w:after="0" w:line="276" w:lineRule="auto"/>
              <w:jc w:val="center"/>
              <w:rPr>
                <w:noProof/>
                <w:color w:val="000000" w:themeColor="text1"/>
              </w:rPr>
            </w:pPr>
            <w:r>
              <w:rPr>
                <w:noProof/>
              </w:rPr>
              <w:t>Antal</w:t>
            </w:r>
          </w:p>
        </w:tc>
        <w:tc>
          <w:tcPr>
            <w:tcW w:w="992" w:type="dxa"/>
            <w:tcBorders>
              <w:top w:val="single" w:sz="4" w:space="0" w:color="auto"/>
              <w:left w:val="nil"/>
              <w:bottom w:val="single" w:sz="4" w:space="0" w:color="auto"/>
              <w:right w:val="single" w:sz="4" w:space="0" w:color="auto"/>
            </w:tcBorders>
            <w:shd w:val="clear" w:color="auto" w:fill="C6EFCE"/>
            <w:noWrap/>
          </w:tcPr>
          <w:p w14:paraId="00F525CC" w14:textId="77777777" w:rsidR="003A3D51" w:rsidRDefault="0002775A">
            <w:pPr>
              <w:pStyle w:val="P68B1DB1-Normal7"/>
              <w:spacing w:after="0" w:line="276" w:lineRule="auto"/>
              <w:jc w:val="center"/>
              <w:rPr>
                <w:noProof/>
                <w:color w:val="000000" w:themeColor="text1"/>
              </w:rPr>
            </w:pPr>
            <w:r>
              <w:rPr>
                <w:noProof/>
              </w:rPr>
              <w:t>0</w:t>
            </w:r>
          </w:p>
        </w:tc>
        <w:tc>
          <w:tcPr>
            <w:tcW w:w="1059" w:type="dxa"/>
            <w:tcBorders>
              <w:top w:val="single" w:sz="4" w:space="0" w:color="auto"/>
              <w:left w:val="nil"/>
              <w:bottom w:val="single" w:sz="4" w:space="0" w:color="auto"/>
              <w:right w:val="single" w:sz="4" w:space="0" w:color="auto"/>
            </w:tcBorders>
            <w:shd w:val="clear" w:color="auto" w:fill="C6EFCE"/>
            <w:noWrap/>
          </w:tcPr>
          <w:p w14:paraId="57B7AE91" w14:textId="77777777" w:rsidR="003A3D51" w:rsidRDefault="0002775A">
            <w:pPr>
              <w:pStyle w:val="P68B1DB1-Normal7"/>
              <w:spacing w:after="0" w:line="276" w:lineRule="auto"/>
              <w:jc w:val="center"/>
              <w:rPr>
                <w:noProof/>
                <w:color w:val="000000" w:themeColor="text1"/>
              </w:rPr>
            </w:pPr>
            <w:r>
              <w:rPr>
                <w:noProof/>
              </w:rPr>
              <w:t>1 000</w:t>
            </w:r>
          </w:p>
        </w:tc>
        <w:tc>
          <w:tcPr>
            <w:tcW w:w="642" w:type="dxa"/>
            <w:tcBorders>
              <w:top w:val="single" w:sz="4" w:space="0" w:color="auto"/>
              <w:left w:val="nil"/>
              <w:bottom w:val="single" w:sz="4" w:space="0" w:color="auto"/>
              <w:right w:val="single" w:sz="4" w:space="0" w:color="auto"/>
            </w:tcBorders>
            <w:shd w:val="clear" w:color="auto" w:fill="C6EFCE"/>
            <w:noWrap/>
          </w:tcPr>
          <w:p w14:paraId="3CB0D801" w14:textId="77777777" w:rsidR="003A3D51" w:rsidRDefault="0002775A">
            <w:pPr>
              <w:pStyle w:val="P68B1DB1-Normal7"/>
              <w:spacing w:after="0" w:line="276" w:lineRule="auto"/>
              <w:jc w:val="center"/>
              <w:rPr>
                <w:noProof/>
                <w:color w:val="000000" w:themeColor="text1"/>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675B6FCF" w14:textId="77777777" w:rsidR="003A3D51" w:rsidRDefault="0002775A">
            <w:pPr>
              <w:pStyle w:val="P68B1DB1-Normal7"/>
              <w:spacing w:after="0" w:line="276" w:lineRule="auto"/>
              <w:jc w:val="center"/>
              <w:rPr>
                <w:noProof/>
                <w:color w:val="000000" w:themeColor="text1"/>
              </w:rPr>
            </w:pPr>
            <w:r>
              <w:rPr>
                <w:noProof/>
              </w:rPr>
              <w:t>2025</w:t>
            </w:r>
          </w:p>
        </w:tc>
        <w:tc>
          <w:tcPr>
            <w:tcW w:w="3544" w:type="dxa"/>
            <w:tcBorders>
              <w:top w:val="single" w:sz="4" w:space="0" w:color="auto"/>
              <w:left w:val="nil"/>
              <w:bottom w:val="single" w:sz="4" w:space="0" w:color="auto"/>
              <w:right w:val="single" w:sz="4" w:space="0" w:color="auto"/>
            </w:tcBorders>
            <w:shd w:val="clear" w:color="auto" w:fill="C6EFCE"/>
            <w:noWrap/>
          </w:tcPr>
          <w:p w14:paraId="39DD430C" w14:textId="167EA1F0" w:rsidR="003A3D51" w:rsidRDefault="0002775A">
            <w:pPr>
              <w:pStyle w:val="P68B1DB1-Normal7"/>
              <w:spacing w:after="0" w:line="276" w:lineRule="auto"/>
              <w:rPr>
                <w:noProof/>
                <w:color w:val="000000" w:themeColor="text1"/>
              </w:rPr>
            </w:pPr>
            <w:r>
              <w:rPr>
                <w:noProof/>
              </w:rPr>
              <w:t xml:space="preserve">Minst 1 000 praktikanter/anställda inom turism eller offentlig sektor med anknytning till turism ska ha deltagit i en turistrelaterad utbildning eller uppnått en uppgradering av sina kvalifikationer sedan 2022. </w:t>
            </w:r>
          </w:p>
        </w:tc>
      </w:tr>
    </w:tbl>
    <w:p w14:paraId="3EF63C5D" w14:textId="77777777" w:rsidR="003A3D51" w:rsidRDefault="003A3D51">
      <w:pPr>
        <w:rPr>
          <w:noProof/>
          <w:color w:val="000000" w:themeColor="text1"/>
        </w:rPr>
      </w:pPr>
    </w:p>
    <w:p w14:paraId="5C872335" w14:textId="77777777" w:rsidR="003A3D51" w:rsidRDefault="003A3D51">
      <w:pPr>
        <w:keepNext/>
        <w:tabs>
          <w:tab w:val="left" w:pos="850"/>
        </w:tabs>
        <w:ind w:left="850" w:hanging="850"/>
        <w:jc w:val="both"/>
        <w:outlineLvl w:val="0"/>
        <w:rPr>
          <w:rFonts w:ascii="Times New Roman" w:hAnsi="Times New Roman" w:cs="Times New Roman"/>
          <w:b/>
          <w:smallCaps/>
          <w:noProof/>
          <w:sz w:val="24"/>
        </w:rPr>
        <w:sectPr w:rsidR="003A3D51" w:rsidSect="0001477B">
          <w:headerReference w:type="even" r:id="rId120"/>
          <w:headerReference w:type="default" r:id="rId121"/>
          <w:footerReference w:type="even" r:id="rId122"/>
          <w:footerReference w:type="default" r:id="rId123"/>
          <w:headerReference w:type="first" r:id="rId124"/>
          <w:footerReference w:type="first" r:id="rId125"/>
          <w:pgSz w:w="15840" w:h="12240" w:orient="landscape"/>
          <w:pgMar w:top="1440" w:right="1440" w:bottom="1440" w:left="1440" w:header="708" w:footer="708" w:gutter="0"/>
          <w:cols w:space="708"/>
          <w:docGrid w:linePitch="360"/>
        </w:sectPr>
      </w:pPr>
    </w:p>
    <w:p w14:paraId="668C0860" w14:textId="77777777" w:rsidR="003A3D51" w:rsidRDefault="0002775A">
      <w:pPr>
        <w:pStyle w:val="P68B1DB1-Normal36"/>
        <w:keepNext/>
        <w:tabs>
          <w:tab w:val="left" w:pos="850"/>
        </w:tabs>
        <w:ind w:left="850" w:hanging="850"/>
        <w:jc w:val="both"/>
        <w:outlineLvl w:val="0"/>
        <w:rPr>
          <w:noProof/>
        </w:rPr>
      </w:pPr>
      <w:r>
        <w:rPr>
          <w:noProof/>
        </w:rPr>
        <w:t>G. KOMPONENT 2.1: STÄRKA KAPACITETEN ATT UTFORMA OCH GENOMFÖRA OFFENTLIG POLITIK OCH OFFENTLIGA PROJEKT</w:t>
      </w:r>
    </w:p>
    <w:p w14:paraId="252A4922" w14:textId="6E6128EE" w:rsidR="003A3D51" w:rsidRDefault="0002775A">
      <w:pPr>
        <w:pStyle w:val="Text1"/>
        <w:ind w:left="0"/>
        <w:rPr>
          <w:noProof/>
        </w:rPr>
      </w:pPr>
      <w:r>
        <w:rPr>
          <w:noProof/>
        </w:rPr>
        <w:t>Den</w:t>
      </w:r>
      <w:r w:rsidR="00C94222">
        <w:rPr>
          <w:noProof/>
        </w:rPr>
        <w:t xml:space="preserve"> </w:t>
      </w:r>
      <w:r>
        <w:rPr>
          <w:rStyle w:val="normaltextrun"/>
          <w:noProof/>
          <w:shd w:val="clear" w:color="auto" w:fill="FFFFFF"/>
        </w:rPr>
        <w:t xml:space="preserve">del </w:t>
      </w:r>
      <w:r>
        <w:rPr>
          <w:noProof/>
        </w:rPr>
        <w:t xml:space="preserve">som ingår i Kroatiens återhämtnings- och resiliensplan </w:t>
      </w:r>
      <w:r>
        <w:rPr>
          <w:rStyle w:val="normaltextrun"/>
          <w:noProof/>
          <w:shd w:val="clear" w:color="auto" w:fill="FFFFFF"/>
        </w:rPr>
        <w:t>syftar till att förbättra kvaliteten på det offentliga beslutsfattandet, öka den offentliga förvaltningens kapacitet att utforma och genomföra offentlig politik och komma till rätta med fragmenteringen av den offentliga förvaltningen genom att förbättra samordningen mellan relevanta ministerier och förbättra genomförandet av offentlig politik och offentliga projekt. Komponenten ska omfatta åtgärder för att</w:t>
      </w:r>
    </w:p>
    <w:p w14:paraId="6244534C" w14:textId="77777777" w:rsidR="003A3D51" w:rsidRDefault="0002775A">
      <w:pPr>
        <w:pStyle w:val="Text1"/>
        <w:numPr>
          <w:ilvl w:val="0"/>
          <w:numId w:val="15"/>
        </w:numPr>
        <w:rPr>
          <w:noProof/>
        </w:rPr>
      </w:pPr>
      <w:r>
        <w:rPr>
          <w:noProof/>
        </w:rPr>
        <w:t>Genom ökad användning av digital teknik underlätta utformningen och genomförandet av offentlig politik och offentliga projekt på central och lokal nivå,</w:t>
      </w:r>
    </w:p>
    <w:p w14:paraId="723C826B" w14:textId="77777777" w:rsidR="003A3D51" w:rsidRDefault="0002775A">
      <w:pPr>
        <w:pStyle w:val="Text1"/>
        <w:numPr>
          <w:ilvl w:val="0"/>
          <w:numId w:val="15"/>
        </w:numPr>
        <w:rPr>
          <w:noProof/>
        </w:rPr>
      </w:pPr>
      <w:r>
        <w:rPr>
          <w:noProof/>
        </w:rPr>
        <w:t xml:space="preserve">Ge stöd till stödmottagare vid utarbetandet av projekt och teknisk dokumentation för projekt som rör den gröna och digitala omställningen, och </w:t>
      </w:r>
    </w:p>
    <w:p w14:paraId="16642DB9" w14:textId="77777777" w:rsidR="003A3D51" w:rsidRDefault="0002775A">
      <w:pPr>
        <w:pStyle w:val="Text1"/>
        <w:numPr>
          <w:ilvl w:val="0"/>
          <w:numId w:val="15"/>
        </w:numPr>
        <w:rPr>
          <w:noProof/>
        </w:rPr>
      </w:pPr>
      <w:r>
        <w:rPr>
          <w:noProof/>
        </w:rPr>
        <w:t xml:space="preserve">Stärka mekanismerna för samordning och förvaltning av offentlig politik. </w:t>
      </w:r>
    </w:p>
    <w:p w14:paraId="1C3AC696" w14:textId="77777777" w:rsidR="003A3D51" w:rsidRDefault="0002775A">
      <w:pPr>
        <w:pStyle w:val="Text1"/>
        <w:ind w:left="0"/>
        <w:rPr>
          <w:noProof/>
        </w:rPr>
      </w:pPr>
      <w:r>
        <w:rPr>
          <w:rStyle w:val="normaltextrun"/>
          <w:noProof/>
          <w:shd w:val="clear" w:color="auto" w:fill="FFFFFF"/>
        </w:rPr>
        <w:t>Komponenten ska bidra till att följa landsspecifika rekommendationer om att öka förvaltningens kapacitet att utforma och genomföra offentliga projekt och politik (landsspecifik rekommendation 3 2019) och till att stärka den offentliga förvaltningens kapacitet och effektivitet när det gäller att utforma och genomföra offentliga projekt och politik på central och lokal nivå (landsspecifik rekommendation 4 2020).</w:t>
      </w:r>
    </w:p>
    <w:p w14:paraId="15E11AB2" w14:textId="77777777" w:rsidR="003A3D51" w:rsidRDefault="0002775A">
      <w:pPr>
        <w:pStyle w:val="P68B1DB1-Normal37"/>
        <w:keepNext/>
        <w:tabs>
          <w:tab w:val="num" w:pos="850"/>
        </w:tabs>
        <w:ind w:left="851"/>
        <w:jc w:val="both"/>
        <w:outlineLvl w:val="1"/>
        <w:rPr>
          <w:noProof/>
        </w:rPr>
      </w:pPr>
      <w:r>
        <w:rPr>
          <w:noProof/>
        </w:rPr>
        <w:t xml:space="preserve">G.1. </w:t>
      </w:r>
      <w:r>
        <w:rPr>
          <w:noProof/>
        </w:rPr>
        <w:tab/>
        <w:t>Beskrivning av reformer och investeringar avseende icke återbetalningspliktigt ekonomiskt stöd</w:t>
      </w:r>
    </w:p>
    <w:p w14:paraId="77C9ECF6" w14:textId="77777777" w:rsidR="003A3D51" w:rsidRDefault="0002775A">
      <w:pPr>
        <w:pStyle w:val="P68B1DB1-Normal9"/>
        <w:keepNext/>
        <w:ind w:left="850"/>
        <w:jc w:val="both"/>
        <w:rPr>
          <w:noProof/>
        </w:rPr>
      </w:pPr>
      <w:r>
        <w:rPr>
          <w:noProof/>
        </w:rPr>
        <w:t>Reform: C2.1.R1: Stärka mekanismerna för integrering och förvaltning av offentlig politik genom professionalisering av den strategiska planeringen</w:t>
      </w:r>
    </w:p>
    <w:p w14:paraId="18949274" w14:textId="77777777" w:rsidR="003A3D51" w:rsidRDefault="0002775A">
      <w:pPr>
        <w:pStyle w:val="Text1"/>
        <w:ind w:left="0"/>
        <w:rPr>
          <w:rStyle w:val="normaltextrun"/>
          <w:noProof/>
          <w:shd w:val="clear" w:color="auto" w:fill="FFFFFF"/>
        </w:rPr>
      </w:pPr>
      <w:r>
        <w:rPr>
          <w:rStyle w:val="normaltextrun"/>
          <w:noProof/>
          <w:shd w:val="clear" w:color="auto" w:fill="FFFFFF"/>
        </w:rPr>
        <w:t>Denna reform ska stärka mekanismerna för samordning och integrering av offentlig politik, koppla samman för närvarande separata processer och förfaranden, bredda omfattningen och tillämpningen av den offentliga politiken och konsekvensbedömningsprocesserna för lagstiftning samt professionalisera den strategiska planeringen och konsekvensbedömningarna av förordningar.</w:t>
      </w:r>
    </w:p>
    <w:p w14:paraId="16C33400" w14:textId="77777777" w:rsidR="003A3D51" w:rsidRDefault="003A3D51">
      <w:pPr>
        <w:pStyle w:val="Bodytext20"/>
        <w:shd w:val="clear" w:color="auto" w:fill="auto"/>
        <w:spacing w:before="0" w:after="0"/>
        <w:ind w:left="800" w:right="580" w:firstLine="0"/>
        <w:rPr>
          <w:rFonts w:ascii="Times New Roman" w:hAnsi="Times New Roman" w:cs="Times New Roman"/>
          <w:noProof/>
          <w:sz w:val="24"/>
        </w:rPr>
      </w:pPr>
    </w:p>
    <w:p w14:paraId="59AE9EE4" w14:textId="77777777" w:rsidR="003A3D51" w:rsidRDefault="0002775A">
      <w:pPr>
        <w:pStyle w:val="P68B1DB1-Bodytext2038"/>
        <w:shd w:val="clear" w:color="auto" w:fill="auto"/>
        <w:spacing w:before="0" w:after="0"/>
        <w:ind w:right="580" w:firstLine="0"/>
        <w:rPr>
          <w:noProof/>
        </w:rPr>
      </w:pPr>
      <w:r>
        <w:rPr>
          <w:noProof/>
        </w:rPr>
        <w:t>Reformen ska omfatta följande centrala delar:</w:t>
      </w:r>
    </w:p>
    <w:p w14:paraId="1B128831" w14:textId="77777777" w:rsidR="003A3D51" w:rsidRDefault="0002775A">
      <w:pPr>
        <w:pStyle w:val="Text1"/>
        <w:numPr>
          <w:ilvl w:val="0"/>
          <w:numId w:val="15"/>
        </w:numPr>
        <w:rPr>
          <w:noProof/>
        </w:rPr>
      </w:pPr>
      <w:r>
        <w:rPr>
          <w:noProof/>
        </w:rPr>
        <w:t xml:space="preserve">Ändring av den rättsliga ramen för systemet för strategisk planering i syfte att förbättra effektiviteten i den strategiska planeringen och professionaliseringen av utarbetandet av strategiska dokument. </w:t>
      </w:r>
    </w:p>
    <w:p w14:paraId="30FF80D7" w14:textId="77777777" w:rsidR="003A3D51" w:rsidRDefault="0002775A">
      <w:pPr>
        <w:pStyle w:val="Text1"/>
        <w:numPr>
          <w:ilvl w:val="0"/>
          <w:numId w:val="15"/>
        </w:numPr>
        <w:rPr>
          <w:noProof/>
        </w:rPr>
      </w:pPr>
      <w:r>
        <w:rPr>
          <w:noProof/>
        </w:rPr>
        <w:t>Kartläggning av affärsprocesser på området strategisk planering och konsekvensbedömning av lagstiftning.</w:t>
      </w:r>
    </w:p>
    <w:p w14:paraId="54FE850E" w14:textId="77777777" w:rsidR="003A3D51" w:rsidRDefault="0002775A">
      <w:pPr>
        <w:pStyle w:val="Text1"/>
        <w:numPr>
          <w:ilvl w:val="0"/>
          <w:numId w:val="15"/>
        </w:numPr>
        <w:rPr>
          <w:noProof/>
        </w:rPr>
      </w:pPr>
      <w:r>
        <w:rPr>
          <w:noProof/>
        </w:rPr>
        <w:t>Enhetliggöra och standardisera strategiska planerings- och förvaltningsprocesser genom utarbetande av skriftliga instruktioner.</w:t>
      </w:r>
    </w:p>
    <w:p w14:paraId="434358D4" w14:textId="77777777" w:rsidR="003A3D51" w:rsidRDefault="0002775A">
      <w:pPr>
        <w:pStyle w:val="Text1"/>
        <w:numPr>
          <w:ilvl w:val="0"/>
          <w:numId w:val="15"/>
        </w:numPr>
        <w:rPr>
          <w:noProof/>
        </w:rPr>
      </w:pPr>
      <w:r>
        <w:rPr>
          <w:noProof/>
        </w:rPr>
        <w:t>Utarbeta arbetsbeskrivningar och en katalog över kompetenser med anknytning till strategisk planering och förvaltning av offentlig politik.</w:t>
      </w:r>
    </w:p>
    <w:p w14:paraId="09B3A8B1" w14:textId="77777777" w:rsidR="003A3D51" w:rsidRDefault="0002775A">
      <w:pPr>
        <w:pStyle w:val="Text1"/>
        <w:numPr>
          <w:ilvl w:val="0"/>
          <w:numId w:val="15"/>
        </w:numPr>
        <w:rPr>
          <w:noProof/>
        </w:rPr>
      </w:pPr>
      <w:r>
        <w:rPr>
          <w:noProof/>
        </w:rPr>
        <w:t>Upprätta gemensam samordning för kontinuerlig utvärdering och kontinuerlig förbättring av den offentliga politiken.</w:t>
      </w:r>
    </w:p>
    <w:p w14:paraId="4C5B4273" w14:textId="77777777" w:rsidR="003A3D51" w:rsidRDefault="0002775A">
      <w:pPr>
        <w:pStyle w:val="Text1"/>
        <w:numPr>
          <w:ilvl w:val="0"/>
          <w:numId w:val="15"/>
        </w:numPr>
        <w:rPr>
          <w:noProof/>
        </w:rPr>
      </w:pPr>
      <w:r>
        <w:rPr>
          <w:noProof/>
        </w:rPr>
        <w:t>Upprätta partnerskap med offentliga vetenskapliga institut och akademiska institutioner för att genomföra oberoende utvärderingar av den offentliga politiken.</w:t>
      </w:r>
    </w:p>
    <w:p w14:paraId="64111FCD" w14:textId="77777777" w:rsidR="003A3D51" w:rsidRDefault="0002775A">
      <w:pPr>
        <w:pStyle w:val="Text1"/>
        <w:ind w:left="0"/>
        <w:rPr>
          <w:noProof/>
        </w:rPr>
      </w:pPr>
      <w:r>
        <w:rPr>
          <w:noProof/>
        </w:rPr>
        <w:t>Reformen ska vara genomförd senast den 31 december 2025.</w:t>
      </w:r>
    </w:p>
    <w:p w14:paraId="7FFDD622" w14:textId="77777777" w:rsidR="003A3D51" w:rsidRDefault="0002775A">
      <w:pPr>
        <w:pStyle w:val="P68B1DB1-Text139"/>
        <w:keepNext/>
        <w:rPr>
          <w:noProof/>
        </w:rPr>
      </w:pPr>
      <w:r>
        <w:rPr>
          <w:noProof/>
        </w:rPr>
        <w:t>Reform: C2.1.R2: Stärka kapaciteten att förbereda och genomföra EU-projekt</w:t>
      </w:r>
    </w:p>
    <w:p w14:paraId="480CCE50" w14:textId="77777777" w:rsidR="003A3D51" w:rsidRDefault="0002775A">
      <w:pPr>
        <w:pStyle w:val="Text1"/>
        <w:ind w:left="0"/>
        <w:rPr>
          <w:noProof/>
        </w:rPr>
      </w:pPr>
      <w:r>
        <w:rPr>
          <w:noProof/>
        </w:rPr>
        <w:t xml:space="preserve">I syfte att öka utnyttjandet av unionsmedlen ska denna reform öka kapaciteten för förberedelse och genomförande av ~ unionsfonderna. Dessutom ska regeringsbeslutet om organen i genomförandesystemet för återhämtnings- och resiliensplanen fastställa de behöriga myndigheterna och ansvaret för att utföra uppgifterna i genomförandet, inrätta ett centralt samordningsorgan under finansministeriet för genomförandet och övervakningen av den nationella planen för återhämtning och resiliens och ge genomförandekommittén i uppdrag att säkerställa konsekvens och samstämmighet i användningen av unionsmedlen. En analys av arbetsbördan för att stärka den administrativa kapaciteten i alla operativa program ska utarbetas. Stadgan för byrån för revision av systemet för genomförande av Europeiska unionens program (ARPA) ska anpassas för att anpassa den till förordning (EU) 2021/241 och tillhandahålla det rättsliga mandatet för att utföra revisioner inom ramen för den nationella planen för återhämtning och resiliens. Det it-system som används för de europeiska struktur- och investeringsfonderna ska uppgraderas för att möjliggöra insamling, lagring och övervakning av uppgifter om delmål och mål, även på slutmottagarnivå. </w:t>
      </w:r>
    </w:p>
    <w:p w14:paraId="2E53A58F" w14:textId="77777777" w:rsidR="003A3D51" w:rsidRDefault="0002775A">
      <w:pPr>
        <w:pStyle w:val="Text1"/>
        <w:ind w:left="0"/>
        <w:rPr>
          <w:noProof/>
        </w:rPr>
      </w:pPr>
      <w:r>
        <w:rPr>
          <w:noProof/>
        </w:rPr>
        <w:t>Denna reform ska vara slutförd senast den 31 januari 2022 och innan den första ansökan om utbetalning lämnas in till kommissionen.</w:t>
      </w:r>
    </w:p>
    <w:p w14:paraId="5A033843" w14:textId="77777777" w:rsidR="003A3D51" w:rsidRDefault="0002775A">
      <w:pPr>
        <w:pStyle w:val="P68B1DB1-Normal9"/>
        <w:keepNext/>
        <w:ind w:left="850"/>
        <w:jc w:val="both"/>
        <w:rPr>
          <w:noProof/>
        </w:rPr>
      </w:pPr>
      <w:r>
        <w:rPr>
          <w:noProof/>
        </w:rPr>
        <w:t>Investeringarna: C2.1.R1-I1: Optimering, standardisering och digitalisering av processer för strategisk planering och konsekvensbedömning av offentlig politik</w:t>
      </w:r>
    </w:p>
    <w:p w14:paraId="48924FF6" w14:textId="77777777" w:rsidR="003A3D51" w:rsidRDefault="0002775A">
      <w:pPr>
        <w:pStyle w:val="Text1"/>
        <w:ind w:left="0"/>
        <w:rPr>
          <w:rStyle w:val="normaltextrun"/>
          <w:noProof/>
          <w:shd w:val="clear" w:color="auto" w:fill="FFFFFF"/>
        </w:rPr>
      </w:pPr>
      <w:r>
        <w:rPr>
          <w:rStyle w:val="normaltextrun"/>
          <w:noProof/>
          <w:shd w:val="clear" w:color="auto" w:fill="FFFFFF"/>
        </w:rPr>
        <w:t>Denna investering ska inrätta informationssystemet för strategisk planering för att möjliggöra övervakning av utarbetandet av strategiska dokument, genomförande och utvärdering av offentlig politik, digitalisering av konsekvensbedömningsprocessen och en öppen presentation av genomförandet av den offentliga politiken för allmänheten.</w:t>
      </w:r>
    </w:p>
    <w:p w14:paraId="3012603E" w14:textId="77777777" w:rsidR="003A3D51" w:rsidRDefault="0002775A">
      <w:pPr>
        <w:pStyle w:val="P68B1DB1-Normal40"/>
        <w:widowControl w:val="0"/>
        <w:spacing w:after="244" w:line="298" w:lineRule="exact"/>
        <w:ind w:right="580"/>
        <w:jc w:val="both"/>
        <w:rPr>
          <w:noProof/>
        </w:rPr>
      </w:pPr>
      <w:r>
        <w:rPr>
          <w:noProof/>
        </w:rPr>
        <w:t>Denna investering ska vara slutförd senast den 31 december 2025.</w:t>
      </w:r>
    </w:p>
    <w:p w14:paraId="2FA872E4" w14:textId="77777777" w:rsidR="003A3D51" w:rsidRDefault="0002775A">
      <w:pPr>
        <w:pStyle w:val="P68B1DB1-Normal9"/>
        <w:keepNext/>
        <w:ind w:left="850"/>
        <w:jc w:val="both"/>
        <w:rPr>
          <w:noProof/>
        </w:rPr>
      </w:pPr>
      <w:r>
        <w:rPr>
          <w:noProof/>
        </w:rPr>
        <w:t>Investeringarna: C2.1.R2-I1: Ge stöd till stödmottagare vid utarbetandet av teknisk projektdokumentation för anbudet</w:t>
      </w:r>
    </w:p>
    <w:p w14:paraId="6C4C71A9" w14:textId="77777777" w:rsidR="003A3D51" w:rsidRDefault="0002775A">
      <w:pPr>
        <w:pStyle w:val="P68B1DB1-Bodytext2038"/>
        <w:shd w:val="clear" w:color="auto" w:fill="auto"/>
        <w:spacing w:before="0" w:after="240"/>
        <w:ind w:right="580" w:firstLine="0"/>
        <w:rPr>
          <w:noProof/>
        </w:rPr>
      </w:pPr>
      <w:r>
        <w:rPr>
          <w:noProof/>
        </w:rPr>
        <w:t>Denna investering ska ge stödmottagarna stöd från externa experter med särskild kunskap och nödvändiga mandat för att utarbeta projektdokumentation och teknisk dokumentation som inte kan tillhandahållas av den nationella förvaltningen. Investeringen förväntas leda till att det skapas en rad färdiga projekt på området för den gröna och digitala omställningen. På så sätt ska åtgärden ge stöd till stödmottagarna så att de snabbt och fullständigt kan utarbeta alla nödvändiga ansökningshandlingar för finansiering och investeringar.</w:t>
      </w:r>
    </w:p>
    <w:p w14:paraId="4BB1629F" w14:textId="7F17AD36" w:rsidR="003A3D51" w:rsidRDefault="0002775A">
      <w:pPr>
        <w:pStyle w:val="P68B1DB1-Normal40"/>
        <w:widowControl w:val="0"/>
        <w:spacing w:after="240" w:line="293" w:lineRule="exact"/>
        <w:ind w:right="580"/>
        <w:jc w:val="both"/>
        <w:rPr>
          <w:rFonts w:ascii="Cambria Math" w:hAnsi="Cambria Math" w:cs="Cambria Math"/>
          <w:b/>
          <w:noProof/>
          <w:sz w:val="21"/>
          <w:u w:val="single"/>
        </w:rPr>
      </w:pPr>
      <w:r>
        <w:rPr>
          <w:noProof/>
        </w:rPr>
        <w:t>Denna investering ska vara slutförd senast den 31 december 2025.</w:t>
      </w:r>
    </w:p>
    <w:p w14:paraId="690444CA" w14:textId="77777777" w:rsidR="003A3D51" w:rsidRDefault="003A3D51">
      <w:pPr>
        <w:spacing w:before="120"/>
        <w:rPr>
          <w:rFonts w:ascii="Times New Roman" w:hAnsi="Times New Roman" w:cs="Times New Roman"/>
          <w:b/>
          <w:noProof/>
          <w:sz w:val="24"/>
          <w:u w:val="single"/>
        </w:rPr>
        <w:sectPr w:rsidR="003A3D51" w:rsidSect="0001477B">
          <w:headerReference w:type="even" r:id="rId126"/>
          <w:headerReference w:type="default" r:id="rId127"/>
          <w:footerReference w:type="even" r:id="rId128"/>
          <w:footerReference w:type="default" r:id="rId129"/>
          <w:headerReference w:type="first" r:id="rId130"/>
          <w:footerReference w:type="first" r:id="rId131"/>
          <w:pgSz w:w="11907" w:h="16839"/>
          <w:pgMar w:top="1134" w:right="1134" w:bottom="1134" w:left="1134" w:header="567" w:footer="567" w:gutter="0"/>
          <w:cols w:space="720"/>
          <w:docGrid w:linePitch="360"/>
        </w:sectPr>
      </w:pPr>
    </w:p>
    <w:p w14:paraId="3B36D1B8" w14:textId="0161F7F0" w:rsidR="003A3D51" w:rsidRDefault="0002775A">
      <w:pPr>
        <w:pStyle w:val="P68B1DB1-Normal37"/>
        <w:keepNext/>
        <w:tabs>
          <w:tab w:val="num" w:pos="850"/>
        </w:tabs>
        <w:ind w:left="851"/>
        <w:jc w:val="both"/>
        <w:outlineLvl w:val="1"/>
        <w:rPr>
          <w:noProof/>
        </w:rPr>
      </w:pPr>
      <w:r>
        <w:rPr>
          <w:noProof/>
        </w:rPr>
        <w:t xml:space="preserve">G.2. </w:t>
      </w:r>
      <w:r>
        <w:rPr>
          <w:noProof/>
        </w:rPr>
        <w:tab/>
        <w:t>Delmål, mål, indikatorer och tidsplan för övervakning och genomförande avseende icke återbetalningspliktigt ekonomiskt stöd</w:t>
      </w:r>
    </w:p>
    <w:tbl>
      <w:tblPr>
        <w:tblW w:w="15027" w:type="dxa"/>
        <w:tblInd w:w="-885" w:type="dxa"/>
        <w:tblLayout w:type="fixed"/>
        <w:tblLook w:val="04A0" w:firstRow="1" w:lastRow="0" w:firstColumn="1" w:lastColumn="0" w:noHBand="0" w:noVBand="1"/>
      </w:tblPr>
      <w:tblGrid>
        <w:gridCol w:w="993"/>
        <w:gridCol w:w="993"/>
        <w:gridCol w:w="992"/>
        <w:gridCol w:w="2126"/>
        <w:gridCol w:w="2300"/>
        <w:gridCol w:w="847"/>
        <w:gridCol w:w="1134"/>
        <w:gridCol w:w="851"/>
        <w:gridCol w:w="567"/>
        <w:gridCol w:w="709"/>
        <w:gridCol w:w="3515"/>
      </w:tblGrid>
      <w:tr w:rsidR="003A3D51" w14:paraId="083D961E" w14:textId="77777777">
        <w:trPr>
          <w:trHeight w:val="300"/>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1184FA5" w14:textId="77777777" w:rsidR="003A3D51" w:rsidRDefault="0002775A">
            <w:pPr>
              <w:pStyle w:val="P68B1DB1-Normal6"/>
              <w:spacing w:after="0"/>
              <w:jc w:val="center"/>
              <w:rPr>
                <w:noProof/>
              </w:rPr>
            </w:pPr>
            <w:r>
              <w:rPr>
                <w:noProof/>
              </w:rPr>
              <w:t>Antal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CB43193" w14:textId="77777777" w:rsidR="003A3D51" w:rsidRDefault="0002775A">
            <w:pPr>
              <w:pStyle w:val="P68B1DB1-Normal6"/>
              <w:spacing w:after="0"/>
              <w:jc w:val="center"/>
              <w:rPr>
                <w:noProof/>
              </w:rPr>
            </w:pPr>
            <w:r>
              <w:rPr>
                <w:noProof/>
              </w:rPr>
              <w:t>Åtgärd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7DEBCEE" w14:textId="77777777" w:rsidR="003A3D51" w:rsidRDefault="0002775A">
            <w:pPr>
              <w:pStyle w:val="P68B1DB1-Normal6"/>
              <w:spacing w:after="0"/>
              <w:jc w:val="center"/>
              <w:rPr>
                <w:noProof/>
              </w:rPr>
            </w:pPr>
            <w:r>
              <w:rPr>
                <w:noProof/>
              </w:rPr>
              <w:t>Delmål/mål</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702B8DA" w14:textId="77777777" w:rsidR="003A3D51" w:rsidRDefault="0002775A">
            <w:pPr>
              <w:pStyle w:val="P68B1DB1-Normal6"/>
              <w:spacing w:after="0"/>
              <w:jc w:val="center"/>
              <w:rPr>
                <w:noProof/>
              </w:rPr>
            </w:pPr>
            <w:r>
              <w:rPr>
                <w:noProof/>
              </w:rPr>
              <w:t>Namn</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0E7A3420"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hAnsi="Times New Roman" w:cs="Times New Roman"/>
                <w:noProof/>
              </w:rPr>
              <w:br/>
            </w:r>
            <w:r>
              <w:rPr>
                <w:rFonts w:ascii="Times New Roman" w:eastAsia="Times New Roman" w:hAnsi="Times New Roman" w:cs="Times New Roman"/>
                <w:b/>
                <w:noProof/>
                <w:sz w:val="18"/>
              </w:rPr>
              <w:t>(för delmål)</w:t>
            </w:r>
          </w:p>
        </w:tc>
        <w:tc>
          <w:tcPr>
            <w:tcW w:w="2832"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012E7A8F"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hAnsi="Times New Roman" w:cs="Times New Roman"/>
                <w:noProof/>
              </w:rPr>
              <w:br/>
            </w:r>
            <w:r>
              <w:rPr>
                <w:rFonts w:ascii="Times New Roman" w:eastAsia="Times New Roman" w:hAnsi="Times New Roman" w:cs="Times New Roman"/>
                <w:b/>
                <w:noProof/>
                <w:sz w:val="18"/>
              </w:rPr>
              <w:t>(för mål)</w:t>
            </w:r>
          </w:p>
        </w:tc>
        <w:tc>
          <w:tcPr>
            <w:tcW w:w="1276" w:type="dxa"/>
            <w:gridSpan w:val="2"/>
            <w:tcBorders>
              <w:top w:val="single" w:sz="4" w:space="0" w:color="auto"/>
              <w:left w:val="nil"/>
              <w:bottom w:val="single" w:sz="4" w:space="0" w:color="auto"/>
              <w:right w:val="single" w:sz="4" w:space="0" w:color="auto"/>
            </w:tcBorders>
            <w:shd w:val="clear" w:color="auto" w:fill="BDD7EE"/>
            <w:hideMark/>
          </w:tcPr>
          <w:p w14:paraId="6F2065A3" w14:textId="77777777" w:rsidR="003A3D51" w:rsidRDefault="0002775A">
            <w:pPr>
              <w:pStyle w:val="P68B1DB1-Normal6"/>
              <w:spacing w:after="0"/>
              <w:jc w:val="center"/>
              <w:rPr>
                <w:noProof/>
              </w:rPr>
            </w:pPr>
            <w:r>
              <w:rPr>
                <w:noProof/>
              </w:rPr>
              <w:t>Tid</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8E80611" w14:textId="77777777" w:rsidR="003A3D51" w:rsidRDefault="0002775A">
            <w:pPr>
              <w:pStyle w:val="P68B1DB1-Normal6"/>
              <w:spacing w:after="0"/>
              <w:jc w:val="center"/>
              <w:rPr>
                <w:noProof/>
              </w:rPr>
            </w:pPr>
            <w:r>
              <w:rPr>
                <w:noProof/>
              </w:rPr>
              <w:t>Beskrivning av varje delmål och mål</w:t>
            </w:r>
          </w:p>
        </w:tc>
      </w:tr>
      <w:tr w:rsidR="003A3D51" w14:paraId="572A6B79" w14:textId="77777777">
        <w:trPr>
          <w:trHeight w:val="300"/>
          <w:tblHeader/>
        </w:trPr>
        <w:tc>
          <w:tcPr>
            <w:tcW w:w="993" w:type="dxa"/>
            <w:vMerge/>
            <w:tcBorders>
              <w:top w:val="single" w:sz="4" w:space="0" w:color="auto"/>
              <w:left w:val="single" w:sz="4" w:space="0" w:color="auto"/>
              <w:bottom w:val="single" w:sz="4" w:space="0" w:color="auto"/>
              <w:right w:val="single" w:sz="4" w:space="0" w:color="auto"/>
            </w:tcBorders>
            <w:hideMark/>
          </w:tcPr>
          <w:p w14:paraId="3DB4AB81" w14:textId="77777777" w:rsidR="003A3D51" w:rsidRDefault="003A3D51">
            <w:pPr>
              <w:spacing w:after="0"/>
              <w:jc w:val="center"/>
              <w:rPr>
                <w:rFonts w:ascii="Times New Roman" w:eastAsia="Times New Roman" w:hAnsi="Times New Roman" w:cs="Times New Roman"/>
                <w:b/>
                <w:noProof/>
              </w:rPr>
            </w:pPr>
          </w:p>
        </w:tc>
        <w:tc>
          <w:tcPr>
            <w:tcW w:w="993" w:type="dxa"/>
            <w:vMerge/>
            <w:tcBorders>
              <w:top w:val="single" w:sz="4" w:space="0" w:color="auto"/>
              <w:left w:val="single" w:sz="4" w:space="0" w:color="auto"/>
              <w:bottom w:val="single" w:sz="4" w:space="0" w:color="auto"/>
              <w:right w:val="single" w:sz="4" w:space="0" w:color="auto"/>
            </w:tcBorders>
            <w:hideMark/>
          </w:tcPr>
          <w:p w14:paraId="57244CF4" w14:textId="77777777" w:rsidR="003A3D51" w:rsidRDefault="003A3D51">
            <w:pPr>
              <w:spacing w:after="0"/>
              <w:jc w:val="center"/>
              <w:rPr>
                <w:rFonts w:ascii="Times New Roman" w:eastAsia="Times New Roman" w:hAnsi="Times New Roman" w:cs="Times New Roman"/>
                <w:b/>
                <w:noProof/>
              </w:rPr>
            </w:pPr>
          </w:p>
        </w:tc>
        <w:tc>
          <w:tcPr>
            <w:tcW w:w="992" w:type="dxa"/>
            <w:vMerge/>
            <w:tcBorders>
              <w:top w:val="single" w:sz="4" w:space="0" w:color="auto"/>
              <w:left w:val="single" w:sz="4" w:space="0" w:color="auto"/>
              <w:bottom w:val="single" w:sz="4" w:space="0" w:color="auto"/>
              <w:right w:val="single" w:sz="4" w:space="0" w:color="auto"/>
            </w:tcBorders>
            <w:hideMark/>
          </w:tcPr>
          <w:p w14:paraId="26A9055C" w14:textId="77777777" w:rsidR="003A3D51" w:rsidRDefault="003A3D51">
            <w:pPr>
              <w:spacing w:after="0"/>
              <w:jc w:val="center"/>
              <w:rPr>
                <w:rFonts w:ascii="Times New Roman" w:eastAsia="Times New Roman" w:hAnsi="Times New Roman" w:cs="Times New Roman"/>
                <w:b/>
                <w:noProof/>
              </w:rPr>
            </w:pPr>
          </w:p>
        </w:tc>
        <w:tc>
          <w:tcPr>
            <w:tcW w:w="2126" w:type="dxa"/>
            <w:vMerge/>
            <w:tcBorders>
              <w:top w:val="single" w:sz="4" w:space="0" w:color="auto"/>
              <w:left w:val="single" w:sz="4" w:space="0" w:color="auto"/>
              <w:bottom w:val="single" w:sz="4" w:space="0" w:color="auto"/>
              <w:right w:val="single" w:sz="4" w:space="0" w:color="auto"/>
            </w:tcBorders>
            <w:hideMark/>
          </w:tcPr>
          <w:p w14:paraId="3D3F504C" w14:textId="77777777" w:rsidR="003A3D51" w:rsidRDefault="003A3D51">
            <w:pPr>
              <w:spacing w:after="0"/>
              <w:rPr>
                <w:rFonts w:ascii="Times New Roman" w:eastAsia="Times New Roman" w:hAnsi="Times New Roman" w:cs="Times New Roman"/>
                <w:b/>
                <w:noProof/>
              </w:rPr>
            </w:pPr>
          </w:p>
        </w:tc>
        <w:tc>
          <w:tcPr>
            <w:tcW w:w="2300" w:type="dxa"/>
            <w:vMerge/>
            <w:tcBorders>
              <w:top w:val="single" w:sz="4" w:space="0" w:color="auto"/>
              <w:left w:val="single" w:sz="4" w:space="0" w:color="auto"/>
              <w:bottom w:val="single" w:sz="4" w:space="0" w:color="auto"/>
              <w:right w:val="single" w:sz="4" w:space="0" w:color="auto"/>
            </w:tcBorders>
            <w:hideMark/>
          </w:tcPr>
          <w:p w14:paraId="40F83E17" w14:textId="77777777" w:rsidR="003A3D51" w:rsidRDefault="003A3D51">
            <w:pPr>
              <w:spacing w:after="0"/>
              <w:rPr>
                <w:rFonts w:ascii="Times New Roman" w:eastAsia="Times New Roman" w:hAnsi="Times New Roman" w:cs="Times New Roman"/>
                <w:b/>
                <w:noProof/>
              </w:rPr>
            </w:pPr>
          </w:p>
        </w:tc>
        <w:tc>
          <w:tcPr>
            <w:tcW w:w="847" w:type="dxa"/>
            <w:tcBorders>
              <w:top w:val="single" w:sz="4" w:space="0" w:color="auto"/>
              <w:left w:val="single" w:sz="4" w:space="0" w:color="auto"/>
              <w:bottom w:val="single" w:sz="4" w:space="0" w:color="auto"/>
              <w:right w:val="single" w:sz="4" w:space="0" w:color="auto"/>
            </w:tcBorders>
            <w:shd w:val="clear" w:color="auto" w:fill="BDD7EE"/>
            <w:hideMark/>
          </w:tcPr>
          <w:p w14:paraId="0E72C0F7" w14:textId="77777777" w:rsidR="003A3D51" w:rsidRDefault="0002775A">
            <w:pPr>
              <w:pStyle w:val="P68B1DB1-Normal6"/>
              <w:spacing w:after="0"/>
              <w:jc w:val="center"/>
              <w:rPr>
                <w:noProof/>
              </w:rPr>
            </w:pPr>
            <w:r>
              <w:rPr>
                <w:noProof/>
              </w:rPr>
              <w:t>Enhet</w:t>
            </w:r>
          </w:p>
        </w:tc>
        <w:tc>
          <w:tcPr>
            <w:tcW w:w="1134" w:type="dxa"/>
            <w:tcBorders>
              <w:top w:val="single" w:sz="4" w:space="0" w:color="auto"/>
              <w:left w:val="single" w:sz="4" w:space="0" w:color="auto"/>
              <w:bottom w:val="single" w:sz="4" w:space="0" w:color="auto"/>
              <w:right w:val="single" w:sz="4" w:space="0" w:color="auto"/>
            </w:tcBorders>
            <w:shd w:val="clear" w:color="auto" w:fill="BDD7EE"/>
            <w:hideMark/>
          </w:tcPr>
          <w:p w14:paraId="63617794" w14:textId="77777777" w:rsidR="003A3D51" w:rsidRDefault="0002775A">
            <w:pPr>
              <w:pStyle w:val="P68B1DB1-Normal6"/>
              <w:spacing w:after="0"/>
              <w:jc w:val="center"/>
              <w:rPr>
                <w:noProof/>
              </w:rPr>
            </w:pPr>
            <w:r>
              <w:rPr>
                <w:noProof/>
              </w:rPr>
              <w:t>Baslinjen</w:t>
            </w:r>
          </w:p>
        </w:tc>
        <w:tc>
          <w:tcPr>
            <w:tcW w:w="851" w:type="dxa"/>
            <w:tcBorders>
              <w:top w:val="single" w:sz="4" w:space="0" w:color="auto"/>
              <w:left w:val="single" w:sz="4" w:space="0" w:color="auto"/>
              <w:bottom w:val="single" w:sz="4" w:space="0" w:color="auto"/>
              <w:right w:val="single" w:sz="4" w:space="0" w:color="auto"/>
            </w:tcBorders>
            <w:shd w:val="clear" w:color="auto" w:fill="BDD7EE"/>
            <w:hideMark/>
          </w:tcPr>
          <w:p w14:paraId="2D355D48" w14:textId="77777777" w:rsidR="003A3D51" w:rsidRDefault="0002775A">
            <w:pPr>
              <w:pStyle w:val="P68B1DB1-Normal6"/>
              <w:spacing w:after="0"/>
              <w:jc w:val="center"/>
              <w:rPr>
                <w:noProof/>
              </w:rPr>
            </w:pPr>
            <w:r>
              <w:rPr>
                <w:noProof/>
              </w:rPr>
              <w:t>Mål</w:t>
            </w:r>
          </w:p>
        </w:tc>
        <w:tc>
          <w:tcPr>
            <w:tcW w:w="567" w:type="dxa"/>
            <w:tcBorders>
              <w:top w:val="single" w:sz="4" w:space="0" w:color="auto"/>
              <w:left w:val="single" w:sz="4" w:space="0" w:color="auto"/>
              <w:bottom w:val="single" w:sz="4" w:space="0" w:color="auto"/>
              <w:right w:val="single" w:sz="4" w:space="0" w:color="auto"/>
            </w:tcBorders>
            <w:shd w:val="clear" w:color="auto" w:fill="BDD7EE"/>
            <w:hideMark/>
          </w:tcPr>
          <w:p w14:paraId="734857F0" w14:textId="77777777" w:rsidR="003A3D51" w:rsidRDefault="0002775A">
            <w:pPr>
              <w:pStyle w:val="P68B1DB1-Normal6"/>
              <w:spacing w:after="0"/>
              <w:jc w:val="center"/>
              <w:rPr>
                <w:noProof/>
              </w:rPr>
            </w:pPr>
            <w:r>
              <w:rPr>
                <w:noProof/>
              </w:rPr>
              <w:t>Q</w:t>
            </w:r>
          </w:p>
        </w:tc>
        <w:tc>
          <w:tcPr>
            <w:tcW w:w="709" w:type="dxa"/>
            <w:tcBorders>
              <w:top w:val="single" w:sz="4" w:space="0" w:color="auto"/>
              <w:left w:val="single" w:sz="4" w:space="0" w:color="auto"/>
              <w:bottom w:val="single" w:sz="4" w:space="0" w:color="auto"/>
              <w:right w:val="single" w:sz="4" w:space="0" w:color="auto"/>
            </w:tcBorders>
            <w:shd w:val="clear" w:color="auto" w:fill="BDD7EE"/>
            <w:hideMark/>
          </w:tcPr>
          <w:p w14:paraId="396288A6" w14:textId="77777777" w:rsidR="003A3D51" w:rsidRDefault="0002775A">
            <w:pPr>
              <w:pStyle w:val="P68B1DB1-Normal6"/>
              <w:spacing w:after="0"/>
              <w:jc w:val="center"/>
              <w:rPr>
                <w:noProof/>
              </w:rPr>
            </w:pPr>
            <w:r>
              <w:rPr>
                <w:noProof/>
              </w:rPr>
              <w:t>Året</w:t>
            </w:r>
          </w:p>
        </w:tc>
        <w:tc>
          <w:tcPr>
            <w:tcW w:w="3515" w:type="dxa"/>
            <w:vMerge/>
            <w:tcBorders>
              <w:top w:val="single" w:sz="4" w:space="0" w:color="auto"/>
              <w:bottom w:val="single" w:sz="4" w:space="0" w:color="auto"/>
              <w:right w:val="single" w:sz="4" w:space="0" w:color="auto"/>
            </w:tcBorders>
            <w:hideMark/>
          </w:tcPr>
          <w:p w14:paraId="142128E4" w14:textId="77777777" w:rsidR="003A3D51" w:rsidRDefault="003A3D51">
            <w:pPr>
              <w:spacing w:after="0"/>
              <w:rPr>
                <w:rFonts w:ascii="Times New Roman" w:eastAsia="Times New Roman" w:hAnsi="Times New Roman" w:cs="Times New Roman"/>
                <w:b/>
                <w:noProof/>
              </w:rPr>
            </w:pPr>
          </w:p>
        </w:tc>
      </w:tr>
      <w:tr w:rsidR="003A3D51" w14:paraId="2920EEF2"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1169E716" w14:textId="77777777" w:rsidR="003A3D51" w:rsidRDefault="0002775A">
            <w:pPr>
              <w:pStyle w:val="P68B1DB1-Normal41"/>
              <w:jc w:val="center"/>
              <w:rPr>
                <w:rFonts w:ascii="Times New Roman" w:hAnsi="Times New Roman" w:cs="Times New Roman"/>
                <w:noProof/>
              </w:rPr>
            </w:pPr>
            <w:r>
              <w:rPr>
                <w:noProof/>
              </w:rPr>
              <w:t>150</w:t>
            </w:r>
          </w:p>
        </w:tc>
        <w:tc>
          <w:tcPr>
            <w:tcW w:w="993" w:type="dxa"/>
            <w:tcBorders>
              <w:top w:val="single" w:sz="4" w:space="0" w:color="auto"/>
              <w:left w:val="nil"/>
              <w:bottom w:val="single" w:sz="4" w:space="0" w:color="auto"/>
              <w:right w:val="single" w:sz="4" w:space="0" w:color="auto"/>
            </w:tcBorders>
            <w:shd w:val="clear" w:color="auto" w:fill="C6EFCE"/>
          </w:tcPr>
          <w:p w14:paraId="26D30093" w14:textId="77777777" w:rsidR="003A3D51" w:rsidRDefault="0002775A">
            <w:pPr>
              <w:pStyle w:val="P68B1DB1-Normal41"/>
              <w:jc w:val="center"/>
              <w:rPr>
                <w:rFonts w:ascii="Times New Roman" w:hAnsi="Times New Roman" w:cs="Times New Roman"/>
                <w:noProof/>
              </w:rPr>
            </w:pPr>
            <w:r>
              <w:rPr>
                <w:noProof/>
              </w:rPr>
              <w:t>C2.1 R1</w:t>
            </w:r>
          </w:p>
        </w:tc>
        <w:tc>
          <w:tcPr>
            <w:tcW w:w="992" w:type="dxa"/>
            <w:tcBorders>
              <w:top w:val="single" w:sz="4" w:space="0" w:color="auto"/>
              <w:left w:val="nil"/>
              <w:bottom w:val="single" w:sz="4" w:space="0" w:color="auto"/>
              <w:right w:val="single" w:sz="4" w:space="0" w:color="auto"/>
            </w:tcBorders>
            <w:shd w:val="clear" w:color="auto" w:fill="C6EFCE"/>
          </w:tcPr>
          <w:p w14:paraId="07C9C91E" w14:textId="77777777" w:rsidR="003A3D51" w:rsidRDefault="0002775A">
            <w:pPr>
              <w:pStyle w:val="P68B1DB1-Normal41"/>
              <w:jc w:val="center"/>
              <w:rPr>
                <w:rFonts w:ascii="Times New Roman" w:hAnsi="Times New Roman" w:cs="Times New Roman"/>
                <w:noProof/>
              </w:rPr>
            </w:pPr>
            <w:r>
              <w:rPr>
                <w:noProof/>
              </w:rPr>
              <w:t>M</w:t>
            </w:r>
          </w:p>
        </w:tc>
        <w:tc>
          <w:tcPr>
            <w:tcW w:w="2126" w:type="dxa"/>
            <w:tcBorders>
              <w:top w:val="single" w:sz="4" w:space="0" w:color="auto"/>
              <w:left w:val="nil"/>
              <w:bottom w:val="single" w:sz="4" w:space="0" w:color="auto"/>
              <w:right w:val="single" w:sz="4" w:space="0" w:color="auto"/>
            </w:tcBorders>
            <w:shd w:val="clear" w:color="auto" w:fill="C6EFCE"/>
          </w:tcPr>
          <w:p w14:paraId="633542D6" w14:textId="77777777" w:rsidR="003A3D51" w:rsidRDefault="0002775A">
            <w:pPr>
              <w:pStyle w:val="P68B1DB1-Normal41"/>
              <w:rPr>
                <w:rFonts w:ascii="Times New Roman" w:hAnsi="Times New Roman" w:cs="Times New Roman"/>
                <w:noProof/>
              </w:rPr>
            </w:pPr>
            <w:r>
              <w:rPr>
                <w:noProof/>
              </w:rPr>
              <w:t>Ändringar av lagen om systemet för strategisk planering och förvaltning av Republiken Kroatiens utveckling och stadgar</w:t>
            </w:r>
          </w:p>
        </w:tc>
        <w:tc>
          <w:tcPr>
            <w:tcW w:w="2300" w:type="dxa"/>
            <w:tcBorders>
              <w:top w:val="single" w:sz="4" w:space="0" w:color="auto"/>
              <w:left w:val="nil"/>
              <w:bottom w:val="single" w:sz="4" w:space="0" w:color="auto"/>
              <w:right w:val="single" w:sz="4" w:space="0" w:color="auto"/>
            </w:tcBorders>
            <w:shd w:val="clear" w:color="auto" w:fill="C6EFCE"/>
          </w:tcPr>
          <w:p w14:paraId="0D51FBC3" w14:textId="77777777" w:rsidR="003A3D51" w:rsidRDefault="0002775A">
            <w:pPr>
              <w:pStyle w:val="P68B1DB1-Normal41"/>
              <w:rPr>
                <w:rFonts w:ascii="Times New Roman" w:hAnsi="Times New Roman" w:cs="Times New Roman"/>
                <w:noProof/>
              </w:rPr>
            </w:pPr>
            <w:r>
              <w:rPr>
                <w:noProof/>
              </w:rPr>
              <w:t xml:space="preserve">Ikraftträdande av lagen om ändring av lagen om systemet för strategisk planering och styrning för Republiken Kroatiens utveckling och tillhörande förordningar </w:t>
            </w:r>
          </w:p>
        </w:tc>
        <w:tc>
          <w:tcPr>
            <w:tcW w:w="847" w:type="dxa"/>
            <w:tcBorders>
              <w:top w:val="single" w:sz="4" w:space="0" w:color="auto"/>
              <w:left w:val="nil"/>
              <w:bottom w:val="single" w:sz="4" w:space="0" w:color="auto"/>
              <w:right w:val="single" w:sz="4" w:space="0" w:color="auto"/>
            </w:tcBorders>
            <w:shd w:val="clear" w:color="auto" w:fill="C6EFCE"/>
          </w:tcPr>
          <w:p w14:paraId="1D343086" w14:textId="77777777" w:rsidR="003A3D51" w:rsidRDefault="0002775A">
            <w:pPr>
              <w:pStyle w:val="P68B1DB1-Normal41"/>
              <w:jc w:val="center"/>
              <w:rPr>
                <w:rFonts w:ascii="Times New Roman" w:hAnsi="Times New Roman" w:cs="Times New Roman"/>
                <w:noProof/>
              </w:rPr>
            </w:pPr>
            <w:r>
              <w:rPr>
                <w:noProof/>
              </w:rPr>
              <w:t> </w:t>
            </w:r>
          </w:p>
        </w:tc>
        <w:tc>
          <w:tcPr>
            <w:tcW w:w="1134" w:type="dxa"/>
            <w:tcBorders>
              <w:top w:val="single" w:sz="4" w:space="0" w:color="auto"/>
              <w:left w:val="nil"/>
              <w:bottom w:val="single" w:sz="4" w:space="0" w:color="auto"/>
              <w:right w:val="single" w:sz="4" w:space="0" w:color="auto"/>
            </w:tcBorders>
            <w:shd w:val="clear" w:color="auto" w:fill="C6EFCE"/>
          </w:tcPr>
          <w:p w14:paraId="76363F7F" w14:textId="77777777" w:rsidR="003A3D51" w:rsidRDefault="0002775A">
            <w:pPr>
              <w:pStyle w:val="P68B1DB1-Normal41"/>
              <w:jc w:val="center"/>
              <w:rPr>
                <w:rFonts w:ascii="Times New Roman" w:hAnsi="Times New Roman" w:cs="Times New Roman"/>
                <w:noProof/>
              </w:rPr>
            </w:pPr>
            <w:r>
              <w:rPr>
                <w:noProof/>
              </w:rPr>
              <w:t> </w:t>
            </w:r>
          </w:p>
        </w:tc>
        <w:tc>
          <w:tcPr>
            <w:tcW w:w="851" w:type="dxa"/>
            <w:tcBorders>
              <w:top w:val="single" w:sz="4" w:space="0" w:color="auto"/>
              <w:left w:val="nil"/>
              <w:bottom w:val="single" w:sz="4" w:space="0" w:color="auto"/>
              <w:right w:val="single" w:sz="4" w:space="0" w:color="auto"/>
            </w:tcBorders>
            <w:shd w:val="clear" w:color="auto" w:fill="C6EFCE"/>
          </w:tcPr>
          <w:p w14:paraId="1A2EDB88"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single" w:sz="4" w:space="0" w:color="auto"/>
              <w:left w:val="nil"/>
              <w:bottom w:val="single" w:sz="4" w:space="0" w:color="auto"/>
              <w:right w:val="single" w:sz="4" w:space="0" w:color="auto"/>
            </w:tcBorders>
            <w:shd w:val="clear" w:color="auto" w:fill="C6EFCE"/>
          </w:tcPr>
          <w:p w14:paraId="12A8B591"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6D4A4840" w14:textId="77777777" w:rsidR="003A3D51" w:rsidRDefault="0002775A">
            <w:pPr>
              <w:pStyle w:val="P68B1DB1-Normal41"/>
              <w:jc w:val="center"/>
              <w:rPr>
                <w:rFonts w:ascii="Times New Roman" w:hAnsi="Times New Roman" w:cs="Times New Roman"/>
                <w:noProof/>
              </w:rPr>
            </w:pPr>
            <w:r>
              <w:rPr>
                <w:noProof/>
              </w:rPr>
              <w:t>2022</w:t>
            </w:r>
          </w:p>
        </w:tc>
        <w:tc>
          <w:tcPr>
            <w:tcW w:w="3515" w:type="dxa"/>
            <w:tcBorders>
              <w:top w:val="single" w:sz="4" w:space="0" w:color="auto"/>
              <w:left w:val="nil"/>
              <w:bottom w:val="single" w:sz="4" w:space="0" w:color="auto"/>
              <w:right w:val="single" w:sz="4" w:space="0" w:color="auto"/>
            </w:tcBorders>
            <w:shd w:val="clear" w:color="auto" w:fill="C6EFCE"/>
          </w:tcPr>
          <w:p w14:paraId="55C2B184" w14:textId="77777777" w:rsidR="003A3D51" w:rsidRDefault="0002775A">
            <w:pPr>
              <w:pStyle w:val="P68B1DB1-Normal41"/>
              <w:rPr>
                <w:rFonts w:ascii="Times New Roman" w:hAnsi="Times New Roman" w:cs="Times New Roman"/>
                <w:noProof/>
              </w:rPr>
            </w:pPr>
            <w:r>
              <w:rPr>
                <w:noProof/>
              </w:rPr>
              <w:t>Ändringar av Republiken Kroatiens lag om strategiskt planerings- och utvecklingshanteringssystem och åtföljande förordningar ska effektivisera den strategiska planeringen och professionaliseringen av utarbetandet av strategiska dokument. Den ska också innehålla en grund för arbetsbeskrivningar och tjänstemäns kompetens i samband med strategisk planering.</w:t>
            </w:r>
          </w:p>
        </w:tc>
      </w:tr>
      <w:tr w:rsidR="003A3D51" w14:paraId="6965797C"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6F7B7328" w14:textId="77777777" w:rsidR="003A3D51" w:rsidRDefault="0002775A">
            <w:pPr>
              <w:pStyle w:val="P68B1DB1-Normal41"/>
              <w:jc w:val="center"/>
              <w:rPr>
                <w:rFonts w:ascii="Times New Roman" w:hAnsi="Times New Roman" w:cs="Times New Roman"/>
                <w:noProof/>
              </w:rPr>
            </w:pPr>
            <w:r>
              <w:rPr>
                <w:noProof/>
              </w:rPr>
              <w:t>151</w:t>
            </w:r>
          </w:p>
        </w:tc>
        <w:tc>
          <w:tcPr>
            <w:tcW w:w="993" w:type="dxa"/>
            <w:tcBorders>
              <w:top w:val="single" w:sz="4" w:space="0" w:color="auto"/>
              <w:left w:val="nil"/>
              <w:bottom w:val="single" w:sz="4" w:space="0" w:color="auto"/>
              <w:right w:val="single" w:sz="4" w:space="0" w:color="auto"/>
            </w:tcBorders>
            <w:shd w:val="clear" w:color="auto" w:fill="C6EFCE"/>
          </w:tcPr>
          <w:p w14:paraId="6DFDBD0A" w14:textId="77777777" w:rsidR="003A3D51" w:rsidRDefault="0002775A">
            <w:pPr>
              <w:pStyle w:val="P68B1DB1-Normal41"/>
              <w:jc w:val="center"/>
              <w:rPr>
                <w:rFonts w:ascii="Times New Roman" w:hAnsi="Times New Roman" w:cs="Times New Roman"/>
                <w:noProof/>
              </w:rPr>
            </w:pPr>
            <w:r>
              <w:rPr>
                <w:noProof/>
              </w:rPr>
              <w:t>C2.1 R1</w:t>
            </w:r>
          </w:p>
        </w:tc>
        <w:tc>
          <w:tcPr>
            <w:tcW w:w="992" w:type="dxa"/>
            <w:tcBorders>
              <w:top w:val="single" w:sz="4" w:space="0" w:color="auto"/>
              <w:left w:val="nil"/>
              <w:bottom w:val="single" w:sz="4" w:space="0" w:color="auto"/>
              <w:right w:val="single" w:sz="4" w:space="0" w:color="auto"/>
            </w:tcBorders>
            <w:shd w:val="clear" w:color="auto" w:fill="C6EFCE"/>
          </w:tcPr>
          <w:p w14:paraId="3A4A1E0C" w14:textId="77777777" w:rsidR="003A3D51" w:rsidRDefault="0002775A">
            <w:pPr>
              <w:pStyle w:val="P68B1DB1-Normal41"/>
              <w:jc w:val="center"/>
              <w:rPr>
                <w:rFonts w:ascii="Times New Roman" w:hAnsi="Times New Roman" w:cs="Times New Roman"/>
                <w:noProof/>
              </w:rPr>
            </w:pPr>
            <w:r>
              <w:rPr>
                <w:noProof/>
              </w:rPr>
              <w:t>M</w:t>
            </w:r>
          </w:p>
        </w:tc>
        <w:tc>
          <w:tcPr>
            <w:tcW w:w="2126" w:type="dxa"/>
            <w:tcBorders>
              <w:top w:val="single" w:sz="4" w:space="0" w:color="auto"/>
              <w:left w:val="nil"/>
              <w:bottom w:val="single" w:sz="4" w:space="0" w:color="auto"/>
              <w:right w:val="single" w:sz="4" w:space="0" w:color="auto"/>
            </w:tcBorders>
            <w:shd w:val="clear" w:color="auto" w:fill="C6EFCE"/>
          </w:tcPr>
          <w:p w14:paraId="486F7E1D" w14:textId="77777777" w:rsidR="003A3D51" w:rsidRDefault="0002775A">
            <w:pPr>
              <w:pStyle w:val="P68B1DB1-Normal41"/>
              <w:rPr>
                <w:rFonts w:ascii="Times New Roman" w:hAnsi="Times New Roman" w:cs="Times New Roman"/>
                <w:noProof/>
              </w:rPr>
            </w:pPr>
            <w:r>
              <w:rPr>
                <w:noProof/>
              </w:rPr>
              <w:t>Ändringar i lagen om konsekvensbedömning av lagstiftning</w:t>
            </w:r>
          </w:p>
        </w:tc>
        <w:tc>
          <w:tcPr>
            <w:tcW w:w="2300" w:type="dxa"/>
            <w:tcBorders>
              <w:top w:val="single" w:sz="4" w:space="0" w:color="auto"/>
              <w:left w:val="nil"/>
              <w:bottom w:val="single" w:sz="4" w:space="0" w:color="auto"/>
              <w:right w:val="single" w:sz="4" w:space="0" w:color="auto"/>
            </w:tcBorders>
            <w:shd w:val="clear" w:color="auto" w:fill="C6EFCE"/>
          </w:tcPr>
          <w:p w14:paraId="7845EA82" w14:textId="77777777" w:rsidR="003A3D51" w:rsidRDefault="0002775A">
            <w:pPr>
              <w:pStyle w:val="P68B1DB1-Normal41"/>
              <w:rPr>
                <w:rFonts w:ascii="Times New Roman" w:hAnsi="Times New Roman" w:cs="Times New Roman"/>
                <w:noProof/>
              </w:rPr>
            </w:pPr>
            <w:r>
              <w:rPr>
                <w:noProof/>
              </w:rPr>
              <w:t xml:space="preserve">Ikraftträdande av lagen om ändring av lagen om lagstiftningskonsekvensbedömning </w:t>
            </w:r>
          </w:p>
        </w:tc>
        <w:tc>
          <w:tcPr>
            <w:tcW w:w="847" w:type="dxa"/>
            <w:tcBorders>
              <w:top w:val="single" w:sz="4" w:space="0" w:color="auto"/>
              <w:left w:val="nil"/>
              <w:bottom w:val="single" w:sz="4" w:space="0" w:color="auto"/>
              <w:right w:val="single" w:sz="4" w:space="0" w:color="auto"/>
            </w:tcBorders>
            <w:shd w:val="clear" w:color="auto" w:fill="C6EFCE"/>
          </w:tcPr>
          <w:p w14:paraId="2D428479" w14:textId="77777777" w:rsidR="003A3D51" w:rsidRDefault="0002775A">
            <w:pPr>
              <w:pStyle w:val="P68B1DB1-Normal41"/>
              <w:jc w:val="center"/>
              <w:rPr>
                <w:rFonts w:ascii="Times New Roman" w:hAnsi="Times New Roman" w:cs="Times New Roman"/>
                <w:noProof/>
              </w:rPr>
            </w:pPr>
            <w:r>
              <w:rPr>
                <w:noProof/>
              </w:rPr>
              <w:t> </w:t>
            </w:r>
          </w:p>
        </w:tc>
        <w:tc>
          <w:tcPr>
            <w:tcW w:w="1134" w:type="dxa"/>
            <w:tcBorders>
              <w:top w:val="single" w:sz="4" w:space="0" w:color="auto"/>
              <w:left w:val="nil"/>
              <w:bottom w:val="single" w:sz="4" w:space="0" w:color="auto"/>
              <w:right w:val="single" w:sz="4" w:space="0" w:color="auto"/>
            </w:tcBorders>
            <w:shd w:val="clear" w:color="auto" w:fill="C6EFCE"/>
          </w:tcPr>
          <w:p w14:paraId="6BE0EA8C" w14:textId="77777777" w:rsidR="003A3D51" w:rsidRDefault="0002775A">
            <w:pPr>
              <w:pStyle w:val="P68B1DB1-Normal41"/>
              <w:jc w:val="center"/>
              <w:rPr>
                <w:rFonts w:ascii="Times New Roman" w:hAnsi="Times New Roman" w:cs="Times New Roman"/>
                <w:noProof/>
              </w:rPr>
            </w:pPr>
            <w:r>
              <w:rPr>
                <w:noProof/>
              </w:rPr>
              <w:t> </w:t>
            </w:r>
          </w:p>
        </w:tc>
        <w:tc>
          <w:tcPr>
            <w:tcW w:w="851" w:type="dxa"/>
            <w:tcBorders>
              <w:top w:val="single" w:sz="4" w:space="0" w:color="auto"/>
              <w:left w:val="nil"/>
              <w:bottom w:val="single" w:sz="4" w:space="0" w:color="auto"/>
              <w:right w:val="single" w:sz="4" w:space="0" w:color="auto"/>
            </w:tcBorders>
            <w:shd w:val="clear" w:color="auto" w:fill="C6EFCE"/>
          </w:tcPr>
          <w:p w14:paraId="2E92FFD6"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single" w:sz="4" w:space="0" w:color="auto"/>
              <w:left w:val="nil"/>
              <w:bottom w:val="single" w:sz="4" w:space="0" w:color="auto"/>
              <w:right w:val="single" w:sz="4" w:space="0" w:color="auto"/>
            </w:tcBorders>
            <w:shd w:val="clear" w:color="auto" w:fill="C6EFCE"/>
          </w:tcPr>
          <w:p w14:paraId="586D7BB3"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7B2F5C63" w14:textId="77777777" w:rsidR="003A3D51" w:rsidRDefault="0002775A">
            <w:pPr>
              <w:pStyle w:val="P68B1DB1-Normal41"/>
              <w:jc w:val="center"/>
              <w:rPr>
                <w:rFonts w:ascii="Times New Roman" w:hAnsi="Times New Roman" w:cs="Times New Roman"/>
                <w:noProof/>
              </w:rPr>
            </w:pPr>
            <w:r>
              <w:rPr>
                <w:noProof/>
              </w:rPr>
              <w:t>2023</w:t>
            </w:r>
          </w:p>
        </w:tc>
        <w:tc>
          <w:tcPr>
            <w:tcW w:w="3515" w:type="dxa"/>
            <w:tcBorders>
              <w:top w:val="single" w:sz="4" w:space="0" w:color="auto"/>
              <w:left w:val="nil"/>
              <w:bottom w:val="single" w:sz="4" w:space="0" w:color="auto"/>
              <w:right w:val="single" w:sz="4" w:space="0" w:color="auto"/>
            </w:tcBorders>
            <w:shd w:val="clear" w:color="auto" w:fill="C6EFCE"/>
          </w:tcPr>
          <w:p w14:paraId="62F8446A" w14:textId="77777777" w:rsidR="003A3D51" w:rsidRDefault="0002775A">
            <w:pPr>
              <w:pStyle w:val="P68B1DB1-Normal41"/>
              <w:rPr>
                <w:rFonts w:ascii="Times New Roman" w:hAnsi="Times New Roman" w:cs="Times New Roman"/>
                <w:noProof/>
              </w:rPr>
            </w:pPr>
            <w:r>
              <w:rPr>
                <w:noProof/>
              </w:rPr>
              <w:t>Ändringar av lagen om konsekvensbedömning av lagstiftning ska förenkla konsekvensbedömningsprocesserna i efterhand, inbegripet metoder och förfaranden, på grundval av rekommendationerna från instrumentet för tekniskt stöd för projektet i samband med konsekvensbedömningen i efterhand. Ändringarna ska också omfatta ändringar av tjänstebeskrivningarna och befogenheterna för offentliganställda i samband med konsekvensbedömningen i syfte att professionalisera samordningen, utarbetandet och övervakningen av lagstiftningens effekter inom den offentliga förvaltningen.</w:t>
            </w:r>
          </w:p>
        </w:tc>
      </w:tr>
      <w:tr w:rsidR="003A3D51" w14:paraId="7775C026"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74F28839" w14:textId="77777777" w:rsidR="003A3D51" w:rsidRDefault="0002775A">
            <w:pPr>
              <w:pStyle w:val="P68B1DB1-Normal41"/>
              <w:jc w:val="center"/>
              <w:rPr>
                <w:rFonts w:ascii="Times New Roman" w:hAnsi="Times New Roman" w:cs="Times New Roman"/>
                <w:noProof/>
              </w:rPr>
            </w:pPr>
            <w:r>
              <w:rPr>
                <w:noProof/>
              </w:rPr>
              <w:t>152</w:t>
            </w:r>
          </w:p>
        </w:tc>
        <w:tc>
          <w:tcPr>
            <w:tcW w:w="993" w:type="dxa"/>
            <w:tcBorders>
              <w:top w:val="single" w:sz="4" w:space="0" w:color="auto"/>
              <w:left w:val="nil"/>
              <w:bottom w:val="single" w:sz="4" w:space="0" w:color="auto"/>
              <w:right w:val="single" w:sz="4" w:space="0" w:color="auto"/>
            </w:tcBorders>
            <w:shd w:val="clear" w:color="auto" w:fill="C6EFCE"/>
          </w:tcPr>
          <w:p w14:paraId="1760EE6B" w14:textId="77777777" w:rsidR="003A3D51" w:rsidRDefault="0002775A">
            <w:pPr>
              <w:pStyle w:val="P68B1DB1-Normal41"/>
              <w:jc w:val="center"/>
              <w:rPr>
                <w:rFonts w:ascii="Times New Roman" w:hAnsi="Times New Roman" w:cs="Times New Roman"/>
                <w:noProof/>
              </w:rPr>
            </w:pPr>
            <w:r>
              <w:rPr>
                <w:noProof/>
              </w:rPr>
              <w:t>C2.1 R1</w:t>
            </w:r>
          </w:p>
        </w:tc>
        <w:tc>
          <w:tcPr>
            <w:tcW w:w="992" w:type="dxa"/>
            <w:tcBorders>
              <w:top w:val="single" w:sz="4" w:space="0" w:color="auto"/>
              <w:left w:val="nil"/>
              <w:bottom w:val="single" w:sz="4" w:space="0" w:color="auto"/>
              <w:right w:val="single" w:sz="4" w:space="0" w:color="auto"/>
            </w:tcBorders>
            <w:shd w:val="clear" w:color="auto" w:fill="C6EFCE"/>
          </w:tcPr>
          <w:p w14:paraId="7CA72E26" w14:textId="77777777" w:rsidR="003A3D51" w:rsidRDefault="0002775A">
            <w:pPr>
              <w:pStyle w:val="P68B1DB1-Normal41"/>
              <w:jc w:val="center"/>
              <w:rPr>
                <w:rFonts w:ascii="Times New Roman" w:hAnsi="Times New Roman" w:cs="Times New Roman"/>
                <w:noProof/>
              </w:rPr>
            </w:pPr>
            <w:r>
              <w:rPr>
                <w:noProof/>
              </w:rPr>
              <w:t>T</w:t>
            </w:r>
          </w:p>
        </w:tc>
        <w:tc>
          <w:tcPr>
            <w:tcW w:w="2126" w:type="dxa"/>
            <w:tcBorders>
              <w:top w:val="single" w:sz="4" w:space="0" w:color="auto"/>
              <w:left w:val="nil"/>
              <w:bottom w:val="single" w:sz="4" w:space="0" w:color="auto"/>
              <w:right w:val="single" w:sz="4" w:space="0" w:color="auto"/>
            </w:tcBorders>
            <w:shd w:val="clear" w:color="auto" w:fill="C6EFCE"/>
          </w:tcPr>
          <w:p w14:paraId="34A2593F" w14:textId="77777777" w:rsidR="003A3D51" w:rsidRDefault="0002775A">
            <w:pPr>
              <w:pStyle w:val="P68B1DB1-Normal41"/>
              <w:rPr>
                <w:rFonts w:ascii="Times New Roman" w:hAnsi="Times New Roman" w:cs="Times New Roman"/>
                <w:noProof/>
              </w:rPr>
            </w:pPr>
            <w:r>
              <w:rPr>
                <w:noProof/>
              </w:rPr>
              <w:t>Minskning av den administrativa börda som direkt påverkar medborgarna genom digitalisering och förenkling av förfaranden</w:t>
            </w:r>
          </w:p>
        </w:tc>
        <w:tc>
          <w:tcPr>
            <w:tcW w:w="2300" w:type="dxa"/>
            <w:tcBorders>
              <w:top w:val="single" w:sz="4" w:space="0" w:color="auto"/>
              <w:left w:val="nil"/>
              <w:bottom w:val="single" w:sz="4" w:space="0" w:color="auto"/>
              <w:right w:val="single" w:sz="4" w:space="0" w:color="auto"/>
            </w:tcBorders>
            <w:shd w:val="clear" w:color="auto" w:fill="C6EFCE"/>
          </w:tcPr>
          <w:p w14:paraId="5346A006" w14:textId="77777777" w:rsidR="003A3D51" w:rsidRDefault="0002775A">
            <w:pPr>
              <w:pStyle w:val="P68B1DB1-Normal41"/>
              <w:rPr>
                <w:rFonts w:ascii="Times New Roman" w:hAnsi="Times New Roman" w:cs="Times New Roman"/>
                <w:noProof/>
              </w:rPr>
            </w:pPr>
            <w:r>
              <w:rPr>
                <w:noProof/>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5775F3B9" w14:textId="77777777" w:rsidR="003A3D51" w:rsidRDefault="0002775A">
            <w:pPr>
              <w:pStyle w:val="P68B1DB1-Normal41"/>
              <w:jc w:val="center"/>
              <w:rPr>
                <w:rFonts w:ascii="Times New Roman" w:hAnsi="Times New Roman" w:cs="Times New Roman"/>
                <w:noProof/>
              </w:rPr>
            </w:pPr>
            <w:r>
              <w:rPr>
                <w:noProof/>
              </w:rPr>
              <w:t>% (i procent)</w:t>
            </w:r>
          </w:p>
        </w:tc>
        <w:tc>
          <w:tcPr>
            <w:tcW w:w="1134" w:type="dxa"/>
            <w:tcBorders>
              <w:top w:val="single" w:sz="4" w:space="0" w:color="auto"/>
              <w:left w:val="nil"/>
              <w:bottom w:val="single" w:sz="4" w:space="0" w:color="auto"/>
              <w:right w:val="single" w:sz="4" w:space="0" w:color="auto"/>
            </w:tcBorders>
            <w:shd w:val="clear" w:color="auto" w:fill="C6EFCE"/>
          </w:tcPr>
          <w:p w14:paraId="6313EF79" w14:textId="77777777" w:rsidR="003A3D51" w:rsidRDefault="0002775A">
            <w:pPr>
              <w:pStyle w:val="P68B1DB1-Normal41"/>
              <w:jc w:val="center"/>
              <w:rPr>
                <w:rFonts w:ascii="Times New Roman" w:hAnsi="Times New Roman" w:cs="Times New Roman"/>
                <w:noProof/>
              </w:rPr>
            </w:pPr>
            <w:r>
              <w:rPr>
                <w:noProof/>
              </w:rPr>
              <w:t>0</w:t>
            </w:r>
          </w:p>
          <w:p w14:paraId="0ED6EB0C" w14:textId="77777777" w:rsidR="003A3D51" w:rsidRDefault="003A3D51">
            <w:pPr>
              <w:rPr>
                <w:rFonts w:ascii="Times New Roman" w:hAnsi="Times New Roman" w:cs="Times New Roman"/>
                <w:noProof/>
                <w:sz w:val="20"/>
              </w:rPr>
            </w:pPr>
          </w:p>
          <w:p w14:paraId="6603E906" w14:textId="77777777" w:rsidR="003A3D51" w:rsidRDefault="003A3D51">
            <w:pPr>
              <w:rPr>
                <w:rFonts w:ascii="Times New Roman" w:hAnsi="Times New Roman" w:cs="Times New Roman"/>
                <w:noProof/>
                <w:sz w:val="20"/>
              </w:rPr>
            </w:pPr>
          </w:p>
          <w:p w14:paraId="3F0F77D3" w14:textId="77777777" w:rsidR="003A3D51" w:rsidRDefault="003A3D51">
            <w:pPr>
              <w:rPr>
                <w:rFonts w:ascii="Times New Roman" w:hAnsi="Times New Roman" w:cs="Times New Roman"/>
                <w:noProof/>
                <w:sz w:val="20"/>
              </w:rPr>
            </w:pPr>
          </w:p>
        </w:tc>
        <w:tc>
          <w:tcPr>
            <w:tcW w:w="851" w:type="dxa"/>
            <w:tcBorders>
              <w:top w:val="single" w:sz="4" w:space="0" w:color="auto"/>
              <w:left w:val="nil"/>
              <w:bottom w:val="single" w:sz="4" w:space="0" w:color="auto"/>
              <w:right w:val="single" w:sz="4" w:space="0" w:color="auto"/>
            </w:tcBorders>
            <w:shd w:val="clear" w:color="auto" w:fill="C6EFCE"/>
          </w:tcPr>
          <w:p w14:paraId="4F74C207" w14:textId="77777777" w:rsidR="003A3D51" w:rsidRDefault="0002775A">
            <w:pPr>
              <w:pStyle w:val="P68B1DB1-Normal41"/>
              <w:jc w:val="center"/>
              <w:rPr>
                <w:rFonts w:ascii="Times New Roman" w:hAnsi="Times New Roman" w:cs="Times New Roman"/>
                <w:noProof/>
              </w:rPr>
            </w:pPr>
            <w:r>
              <w:rPr>
                <w:noProof/>
              </w:rPr>
              <w:t>20</w:t>
            </w:r>
          </w:p>
        </w:tc>
        <w:tc>
          <w:tcPr>
            <w:tcW w:w="567" w:type="dxa"/>
            <w:tcBorders>
              <w:top w:val="single" w:sz="4" w:space="0" w:color="auto"/>
              <w:left w:val="nil"/>
              <w:bottom w:val="single" w:sz="4" w:space="0" w:color="auto"/>
              <w:right w:val="single" w:sz="4" w:space="0" w:color="auto"/>
            </w:tcBorders>
            <w:shd w:val="clear" w:color="auto" w:fill="C6EFCE"/>
          </w:tcPr>
          <w:p w14:paraId="4D44615B"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5357BF97" w14:textId="77777777" w:rsidR="003A3D51" w:rsidRDefault="0002775A">
            <w:pPr>
              <w:pStyle w:val="P68B1DB1-Normal41"/>
              <w:jc w:val="center"/>
              <w:rPr>
                <w:rFonts w:ascii="Times New Roman" w:hAnsi="Times New Roman" w:cs="Times New Roman"/>
                <w:noProof/>
              </w:rPr>
            </w:pPr>
            <w:r>
              <w:rPr>
                <w:noProof/>
              </w:rPr>
              <w:t>2025</w:t>
            </w:r>
          </w:p>
        </w:tc>
        <w:tc>
          <w:tcPr>
            <w:tcW w:w="3515" w:type="dxa"/>
            <w:tcBorders>
              <w:top w:val="single" w:sz="4" w:space="0" w:color="auto"/>
              <w:left w:val="nil"/>
              <w:bottom w:val="single" w:sz="4" w:space="0" w:color="auto"/>
              <w:right w:val="single" w:sz="4" w:space="0" w:color="auto"/>
            </w:tcBorders>
            <w:shd w:val="clear" w:color="auto" w:fill="C6EFCE"/>
          </w:tcPr>
          <w:p w14:paraId="685DF465" w14:textId="77777777" w:rsidR="003A3D51" w:rsidRDefault="0002775A">
            <w:pPr>
              <w:pStyle w:val="P68B1DB1-Normal41"/>
              <w:rPr>
                <w:rFonts w:ascii="Times New Roman" w:hAnsi="Times New Roman" w:cs="Times New Roman"/>
                <w:noProof/>
              </w:rPr>
            </w:pPr>
            <w:r>
              <w:rPr>
                <w:noProof/>
              </w:rPr>
              <w:t>20 % minskning av den administrativa bördan jämfört med den 31 december 2019 för medborgarna genom användning av standardkostnadsmodellen (SCM), kopplad till de administrativa förfaranden som direkt påverkar de medborgare som identifieras genom den analys som utförs i enlighet med C1.1.1 R1 – I2, genom digitalisering och/eller förenkling av förfaranden.</w:t>
            </w:r>
          </w:p>
        </w:tc>
      </w:tr>
      <w:tr w:rsidR="003A3D51" w14:paraId="5039CA25"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7B595C80" w14:textId="77777777" w:rsidR="003A3D51" w:rsidRDefault="0002775A">
            <w:pPr>
              <w:pStyle w:val="P68B1DB1-Normal41"/>
              <w:jc w:val="center"/>
              <w:rPr>
                <w:rFonts w:ascii="Times New Roman" w:hAnsi="Times New Roman" w:cs="Times New Roman"/>
                <w:noProof/>
              </w:rPr>
            </w:pPr>
            <w:r>
              <w:rPr>
                <w:noProof/>
              </w:rPr>
              <w:t>153</w:t>
            </w:r>
          </w:p>
        </w:tc>
        <w:tc>
          <w:tcPr>
            <w:tcW w:w="993" w:type="dxa"/>
            <w:tcBorders>
              <w:top w:val="single" w:sz="4" w:space="0" w:color="auto"/>
              <w:left w:val="nil"/>
              <w:bottom w:val="single" w:sz="4" w:space="0" w:color="auto"/>
              <w:right w:val="single" w:sz="4" w:space="0" w:color="auto"/>
            </w:tcBorders>
            <w:shd w:val="clear" w:color="auto" w:fill="C6EFCE"/>
          </w:tcPr>
          <w:p w14:paraId="2E3E8D84" w14:textId="77777777" w:rsidR="003A3D51" w:rsidRDefault="0002775A">
            <w:pPr>
              <w:pStyle w:val="P68B1DB1-Normal41"/>
              <w:jc w:val="center"/>
              <w:rPr>
                <w:rFonts w:ascii="Times New Roman" w:hAnsi="Times New Roman" w:cs="Times New Roman"/>
                <w:noProof/>
              </w:rPr>
            </w:pPr>
            <w:r>
              <w:rPr>
                <w:noProof/>
              </w:rPr>
              <w:t>C2.1 R1-I1</w:t>
            </w:r>
          </w:p>
        </w:tc>
        <w:tc>
          <w:tcPr>
            <w:tcW w:w="992" w:type="dxa"/>
            <w:tcBorders>
              <w:top w:val="single" w:sz="4" w:space="0" w:color="auto"/>
              <w:left w:val="nil"/>
              <w:bottom w:val="single" w:sz="4" w:space="0" w:color="auto"/>
              <w:right w:val="single" w:sz="4" w:space="0" w:color="auto"/>
            </w:tcBorders>
            <w:shd w:val="clear" w:color="auto" w:fill="C6EFCE"/>
          </w:tcPr>
          <w:p w14:paraId="30C7D3E6" w14:textId="77777777" w:rsidR="003A3D51" w:rsidRDefault="0002775A">
            <w:pPr>
              <w:pStyle w:val="P68B1DB1-Normal41"/>
              <w:jc w:val="center"/>
              <w:rPr>
                <w:rFonts w:ascii="Times New Roman" w:hAnsi="Times New Roman" w:cs="Times New Roman"/>
                <w:noProof/>
              </w:rPr>
            </w:pPr>
            <w:r>
              <w:rPr>
                <w:noProof/>
              </w:rPr>
              <w:t>T</w:t>
            </w:r>
          </w:p>
        </w:tc>
        <w:tc>
          <w:tcPr>
            <w:tcW w:w="2126" w:type="dxa"/>
            <w:tcBorders>
              <w:top w:val="single" w:sz="4" w:space="0" w:color="auto"/>
              <w:left w:val="nil"/>
              <w:bottom w:val="single" w:sz="4" w:space="0" w:color="auto"/>
              <w:right w:val="single" w:sz="4" w:space="0" w:color="auto"/>
            </w:tcBorders>
            <w:shd w:val="clear" w:color="auto" w:fill="C6EFCE"/>
          </w:tcPr>
          <w:p w14:paraId="7D18FB50" w14:textId="77777777" w:rsidR="003A3D51" w:rsidRDefault="0002775A">
            <w:pPr>
              <w:pStyle w:val="P68B1DB1-Normal41"/>
              <w:rPr>
                <w:rFonts w:ascii="Times New Roman" w:hAnsi="Times New Roman" w:cs="Times New Roman"/>
                <w:noProof/>
              </w:rPr>
            </w:pPr>
            <w:r>
              <w:rPr>
                <w:noProof/>
              </w:rPr>
              <w:t>Digitalisering av alla verksamhetsprocesser som kartläggs på området strategisk planering och konsekvensbedömning av lagstiftning</w:t>
            </w:r>
          </w:p>
        </w:tc>
        <w:tc>
          <w:tcPr>
            <w:tcW w:w="2300" w:type="dxa"/>
            <w:tcBorders>
              <w:top w:val="single" w:sz="4" w:space="0" w:color="auto"/>
              <w:left w:val="nil"/>
              <w:bottom w:val="single" w:sz="4" w:space="0" w:color="auto"/>
              <w:right w:val="single" w:sz="4" w:space="0" w:color="auto"/>
            </w:tcBorders>
            <w:shd w:val="clear" w:color="auto" w:fill="C6EFCE"/>
          </w:tcPr>
          <w:p w14:paraId="426E2752" w14:textId="77777777" w:rsidR="003A3D51" w:rsidRDefault="0002775A">
            <w:pPr>
              <w:pStyle w:val="P68B1DB1-Normal41"/>
              <w:rPr>
                <w:rFonts w:ascii="Times New Roman" w:hAnsi="Times New Roman" w:cs="Times New Roman"/>
                <w:noProof/>
              </w:rPr>
            </w:pPr>
            <w:r>
              <w:rPr>
                <w:noProof/>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16E746FD" w14:textId="77777777" w:rsidR="003A3D51" w:rsidRDefault="0002775A">
            <w:pPr>
              <w:pStyle w:val="P68B1DB1-Normal41"/>
              <w:jc w:val="center"/>
              <w:rPr>
                <w:rFonts w:ascii="Times New Roman" w:hAnsi="Times New Roman" w:cs="Times New Roman"/>
                <w:noProof/>
              </w:rPr>
            </w:pPr>
            <w:r>
              <w:rPr>
                <w:noProof/>
              </w:rPr>
              <w:t>% (i procent)</w:t>
            </w:r>
          </w:p>
        </w:tc>
        <w:tc>
          <w:tcPr>
            <w:tcW w:w="1134" w:type="dxa"/>
            <w:tcBorders>
              <w:top w:val="single" w:sz="4" w:space="0" w:color="auto"/>
              <w:left w:val="nil"/>
              <w:bottom w:val="single" w:sz="4" w:space="0" w:color="auto"/>
              <w:right w:val="single" w:sz="4" w:space="0" w:color="auto"/>
            </w:tcBorders>
            <w:shd w:val="clear" w:color="auto" w:fill="C6EFCE"/>
          </w:tcPr>
          <w:p w14:paraId="419B155A" w14:textId="77777777" w:rsidR="003A3D51" w:rsidRDefault="0002775A">
            <w:pPr>
              <w:pStyle w:val="P68B1DB1-Normal41"/>
              <w:jc w:val="center"/>
              <w:rPr>
                <w:rFonts w:ascii="Times New Roman" w:hAnsi="Times New Roman" w:cs="Times New Roman"/>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tcPr>
          <w:p w14:paraId="758EF56F" w14:textId="77777777" w:rsidR="003A3D51" w:rsidRDefault="0002775A">
            <w:pPr>
              <w:pStyle w:val="P68B1DB1-Normal41"/>
              <w:jc w:val="center"/>
              <w:rPr>
                <w:rFonts w:ascii="Times New Roman" w:hAnsi="Times New Roman" w:cs="Times New Roman"/>
                <w:noProof/>
              </w:rPr>
            </w:pPr>
            <w:r>
              <w:rPr>
                <w:noProof/>
              </w:rPr>
              <w:t>100</w:t>
            </w:r>
          </w:p>
        </w:tc>
        <w:tc>
          <w:tcPr>
            <w:tcW w:w="567" w:type="dxa"/>
            <w:tcBorders>
              <w:top w:val="single" w:sz="4" w:space="0" w:color="auto"/>
              <w:left w:val="nil"/>
              <w:bottom w:val="single" w:sz="4" w:space="0" w:color="auto"/>
              <w:right w:val="single" w:sz="4" w:space="0" w:color="auto"/>
            </w:tcBorders>
            <w:shd w:val="clear" w:color="auto" w:fill="C6EFCE"/>
          </w:tcPr>
          <w:p w14:paraId="086A9811"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7C5877A6" w14:textId="77777777" w:rsidR="003A3D51" w:rsidRDefault="0002775A">
            <w:pPr>
              <w:pStyle w:val="P68B1DB1-Normal41"/>
              <w:jc w:val="center"/>
              <w:rPr>
                <w:rFonts w:ascii="Times New Roman" w:hAnsi="Times New Roman" w:cs="Times New Roman"/>
                <w:noProof/>
              </w:rPr>
            </w:pPr>
            <w:r>
              <w:rPr>
                <w:noProof/>
              </w:rPr>
              <w:t>2025</w:t>
            </w:r>
          </w:p>
        </w:tc>
        <w:tc>
          <w:tcPr>
            <w:tcW w:w="3515" w:type="dxa"/>
            <w:tcBorders>
              <w:top w:val="single" w:sz="4" w:space="0" w:color="auto"/>
              <w:left w:val="nil"/>
              <w:bottom w:val="single" w:sz="4" w:space="0" w:color="auto"/>
              <w:right w:val="single" w:sz="4" w:space="0" w:color="auto"/>
            </w:tcBorders>
            <w:shd w:val="clear" w:color="auto" w:fill="C6EFCE"/>
          </w:tcPr>
          <w:p w14:paraId="68F31356" w14:textId="77777777" w:rsidR="003A3D51" w:rsidRDefault="0002775A">
            <w:pPr>
              <w:pStyle w:val="P68B1DB1-Normal41"/>
              <w:rPr>
                <w:rFonts w:ascii="Times New Roman" w:hAnsi="Times New Roman" w:cs="Times New Roman"/>
                <w:noProof/>
              </w:rPr>
            </w:pPr>
            <w:r>
              <w:rPr>
                <w:noProof/>
              </w:rPr>
              <w:t>Alla verksamhetsprocesser på området strategisk planering och konsekvensbedömning av lagstiftning som kartlagts inom den offentliga förvaltningen ska digitaliseras och användas via it-plattformen. De ska genomföras för att övervaka utarbetandet av strategiska dokument, genomförandet och utvärderingen av den offentliga politiken och konsekvensanalysen av förordningar. It-systemet ska också innehålla en resultattavla med en översikt över resultaten av genomförandet av offentlig politik, som möjliggör öppen övervakning och kommunikation med allmänheten i realtid.</w:t>
            </w:r>
          </w:p>
        </w:tc>
      </w:tr>
      <w:tr w:rsidR="003A3D51" w14:paraId="0CF04DED" w14:textId="77777777">
        <w:trPr>
          <w:trHeight w:val="300"/>
        </w:trPr>
        <w:tc>
          <w:tcPr>
            <w:tcW w:w="993" w:type="dxa"/>
            <w:tcBorders>
              <w:top w:val="nil"/>
              <w:left w:val="single" w:sz="4" w:space="0" w:color="auto"/>
              <w:bottom w:val="single" w:sz="4" w:space="0" w:color="auto"/>
              <w:right w:val="single" w:sz="4" w:space="0" w:color="auto"/>
            </w:tcBorders>
            <w:shd w:val="clear" w:color="auto" w:fill="C6EFCE"/>
          </w:tcPr>
          <w:p w14:paraId="02CC5C36" w14:textId="77777777" w:rsidR="003A3D51" w:rsidRDefault="0002775A">
            <w:pPr>
              <w:pStyle w:val="P68B1DB1-Normal41"/>
              <w:jc w:val="center"/>
              <w:rPr>
                <w:noProof/>
              </w:rPr>
            </w:pPr>
            <w:r>
              <w:rPr>
                <w:noProof/>
              </w:rPr>
              <w:t>156</w:t>
            </w:r>
          </w:p>
        </w:tc>
        <w:tc>
          <w:tcPr>
            <w:tcW w:w="993" w:type="dxa"/>
            <w:tcBorders>
              <w:top w:val="nil"/>
              <w:left w:val="nil"/>
              <w:bottom w:val="single" w:sz="4" w:space="0" w:color="auto"/>
              <w:right w:val="single" w:sz="4" w:space="0" w:color="auto"/>
            </w:tcBorders>
            <w:shd w:val="clear" w:color="auto" w:fill="C6EFCE"/>
          </w:tcPr>
          <w:p w14:paraId="74FA470D" w14:textId="77777777" w:rsidR="003A3D51" w:rsidRDefault="0002775A">
            <w:pPr>
              <w:pStyle w:val="P68B1DB1-Normal41"/>
              <w:jc w:val="center"/>
              <w:rPr>
                <w:noProof/>
              </w:rPr>
            </w:pPr>
            <w:r>
              <w:rPr>
                <w:noProof/>
              </w:rPr>
              <w:t>C2.1 R2</w:t>
            </w:r>
          </w:p>
        </w:tc>
        <w:tc>
          <w:tcPr>
            <w:tcW w:w="992" w:type="dxa"/>
            <w:tcBorders>
              <w:top w:val="nil"/>
              <w:left w:val="nil"/>
              <w:bottom w:val="single" w:sz="4" w:space="0" w:color="auto"/>
              <w:right w:val="single" w:sz="4" w:space="0" w:color="auto"/>
            </w:tcBorders>
            <w:shd w:val="clear" w:color="auto" w:fill="C6EFCE"/>
          </w:tcPr>
          <w:p w14:paraId="4084A9D9" w14:textId="77777777" w:rsidR="003A3D51" w:rsidRDefault="0002775A">
            <w:pPr>
              <w:pStyle w:val="P68B1DB1-Normal41"/>
              <w:jc w:val="center"/>
              <w:rPr>
                <w:noProof/>
              </w:rPr>
            </w:pPr>
            <w:r>
              <w:rPr>
                <w:noProof/>
              </w:rPr>
              <w:t>M</w:t>
            </w:r>
          </w:p>
        </w:tc>
        <w:tc>
          <w:tcPr>
            <w:tcW w:w="2126" w:type="dxa"/>
            <w:tcBorders>
              <w:top w:val="nil"/>
              <w:left w:val="nil"/>
              <w:bottom w:val="single" w:sz="4" w:space="0" w:color="auto"/>
              <w:right w:val="single" w:sz="4" w:space="0" w:color="auto"/>
            </w:tcBorders>
            <w:shd w:val="clear" w:color="auto" w:fill="C6EFCE"/>
          </w:tcPr>
          <w:p w14:paraId="3C74B86F" w14:textId="77777777" w:rsidR="003A3D51" w:rsidRDefault="0002775A">
            <w:pPr>
              <w:pStyle w:val="P68B1DB1-Normal41"/>
              <w:rPr>
                <w:noProof/>
              </w:rPr>
            </w:pPr>
            <w:r>
              <w:rPr>
                <w:noProof/>
              </w:rPr>
              <w:t>Ändring av ARPA:s stadgar för att omdefiniera dess mandat</w:t>
            </w:r>
          </w:p>
        </w:tc>
        <w:tc>
          <w:tcPr>
            <w:tcW w:w="2300" w:type="dxa"/>
            <w:tcBorders>
              <w:top w:val="nil"/>
              <w:left w:val="nil"/>
              <w:bottom w:val="single" w:sz="4" w:space="0" w:color="auto"/>
              <w:right w:val="single" w:sz="4" w:space="0" w:color="auto"/>
            </w:tcBorders>
            <w:shd w:val="clear" w:color="auto" w:fill="C6EFCE"/>
          </w:tcPr>
          <w:p w14:paraId="64D4428E" w14:textId="77777777" w:rsidR="003A3D51" w:rsidRDefault="0002775A">
            <w:pPr>
              <w:pStyle w:val="P68B1DB1-Normal41"/>
              <w:rPr>
                <w:noProof/>
              </w:rPr>
            </w:pPr>
            <w:r>
              <w:rPr>
                <w:noProof/>
              </w:rPr>
              <w:t xml:space="preserve">Information om ikraftträdande av ändringar av ARPA:s stadgar </w:t>
            </w:r>
          </w:p>
        </w:tc>
        <w:tc>
          <w:tcPr>
            <w:tcW w:w="847" w:type="dxa"/>
            <w:tcBorders>
              <w:top w:val="nil"/>
              <w:left w:val="nil"/>
              <w:bottom w:val="single" w:sz="4" w:space="0" w:color="auto"/>
              <w:right w:val="single" w:sz="4" w:space="0" w:color="auto"/>
            </w:tcBorders>
            <w:shd w:val="clear" w:color="auto" w:fill="C6EFCE"/>
          </w:tcPr>
          <w:p w14:paraId="3E0A1F52" w14:textId="77777777" w:rsidR="003A3D51" w:rsidRDefault="0002775A">
            <w:pPr>
              <w:pStyle w:val="P68B1DB1-Normal41"/>
              <w:jc w:val="center"/>
              <w:rPr>
                <w:noProof/>
              </w:rPr>
            </w:pPr>
            <w:r>
              <w:rPr>
                <w:noProof/>
              </w:rPr>
              <w:t> </w:t>
            </w:r>
          </w:p>
        </w:tc>
        <w:tc>
          <w:tcPr>
            <w:tcW w:w="1134" w:type="dxa"/>
            <w:tcBorders>
              <w:top w:val="nil"/>
              <w:left w:val="nil"/>
              <w:bottom w:val="single" w:sz="4" w:space="0" w:color="auto"/>
              <w:right w:val="single" w:sz="4" w:space="0" w:color="auto"/>
            </w:tcBorders>
            <w:shd w:val="clear" w:color="auto" w:fill="C6EFCE"/>
          </w:tcPr>
          <w:p w14:paraId="25606F8C" w14:textId="77777777" w:rsidR="003A3D51" w:rsidRDefault="0002775A">
            <w:pPr>
              <w:pStyle w:val="P68B1DB1-Normal41"/>
              <w:jc w:val="center"/>
              <w:rPr>
                <w:noProof/>
              </w:rPr>
            </w:pPr>
            <w:r>
              <w:rPr>
                <w:noProof/>
              </w:rPr>
              <w:t> </w:t>
            </w:r>
          </w:p>
        </w:tc>
        <w:tc>
          <w:tcPr>
            <w:tcW w:w="851" w:type="dxa"/>
            <w:tcBorders>
              <w:top w:val="nil"/>
              <w:left w:val="nil"/>
              <w:bottom w:val="single" w:sz="4" w:space="0" w:color="auto"/>
              <w:right w:val="single" w:sz="4" w:space="0" w:color="auto"/>
            </w:tcBorders>
            <w:shd w:val="clear" w:color="auto" w:fill="C6EFCE"/>
          </w:tcPr>
          <w:p w14:paraId="7FA410C4" w14:textId="77777777" w:rsidR="003A3D51" w:rsidRDefault="0002775A">
            <w:pPr>
              <w:pStyle w:val="P68B1DB1-Normal41"/>
              <w:jc w:val="center"/>
              <w:rPr>
                <w:noProof/>
              </w:rPr>
            </w:pPr>
            <w:r>
              <w:rPr>
                <w:noProof/>
              </w:rPr>
              <w:t> </w:t>
            </w:r>
          </w:p>
        </w:tc>
        <w:tc>
          <w:tcPr>
            <w:tcW w:w="567" w:type="dxa"/>
            <w:tcBorders>
              <w:top w:val="nil"/>
              <w:left w:val="nil"/>
              <w:bottom w:val="single" w:sz="4" w:space="0" w:color="auto"/>
              <w:right w:val="single" w:sz="4" w:space="0" w:color="auto"/>
            </w:tcBorders>
            <w:shd w:val="clear" w:color="auto" w:fill="C6EFCE"/>
          </w:tcPr>
          <w:p w14:paraId="54243746" w14:textId="77777777" w:rsidR="003A3D51" w:rsidRDefault="0002775A">
            <w:pPr>
              <w:pStyle w:val="P68B1DB1-Normal41"/>
              <w:jc w:val="center"/>
              <w:rPr>
                <w:noProof/>
              </w:rPr>
            </w:pPr>
            <w:r>
              <w:rPr>
                <w:noProof/>
              </w:rPr>
              <w:t>KVARTAL 3</w:t>
            </w:r>
          </w:p>
        </w:tc>
        <w:tc>
          <w:tcPr>
            <w:tcW w:w="709" w:type="dxa"/>
            <w:tcBorders>
              <w:top w:val="nil"/>
              <w:left w:val="nil"/>
              <w:bottom w:val="single" w:sz="4" w:space="0" w:color="auto"/>
              <w:right w:val="single" w:sz="4" w:space="0" w:color="auto"/>
            </w:tcBorders>
            <w:shd w:val="clear" w:color="auto" w:fill="C6EFCE"/>
          </w:tcPr>
          <w:p w14:paraId="0C694CE1" w14:textId="77777777" w:rsidR="003A3D51" w:rsidRDefault="0002775A">
            <w:pPr>
              <w:pStyle w:val="P68B1DB1-Normal41"/>
              <w:jc w:val="center"/>
              <w:rPr>
                <w:noProof/>
              </w:rPr>
            </w:pPr>
            <w:r>
              <w:rPr>
                <w:noProof/>
              </w:rPr>
              <w:t>2021</w:t>
            </w:r>
          </w:p>
        </w:tc>
        <w:tc>
          <w:tcPr>
            <w:tcW w:w="3515" w:type="dxa"/>
            <w:tcBorders>
              <w:top w:val="nil"/>
              <w:left w:val="nil"/>
              <w:bottom w:val="single" w:sz="4" w:space="0" w:color="auto"/>
              <w:right w:val="single" w:sz="4" w:space="0" w:color="auto"/>
            </w:tcBorders>
            <w:shd w:val="clear" w:color="auto" w:fill="C6EFCE"/>
          </w:tcPr>
          <w:p w14:paraId="3EB6FC0D" w14:textId="77777777" w:rsidR="003A3D51" w:rsidRDefault="0002775A">
            <w:pPr>
              <w:pStyle w:val="P68B1DB1-Normal41"/>
              <w:rPr>
                <w:noProof/>
              </w:rPr>
            </w:pPr>
            <w:r>
              <w:rPr>
                <w:noProof/>
              </w:rPr>
              <w:t>Ändringar av stadgarna för byrån för revision av systemet för genomförande av Europeiska unionens program (ARPA) ska fastställa mandatet för ARPA att inrätta och genomföra systemrevisioner och kontroller i samband med den nationella planen för återhämtning och resiliens.</w:t>
            </w:r>
          </w:p>
        </w:tc>
      </w:tr>
      <w:tr w:rsidR="003A3D51" w14:paraId="425EAA1F" w14:textId="77777777">
        <w:trPr>
          <w:trHeight w:val="300"/>
        </w:trPr>
        <w:tc>
          <w:tcPr>
            <w:tcW w:w="993" w:type="dxa"/>
            <w:tcBorders>
              <w:top w:val="nil"/>
              <w:left w:val="single" w:sz="4" w:space="0" w:color="auto"/>
              <w:bottom w:val="single" w:sz="4" w:space="0" w:color="auto"/>
              <w:right w:val="single" w:sz="4" w:space="0" w:color="auto"/>
            </w:tcBorders>
            <w:shd w:val="clear" w:color="auto" w:fill="C6EFCE"/>
          </w:tcPr>
          <w:p w14:paraId="79EA3058" w14:textId="77777777" w:rsidR="003A3D51" w:rsidRDefault="0002775A">
            <w:pPr>
              <w:pStyle w:val="P68B1DB1-Normal41"/>
              <w:jc w:val="center"/>
              <w:rPr>
                <w:noProof/>
              </w:rPr>
            </w:pPr>
            <w:r>
              <w:rPr>
                <w:noProof/>
              </w:rPr>
              <w:t>157</w:t>
            </w:r>
          </w:p>
        </w:tc>
        <w:tc>
          <w:tcPr>
            <w:tcW w:w="993" w:type="dxa"/>
            <w:tcBorders>
              <w:top w:val="nil"/>
              <w:left w:val="nil"/>
              <w:bottom w:val="single" w:sz="4" w:space="0" w:color="auto"/>
              <w:right w:val="single" w:sz="4" w:space="0" w:color="auto"/>
            </w:tcBorders>
            <w:shd w:val="clear" w:color="auto" w:fill="C6EFCE"/>
          </w:tcPr>
          <w:p w14:paraId="284DA977" w14:textId="77777777" w:rsidR="003A3D51" w:rsidRDefault="0002775A">
            <w:pPr>
              <w:pStyle w:val="P68B1DB1-Normal41"/>
              <w:jc w:val="center"/>
              <w:rPr>
                <w:noProof/>
              </w:rPr>
            </w:pPr>
            <w:r>
              <w:rPr>
                <w:noProof/>
              </w:rPr>
              <w:t>C2.1 R2</w:t>
            </w:r>
          </w:p>
        </w:tc>
        <w:tc>
          <w:tcPr>
            <w:tcW w:w="992" w:type="dxa"/>
            <w:tcBorders>
              <w:top w:val="nil"/>
              <w:left w:val="nil"/>
              <w:bottom w:val="single" w:sz="4" w:space="0" w:color="auto"/>
              <w:right w:val="single" w:sz="4" w:space="0" w:color="auto"/>
            </w:tcBorders>
            <w:shd w:val="clear" w:color="auto" w:fill="C6EFCE"/>
          </w:tcPr>
          <w:p w14:paraId="466AF9B2" w14:textId="77777777" w:rsidR="003A3D51" w:rsidRDefault="0002775A">
            <w:pPr>
              <w:pStyle w:val="P68B1DB1-Normal41"/>
              <w:jc w:val="center"/>
              <w:rPr>
                <w:noProof/>
              </w:rPr>
            </w:pPr>
            <w:r>
              <w:rPr>
                <w:noProof/>
              </w:rPr>
              <w:t>M</w:t>
            </w:r>
          </w:p>
        </w:tc>
        <w:tc>
          <w:tcPr>
            <w:tcW w:w="2126" w:type="dxa"/>
            <w:tcBorders>
              <w:top w:val="nil"/>
              <w:left w:val="nil"/>
              <w:bottom w:val="single" w:sz="4" w:space="0" w:color="auto"/>
              <w:right w:val="single" w:sz="4" w:space="0" w:color="auto"/>
            </w:tcBorders>
            <w:shd w:val="clear" w:color="auto" w:fill="C6EFCE"/>
          </w:tcPr>
          <w:p w14:paraId="10F9F5BD" w14:textId="77777777" w:rsidR="003A3D51" w:rsidRDefault="0002775A">
            <w:pPr>
              <w:pStyle w:val="P68B1DB1-Normal41"/>
              <w:rPr>
                <w:noProof/>
              </w:rPr>
            </w:pPr>
            <w:r>
              <w:rPr>
                <w:noProof/>
              </w:rPr>
              <w:t>Inrättande av genomförande-, revisions- och kontrollsystem för återhämtnings- och resiliensplanen</w:t>
            </w:r>
          </w:p>
        </w:tc>
        <w:tc>
          <w:tcPr>
            <w:tcW w:w="2300" w:type="dxa"/>
            <w:tcBorders>
              <w:top w:val="nil"/>
              <w:left w:val="nil"/>
              <w:bottom w:val="single" w:sz="4" w:space="0" w:color="auto"/>
              <w:right w:val="single" w:sz="4" w:space="0" w:color="auto"/>
            </w:tcBorders>
            <w:shd w:val="clear" w:color="auto" w:fill="C6EFCE"/>
          </w:tcPr>
          <w:p w14:paraId="6054FF7E" w14:textId="77777777" w:rsidR="003A3D51" w:rsidRDefault="0002775A">
            <w:pPr>
              <w:pStyle w:val="P68B1DB1-Normal41"/>
              <w:rPr>
                <w:noProof/>
              </w:rPr>
            </w:pPr>
            <w:r>
              <w:rPr>
                <w:noProof/>
              </w:rPr>
              <w:t>Ikraftträdande av den kroatiska regeringens beslut om organen i systemet för genomförande av den nationella planen för återhämtning och resiliens, inrättande av samordningsorganet under finansministeriet och uppdatering av de förfaranden som används av genomförandeorganen.</w:t>
            </w:r>
          </w:p>
        </w:tc>
        <w:tc>
          <w:tcPr>
            <w:tcW w:w="847" w:type="dxa"/>
            <w:tcBorders>
              <w:top w:val="nil"/>
              <w:left w:val="nil"/>
              <w:bottom w:val="single" w:sz="4" w:space="0" w:color="auto"/>
              <w:right w:val="single" w:sz="4" w:space="0" w:color="auto"/>
            </w:tcBorders>
            <w:shd w:val="clear" w:color="auto" w:fill="C6EFCE"/>
          </w:tcPr>
          <w:p w14:paraId="37DA6894" w14:textId="77777777" w:rsidR="003A3D51" w:rsidRDefault="0002775A">
            <w:pPr>
              <w:pStyle w:val="P68B1DB1-Normal41"/>
              <w:jc w:val="center"/>
              <w:rPr>
                <w:noProof/>
              </w:rPr>
            </w:pPr>
            <w:r>
              <w:rPr>
                <w:noProof/>
              </w:rPr>
              <w:t> </w:t>
            </w:r>
          </w:p>
        </w:tc>
        <w:tc>
          <w:tcPr>
            <w:tcW w:w="1134" w:type="dxa"/>
            <w:tcBorders>
              <w:top w:val="nil"/>
              <w:left w:val="nil"/>
              <w:bottom w:val="single" w:sz="4" w:space="0" w:color="auto"/>
              <w:right w:val="single" w:sz="4" w:space="0" w:color="auto"/>
            </w:tcBorders>
            <w:shd w:val="clear" w:color="auto" w:fill="C6EFCE"/>
          </w:tcPr>
          <w:p w14:paraId="50EACD82" w14:textId="77777777" w:rsidR="003A3D51" w:rsidRDefault="0002775A">
            <w:pPr>
              <w:pStyle w:val="P68B1DB1-Normal41"/>
              <w:jc w:val="center"/>
              <w:rPr>
                <w:noProof/>
              </w:rPr>
            </w:pPr>
            <w:r>
              <w:rPr>
                <w:noProof/>
              </w:rPr>
              <w:t> </w:t>
            </w:r>
          </w:p>
        </w:tc>
        <w:tc>
          <w:tcPr>
            <w:tcW w:w="851" w:type="dxa"/>
            <w:tcBorders>
              <w:top w:val="nil"/>
              <w:left w:val="nil"/>
              <w:bottom w:val="single" w:sz="4" w:space="0" w:color="auto"/>
              <w:right w:val="single" w:sz="4" w:space="0" w:color="auto"/>
            </w:tcBorders>
            <w:shd w:val="clear" w:color="auto" w:fill="C6EFCE"/>
          </w:tcPr>
          <w:p w14:paraId="5ADAC29A" w14:textId="77777777" w:rsidR="003A3D51" w:rsidRDefault="0002775A">
            <w:pPr>
              <w:pStyle w:val="P68B1DB1-Normal41"/>
              <w:jc w:val="center"/>
              <w:rPr>
                <w:noProof/>
              </w:rPr>
            </w:pPr>
            <w:r>
              <w:rPr>
                <w:noProof/>
              </w:rPr>
              <w:t> </w:t>
            </w:r>
          </w:p>
        </w:tc>
        <w:tc>
          <w:tcPr>
            <w:tcW w:w="567" w:type="dxa"/>
            <w:tcBorders>
              <w:top w:val="nil"/>
              <w:left w:val="nil"/>
              <w:bottom w:val="single" w:sz="4" w:space="0" w:color="auto"/>
              <w:right w:val="single" w:sz="4" w:space="0" w:color="auto"/>
            </w:tcBorders>
            <w:shd w:val="clear" w:color="auto" w:fill="C6EFCE"/>
          </w:tcPr>
          <w:p w14:paraId="156867A3" w14:textId="77777777" w:rsidR="003A3D51" w:rsidRDefault="0002775A">
            <w:pPr>
              <w:pStyle w:val="P68B1DB1-Normal41"/>
              <w:jc w:val="center"/>
              <w:rPr>
                <w:noProof/>
              </w:rPr>
            </w:pPr>
            <w:r>
              <w:rPr>
                <w:noProof/>
              </w:rPr>
              <w:t>KVARTAL 4</w:t>
            </w:r>
          </w:p>
        </w:tc>
        <w:tc>
          <w:tcPr>
            <w:tcW w:w="709" w:type="dxa"/>
            <w:tcBorders>
              <w:top w:val="nil"/>
              <w:left w:val="nil"/>
              <w:bottom w:val="single" w:sz="4" w:space="0" w:color="auto"/>
              <w:right w:val="single" w:sz="4" w:space="0" w:color="auto"/>
            </w:tcBorders>
            <w:shd w:val="clear" w:color="auto" w:fill="C6EFCE"/>
          </w:tcPr>
          <w:p w14:paraId="615C9BF3" w14:textId="77777777" w:rsidR="003A3D51" w:rsidRDefault="0002775A">
            <w:pPr>
              <w:pStyle w:val="P68B1DB1-Normal41"/>
              <w:jc w:val="center"/>
              <w:rPr>
                <w:noProof/>
              </w:rPr>
            </w:pPr>
            <w:r>
              <w:rPr>
                <w:noProof/>
              </w:rPr>
              <w:t>2021</w:t>
            </w:r>
          </w:p>
        </w:tc>
        <w:tc>
          <w:tcPr>
            <w:tcW w:w="3515" w:type="dxa"/>
            <w:tcBorders>
              <w:top w:val="nil"/>
              <w:left w:val="nil"/>
              <w:bottom w:val="single" w:sz="4" w:space="0" w:color="auto"/>
              <w:right w:val="single" w:sz="4" w:space="0" w:color="auto"/>
            </w:tcBorders>
            <w:shd w:val="clear" w:color="auto" w:fill="C6EFCE"/>
          </w:tcPr>
          <w:p w14:paraId="38D79AE9" w14:textId="77777777" w:rsidR="003A3D51" w:rsidRDefault="0002775A">
            <w:pPr>
              <w:pStyle w:val="P68B1DB1-Normal41"/>
              <w:rPr>
                <w:noProof/>
              </w:rPr>
            </w:pPr>
            <w:r>
              <w:rPr>
                <w:noProof/>
              </w:rPr>
              <w:t>Beslutet om organen i systemet för återhämtnings- och resiliensplaner ska fastställa de behöriga myndigheterna och ansvaret för att utföra uppgifterna i samband med genomförandet av återhämtnings- och resiliensplanen, inbegripet ett centralt samordningsorgan under finansministeriet för att säkerställa genomförandet och övervakningen av åtgärderna inom faciliteten för återhämtning och resiliens, inbegripet reformer, medan genomförandekommittén kommer att säkerställa konsekvens och samstämmighet i användningen av EU-medel.</w:t>
            </w:r>
            <w:r>
              <w:rPr>
                <w:noProof/>
              </w:rPr>
              <w:br/>
              <w:t>Samordningsorganet för planen för återhämtning och resiliens ska inrättas och fungera fullt ut inom finansministeriet.</w:t>
            </w:r>
            <w:r>
              <w:rPr>
                <w:noProof/>
              </w:rPr>
              <w:br/>
              <w:t>Alla förfaranden som används av genomförandeorganen för återhämtnings- och resiliensplanen ska uppdateras och införas.</w:t>
            </w:r>
          </w:p>
        </w:tc>
      </w:tr>
      <w:tr w:rsidR="003A3D51" w14:paraId="07952E4A" w14:textId="77777777">
        <w:trPr>
          <w:trHeight w:val="300"/>
        </w:trPr>
        <w:tc>
          <w:tcPr>
            <w:tcW w:w="993" w:type="dxa"/>
            <w:tcBorders>
              <w:top w:val="nil"/>
              <w:left w:val="single" w:sz="4" w:space="0" w:color="auto"/>
              <w:bottom w:val="single" w:sz="4" w:space="0" w:color="auto"/>
              <w:right w:val="single" w:sz="4" w:space="0" w:color="auto"/>
            </w:tcBorders>
            <w:shd w:val="clear" w:color="auto" w:fill="C6EFCE"/>
          </w:tcPr>
          <w:p w14:paraId="44B13A0F" w14:textId="77777777" w:rsidR="003A3D51" w:rsidRDefault="0002775A">
            <w:pPr>
              <w:pStyle w:val="P68B1DB1-Normal41"/>
              <w:jc w:val="center"/>
              <w:rPr>
                <w:rFonts w:ascii="Times New Roman" w:hAnsi="Times New Roman" w:cs="Times New Roman"/>
                <w:noProof/>
              </w:rPr>
            </w:pPr>
            <w:r>
              <w:rPr>
                <w:noProof/>
              </w:rPr>
              <w:t>158</w:t>
            </w:r>
          </w:p>
        </w:tc>
        <w:tc>
          <w:tcPr>
            <w:tcW w:w="993" w:type="dxa"/>
            <w:tcBorders>
              <w:top w:val="nil"/>
              <w:left w:val="nil"/>
              <w:bottom w:val="single" w:sz="4" w:space="0" w:color="auto"/>
              <w:right w:val="single" w:sz="4" w:space="0" w:color="auto"/>
            </w:tcBorders>
            <w:shd w:val="clear" w:color="auto" w:fill="C6EFCE"/>
          </w:tcPr>
          <w:p w14:paraId="5E0D2046" w14:textId="77777777" w:rsidR="003A3D51" w:rsidRDefault="0002775A">
            <w:pPr>
              <w:pStyle w:val="P68B1DB1-Normal41"/>
              <w:jc w:val="center"/>
              <w:rPr>
                <w:rFonts w:ascii="Times New Roman" w:hAnsi="Times New Roman" w:cs="Times New Roman"/>
                <w:noProof/>
              </w:rPr>
            </w:pPr>
            <w:r>
              <w:rPr>
                <w:noProof/>
              </w:rPr>
              <w:t>C2.1 R2</w:t>
            </w:r>
          </w:p>
        </w:tc>
        <w:tc>
          <w:tcPr>
            <w:tcW w:w="992" w:type="dxa"/>
            <w:tcBorders>
              <w:top w:val="nil"/>
              <w:left w:val="nil"/>
              <w:bottom w:val="single" w:sz="4" w:space="0" w:color="auto"/>
              <w:right w:val="single" w:sz="4" w:space="0" w:color="auto"/>
            </w:tcBorders>
            <w:shd w:val="clear" w:color="auto" w:fill="C6EFCE"/>
          </w:tcPr>
          <w:p w14:paraId="389BFA91" w14:textId="77777777" w:rsidR="003A3D51" w:rsidRDefault="0002775A">
            <w:pPr>
              <w:pStyle w:val="P68B1DB1-Normal41"/>
              <w:jc w:val="center"/>
              <w:rPr>
                <w:rFonts w:ascii="Times New Roman" w:hAnsi="Times New Roman" w:cs="Times New Roman"/>
                <w:noProof/>
              </w:rPr>
            </w:pPr>
            <w:r>
              <w:rPr>
                <w:noProof/>
              </w:rPr>
              <w:t>M</w:t>
            </w:r>
          </w:p>
        </w:tc>
        <w:tc>
          <w:tcPr>
            <w:tcW w:w="2126" w:type="dxa"/>
            <w:tcBorders>
              <w:top w:val="nil"/>
              <w:left w:val="nil"/>
              <w:bottom w:val="single" w:sz="4" w:space="0" w:color="auto"/>
              <w:right w:val="single" w:sz="4" w:space="0" w:color="auto"/>
            </w:tcBorders>
            <w:shd w:val="clear" w:color="auto" w:fill="C6EFCE"/>
          </w:tcPr>
          <w:p w14:paraId="52E85E0C" w14:textId="77777777" w:rsidR="003A3D51" w:rsidRDefault="0002775A">
            <w:pPr>
              <w:pStyle w:val="P68B1DB1-Normal41"/>
              <w:rPr>
                <w:rFonts w:ascii="Times New Roman" w:hAnsi="Times New Roman" w:cs="Times New Roman"/>
                <w:noProof/>
              </w:rPr>
            </w:pPr>
            <w:r>
              <w:rPr>
                <w:noProof/>
              </w:rPr>
              <w:t>Antagande av lagen om den institutionella ramen för EU-medel</w:t>
            </w:r>
          </w:p>
        </w:tc>
        <w:tc>
          <w:tcPr>
            <w:tcW w:w="2300" w:type="dxa"/>
            <w:tcBorders>
              <w:top w:val="nil"/>
              <w:left w:val="nil"/>
              <w:bottom w:val="single" w:sz="4" w:space="0" w:color="auto"/>
              <w:right w:val="single" w:sz="4" w:space="0" w:color="auto"/>
            </w:tcBorders>
            <w:shd w:val="clear" w:color="auto" w:fill="C6EFCE"/>
          </w:tcPr>
          <w:p w14:paraId="376CD63D" w14:textId="77777777" w:rsidR="003A3D51" w:rsidRDefault="0002775A">
            <w:pPr>
              <w:pStyle w:val="P68B1DB1-Normal41"/>
              <w:rPr>
                <w:rFonts w:ascii="Times New Roman" w:hAnsi="Times New Roman" w:cs="Times New Roman"/>
                <w:noProof/>
              </w:rPr>
            </w:pPr>
            <w:r>
              <w:rPr>
                <w:noProof/>
              </w:rPr>
              <w:t xml:space="preserve">Ikraftträdande av lagen om den institutionella ramen för EU-medel </w:t>
            </w:r>
          </w:p>
        </w:tc>
        <w:tc>
          <w:tcPr>
            <w:tcW w:w="847" w:type="dxa"/>
            <w:tcBorders>
              <w:top w:val="nil"/>
              <w:left w:val="nil"/>
              <w:bottom w:val="single" w:sz="4" w:space="0" w:color="auto"/>
              <w:right w:val="single" w:sz="4" w:space="0" w:color="auto"/>
            </w:tcBorders>
            <w:shd w:val="clear" w:color="auto" w:fill="C6EFCE"/>
          </w:tcPr>
          <w:p w14:paraId="6563C0DE" w14:textId="77777777" w:rsidR="003A3D51" w:rsidRDefault="0002775A">
            <w:pPr>
              <w:pStyle w:val="P68B1DB1-Normal41"/>
              <w:jc w:val="center"/>
              <w:rPr>
                <w:rFonts w:ascii="Times New Roman" w:hAnsi="Times New Roman" w:cs="Times New Roman"/>
                <w:noProof/>
              </w:rPr>
            </w:pPr>
            <w:r>
              <w:rPr>
                <w:noProof/>
              </w:rPr>
              <w:t> </w:t>
            </w:r>
          </w:p>
        </w:tc>
        <w:tc>
          <w:tcPr>
            <w:tcW w:w="1134" w:type="dxa"/>
            <w:tcBorders>
              <w:top w:val="nil"/>
              <w:left w:val="nil"/>
              <w:bottom w:val="single" w:sz="4" w:space="0" w:color="auto"/>
              <w:right w:val="single" w:sz="4" w:space="0" w:color="auto"/>
            </w:tcBorders>
            <w:shd w:val="clear" w:color="auto" w:fill="C6EFCE"/>
          </w:tcPr>
          <w:p w14:paraId="3EEAF544" w14:textId="77777777" w:rsidR="003A3D51" w:rsidRDefault="0002775A">
            <w:pPr>
              <w:pStyle w:val="P68B1DB1-Normal41"/>
              <w:jc w:val="center"/>
              <w:rPr>
                <w:rFonts w:ascii="Times New Roman" w:hAnsi="Times New Roman" w:cs="Times New Roman"/>
                <w:noProof/>
              </w:rPr>
            </w:pPr>
            <w:r>
              <w:rPr>
                <w:noProof/>
              </w:rPr>
              <w:t> </w:t>
            </w:r>
          </w:p>
        </w:tc>
        <w:tc>
          <w:tcPr>
            <w:tcW w:w="851" w:type="dxa"/>
            <w:tcBorders>
              <w:top w:val="nil"/>
              <w:left w:val="nil"/>
              <w:bottom w:val="single" w:sz="4" w:space="0" w:color="auto"/>
              <w:right w:val="single" w:sz="4" w:space="0" w:color="auto"/>
            </w:tcBorders>
            <w:shd w:val="clear" w:color="auto" w:fill="C6EFCE"/>
          </w:tcPr>
          <w:p w14:paraId="56D00BC4"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nil"/>
              <w:left w:val="nil"/>
              <w:bottom w:val="single" w:sz="4" w:space="0" w:color="auto"/>
              <w:right w:val="single" w:sz="4" w:space="0" w:color="auto"/>
            </w:tcBorders>
            <w:shd w:val="clear" w:color="auto" w:fill="C6EFCE"/>
          </w:tcPr>
          <w:p w14:paraId="066044C9"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tcPr>
          <w:p w14:paraId="363B79AF" w14:textId="77777777" w:rsidR="003A3D51" w:rsidRDefault="0002775A">
            <w:pPr>
              <w:pStyle w:val="P68B1DB1-Normal41"/>
              <w:jc w:val="center"/>
              <w:rPr>
                <w:rFonts w:ascii="Times New Roman" w:hAnsi="Times New Roman" w:cs="Times New Roman"/>
                <w:noProof/>
              </w:rPr>
            </w:pPr>
            <w:r>
              <w:rPr>
                <w:noProof/>
              </w:rPr>
              <w:t>2021</w:t>
            </w:r>
          </w:p>
        </w:tc>
        <w:tc>
          <w:tcPr>
            <w:tcW w:w="3515" w:type="dxa"/>
            <w:tcBorders>
              <w:top w:val="nil"/>
              <w:left w:val="nil"/>
              <w:bottom w:val="single" w:sz="4" w:space="0" w:color="auto"/>
              <w:right w:val="single" w:sz="4" w:space="0" w:color="auto"/>
            </w:tcBorders>
            <w:shd w:val="clear" w:color="auto" w:fill="C6EFCE"/>
          </w:tcPr>
          <w:p w14:paraId="22B7FDED" w14:textId="77777777" w:rsidR="003A3D51" w:rsidRDefault="0002775A">
            <w:pPr>
              <w:pStyle w:val="P68B1DB1-Normal41"/>
              <w:rPr>
                <w:rFonts w:ascii="Times New Roman" w:hAnsi="Times New Roman" w:cs="Times New Roman"/>
                <w:noProof/>
              </w:rPr>
            </w:pPr>
            <w:r>
              <w:rPr>
                <w:noProof/>
              </w:rPr>
              <w:t>Utöver inrättandet av den institutionella ramen och de organ som utser dem i lagen ska lagen också tillhandahålla en ram för inrättandet av kapacitetsuppbyggande verksamhet, som förväntas vidareutvecklas genom en färdplan för uppbyggnad av administrativ kapacitet. Denna färdplan håller på att utarbetas inom ramen för ESI-fondernas programplanering. Lagen ska erkänna behovet av att ytterligare stärka stödmottagarnas kapacitet att förbereda, tillämpa och genomföra projekt som genomförs genom EU-finansierade (operativa) program.</w:t>
            </w:r>
          </w:p>
        </w:tc>
      </w:tr>
      <w:tr w:rsidR="003A3D51" w14:paraId="10270E5D"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011D8169" w14:textId="77777777" w:rsidR="003A3D51" w:rsidRDefault="0002775A">
            <w:pPr>
              <w:pStyle w:val="P68B1DB1-Normal41"/>
              <w:jc w:val="center"/>
              <w:rPr>
                <w:rFonts w:ascii="Times New Roman" w:hAnsi="Times New Roman" w:cs="Times New Roman"/>
                <w:noProof/>
              </w:rPr>
            </w:pPr>
            <w:r>
              <w:rPr>
                <w:noProof/>
              </w:rPr>
              <w:t>159</w:t>
            </w:r>
          </w:p>
        </w:tc>
        <w:tc>
          <w:tcPr>
            <w:tcW w:w="993" w:type="dxa"/>
            <w:tcBorders>
              <w:top w:val="single" w:sz="4" w:space="0" w:color="auto"/>
              <w:left w:val="nil"/>
              <w:bottom w:val="single" w:sz="4" w:space="0" w:color="auto"/>
              <w:right w:val="single" w:sz="4" w:space="0" w:color="auto"/>
            </w:tcBorders>
            <w:shd w:val="clear" w:color="auto" w:fill="C6EFCE"/>
          </w:tcPr>
          <w:p w14:paraId="63FA5948" w14:textId="77777777" w:rsidR="003A3D51" w:rsidRDefault="0002775A">
            <w:pPr>
              <w:pStyle w:val="P68B1DB1-Normal41"/>
              <w:jc w:val="center"/>
              <w:rPr>
                <w:rFonts w:ascii="Times New Roman" w:hAnsi="Times New Roman" w:cs="Times New Roman"/>
                <w:noProof/>
              </w:rPr>
            </w:pPr>
            <w:r>
              <w:rPr>
                <w:noProof/>
              </w:rPr>
              <w:t>C2.1 R2</w:t>
            </w:r>
          </w:p>
        </w:tc>
        <w:tc>
          <w:tcPr>
            <w:tcW w:w="992" w:type="dxa"/>
            <w:tcBorders>
              <w:top w:val="single" w:sz="4" w:space="0" w:color="auto"/>
              <w:left w:val="nil"/>
              <w:bottom w:val="single" w:sz="4" w:space="0" w:color="auto"/>
              <w:right w:val="single" w:sz="4" w:space="0" w:color="auto"/>
            </w:tcBorders>
            <w:shd w:val="clear" w:color="auto" w:fill="C6EFCE"/>
          </w:tcPr>
          <w:p w14:paraId="16400B95" w14:textId="77777777" w:rsidR="003A3D51" w:rsidRDefault="0002775A">
            <w:pPr>
              <w:pStyle w:val="P68B1DB1-Normal41"/>
              <w:jc w:val="center"/>
              <w:rPr>
                <w:rFonts w:ascii="Times New Roman" w:hAnsi="Times New Roman" w:cs="Times New Roman"/>
                <w:noProof/>
              </w:rPr>
            </w:pPr>
            <w:r>
              <w:rPr>
                <w:noProof/>
              </w:rPr>
              <w:t>M</w:t>
            </w:r>
          </w:p>
        </w:tc>
        <w:tc>
          <w:tcPr>
            <w:tcW w:w="2126" w:type="dxa"/>
            <w:tcBorders>
              <w:top w:val="single" w:sz="4" w:space="0" w:color="auto"/>
              <w:left w:val="nil"/>
              <w:bottom w:val="single" w:sz="4" w:space="0" w:color="auto"/>
              <w:right w:val="single" w:sz="4" w:space="0" w:color="auto"/>
            </w:tcBorders>
            <w:shd w:val="clear" w:color="auto" w:fill="C6EFCE"/>
          </w:tcPr>
          <w:p w14:paraId="32090BB3" w14:textId="77777777" w:rsidR="003A3D51" w:rsidRDefault="0002775A">
            <w:pPr>
              <w:pStyle w:val="P68B1DB1-Normal41"/>
              <w:rPr>
                <w:rFonts w:ascii="Times New Roman" w:hAnsi="Times New Roman" w:cs="Times New Roman"/>
                <w:noProof/>
              </w:rPr>
            </w:pPr>
            <w:r>
              <w:rPr>
                <w:noProof/>
              </w:rPr>
              <w:t xml:space="preserve">Bedömning av den administrativa kapaciteten </w:t>
            </w:r>
          </w:p>
        </w:tc>
        <w:tc>
          <w:tcPr>
            <w:tcW w:w="2300" w:type="dxa"/>
            <w:tcBorders>
              <w:top w:val="single" w:sz="4" w:space="0" w:color="auto"/>
              <w:left w:val="nil"/>
              <w:bottom w:val="single" w:sz="4" w:space="0" w:color="auto"/>
              <w:right w:val="single" w:sz="4" w:space="0" w:color="auto"/>
            </w:tcBorders>
            <w:shd w:val="clear" w:color="auto" w:fill="C6EFCE"/>
          </w:tcPr>
          <w:p w14:paraId="2012B130" w14:textId="77777777" w:rsidR="003A3D51" w:rsidRDefault="0002775A">
            <w:pPr>
              <w:pStyle w:val="P68B1DB1-Normal41"/>
              <w:rPr>
                <w:rFonts w:ascii="Times New Roman" w:hAnsi="Times New Roman" w:cs="Times New Roman"/>
                <w:noProof/>
              </w:rPr>
            </w:pPr>
            <w:r>
              <w:rPr>
                <w:noProof/>
              </w:rPr>
              <w:t>En analys av arbetsbelastningen offentliggörs</w:t>
            </w:r>
          </w:p>
        </w:tc>
        <w:tc>
          <w:tcPr>
            <w:tcW w:w="847" w:type="dxa"/>
            <w:tcBorders>
              <w:top w:val="single" w:sz="4" w:space="0" w:color="auto"/>
              <w:left w:val="nil"/>
              <w:bottom w:val="single" w:sz="4" w:space="0" w:color="auto"/>
              <w:right w:val="single" w:sz="4" w:space="0" w:color="auto"/>
            </w:tcBorders>
            <w:shd w:val="clear" w:color="auto" w:fill="C6EFCE"/>
          </w:tcPr>
          <w:p w14:paraId="08244C24" w14:textId="77777777" w:rsidR="003A3D51" w:rsidRDefault="0002775A">
            <w:pPr>
              <w:pStyle w:val="P68B1DB1-Normal41"/>
              <w:jc w:val="center"/>
              <w:rPr>
                <w:rFonts w:ascii="Times New Roman" w:hAnsi="Times New Roman" w:cs="Times New Roman"/>
                <w:noProof/>
              </w:rPr>
            </w:pPr>
            <w:r>
              <w:rPr>
                <w:noProof/>
              </w:rPr>
              <w:t> </w:t>
            </w:r>
          </w:p>
        </w:tc>
        <w:tc>
          <w:tcPr>
            <w:tcW w:w="1134" w:type="dxa"/>
            <w:tcBorders>
              <w:top w:val="single" w:sz="4" w:space="0" w:color="auto"/>
              <w:left w:val="nil"/>
              <w:bottom w:val="single" w:sz="4" w:space="0" w:color="auto"/>
              <w:right w:val="single" w:sz="4" w:space="0" w:color="auto"/>
            </w:tcBorders>
            <w:shd w:val="clear" w:color="auto" w:fill="C6EFCE"/>
          </w:tcPr>
          <w:p w14:paraId="7389C26A" w14:textId="77777777" w:rsidR="003A3D51" w:rsidRDefault="0002775A">
            <w:pPr>
              <w:pStyle w:val="P68B1DB1-Normal41"/>
              <w:jc w:val="center"/>
              <w:rPr>
                <w:rFonts w:ascii="Times New Roman" w:hAnsi="Times New Roman" w:cs="Times New Roman"/>
                <w:noProof/>
              </w:rPr>
            </w:pPr>
            <w:r>
              <w:rPr>
                <w:noProof/>
              </w:rPr>
              <w:t> </w:t>
            </w:r>
          </w:p>
        </w:tc>
        <w:tc>
          <w:tcPr>
            <w:tcW w:w="851" w:type="dxa"/>
            <w:tcBorders>
              <w:top w:val="single" w:sz="4" w:space="0" w:color="auto"/>
              <w:left w:val="nil"/>
              <w:bottom w:val="single" w:sz="4" w:space="0" w:color="auto"/>
              <w:right w:val="single" w:sz="4" w:space="0" w:color="auto"/>
            </w:tcBorders>
            <w:shd w:val="clear" w:color="auto" w:fill="C6EFCE"/>
          </w:tcPr>
          <w:p w14:paraId="06F44556"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single" w:sz="4" w:space="0" w:color="auto"/>
              <w:left w:val="nil"/>
              <w:bottom w:val="single" w:sz="4" w:space="0" w:color="auto"/>
              <w:right w:val="single" w:sz="4" w:space="0" w:color="auto"/>
            </w:tcBorders>
            <w:shd w:val="clear" w:color="auto" w:fill="C6EFCE"/>
          </w:tcPr>
          <w:p w14:paraId="6414AC36"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081F87C3" w14:textId="77777777" w:rsidR="003A3D51" w:rsidRDefault="0002775A">
            <w:pPr>
              <w:pStyle w:val="P68B1DB1-Normal41"/>
              <w:jc w:val="center"/>
              <w:rPr>
                <w:rFonts w:ascii="Times New Roman" w:hAnsi="Times New Roman" w:cs="Times New Roman"/>
                <w:noProof/>
              </w:rPr>
            </w:pPr>
            <w:r>
              <w:rPr>
                <w:noProof/>
              </w:rPr>
              <w:t>2021</w:t>
            </w:r>
          </w:p>
        </w:tc>
        <w:tc>
          <w:tcPr>
            <w:tcW w:w="3515" w:type="dxa"/>
            <w:tcBorders>
              <w:top w:val="single" w:sz="4" w:space="0" w:color="auto"/>
              <w:left w:val="nil"/>
              <w:bottom w:val="single" w:sz="4" w:space="0" w:color="auto"/>
              <w:right w:val="single" w:sz="4" w:space="0" w:color="auto"/>
            </w:tcBorders>
            <w:shd w:val="clear" w:color="auto" w:fill="C6EFCE"/>
          </w:tcPr>
          <w:p w14:paraId="3CA7E5C8" w14:textId="77777777" w:rsidR="003A3D51" w:rsidRDefault="0002775A">
            <w:pPr>
              <w:pStyle w:val="P68B1DB1-Normal41"/>
              <w:rPr>
                <w:rFonts w:ascii="Times New Roman" w:hAnsi="Times New Roman" w:cs="Times New Roman"/>
                <w:noProof/>
              </w:rPr>
            </w:pPr>
            <w:r>
              <w:rPr>
                <w:noProof/>
              </w:rPr>
              <w:t>Analyser av arbetsbördan ska utföras för de institutioner som deltar i respektive förvaltnings- och kontrollsystem, även med beaktande av den börda som uppstår till följd av faciliteten för återhämtning och resiliens. Analysen ska ge tillräcklig information om behoven av administrativ kapacitet i syfte att nå dem i god tid, bland annat genom att utarbeta en uppsättning rekommendationer för att vid behov ta itu med otillräcklig kapacitet. På grundval av analysen och rekommendationerna ska nödvändiga resurser anslås till de berörda institutionerna.</w:t>
            </w:r>
          </w:p>
        </w:tc>
      </w:tr>
      <w:tr w:rsidR="003A3D51" w14:paraId="5C51B757" w14:textId="77777777">
        <w:trPr>
          <w:trHeight w:val="300"/>
        </w:trPr>
        <w:tc>
          <w:tcPr>
            <w:tcW w:w="993" w:type="dxa"/>
            <w:tcBorders>
              <w:top w:val="nil"/>
              <w:left w:val="single" w:sz="4" w:space="0" w:color="auto"/>
              <w:bottom w:val="single" w:sz="4" w:space="0" w:color="auto"/>
              <w:right w:val="single" w:sz="4" w:space="0" w:color="auto"/>
            </w:tcBorders>
            <w:shd w:val="clear" w:color="auto" w:fill="C6EFCE"/>
          </w:tcPr>
          <w:p w14:paraId="455EBE0E" w14:textId="77777777" w:rsidR="003A3D51" w:rsidRDefault="0002775A">
            <w:pPr>
              <w:pStyle w:val="P68B1DB1-Normal41"/>
              <w:jc w:val="center"/>
              <w:rPr>
                <w:rFonts w:ascii="Times New Roman" w:hAnsi="Times New Roman" w:cs="Times New Roman"/>
                <w:noProof/>
              </w:rPr>
            </w:pPr>
            <w:r>
              <w:rPr>
                <w:noProof/>
              </w:rPr>
              <w:t>160</w:t>
            </w:r>
          </w:p>
        </w:tc>
        <w:tc>
          <w:tcPr>
            <w:tcW w:w="993" w:type="dxa"/>
            <w:tcBorders>
              <w:top w:val="nil"/>
              <w:left w:val="nil"/>
              <w:bottom w:val="single" w:sz="4" w:space="0" w:color="auto"/>
              <w:right w:val="single" w:sz="4" w:space="0" w:color="auto"/>
            </w:tcBorders>
            <w:shd w:val="clear" w:color="auto" w:fill="C6EFCE"/>
          </w:tcPr>
          <w:p w14:paraId="5EAE08BC" w14:textId="77777777" w:rsidR="003A3D51" w:rsidRDefault="0002775A">
            <w:pPr>
              <w:pStyle w:val="P68B1DB1-Normal41"/>
              <w:jc w:val="center"/>
              <w:rPr>
                <w:rFonts w:ascii="Times New Roman" w:hAnsi="Times New Roman" w:cs="Times New Roman"/>
                <w:noProof/>
              </w:rPr>
            </w:pPr>
            <w:r>
              <w:rPr>
                <w:noProof/>
              </w:rPr>
              <w:t>C2.1 R2</w:t>
            </w:r>
          </w:p>
        </w:tc>
        <w:tc>
          <w:tcPr>
            <w:tcW w:w="992" w:type="dxa"/>
            <w:tcBorders>
              <w:top w:val="nil"/>
              <w:left w:val="nil"/>
              <w:bottom w:val="single" w:sz="4" w:space="0" w:color="auto"/>
              <w:right w:val="single" w:sz="4" w:space="0" w:color="auto"/>
            </w:tcBorders>
            <w:shd w:val="clear" w:color="auto" w:fill="C6EFCE"/>
          </w:tcPr>
          <w:p w14:paraId="5591F27B" w14:textId="77777777" w:rsidR="003A3D51" w:rsidRDefault="0002775A">
            <w:pPr>
              <w:pStyle w:val="P68B1DB1-Normal41"/>
              <w:jc w:val="center"/>
              <w:rPr>
                <w:rFonts w:ascii="Times New Roman" w:hAnsi="Times New Roman" w:cs="Times New Roman"/>
                <w:noProof/>
              </w:rPr>
            </w:pPr>
            <w:r>
              <w:rPr>
                <w:noProof/>
              </w:rPr>
              <w:t>M</w:t>
            </w:r>
          </w:p>
        </w:tc>
        <w:tc>
          <w:tcPr>
            <w:tcW w:w="2126" w:type="dxa"/>
            <w:tcBorders>
              <w:top w:val="nil"/>
              <w:left w:val="nil"/>
              <w:bottom w:val="single" w:sz="4" w:space="0" w:color="auto"/>
              <w:right w:val="single" w:sz="4" w:space="0" w:color="auto"/>
            </w:tcBorders>
            <w:shd w:val="clear" w:color="auto" w:fill="C6EFCE"/>
          </w:tcPr>
          <w:p w14:paraId="5B103EE2" w14:textId="77777777" w:rsidR="003A3D51" w:rsidRDefault="0002775A">
            <w:pPr>
              <w:pStyle w:val="P68B1DB1-Normal41"/>
              <w:rPr>
                <w:rFonts w:ascii="Times New Roman" w:hAnsi="Times New Roman" w:cs="Times New Roman"/>
                <w:noProof/>
              </w:rPr>
            </w:pPr>
            <w:r>
              <w:rPr>
                <w:noProof/>
              </w:rPr>
              <w:t>Uppgradering av it-systemet eFondovi: Databassystem för revision och kontroll: information för övervakning av genomförandet av RRF</w:t>
            </w:r>
          </w:p>
        </w:tc>
        <w:tc>
          <w:tcPr>
            <w:tcW w:w="2300" w:type="dxa"/>
            <w:tcBorders>
              <w:top w:val="nil"/>
              <w:left w:val="nil"/>
              <w:bottom w:val="single" w:sz="4" w:space="0" w:color="auto"/>
              <w:right w:val="single" w:sz="4" w:space="0" w:color="auto"/>
            </w:tcBorders>
            <w:shd w:val="clear" w:color="auto" w:fill="C6EFCE"/>
          </w:tcPr>
          <w:p w14:paraId="19495B04" w14:textId="77777777" w:rsidR="003A3D51" w:rsidRDefault="0002775A">
            <w:pPr>
              <w:pStyle w:val="P68B1DB1-Normal41"/>
              <w:rPr>
                <w:rFonts w:ascii="Times New Roman" w:hAnsi="Times New Roman" w:cs="Times New Roman"/>
                <w:noProof/>
              </w:rPr>
            </w:pPr>
            <w:r>
              <w:rPr>
                <w:noProof/>
              </w:rPr>
              <w:t>Revisionsrapport som bekräftar databassystemets funktioner</w:t>
            </w:r>
          </w:p>
        </w:tc>
        <w:tc>
          <w:tcPr>
            <w:tcW w:w="847" w:type="dxa"/>
            <w:tcBorders>
              <w:top w:val="nil"/>
              <w:left w:val="nil"/>
              <w:bottom w:val="single" w:sz="4" w:space="0" w:color="auto"/>
              <w:right w:val="single" w:sz="4" w:space="0" w:color="auto"/>
            </w:tcBorders>
            <w:shd w:val="clear" w:color="auto" w:fill="C6EFCE"/>
          </w:tcPr>
          <w:p w14:paraId="2E35660C" w14:textId="77777777" w:rsidR="003A3D51" w:rsidRDefault="0002775A">
            <w:pPr>
              <w:pStyle w:val="P68B1DB1-Normal41"/>
              <w:jc w:val="center"/>
              <w:rPr>
                <w:rFonts w:ascii="Times New Roman" w:hAnsi="Times New Roman" w:cs="Times New Roman"/>
                <w:noProof/>
              </w:rPr>
            </w:pPr>
            <w:r>
              <w:rPr>
                <w:noProof/>
              </w:rPr>
              <w:t> </w:t>
            </w:r>
          </w:p>
        </w:tc>
        <w:tc>
          <w:tcPr>
            <w:tcW w:w="1134" w:type="dxa"/>
            <w:tcBorders>
              <w:top w:val="nil"/>
              <w:left w:val="nil"/>
              <w:bottom w:val="single" w:sz="4" w:space="0" w:color="auto"/>
              <w:right w:val="single" w:sz="4" w:space="0" w:color="auto"/>
            </w:tcBorders>
            <w:shd w:val="clear" w:color="auto" w:fill="C6EFCE"/>
          </w:tcPr>
          <w:p w14:paraId="519899AC" w14:textId="77777777" w:rsidR="003A3D51" w:rsidRDefault="0002775A">
            <w:pPr>
              <w:pStyle w:val="P68B1DB1-Normal41"/>
              <w:jc w:val="center"/>
              <w:rPr>
                <w:rFonts w:ascii="Times New Roman" w:hAnsi="Times New Roman" w:cs="Times New Roman"/>
                <w:noProof/>
              </w:rPr>
            </w:pPr>
            <w:r>
              <w:rPr>
                <w:noProof/>
              </w:rPr>
              <w:t> </w:t>
            </w:r>
          </w:p>
        </w:tc>
        <w:tc>
          <w:tcPr>
            <w:tcW w:w="851" w:type="dxa"/>
            <w:tcBorders>
              <w:top w:val="nil"/>
              <w:left w:val="nil"/>
              <w:bottom w:val="single" w:sz="4" w:space="0" w:color="auto"/>
              <w:right w:val="single" w:sz="4" w:space="0" w:color="auto"/>
            </w:tcBorders>
            <w:shd w:val="clear" w:color="auto" w:fill="C6EFCE"/>
          </w:tcPr>
          <w:p w14:paraId="664C47FB"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nil"/>
              <w:left w:val="nil"/>
              <w:bottom w:val="single" w:sz="4" w:space="0" w:color="auto"/>
              <w:right w:val="single" w:sz="4" w:space="0" w:color="auto"/>
            </w:tcBorders>
            <w:shd w:val="clear" w:color="auto" w:fill="C6EFCE"/>
          </w:tcPr>
          <w:p w14:paraId="177242A0" w14:textId="77777777" w:rsidR="003A3D51" w:rsidRDefault="0002775A">
            <w:pPr>
              <w:pStyle w:val="P68B1DB1-Normal41"/>
              <w:jc w:val="center"/>
              <w:rPr>
                <w:rFonts w:ascii="Times New Roman" w:hAnsi="Times New Roman" w:cs="Times New Roman"/>
                <w:noProof/>
              </w:rPr>
            </w:pPr>
            <w:r>
              <w:rPr>
                <w:noProof/>
              </w:rPr>
              <w:t>KVARTAL 1</w:t>
            </w:r>
          </w:p>
        </w:tc>
        <w:tc>
          <w:tcPr>
            <w:tcW w:w="709" w:type="dxa"/>
            <w:tcBorders>
              <w:top w:val="nil"/>
              <w:left w:val="nil"/>
              <w:bottom w:val="single" w:sz="4" w:space="0" w:color="auto"/>
              <w:right w:val="single" w:sz="4" w:space="0" w:color="auto"/>
            </w:tcBorders>
            <w:shd w:val="clear" w:color="auto" w:fill="C6EFCE"/>
          </w:tcPr>
          <w:p w14:paraId="1572B0D2" w14:textId="77777777" w:rsidR="003A3D51" w:rsidRDefault="0002775A">
            <w:pPr>
              <w:pStyle w:val="P68B1DB1-Normal41"/>
              <w:jc w:val="center"/>
              <w:rPr>
                <w:rFonts w:ascii="Times New Roman" w:hAnsi="Times New Roman" w:cs="Times New Roman"/>
                <w:noProof/>
              </w:rPr>
            </w:pPr>
            <w:r>
              <w:rPr>
                <w:noProof/>
              </w:rPr>
              <w:t>2022</w:t>
            </w:r>
          </w:p>
        </w:tc>
        <w:tc>
          <w:tcPr>
            <w:tcW w:w="3515" w:type="dxa"/>
            <w:tcBorders>
              <w:top w:val="nil"/>
              <w:left w:val="nil"/>
              <w:bottom w:val="single" w:sz="4" w:space="0" w:color="auto"/>
              <w:right w:val="single" w:sz="4" w:space="0" w:color="auto"/>
            </w:tcBorders>
            <w:shd w:val="clear" w:color="auto" w:fill="C6EFCE"/>
          </w:tcPr>
          <w:p w14:paraId="6BF620B5" w14:textId="77777777" w:rsidR="003A3D51" w:rsidRDefault="0002775A">
            <w:pPr>
              <w:pStyle w:val="P68B1DB1-Normal41"/>
              <w:rPr>
                <w:rFonts w:ascii="Times New Roman" w:hAnsi="Times New Roman" w:cs="Times New Roman"/>
                <w:noProof/>
              </w:rPr>
            </w:pPr>
            <w:r>
              <w:rPr>
                <w:noProof/>
              </w:rPr>
              <w:t xml:space="preserve">Ett databassystem för övervakning av genomförandet av faciliteten för återhämtning och resiliens ska finnas på plats och vara i drift. </w:t>
            </w:r>
            <w:r>
              <w:rPr>
                <w:noProof/>
              </w:rPr>
              <w:br/>
              <w:t>Systemet ska minst omfatta följande funktioner:</w:t>
            </w:r>
            <w:r>
              <w:rPr>
                <w:noProof/>
              </w:rPr>
              <w:br/>
              <w:t>(a) Insamling av uppgifter och övervakning av uppnåendet av delmål och mål.</w:t>
            </w:r>
            <w:r>
              <w:rPr>
                <w:noProof/>
              </w:rPr>
              <w:br/>
              <w:t xml:space="preserve">(b) samla in, lagra och säkerställa tillgång till de uppgifter som krävs enligt artikel 22.2 d i-iii i RRF-förordningen.  </w:t>
            </w:r>
          </w:p>
        </w:tc>
      </w:tr>
      <w:tr w:rsidR="003A3D51" w14:paraId="1E4E9518" w14:textId="77777777">
        <w:trPr>
          <w:trHeight w:val="300"/>
        </w:trPr>
        <w:tc>
          <w:tcPr>
            <w:tcW w:w="993" w:type="dxa"/>
            <w:tcBorders>
              <w:top w:val="nil"/>
              <w:left w:val="single" w:sz="4" w:space="0" w:color="auto"/>
              <w:bottom w:val="single" w:sz="4" w:space="0" w:color="auto"/>
              <w:right w:val="single" w:sz="4" w:space="0" w:color="auto"/>
            </w:tcBorders>
            <w:shd w:val="clear" w:color="auto" w:fill="C6EFCE"/>
          </w:tcPr>
          <w:p w14:paraId="45F35A8C" w14:textId="77777777" w:rsidR="003A3D51" w:rsidRDefault="0002775A">
            <w:pPr>
              <w:pStyle w:val="P68B1DB1-Normal41"/>
              <w:jc w:val="center"/>
              <w:rPr>
                <w:rFonts w:ascii="Times New Roman" w:hAnsi="Times New Roman" w:cs="Times New Roman"/>
                <w:noProof/>
              </w:rPr>
            </w:pPr>
            <w:r>
              <w:rPr>
                <w:noProof/>
              </w:rPr>
              <w:t>161</w:t>
            </w:r>
          </w:p>
        </w:tc>
        <w:tc>
          <w:tcPr>
            <w:tcW w:w="993" w:type="dxa"/>
            <w:tcBorders>
              <w:top w:val="nil"/>
              <w:left w:val="nil"/>
              <w:bottom w:val="single" w:sz="4" w:space="0" w:color="auto"/>
              <w:right w:val="single" w:sz="4" w:space="0" w:color="auto"/>
            </w:tcBorders>
            <w:shd w:val="clear" w:color="auto" w:fill="C6EFCE"/>
          </w:tcPr>
          <w:p w14:paraId="23E593D0" w14:textId="77777777" w:rsidR="003A3D51" w:rsidRDefault="0002775A">
            <w:pPr>
              <w:pStyle w:val="P68B1DB1-Normal41"/>
              <w:jc w:val="center"/>
              <w:rPr>
                <w:rFonts w:ascii="Times New Roman" w:hAnsi="Times New Roman" w:cs="Times New Roman"/>
                <w:noProof/>
              </w:rPr>
            </w:pPr>
            <w:r>
              <w:rPr>
                <w:noProof/>
              </w:rPr>
              <w:t>C2.1 R2-I1</w:t>
            </w:r>
          </w:p>
        </w:tc>
        <w:tc>
          <w:tcPr>
            <w:tcW w:w="992" w:type="dxa"/>
            <w:tcBorders>
              <w:top w:val="nil"/>
              <w:left w:val="nil"/>
              <w:bottom w:val="single" w:sz="4" w:space="0" w:color="auto"/>
              <w:right w:val="single" w:sz="4" w:space="0" w:color="auto"/>
            </w:tcBorders>
            <w:shd w:val="clear" w:color="auto" w:fill="C6EFCE"/>
          </w:tcPr>
          <w:p w14:paraId="39645C11" w14:textId="77777777" w:rsidR="003A3D51" w:rsidRDefault="0002775A">
            <w:pPr>
              <w:pStyle w:val="P68B1DB1-Normal41"/>
              <w:jc w:val="center"/>
              <w:rPr>
                <w:rFonts w:ascii="Times New Roman" w:hAnsi="Times New Roman" w:cs="Times New Roman"/>
                <w:noProof/>
              </w:rPr>
            </w:pPr>
            <w:r>
              <w:rPr>
                <w:noProof/>
              </w:rPr>
              <w:t>T</w:t>
            </w:r>
          </w:p>
        </w:tc>
        <w:tc>
          <w:tcPr>
            <w:tcW w:w="2126" w:type="dxa"/>
            <w:tcBorders>
              <w:top w:val="nil"/>
              <w:left w:val="nil"/>
              <w:bottom w:val="single" w:sz="4" w:space="0" w:color="auto"/>
              <w:right w:val="single" w:sz="4" w:space="0" w:color="auto"/>
            </w:tcBorders>
            <w:shd w:val="clear" w:color="auto" w:fill="C6EFCE"/>
          </w:tcPr>
          <w:p w14:paraId="5A2CD948" w14:textId="77777777" w:rsidR="003A3D51" w:rsidRDefault="0002775A">
            <w:pPr>
              <w:pStyle w:val="P68B1DB1-Normal41"/>
              <w:rPr>
                <w:rFonts w:ascii="Times New Roman" w:hAnsi="Times New Roman" w:cs="Times New Roman"/>
                <w:noProof/>
              </w:rPr>
            </w:pPr>
            <w:r>
              <w:rPr>
                <w:noProof/>
              </w:rPr>
              <w:t>Utarbetande av teknisk projektdokumentation för projekt för grön och digital omställning</w:t>
            </w:r>
          </w:p>
        </w:tc>
        <w:tc>
          <w:tcPr>
            <w:tcW w:w="2300" w:type="dxa"/>
            <w:tcBorders>
              <w:top w:val="nil"/>
              <w:left w:val="nil"/>
              <w:bottom w:val="single" w:sz="4" w:space="0" w:color="auto"/>
              <w:right w:val="single" w:sz="4" w:space="0" w:color="auto"/>
            </w:tcBorders>
            <w:shd w:val="clear" w:color="auto" w:fill="C6EFCE"/>
          </w:tcPr>
          <w:p w14:paraId="05988896" w14:textId="77777777" w:rsidR="003A3D51" w:rsidRDefault="0002775A">
            <w:pPr>
              <w:pStyle w:val="P68B1DB1-Normal41"/>
              <w:rPr>
                <w:rFonts w:ascii="Times New Roman" w:hAnsi="Times New Roman" w:cs="Times New Roman"/>
                <w:noProof/>
              </w:rPr>
            </w:pPr>
            <w:r>
              <w:rPr>
                <w:noProof/>
              </w:rPr>
              <w:t xml:space="preserve"> </w:t>
            </w:r>
          </w:p>
        </w:tc>
        <w:tc>
          <w:tcPr>
            <w:tcW w:w="847" w:type="dxa"/>
            <w:tcBorders>
              <w:top w:val="nil"/>
              <w:left w:val="nil"/>
              <w:bottom w:val="single" w:sz="4" w:space="0" w:color="auto"/>
              <w:right w:val="single" w:sz="4" w:space="0" w:color="auto"/>
            </w:tcBorders>
            <w:shd w:val="clear" w:color="auto" w:fill="C6EFCE"/>
          </w:tcPr>
          <w:p w14:paraId="47BC8569" w14:textId="77777777" w:rsidR="003A3D51" w:rsidRDefault="0002775A">
            <w:pPr>
              <w:pStyle w:val="P68B1DB1-Normal41"/>
              <w:jc w:val="center"/>
              <w:rPr>
                <w:rFonts w:ascii="Times New Roman" w:hAnsi="Times New Roman" w:cs="Times New Roman"/>
                <w:noProof/>
              </w:rPr>
            </w:pPr>
            <w:r>
              <w:rPr>
                <w:noProof/>
              </w:rPr>
              <w:t>Nummer (belopp)</w:t>
            </w:r>
          </w:p>
        </w:tc>
        <w:tc>
          <w:tcPr>
            <w:tcW w:w="1134" w:type="dxa"/>
            <w:tcBorders>
              <w:top w:val="nil"/>
              <w:left w:val="nil"/>
              <w:bottom w:val="single" w:sz="4" w:space="0" w:color="auto"/>
              <w:right w:val="single" w:sz="4" w:space="0" w:color="auto"/>
            </w:tcBorders>
            <w:shd w:val="clear" w:color="auto" w:fill="C6EFCE"/>
          </w:tcPr>
          <w:p w14:paraId="2656D959" w14:textId="77777777" w:rsidR="003A3D51" w:rsidRDefault="0002775A">
            <w:pPr>
              <w:pStyle w:val="P68B1DB1-Normal41"/>
              <w:jc w:val="center"/>
              <w:rPr>
                <w:rFonts w:ascii="Times New Roman" w:hAnsi="Times New Roman" w:cs="Times New Roman"/>
                <w:noProof/>
              </w:rPr>
            </w:pPr>
            <w:r>
              <w:rPr>
                <w:noProof/>
              </w:rPr>
              <w:t>0</w:t>
            </w:r>
          </w:p>
        </w:tc>
        <w:tc>
          <w:tcPr>
            <w:tcW w:w="851" w:type="dxa"/>
            <w:tcBorders>
              <w:top w:val="nil"/>
              <w:left w:val="nil"/>
              <w:bottom w:val="single" w:sz="4" w:space="0" w:color="auto"/>
              <w:right w:val="single" w:sz="4" w:space="0" w:color="auto"/>
            </w:tcBorders>
            <w:shd w:val="clear" w:color="auto" w:fill="C6EFCE"/>
          </w:tcPr>
          <w:p w14:paraId="6CDCFAC1" w14:textId="77777777" w:rsidR="003A3D51" w:rsidRDefault="0002775A">
            <w:pPr>
              <w:pStyle w:val="P68B1DB1-Normal41"/>
              <w:jc w:val="center"/>
              <w:rPr>
                <w:rFonts w:ascii="Times New Roman" w:hAnsi="Times New Roman" w:cs="Times New Roman"/>
                <w:noProof/>
              </w:rPr>
            </w:pPr>
            <w:r>
              <w:rPr>
                <w:noProof/>
              </w:rPr>
              <w:t>6 370 695</w:t>
            </w:r>
          </w:p>
        </w:tc>
        <w:tc>
          <w:tcPr>
            <w:tcW w:w="567" w:type="dxa"/>
            <w:tcBorders>
              <w:top w:val="nil"/>
              <w:left w:val="nil"/>
              <w:bottom w:val="single" w:sz="4" w:space="0" w:color="auto"/>
              <w:right w:val="single" w:sz="4" w:space="0" w:color="auto"/>
            </w:tcBorders>
            <w:shd w:val="clear" w:color="auto" w:fill="C6EFCE"/>
          </w:tcPr>
          <w:p w14:paraId="748CACA1"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tcPr>
          <w:p w14:paraId="53C799B1" w14:textId="77777777" w:rsidR="003A3D51" w:rsidRDefault="0002775A">
            <w:pPr>
              <w:pStyle w:val="P68B1DB1-Normal41"/>
              <w:jc w:val="center"/>
              <w:rPr>
                <w:rFonts w:ascii="Times New Roman" w:hAnsi="Times New Roman" w:cs="Times New Roman"/>
                <w:noProof/>
              </w:rPr>
            </w:pPr>
            <w:r>
              <w:rPr>
                <w:noProof/>
              </w:rPr>
              <w:t>2022</w:t>
            </w:r>
          </w:p>
        </w:tc>
        <w:tc>
          <w:tcPr>
            <w:tcW w:w="3515" w:type="dxa"/>
            <w:tcBorders>
              <w:top w:val="nil"/>
              <w:left w:val="nil"/>
              <w:bottom w:val="single" w:sz="4" w:space="0" w:color="auto"/>
              <w:right w:val="single" w:sz="4" w:space="0" w:color="auto"/>
            </w:tcBorders>
            <w:shd w:val="clear" w:color="auto" w:fill="C6EFCE"/>
          </w:tcPr>
          <w:p w14:paraId="2B600939" w14:textId="77777777" w:rsidR="003A3D51" w:rsidRDefault="0002775A">
            <w:pPr>
              <w:pStyle w:val="P68B1DB1-Normal41"/>
              <w:rPr>
                <w:rFonts w:ascii="Times New Roman" w:hAnsi="Times New Roman" w:cs="Times New Roman"/>
                <w:noProof/>
              </w:rPr>
            </w:pPr>
            <w:r>
              <w:rPr>
                <w:noProof/>
              </w:rPr>
              <w:t>6 370 695 EUR ska tilldelas genom beslut om finansiering för utveckling av teknisk projektdokumentation som utarbetas av ministerier, nationella organ och lokala och regionala myndigheter för att stödja den gröna och digitala omställningen.</w:t>
            </w:r>
          </w:p>
        </w:tc>
      </w:tr>
      <w:tr w:rsidR="003A3D51" w14:paraId="6C60EF4E" w14:textId="77777777">
        <w:trPr>
          <w:trHeight w:val="300"/>
        </w:trPr>
        <w:tc>
          <w:tcPr>
            <w:tcW w:w="993" w:type="dxa"/>
            <w:tcBorders>
              <w:top w:val="nil"/>
              <w:left w:val="single" w:sz="4" w:space="0" w:color="auto"/>
              <w:bottom w:val="single" w:sz="4" w:space="0" w:color="auto"/>
              <w:right w:val="single" w:sz="4" w:space="0" w:color="auto"/>
            </w:tcBorders>
            <w:shd w:val="clear" w:color="auto" w:fill="C6EFCE"/>
          </w:tcPr>
          <w:p w14:paraId="47BA74D6" w14:textId="77777777" w:rsidR="003A3D51" w:rsidRDefault="0002775A">
            <w:pPr>
              <w:pStyle w:val="P68B1DB1-Normal41"/>
              <w:jc w:val="center"/>
              <w:rPr>
                <w:rFonts w:ascii="Times New Roman" w:hAnsi="Times New Roman" w:cs="Times New Roman"/>
                <w:noProof/>
              </w:rPr>
            </w:pPr>
            <w:r>
              <w:rPr>
                <w:noProof/>
              </w:rPr>
              <w:t>162</w:t>
            </w:r>
          </w:p>
        </w:tc>
        <w:tc>
          <w:tcPr>
            <w:tcW w:w="993" w:type="dxa"/>
            <w:tcBorders>
              <w:top w:val="nil"/>
              <w:left w:val="nil"/>
              <w:bottom w:val="single" w:sz="4" w:space="0" w:color="auto"/>
              <w:right w:val="single" w:sz="4" w:space="0" w:color="auto"/>
            </w:tcBorders>
            <w:shd w:val="clear" w:color="auto" w:fill="C6EFCE"/>
          </w:tcPr>
          <w:p w14:paraId="57211BA5" w14:textId="77777777" w:rsidR="003A3D51" w:rsidRDefault="0002775A">
            <w:pPr>
              <w:pStyle w:val="P68B1DB1-Normal41"/>
              <w:jc w:val="center"/>
              <w:rPr>
                <w:rFonts w:ascii="Times New Roman" w:hAnsi="Times New Roman" w:cs="Times New Roman"/>
                <w:noProof/>
              </w:rPr>
            </w:pPr>
            <w:r>
              <w:rPr>
                <w:noProof/>
              </w:rPr>
              <w:t>C2.1 R2-I1</w:t>
            </w:r>
          </w:p>
        </w:tc>
        <w:tc>
          <w:tcPr>
            <w:tcW w:w="992" w:type="dxa"/>
            <w:tcBorders>
              <w:top w:val="nil"/>
              <w:left w:val="nil"/>
              <w:bottom w:val="single" w:sz="4" w:space="0" w:color="auto"/>
              <w:right w:val="single" w:sz="4" w:space="0" w:color="auto"/>
            </w:tcBorders>
            <w:shd w:val="clear" w:color="auto" w:fill="C6EFCE"/>
          </w:tcPr>
          <w:p w14:paraId="2C2E63FB" w14:textId="77777777" w:rsidR="003A3D51" w:rsidRDefault="0002775A">
            <w:pPr>
              <w:pStyle w:val="P68B1DB1-Normal41"/>
              <w:jc w:val="center"/>
              <w:rPr>
                <w:rFonts w:ascii="Times New Roman" w:hAnsi="Times New Roman" w:cs="Times New Roman"/>
                <w:noProof/>
              </w:rPr>
            </w:pPr>
            <w:r>
              <w:rPr>
                <w:noProof/>
              </w:rPr>
              <w:t>T</w:t>
            </w:r>
          </w:p>
        </w:tc>
        <w:tc>
          <w:tcPr>
            <w:tcW w:w="2126" w:type="dxa"/>
            <w:tcBorders>
              <w:top w:val="nil"/>
              <w:left w:val="nil"/>
              <w:bottom w:val="single" w:sz="4" w:space="0" w:color="auto"/>
              <w:right w:val="single" w:sz="4" w:space="0" w:color="auto"/>
            </w:tcBorders>
            <w:shd w:val="clear" w:color="auto" w:fill="C6EFCE"/>
          </w:tcPr>
          <w:p w14:paraId="0ABE6243" w14:textId="77777777" w:rsidR="003A3D51" w:rsidRDefault="0002775A">
            <w:pPr>
              <w:pStyle w:val="P68B1DB1-Normal41"/>
              <w:rPr>
                <w:rFonts w:ascii="Times New Roman" w:hAnsi="Times New Roman" w:cs="Times New Roman"/>
                <w:noProof/>
              </w:rPr>
            </w:pPr>
            <w:r>
              <w:rPr>
                <w:noProof/>
              </w:rPr>
              <w:t>Utarbetande av teknisk projektdokumentation för projekt för grön och digital omställning</w:t>
            </w:r>
          </w:p>
        </w:tc>
        <w:tc>
          <w:tcPr>
            <w:tcW w:w="2300" w:type="dxa"/>
            <w:tcBorders>
              <w:top w:val="nil"/>
              <w:left w:val="nil"/>
              <w:bottom w:val="single" w:sz="4" w:space="0" w:color="auto"/>
              <w:right w:val="single" w:sz="4" w:space="0" w:color="auto"/>
            </w:tcBorders>
            <w:shd w:val="clear" w:color="auto" w:fill="C6EFCE"/>
          </w:tcPr>
          <w:p w14:paraId="44CC6228" w14:textId="77777777" w:rsidR="003A3D51" w:rsidRDefault="0002775A">
            <w:pPr>
              <w:pStyle w:val="P68B1DB1-Normal41"/>
              <w:rPr>
                <w:rFonts w:ascii="Times New Roman" w:hAnsi="Times New Roman" w:cs="Times New Roman"/>
                <w:noProof/>
              </w:rPr>
            </w:pPr>
            <w:r>
              <w:rPr>
                <w:noProof/>
              </w:rPr>
              <w:t> </w:t>
            </w:r>
          </w:p>
        </w:tc>
        <w:tc>
          <w:tcPr>
            <w:tcW w:w="847" w:type="dxa"/>
            <w:tcBorders>
              <w:top w:val="nil"/>
              <w:left w:val="nil"/>
              <w:bottom w:val="single" w:sz="4" w:space="0" w:color="auto"/>
              <w:right w:val="single" w:sz="4" w:space="0" w:color="auto"/>
            </w:tcBorders>
            <w:shd w:val="clear" w:color="auto" w:fill="C6EFCE"/>
          </w:tcPr>
          <w:p w14:paraId="6FDE6CC0" w14:textId="77777777" w:rsidR="003A3D51" w:rsidRDefault="0002775A">
            <w:pPr>
              <w:pStyle w:val="P68B1DB1-Normal41"/>
              <w:jc w:val="center"/>
              <w:rPr>
                <w:rFonts w:ascii="Times New Roman" w:hAnsi="Times New Roman" w:cs="Times New Roman"/>
                <w:noProof/>
              </w:rPr>
            </w:pPr>
            <w:r>
              <w:rPr>
                <w:noProof/>
              </w:rPr>
              <w:t>Antal</w:t>
            </w:r>
          </w:p>
        </w:tc>
        <w:tc>
          <w:tcPr>
            <w:tcW w:w="1134" w:type="dxa"/>
            <w:tcBorders>
              <w:top w:val="nil"/>
              <w:left w:val="nil"/>
              <w:bottom w:val="single" w:sz="4" w:space="0" w:color="auto"/>
              <w:right w:val="single" w:sz="4" w:space="0" w:color="auto"/>
            </w:tcBorders>
            <w:shd w:val="clear" w:color="auto" w:fill="C6EFCE"/>
          </w:tcPr>
          <w:p w14:paraId="42FEE1E2" w14:textId="77777777" w:rsidR="003A3D51" w:rsidRDefault="0002775A">
            <w:pPr>
              <w:pStyle w:val="P68B1DB1-Normal41"/>
              <w:jc w:val="center"/>
              <w:rPr>
                <w:rFonts w:ascii="Times New Roman" w:hAnsi="Times New Roman" w:cs="Times New Roman"/>
                <w:noProof/>
              </w:rPr>
            </w:pPr>
            <w:r>
              <w:rPr>
                <w:noProof/>
              </w:rPr>
              <w:t>0</w:t>
            </w:r>
          </w:p>
        </w:tc>
        <w:tc>
          <w:tcPr>
            <w:tcW w:w="851" w:type="dxa"/>
            <w:tcBorders>
              <w:top w:val="nil"/>
              <w:left w:val="nil"/>
              <w:bottom w:val="single" w:sz="4" w:space="0" w:color="auto"/>
              <w:right w:val="single" w:sz="4" w:space="0" w:color="auto"/>
            </w:tcBorders>
            <w:shd w:val="clear" w:color="auto" w:fill="C6EFCE"/>
          </w:tcPr>
          <w:p w14:paraId="472C76BD" w14:textId="77777777" w:rsidR="003A3D51" w:rsidRDefault="0002775A">
            <w:pPr>
              <w:pStyle w:val="P68B1DB1-Normal41"/>
              <w:jc w:val="center"/>
              <w:rPr>
                <w:rFonts w:ascii="Times New Roman" w:hAnsi="Times New Roman" w:cs="Times New Roman"/>
                <w:noProof/>
              </w:rPr>
            </w:pPr>
            <w:r>
              <w:rPr>
                <w:noProof/>
              </w:rPr>
              <w:t>100</w:t>
            </w:r>
          </w:p>
        </w:tc>
        <w:tc>
          <w:tcPr>
            <w:tcW w:w="567" w:type="dxa"/>
            <w:tcBorders>
              <w:top w:val="nil"/>
              <w:left w:val="nil"/>
              <w:bottom w:val="single" w:sz="4" w:space="0" w:color="auto"/>
              <w:right w:val="single" w:sz="4" w:space="0" w:color="auto"/>
            </w:tcBorders>
            <w:shd w:val="clear" w:color="auto" w:fill="C6EFCE"/>
          </w:tcPr>
          <w:p w14:paraId="0FD4101F"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tcPr>
          <w:p w14:paraId="557B3879" w14:textId="77777777" w:rsidR="003A3D51" w:rsidRDefault="0002775A">
            <w:pPr>
              <w:pStyle w:val="P68B1DB1-Normal41"/>
              <w:jc w:val="center"/>
              <w:rPr>
                <w:rFonts w:ascii="Times New Roman" w:hAnsi="Times New Roman" w:cs="Times New Roman"/>
                <w:noProof/>
              </w:rPr>
            </w:pPr>
            <w:r>
              <w:rPr>
                <w:noProof/>
              </w:rPr>
              <w:t>2025</w:t>
            </w:r>
          </w:p>
        </w:tc>
        <w:tc>
          <w:tcPr>
            <w:tcW w:w="3515" w:type="dxa"/>
            <w:tcBorders>
              <w:top w:val="nil"/>
              <w:left w:val="nil"/>
              <w:bottom w:val="single" w:sz="4" w:space="0" w:color="auto"/>
              <w:right w:val="single" w:sz="4" w:space="0" w:color="auto"/>
            </w:tcBorders>
            <w:shd w:val="clear" w:color="auto" w:fill="C6EFCE"/>
          </w:tcPr>
          <w:p w14:paraId="7332512C" w14:textId="77777777" w:rsidR="003A3D51" w:rsidRDefault="0002775A">
            <w:pPr>
              <w:pStyle w:val="P68B1DB1-Normal41"/>
              <w:rPr>
                <w:rFonts w:ascii="Times New Roman" w:hAnsi="Times New Roman" w:cs="Times New Roman"/>
                <w:noProof/>
              </w:rPr>
            </w:pPr>
            <w:r>
              <w:rPr>
                <w:noProof/>
              </w:rPr>
              <w:t>Minst 100 projekt som utarbetats av ministerier, nationella organ och lokala och regionala myndigheter för att stödja den gröna och digitala omställningen ska ha fått stöd för utarbetandet av teknisk projektdokumentation.</w:t>
            </w:r>
          </w:p>
        </w:tc>
      </w:tr>
    </w:tbl>
    <w:p w14:paraId="5DC979F2" w14:textId="77777777" w:rsidR="003A3D51" w:rsidRDefault="003A3D51">
      <w:pPr>
        <w:rPr>
          <w:noProof/>
        </w:rPr>
      </w:pPr>
    </w:p>
    <w:p w14:paraId="04D70B81" w14:textId="77777777" w:rsidR="003A3D51" w:rsidRDefault="003A3D51">
      <w:pPr>
        <w:rPr>
          <w:noProof/>
        </w:rPr>
      </w:pPr>
    </w:p>
    <w:p w14:paraId="4040797F" w14:textId="77777777" w:rsidR="003A3D51" w:rsidRDefault="003A3D51">
      <w:pPr>
        <w:rPr>
          <w:noProof/>
        </w:rPr>
      </w:pPr>
    </w:p>
    <w:p w14:paraId="15582770" w14:textId="77777777" w:rsidR="003A3D51" w:rsidRDefault="003A3D51">
      <w:pPr>
        <w:rPr>
          <w:noProof/>
        </w:rPr>
        <w:sectPr w:rsidR="003A3D51" w:rsidSect="00C75D46">
          <w:headerReference w:type="even" r:id="rId132"/>
          <w:headerReference w:type="default" r:id="rId133"/>
          <w:footerReference w:type="even" r:id="rId134"/>
          <w:footerReference w:type="default" r:id="rId135"/>
          <w:headerReference w:type="first" r:id="rId136"/>
          <w:footerReference w:type="first" r:id="rId137"/>
          <w:pgSz w:w="15840" w:h="12240" w:orient="landscape"/>
          <w:pgMar w:top="1440" w:right="1440" w:bottom="1440" w:left="1440" w:header="720" w:footer="720" w:gutter="0"/>
          <w:cols w:space="720"/>
          <w:docGrid w:linePitch="360"/>
        </w:sectPr>
      </w:pPr>
    </w:p>
    <w:p w14:paraId="71EDA417" w14:textId="77777777" w:rsidR="003A3D51" w:rsidRDefault="003A3D51">
      <w:pPr>
        <w:pStyle w:val="paragraph"/>
        <w:spacing w:before="0" w:beforeAutospacing="0" w:after="0" w:afterAutospacing="0"/>
        <w:ind w:left="705"/>
        <w:jc w:val="both"/>
        <w:textAlignment w:val="baseline"/>
        <w:rPr>
          <w:rFonts w:ascii="Segoe UI" w:hAnsi="Segoe UI" w:cs="Segoe UI"/>
          <w:noProof/>
          <w:sz w:val="18"/>
        </w:rPr>
      </w:pPr>
    </w:p>
    <w:p w14:paraId="44BCED3B"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H.3. </w:t>
      </w:r>
      <w:r>
        <w:rPr>
          <w:rStyle w:val="tabchar"/>
          <w:rFonts w:ascii="Calibri" w:hAnsi="Calibri" w:cs="Calibri"/>
          <w:noProof/>
        </w:rPr>
        <w:tab/>
      </w:r>
      <w:r>
        <w:rPr>
          <w:rStyle w:val="normaltextrun"/>
          <w:b/>
          <w:noProof/>
        </w:rPr>
        <w:t xml:space="preserve">Beskrivning av reformerna och investeringarna för lånet </w:t>
      </w:r>
      <w:r>
        <w:rPr>
          <w:rStyle w:val="normaltextrun"/>
          <w:noProof/>
        </w:rPr>
        <w:t>  </w:t>
      </w:r>
    </w:p>
    <w:p w14:paraId="1EE5D969" w14:textId="77777777" w:rsidR="003A3D51" w:rsidRDefault="0002775A">
      <w:pPr>
        <w:pStyle w:val="paragraph"/>
        <w:spacing w:before="0" w:beforeAutospacing="0" w:after="0" w:afterAutospacing="0"/>
        <w:ind w:left="840"/>
        <w:jc w:val="both"/>
        <w:textAlignment w:val="baseline"/>
        <w:rPr>
          <w:rStyle w:val="eop"/>
          <w:noProof/>
          <w:color w:val="4F81BD"/>
        </w:rPr>
      </w:pPr>
      <w:r>
        <w:rPr>
          <w:rStyle w:val="normaltextrun"/>
          <w:noProof/>
          <w:color w:val="4F81BD"/>
        </w:rPr>
        <w:t> </w:t>
      </w:r>
    </w:p>
    <w:p w14:paraId="72D256FA" w14:textId="2D40A388" w:rsidR="003A3D51" w:rsidRDefault="0002775A">
      <w:pPr>
        <w:pStyle w:val="P68B1DB1-Normal9"/>
        <w:keepNext/>
        <w:ind w:left="850"/>
        <w:jc w:val="both"/>
        <w:rPr>
          <w:noProof/>
        </w:rPr>
      </w:pPr>
      <w:r>
        <w:rPr>
          <w:noProof/>
        </w:rPr>
        <w:t xml:space="preserve">Investeringarna: C2.1.R1-I2: Stärka kapaciteten inom strategisk planering och bättre lagstiftning </w:t>
      </w:r>
    </w:p>
    <w:p w14:paraId="0A5F99C1" w14:textId="77777777" w:rsidR="003A3D51" w:rsidRDefault="0002775A">
      <w:pPr>
        <w:pStyle w:val="Text1"/>
        <w:ind w:left="0"/>
        <w:rPr>
          <w:rStyle w:val="normaltextrun"/>
          <w:noProof/>
          <w:shd w:val="clear" w:color="auto" w:fill="FFFFFF"/>
        </w:rPr>
      </w:pPr>
      <w:r>
        <w:rPr>
          <w:rStyle w:val="normaltextrun"/>
          <w:noProof/>
          <w:shd w:val="clear" w:color="auto" w:fill="FFFFFF"/>
        </w:rPr>
        <w:t xml:space="preserve">Denna investering ska utveckla utbildningsmoduler och anordna utbildningar för att förbättra utförandet av de strategiska planeringsuppgifterna i de statliga organen. Investeringen ska omfatta kontinuerlig kapacitetsuppbyggnad genom utbildning som förväntas göra det möjligt för chefer och tjänstemän att utveckla lämpliga kunskaper och färdigheter. Investeringen förväntas bidra till att säkerställa hållbarheten i systemet för strategisk planering och förbättra kvaliteten på utarbetandet och genomförandet av den offentliga politiken i Kroatien. </w:t>
      </w:r>
    </w:p>
    <w:p w14:paraId="109A2801" w14:textId="77777777" w:rsidR="003A3D51" w:rsidRDefault="0002775A">
      <w:pPr>
        <w:pStyle w:val="P68B1DB1-Normal42"/>
        <w:jc w:val="both"/>
        <w:rPr>
          <w:noProof/>
        </w:rPr>
      </w:pPr>
      <w:r>
        <w:rPr>
          <w:noProof/>
        </w:rPr>
        <w:t>Denna investering ska vara slutförd senast den 31 december 2025.</w:t>
      </w:r>
    </w:p>
    <w:p w14:paraId="04FD6C42" w14:textId="77777777" w:rsidR="003A3D51" w:rsidRDefault="0002775A">
      <w:pPr>
        <w:rPr>
          <w:noProof/>
        </w:rPr>
      </w:pPr>
      <w:r>
        <w:rPr>
          <w:noProof/>
        </w:rPr>
        <w:br w:type="page"/>
      </w:r>
    </w:p>
    <w:p w14:paraId="092ED4CE"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sectPr w:rsidR="003A3D51" w:rsidSect="0001477B">
          <w:headerReference w:type="even" r:id="rId138"/>
          <w:headerReference w:type="default" r:id="rId139"/>
          <w:footerReference w:type="even" r:id="rId140"/>
          <w:footerReference w:type="default" r:id="rId141"/>
          <w:headerReference w:type="first" r:id="rId142"/>
          <w:footerReference w:type="first" r:id="rId143"/>
          <w:pgSz w:w="12240" w:h="15840"/>
          <w:pgMar w:top="1440" w:right="1440" w:bottom="1440" w:left="1440" w:header="720" w:footer="720" w:gutter="0"/>
          <w:cols w:space="720"/>
          <w:docGrid w:linePitch="360"/>
        </w:sectPr>
      </w:pPr>
    </w:p>
    <w:p w14:paraId="0D43A085" w14:textId="3F3CBD1F" w:rsidR="003A3D51" w:rsidRDefault="0002775A">
      <w:pPr>
        <w:pStyle w:val="P68B1DB1-Normal43"/>
        <w:spacing w:line="240" w:lineRule="auto"/>
        <w:ind w:left="840"/>
        <w:jc w:val="both"/>
        <w:textAlignment w:val="baseline"/>
        <w:rPr>
          <w:rFonts w:ascii="Times New Roman" w:eastAsia="Times New Roman" w:hAnsi="Times New Roman" w:cs="Times New Roman"/>
          <w:noProof/>
        </w:rPr>
      </w:pPr>
      <w:r>
        <w:rPr>
          <w:rFonts w:ascii="Times New Roman" w:eastAsia="Times New Roman" w:hAnsi="Times New Roman" w:cs="Times New Roman"/>
          <w:b/>
          <w:noProof/>
        </w:rPr>
        <w:t xml:space="preserve">H.4. </w:t>
      </w:r>
      <w:r>
        <w:rPr>
          <w:rFonts w:ascii="Calibri" w:eastAsia="Times New Roman" w:hAnsi="Calibri" w:cs="Calibri"/>
          <w:noProof/>
        </w:rPr>
        <w:tab/>
      </w:r>
      <w:r>
        <w:rPr>
          <w:rFonts w:ascii="Times New Roman" w:eastAsia="Times New Roman" w:hAnsi="Times New Roman" w:cs="Times New Roman"/>
          <w:b/>
          <w:noProof/>
        </w:rPr>
        <w:t xml:space="preserve">Delmål, mål, indikatorer och tidsplan för övervakning och genomförande av lånet </w:t>
      </w:r>
      <w:r>
        <w:rPr>
          <w:rFonts w:ascii="Times New Roman" w:eastAsia="Times New Roman" w:hAnsi="Times New Roman" w:cs="Times New Roman"/>
          <w:noProof/>
        </w:rPr>
        <w:t xml:space="preserve"> </w:t>
      </w:r>
    </w:p>
    <w:tbl>
      <w:tblPr>
        <w:tblW w:w="15027" w:type="dxa"/>
        <w:tblInd w:w="-885" w:type="dxa"/>
        <w:tblLayout w:type="fixed"/>
        <w:tblLook w:val="04A0" w:firstRow="1" w:lastRow="0" w:firstColumn="1" w:lastColumn="0" w:noHBand="0" w:noVBand="1"/>
      </w:tblPr>
      <w:tblGrid>
        <w:gridCol w:w="993"/>
        <w:gridCol w:w="993"/>
        <w:gridCol w:w="992"/>
        <w:gridCol w:w="2126"/>
        <w:gridCol w:w="2300"/>
        <w:gridCol w:w="847"/>
        <w:gridCol w:w="1134"/>
        <w:gridCol w:w="851"/>
        <w:gridCol w:w="567"/>
        <w:gridCol w:w="709"/>
        <w:gridCol w:w="3515"/>
      </w:tblGrid>
      <w:tr w:rsidR="003A3D51" w14:paraId="332F5D9A" w14:textId="77777777">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81AE1D" w14:textId="77777777" w:rsidR="003A3D51" w:rsidRDefault="0002775A">
            <w:pPr>
              <w:pStyle w:val="P68B1DB1-Normal6"/>
              <w:spacing w:after="0"/>
              <w:jc w:val="center"/>
              <w:rPr>
                <w:noProof/>
              </w:rPr>
            </w:pPr>
            <w:r>
              <w:rPr>
                <w:noProof/>
              </w:rPr>
              <w:t>Antal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018F57" w14:textId="77777777" w:rsidR="003A3D51" w:rsidRDefault="0002775A">
            <w:pPr>
              <w:pStyle w:val="P68B1DB1-Normal6"/>
              <w:spacing w:after="0"/>
              <w:jc w:val="center"/>
              <w:rPr>
                <w:noProof/>
              </w:rPr>
            </w:pPr>
            <w:r>
              <w:rPr>
                <w:noProof/>
              </w:rPr>
              <w:t>Åtgärd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E4B95F" w14:textId="77777777" w:rsidR="003A3D51" w:rsidRDefault="0002775A">
            <w:pPr>
              <w:pStyle w:val="P68B1DB1-Normal6"/>
              <w:spacing w:after="0"/>
              <w:jc w:val="center"/>
              <w:rPr>
                <w:noProof/>
              </w:rPr>
            </w:pPr>
            <w:r>
              <w:rPr>
                <w:noProof/>
              </w:rPr>
              <w:t>Delmål/mål</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A85744" w14:textId="77777777" w:rsidR="003A3D51" w:rsidRDefault="0002775A">
            <w:pPr>
              <w:pStyle w:val="P68B1DB1-Normal6"/>
              <w:spacing w:after="0"/>
              <w:jc w:val="center"/>
              <w:rPr>
                <w:noProof/>
              </w:rPr>
            </w:pPr>
            <w:r>
              <w:rPr>
                <w:noProof/>
              </w:rPr>
              <w:t>Namn</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F2898CE"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hAnsi="Times New Roman" w:cs="Times New Roman"/>
                <w:noProof/>
              </w:rPr>
              <w:br/>
            </w:r>
            <w:r>
              <w:rPr>
                <w:rFonts w:ascii="Times New Roman" w:eastAsia="Times New Roman" w:hAnsi="Times New Roman" w:cs="Times New Roman"/>
                <w:b/>
                <w:noProof/>
                <w:sz w:val="18"/>
              </w:rPr>
              <w:t>(för delmål)</w:t>
            </w:r>
          </w:p>
        </w:tc>
        <w:tc>
          <w:tcPr>
            <w:tcW w:w="2832" w:type="dxa"/>
            <w:gridSpan w:val="3"/>
            <w:tcBorders>
              <w:top w:val="single" w:sz="4" w:space="0" w:color="auto"/>
              <w:left w:val="nil"/>
              <w:bottom w:val="single" w:sz="4" w:space="0" w:color="auto"/>
              <w:right w:val="single" w:sz="4" w:space="0" w:color="auto"/>
            </w:tcBorders>
            <w:shd w:val="clear" w:color="auto" w:fill="BDD7EE"/>
            <w:vAlign w:val="center"/>
            <w:hideMark/>
          </w:tcPr>
          <w:p w14:paraId="637AED27"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hAnsi="Times New Roman" w:cs="Times New Roman"/>
                <w:noProof/>
              </w:rPr>
              <w:br/>
            </w:r>
            <w:r>
              <w:rPr>
                <w:rFonts w:ascii="Times New Roman" w:eastAsia="Times New Roman" w:hAnsi="Times New Roman" w:cs="Times New Roman"/>
                <w:b/>
                <w:noProof/>
                <w:sz w:val="18"/>
              </w:rPr>
              <w:t>(för mål)</w:t>
            </w:r>
          </w:p>
        </w:tc>
        <w:tc>
          <w:tcPr>
            <w:tcW w:w="1276" w:type="dxa"/>
            <w:gridSpan w:val="2"/>
            <w:tcBorders>
              <w:top w:val="single" w:sz="4" w:space="0" w:color="auto"/>
              <w:left w:val="nil"/>
              <w:bottom w:val="single" w:sz="4" w:space="0" w:color="auto"/>
              <w:right w:val="single" w:sz="4" w:space="0" w:color="auto"/>
            </w:tcBorders>
            <w:shd w:val="clear" w:color="auto" w:fill="BDD7EE"/>
            <w:vAlign w:val="center"/>
            <w:hideMark/>
          </w:tcPr>
          <w:p w14:paraId="7DE8D498" w14:textId="77777777" w:rsidR="003A3D51" w:rsidRDefault="0002775A">
            <w:pPr>
              <w:pStyle w:val="P68B1DB1-Normal6"/>
              <w:spacing w:after="0"/>
              <w:jc w:val="center"/>
              <w:rPr>
                <w:noProof/>
              </w:rPr>
            </w:pPr>
            <w:r>
              <w:rPr>
                <w:noProof/>
              </w:rPr>
              <w:t>Tid</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30CCD8" w14:textId="77777777" w:rsidR="003A3D51" w:rsidRDefault="0002775A">
            <w:pPr>
              <w:pStyle w:val="P68B1DB1-Normal6"/>
              <w:spacing w:after="0"/>
              <w:jc w:val="center"/>
              <w:rPr>
                <w:noProof/>
              </w:rPr>
            </w:pPr>
            <w:r>
              <w:rPr>
                <w:noProof/>
              </w:rPr>
              <w:t>Beskrivning av varje delmål och mål</w:t>
            </w:r>
          </w:p>
        </w:tc>
      </w:tr>
      <w:tr w:rsidR="003A3D51" w14:paraId="6F7B52AE" w14:textId="77777777">
        <w:trPr>
          <w:trHeight w:val="300"/>
        </w:trPr>
        <w:tc>
          <w:tcPr>
            <w:tcW w:w="993" w:type="dxa"/>
            <w:vMerge/>
            <w:tcBorders>
              <w:top w:val="single" w:sz="4" w:space="0" w:color="auto"/>
              <w:left w:val="single" w:sz="4" w:space="0" w:color="auto"/>
              <w:bottom w:val="single" w:sz="4" w:space="0" w:color="auto"/>
              <w:right w:val="single" w:sz="4" w:space="0" w:color="auto"/>
            </w:tcBorders>
            <w:hideMark/>
          </w:tcPr>
          <w:p w14:paraId="3B269C56" w14:textId="77777777" w:rsidR="003A3D51" w:rsidRDefault="003A3D51">
            <w:pPr>
              <w:spacing w:after="0"/>
              <w:jc w:val="center"/>
              <w:rPr>
                <w:rFonts w:ascii="Times New Roman" w:eastAsia="Times New Roman" w:hAnsi="Times New Roman" w:cs="Times New Roman"/>
                <w:b/>
                <w:noProof/>
              </w:rPr>
            </w:pPr>
          </w:p>
        </w:tc>
        <w:tc>
          <w:tcPr>
            <w:tcW w:w="993" w:type="dxa"/>
            <w:vMerge/>
            <w:tcBorders>
              <w:top w:val="single" w:sz="4" w:space="0" w:color="auto"/>
              <w:left w:val="single" w:sz="4" w:space="0" w:color="auto"/>
              <w:bottom w:val="single" w:sz="4" w:space="0" w:color="auto"/>
              <w:right w:val="single" w:sz="4" w:space="0" w:color="auto"/>
            </w:tcBorders>
            <w:hideMark/>
          </w:tcPr>
          <w:p w14:paraId="53485C58" w14:textId="77777777" w:rsidR="003A3D51" w:rsidRDefault="003A3D51">
            <w:pPr>
              <w:spacing w:after="0"/>
              <w:jc w:val="center"/>
              <w:rPr>
                <w:rFonts w:ascii="Times New Roman" w:eastAsia="Times New Roman" w:hAnsi="Times New Roman" w:cs="Times New Roman"/>
                <w:b/>
                <w:noProof/>
              </w:rPr>
            </w:pPr>
          </w:p>
        </w:tc>
        <w:tc>
          <w:tcPr>
            <w:tcW w:w="992" w:type="dxa"/>
            <w:vMerge/>
            <w:tcBorders>
              <w:top w:val="single" w:sz="4" w:space="0" w:color="auto"/>
              <w:left w:val="single" w:sz="4" w:space="0" w:color="auto"/>
              <w:bottom w:val="single" w:sz="4" w:space="0" w:color="auto"/>
              <w:right w:val="single" w:sz="4" w:space="0" w:color="auto"/>
            </w:tcBorders>
            <w:hideMark/>
          </w:tcPr>
          <w:p w14:paraId="1A0B724A" w14:textId="77777777" w:rsidR="003A3D51" w:rsidRDefault="003A3D51">
            <w:pPr>
              <w:spacing w:after="0"/>
              <w:jc w:val="center"/>
              <w:rPr>
                <w:rFonts w:ascii="Times New Roman" w:eastAsia="Times New Roman" w:hAnsi="Times New Roman" w:cs="Times New Roman"/>
                <w:b/>
                <w:noProof/>
              </w:rPr>
            </w:pPr>
          </w:p>
        </w:tc>
        <w:tc>
          <w:tcPr>
            <w:tcW w:w="2126" w:type="dxa"/>
            <w:vMerge/>
            <w:tcBorders>
              <w:top w:val="single" w:sz="4" w:space="0" w:color="auto"/>
              <w:left w:val="single" w:sz="4" w:space="0" w:color="auto"/>
              <w:bottom w:val="single" w:sz="4" w:space="0" w:color="auto"/>
              <w:right w:val="single" w:sz="4" w:space="0" w:color="auto"/>
            </w:tcBorders>
            <w:hideMark/>
          </w:tcPr>
          <w:p w14:paraId="442C3DF3" w14:textId="77777777" w:rsidR="003A3D51" w:rsidRDefault="003A3D51">
            <w:pPr>
              <w:spacing w:after="0"/>
              <w:rPr>
                <w:rFonts w:ascii="Times New Roman" w:eastAsia="Times New Roman" w:hAnsi="Times New Roman" w:cs="Times New Roman"/>
                <w:b/>
                <w:noProof/>
              </w:rPr>
            </w:pPr>
          </w:p>
        </w:tc>
        <w:tc>
          <w:tcPr>
            <w:tcW w:w="2300" w:type="dxa"/>
            <w:vMerge/>
            <w:tcBorders>
              <w:left w:val="single" w:sz="4" w:space="0" w:color="auto"/>
            </w:tcBorders>
            <w:hideMark/>
          </w:tcPr>
          <w:p w14:paraId="70516E8A" w14:textId="77777777" w:rsidR="003A3D51" w:rsidRDefault="003A3D51">
            <w:pPr>
              <w:spacing w:after="0"/>
              <w:rPr>
                <w:rFonts w:ascii="Times New Roman" w:eastAsia="Times New Roman" w:hAnsi="Times New Roman" w:cs="Times New Roman"/>
                <w:b/>
                <w:noProof/>
              </w:rPr>
            </w:pPr>
          </w:p>
        </w:tc>
        <w:tc>
          <w:tcPr>
            <w:tcW w:w="847" w:type="dxa"/>
            <w:tcBorders>
              <w:top w:val="single" w:sz="4" w:space="0" w:color="auto"/>
              <w:left w:val="single" w:sz="4" w:space="0" w:color="auto"/>
              <w:bottom w:val="single" w:sz="4" w:space="0" w:color="auto"/>
              <w:right w:val="single" w:sz="4" w:space="0" w:color="auto"/>
            </w:tcBorders>
            <w:shd w:val="clear" w:color="auto" w:fill="BDD7EE"/>
            <w:hideMark/>
          </w:tcPr>
          <w:p w14:paraId="7F0A871C" w14:textId="77777777" w:rsidR="003A3D51" w:rsidRDefault="0002775A">
            <w:pPr>
              <w:pStyle w:val="P68B1DB1-Normal6"/>
              <w:spacing w:after="0"/>
              <w:jc w:val="center"/>
              <w:rPr>
                <w:noProof/>
              </w:rPr>
            </w:pPr>
            <w:r>
              <w:rPr>
                <w:noProof/>
              </w:rPr>
              <w:t>Enhet</w:t>
            </w:r>
          </w:p>
        </w:tc>
        <w:tc>
          <w:tcPr>
            <w:tcW w:w="1134" w:type="dxa"/>
            <w:tcBorders>
              <w:top w:val="single" w:sz="4" w:space="0" w:color="auto"/>
              <w:left w:val="single" w:sz="4" w:space="0" w:color="auto"/>
              <w:bottom w:val="single" w:sz="4" w:space="0" w:color="auto"/>
              <w:right w:val="single" w:sz="4" w:space="0" w:color="auto"/>
            </w:tcBorders>
            <w:shd w:val="clear" w:color="auto" w:fill="BDD7EE"/>
            <w:hideMark/>
          </w:tcPr>
          <w:p w14:paraId="51EE3B6D" w14:textId="77777777" w:rsidR="003A3D51" w:rsidRDefault="0002775A">
            <w:pPr>
              <w:pStyle w:val="P68B1DB1-Normal6"/>
              <w:spacing w:after="0"/>
              <w:jc w:val="center"/>
              <w:rPr>
                <w:noProof/>
              </w:rPr>
            </w:pPr>
            <w:r>
              <w:rPr>
                <w:noProof/>
              </w:rPr>
              <w:t>Baslinjen</w:t>
            </w:r>
          </w:p>
        </w:tc>
        <w:tc>
          <w:tcPr>
            <w:tcW w:w="851" w:type="dxa"/>
            <w:tcBorders>
              <w:top w:val="single" w:sz="4" w:space="0" w:color="auto"/>
              <w:left w:val="single" w:sz="4" w:space="0" w:color="auto"/>
              <w:bottom w:val="single" w:sz="4" w:space="0" w:color="auto"/>
              <w:right w:val="single" w:sz="4" w:space="0" w:color="auto"/>
            </w:tcBorders>
            <w:shd w:val="clear" w:color="auto" w:fill="BDD7EE"/>
            <w:hideMark/>
          </w:tcPr>
          <w:p w14:paraId="3B6AA0FC" w14:textId="77777777" w:rsidR="003A3D51" w:rsidRDefault="0002775A">
            <w:pPr>
              <w:pStyle w:val="P68B1DB1-Normal6"/>
              <w:spacing w:after="0"/>
              <w:jc w:val="center"/>
              <w:rPr>
                <w:noProof/>
              </w:rPr>
            </w:pPr>
            <w:r>
              <w:rPr>
                <w:noProof/>
              </w:rPr>
              <w:t>Mål</w:t>
            </w:r>
          </w:p>
        </w:tc>
        <w:tc>
          <w:tcPr>
            <w:tcW w:w="567" w:type="dxa"/>
            <w:tcBorders>
              <w:top w:val="single" w:sz="4" w:space="0" w:color="auto"/>
              <w:left w:val="single" w:sz="4" w:space="0" w:color="auto"/>
              <w:bottom w:val="single" w:sz="4" w:space="0" w:color="auto"/>
              <w:right w:val="single" w:sz="4" w:space="0" w:color="auto"/>
            </w:tcBorders>
            <w:shd w:val="clear" w:color="auto" w:fill="BDD7EE"/>
            <w:hideMark/>
          </w:tcPr>
          <w:p w14:paraId="04AEBBF7" w14:textId="77777777" w:rsidR="003A3D51" w:rsidRDefault="0002775A">
            <w:pPr>
              <w:pStyle w:val="P68B1DB1-Normal6"/>
              <w:spacing w:after="0"/>
              <w:jc w:val="center"/>
              <w:rPr>
                <w:noProof/>
              </w:rPr>
            </w:pPr>
            <w:r>
              <w:rPr>
                <w:noProof/>
              </w:rPr>
              <w:t>Q</w:t>
            </w:r>
          </w:p>
        </w:tc>
        <w:tc>
          <w:tcPr>
            <w:tcW w:w="709" w:type="dxa"/>
            <w:tcBorders>
              <w:top w:val="single" w:sz="4" w:space="0" w:color="auto"/>
              <w:left w:val="single" w:sz="4" w:space="0" w:color="auto"/>
              <w:bottom w:val="single" w:sz="4" w:space="0" w:color="auto"/>
              <w:right w:val="single" w:sz="4" w:space="0" w:color="auto"/>
            </w:tcBorders>
            <w:shd w:val="clear" w:color="auto" w:fill="BDD7EE"/>
            <w:hideMark/>
          </w:tcPr>
          <w:p w14:paraId="3E6DB318" w14:textId="77777777" w:rsidR="003A3D51" w:rsidRDefault="0002775A">
            <w:pPr>
              <w:pStyle w:val="P68B1DB1-Normal6"/>
              <w:spacing w:after="0"/>
              <w:jc w:val="center"/>
              <w:rPr>
                <w:noProof/>
              </w:rPr>
            </w:pPr>
            <w:r>
              <w:rPr>
                <w:noProof/>
              </w:rPr>
              <w:t>Året</w:t>
            </w:r>
          </w:p>
        </w:tc>
        <w:tc>
          <w:tcPr>
            <w:tcW w:w="3515" w:type="dxa"/>
            <w:vMerge/>
            <w:tcBorders>
              <w:top w:val="single" w:sz="4" w:space="0" w:color="auto"/>
              <w:bottom w:val="single" w:sz="4" w:space="0" w:color="auto"/>
              <w:right w:val="single" w:sz="4" w:space="0" w:color="auto"/>
            </w:tcBorders>
            <w:hideMark/>
          </w:tcPr>
          <w:p w14:paraId="117C7AAF" w14:textId="77777777" w:rsidR="003A3D51" w:rsidRDefault="003A3D51">
            <w:pPr>
              <w:spacing w:after="0"/>
              <w:rPr>
                <w:rFonts w:ascii="Times New Roman" w:eastAsia="Times New Roman" w:hAnsi="Times New Roman" w:cs="Times New Roman"/>
                <w:b/>
                <w:noProof/>
              </w:rPr>
            </w:pPr>
          </w:p>
        </w:tc>
      </w:tr>
      <w:tr w:rsidR="003A3D51" w14:paraId="5552A144"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3D95F1DE" w14:textId="77777777" w:rsidR="003A3D51" w:rsidRDefault="0002775A">
            <w:pPr>
              <w:pStyle w:val="P68B1DB1-Normal41"/>
              <w:jc w:val="center"/>
              <w:rPr>
                <w:noProof/>
              </w:rPr>
            </w:pPr>
            <w:r>
              <w:rPr>
                <w:noProof/>
              </w:rPr>
              <w:t>154</w:t>
            </w:r>
          </w:p>
        </w:tc>
        <w:tc>
          <w:tcPr>
            <w:tcW w:w="993" w:type="dxa"/>
            <w:tcBorders>
              <w:top w:val="single" w:sz="4" w:space="0" w:color="auto"/>
              <w:left w:val="nil"/>
              <w:bottom w:val="single" w:sz="4" w:space="0" w:color="auto"/>
              <w:right w:val="single" w:sz="4" w:space="0" w:color="auto"/>
            </w:tcBorders>
            <w:shd w:val="clear" w:color="auto" w:fill="C6EFCE"/>
          </w:tcPr>
          <w:p w14:paraId="3C6C9CBA" w14:textId="77777777" w:rsidR="003A3D51" w:rsidRDefault="0002775A">
            <w:pPr>
              <w:pStyle w:val="P68B1DB1-Normal41"/>
              <w:jc w:val="center"/>
              <w:rPr>
                <w:noProof/>
              </w:rPr>
            </w:pPr>
            <w:r>
              <w:rPr>
                <w:noProof/>
              </w:rPr>
              <w:t>C2.1 R1-I2</w:t>
            </w:r>
          </w:p>
        </w:tc>
        <w:tc>
          <w:tcPr>
            <w:tcW w:w="992" w:type="dxa"/>
            <w:tcBorders>
              <w:top w:val="single" w:sz="4" w:space="0" w:color="auto"/>
              <w:left w:val="nil"/>
              <w:bottom w:val="single" w:sz="4" w:space="0" w:color="auto"/>
              <w:right w:val="single" w:sz="4" w:space="0" w:color="auto"/>
            </w:tcBorders>
            <w:shd w:val="clear" w:color="auto" w:fill="C6EFCE"/>
          </w:tcPr>
          <w:p w14:paraId="2DC56590" w14:textId="77777777" w:rsidR="003A3D51" w:rsidRDefault="0002775A">
            <w:pPr>
              <w:pStyle w:val="P68B1DB1-Normal41"/>
              <w:jc w:val="center"/>
              <w:rPr>
                <w:noProof/>
              </w:rPr>
            </w:pPr>
            <w:r>
              <w:rPr>
                <w:noProof/>
              </w:rPr>
              <w:t>T</w:t>
            </w:r>
          </w:p>
        </w:tc>
        <w:tc>
          <w:tcPr>
            <w:tcW w:w="2126" w:type="dxa"/>
            <w:tcBorders>
              <w:top w:val="single" w:sz="4" w:space="0" w:color="auto"/>
              <w:left w:val="nil"/>
              <w:bottom w:val="single" w:sz="4" w:space="0" w:color="auto"/>
              <w:right w:val="single" w:sz="4" w:space="0" w:color="auto"/>
            </w:tcBorders>
            <w:shd w:val="clear" w:color="auto" w:fill="C6EFCE"/>
          </w:tcPr>
          <w:p w14:paraId="08D5FE90" w14:textId="77777777" w:rsidR="003A3D51" w:rsidRDefault="0002775A">
            <w:pPr>
              <w:pStyle w:val="P68B1DB1-Normal41"/>
              <w:rPr>
                <w:noProof/>
              </w:rPr>
            </w:pPr>
            <w:r>
              <w:rPr>
                <w:noProof/>
              </w:rPr>
              <w:t>Utbildningsmoduler för strategisk planering och konsekvensbedömning på nationell, regional och lokal nivå</w:t>
            </w:r>
          </w:p>
        </w:tc>
        <w:tc>
          <w:tcPr>
            <w:tcW w:w="2300" w:type="dxa"/>
            <w:tcBorders>
              <w:top w:val="single" w:sz="4" w:space="0" w:color="auto"/>
              <w:left w:val="nil"/>
              <w:bottom w:val="single" w:sz="4" w:space="0" w:color="auto"/>
              <w:right w:val="single" w:sz="4" w:space="0" w:color="auto"/>
            </w:tcBorders>
            <w:shd w:val="clear" w:color="auto" w:fill="C6EFCE"/>
          </w:tcPr>
          <w:p w14:paraId="14938519" w14:textId="77777777" w:rsidR="003A3D51" w:rsidRDefault="0002775A">
            <w:pPr>
              <w:pStyle w:val="P68B1DB1-Normal41"/>
              <w:rPr>
                <w:noProof/>
              </w:rPr>
            </w:pPr>
            <w:r>
              <w:rPr>
                <w:noProof/>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7A65DF0E" w14:textId="77777777" w:rsidR="003A3D51" w:rsidRDefault="0002775A">
            <w:pPr>
              <w:pStyle w:val="P68B1DB1-Normal41"/>
              <w:jc w:val="center"/>
              <w:rPr>
                <w:noProof/>
              </w:rPr>
            </w:pPr>
            <w:r>
              <w:rPr>
                <w:noProof/>
              </w:rPr>
              <w:t>Antal</w:t>
            </w:r>
          </w:p>
        </w:tc>
        <w:tc>
          <w:tcPr>
            <w:tcW w:w="1134" w:type="dxa"/>
            <w:tcBorders>
              <w:top w:val="single" w:sz="4" w:space="0" w:color="auto"/>
              <w:left w:val="nil"/>
              <w:bottom w:val="single" w:sz="4" w:space="0" w:color="auto"/>
              <w:right w:val="single" w:sz="4" w:space="0" w:color="auto"/>
            </w:tcBorders>
            <w:shd w:val="clear" w:color="auto" w:fill="C6EFCE"/>
          </w:tcPr>
          <w:p w14:paraId="312B0729" w14:textId="77777777" w:rsidR="003A3D51" w:rsidRDefault="0002775A">
            <w:pPr>
              <w:pStyle w:val="P68B1DB1-Normal41"/>
              <w:jc w:val="center"/>
              <w:rPr>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tcPr>
          <w:p w14:paraId="5ABE7919" w14:textId="77777777" w:rsidR="003A3D51" w:rsidRDefault="0002775A">
            <w:pPr>
              <w:pStyle w:val="P68B1DB1-Normal41"/>
              <w:jc w:val="center"/>
              <w:rPr>
                <w:noProof/>
              </w:rPr>
            </w:pPr>
            <w:r>
              <w:rPr>
                <w:noProof/>
              </w:rPr>
              <w:t>10</w:t>
            </w:r>
          </w:p>
        </w:tc>
        <w:tc>
          <w:tcPr>
            <w:tcW w:w="567" w:type="dxa"/>
            <w:tcBorders>
              <w:top w:val="single" w:sz="4" w:space="0" w:color="auto"/>
              <w:left w:val="nil"/>
              <w:bottom w:val="single" w:sz="4" w:space="0" w:color="auto"/>
              <w:right w:val="single" w:sz="4" w:space="0" w:color="auto"/>
            </w:tcBorders>
            <w:shd w:val="clear" w:color="auto" w:fill="C6EFCE"/>
          </w:tcPr>
          <w:p w14:paraId="58389FAE" w14:textId="77777777" w:rsidR="003A3D51" w:rsidRDefault="0002775A">
            <w:pPr>
              <w:pStyle w:val="P68B1DB1-Normal41"/>
              <w:jc w:val="center"/>
              <w:rPr>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0F52A9C2" w14:textId="77777777" w:rsidR="003A3D51" w:rsidRDefault="0002775A">
            <w:pPr>
              <w:pStyle w:val="P68B1DB1-Normal41"/>
              <w:jc w:val="center"/>
              <w:rPr>
                <w:noProof/>
              </w:rPr>
            </w:pPr>
            <w:r>
              <w:rPr>
                <w:noProof/>
              </w:rPr>
              <w:t>2024</w:t>
            </w:r>
          </w:p>
        </w:tc>
        <w:tc>
          <w:tcPr>
            <w:tcW w:w="3515" w:type="dxa"/>
            <w:tcBorders>
              <w:top w:val="single" w:sz="4" w:space="0" w:color="auto"/>
              <w:left w:val="nil"/>
              <w:bottom w:val="single" w:sz="4" w:space="0" w:color="auto"/>
              <w:right w:val="single" w:sz="4" w:space="0" w:color="auto"/>
            </w:tcBorders>
            <w:shd w:val="clear" w:color="auto" w:fill="C6EFCE"/>
          </w:tcPr>
          <w:p w14:paraId="71473F41" w14:textId="77777777" w:rsidR="003A3D51" w:rsidRDefault="0002775A">
            <w:pPr>
              <w:pStyle w:val="P68B1DB1-Normal41"/>
              <w:rPr>
                <w:noProof/>
              </w:rPr>
            </w:pPr>
            <w:r>
              <w:rPr>
                <w:noProof/>
              </w:rPr>
              <w:t>10 utbildningsmoduler för strategisk planering och bättre lagstiftning ska utvecklas för att säkerställa professionalisering av arbetet, inklusive eLearning-medarbetare med tekniskt stöd från NSPA (National School of Public Administration). Modulerna ska vara utvecklade senast i slutet av 2024.</w:t>
            </w:r>
          </w:p>
        </w:tc>
      </w:tr>
      <w:tr w:rsidR="003A3D51" w14:paraId="58F00FC5" w14:textId="77777777">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C6EFCE"/>
          </w:tcPr>
          <w:p w14:paraId="5E0182E5" w14:textId="77777777" w:rsidR="003A3D51" w:rsidRDefault="0002775A">
            <w:pPr>
              <w:pStyle w:val="P68B1DB1-Normal41"/>
              <w:jc w:val="center"/>
              <w:rPr>
                <w:noProof/>
              </w:rPr>
            </w:pPr>
            <w:r>
              <w:rPr>
                <w:noProof/>
              </w:rPr>
              <w:t>155</w:t>
            </w:r>
          </w:p>
        </w:tc>
        <w:tc>
          <w:tcPr>
            <w:tcW w:w="993" w:type="dxa"/>
            <w:tcBorders>
              <w:top w:val="single" w:sz="4" w:space="0" w:color="auto"/>
              <w:left w:val="nil"/>
              <w:bottom w:val="single" w:sz="4" w:space="0" w:color="auto"/>
              <w:right w:val="single" w:sz="4" w:space="0" w:color="auto"/>
            </w:tcBorders>
            <w:shd w:val="clear" w:color="auto" w:fill="C6EFCE"/>
          </w:tcPr>
          <w:p w14:paraId="7B07792F" w14:textId="77777777" w:rsidR="003A3D51" w:rsidRDefault="0002775A">
            <w:pPr>
              <w:pStyle w:val="P68B1DB1-Normal41"/>
              <w:jc w:val="center"/>
              <w:rPr>
                <w:noProof/>
              </w:rPr>
            </w:pPr>
            <w:r>
              <w:rPr>
                <w:noProof/>
              </w:rPr>
              <w:t>C2.1 R1-I2</w:t>
            </w:r>
          </w:p>
        </w:tc>
        <w:tc>
          <w:tcPr>
            <w:tcW w:w="992" w:type="dxa"/>
            <w:tcBorders>
              <w:top w:val="single" w:sz="4" w:space="0" w:color="auto"/>
              <w:left w:val="nil"/>
              <w:bottom w:val="single" w:sz="4" w:space="0" w:color="auto"/>
              <w:right w:val="single" w:sz="4" w:space="0" w:color="auto"/>
            </w:tcBorders>
            <w:shd w:val="clear" w:color="auto" w:fill="C6EFCE"/>
          </w:tcPr>
          <w:p w14:paraId="68C0F2CA" w14:textId="77777777" w:rsidR="003A3D51" w:rsidRDefault="0002775A">
            <w:pPr>
              <w:pStyle w:val="P68B1DB1-Normal41"/>
              <w:jc w:val="center"/>
              <w:rPr>
                <w:noProof/>
              </w:rPr>
            </w:pPr>
            <w:r>
              <w:rPr>
                <w:noProof/>
              </w:rPr>
              <w:t>T</w:t>
            </w:r>
          </w:p>
        </w:tc>
        <w:tc>
          <w:tcPr>
            <w:tcW w:w="2126" w:type="dxa"/>
            <w:tcBorders>
              <w:top w:val="single" w:sz="4" w:space="0" w:color="auto"/>
              <w:left w:val="nil"/>
              <w:bottom w:val="single" w:sz="4" w:space="0" w:color="auto"/>
              <w:right w:val="single" w:sz="4" w:space="0" w:color="auto"/>
            </w:tcBorders>
            <w:shd w:val="clear" w:color="auto" w:fill="C6EFCE"/>
          </w:tcPr>
          <w:p w14:paraId="4D2F0CD1" w14:textId="77777777" w:rsidR="003A3D51" w:rsidRDefault="0002775A">
            <w:pPr>
              <w:pStyle w:val="P68B1DB1-Normal41"/>
              <w:rPr>
                <w:noProof/>
              </w:rPr>
            </w:pPr>
            <w:r>
              <w:rPr>
                <w:noProof/>
              </w:rPr>
              <w:t xml:space="preserve">Utbildning av tjänstemän kopplat till systemet för strategisk planering och genomförande av regleringseffekter på nationell och regional nivå </w:t>
            </w:r>
          </w:p>
        </w:tc>
        <w:tc>
          <w:tcPr>
            <w:tcW w:w="2300" w:type="dxa"/>
            <w:tcBorders>
              <w:top w:val="single" w:sz="4" w:space="0" w:color="auto"/>
              <w:left w:val="nil"/>
              <w:bottom w:val="single" w:sz="4" w:space="0" w:color="auto"/>
              <w:right w:val="single" w:sz="4" w:space="0" w:color="auto"/>
            </w:tcBorders>
            <w:shd w:val="clear" w:color="auto" w:fill="C6EFCE"/>
          </w:tcPr>
          <w:p w14:paraId="210B9B2C" w14:textId="77777777" w:rsidR="003A3D51" w:rsidRDefault="0002775A">
            <w:pPr>
              <w:pStyle w:val="P68B1DB1-Normal41"/>
              <w:rPr>
                <w:noProof/>
              </w:rPr>
            </w:pPr>
            <w:r>
              <w:rPr>
                <w:noProof/>
              </w:rPr>
              <w:t xml:space="preserve"> </w:t>
            </w:r>
          </w:p>
        </w:tc>
        <w:tc>
          <w:tcPr>
            <w:tcW w:w="847" w:type="dxa"/>
            <w:tcBorders>
              <w:top w:val="single" w:sz="4" w:space="0" w:color="auto"/>
              <w:left w:val="nil"/>
              <w:bottom w:val="single" w:sz="4" w:space="0" w:color="auto"/>
              <w:right w:val="single" w:sz="4" w:space="0" w:color="auto"/>
            </w:tcBorders>
            <w:shd w:val="clear" w:color="auto" w:fill="C6EFCE"/>
          </w:tcPr>
          <w:p w14:paraId="554CBA61" w14:textId="77777777" w:rsidR="003A3D51" w:rsidRDefault="0002775A">
            <w:pPr>
              <w:pStyle w:val="P68B1DB1-Normal41"/>
              <w:jc w:val="center"/>
              <w:rPr>
                <w:noProof/>
              </w:rPr>
            </w:pPr>
            <w:r>
              <w:rPr>
                <w:noProof/>
              </w:rPr>
              <w:t>Antal</w:t>
            </w:r>
          </w:p>
        </w:tc>
        <w:tc>
          <w:tcPr>
            <w:tcW w:w="1134" w:type="dxa"/>
            <w:tcBorders>
              <w:top w:val="single" w:sz="4" w:space="0" w:color="auto"/>
              <w:left w:val="nil"/>
              <w:bottom w:val="single" w:sz="4" w:space="0" w:color="auto"/>
              <w:right w:val="single" w:sz="4" w:space="0" w:color="auto"/>
            </w:tcBorders>
            <w:shd w:val="clear" w:color="auto" w:fill="C6EFCE"/>
          </w:tcPr>
          <w:p w14:paraId="7B96FB71" w14:textId="77777777" w:rsidR="003A3D51" w:rsidRDefault="0002775A">
            <w:pPr>
              <w:pStyle w:val="P68B1DB1-Normal41"/>
              <w:jc w:val="center"/>
              <w:rPr>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tcPr>
          <w:p w14:paraId="6A3926F1" w14:textId="77777777" w:rsidR="003A3D51" w:rsidRDefault="0002775A">
            <w:pPr>
              <w:pStyle w:val="P68B1DB1-Normal41"/>
              <w:jc w:val="center"/>
              <w:rPr>
                <w:noProof/>
              </w:rPr>
            </w:pPr>
            <w:r>
              <w:rPr>
                <w:noProof/>
              </w:rPr>
              <w:t>900</w:t>
            </w:r>
          </w:p>
        </w:tc>
        <w:tc>
          <w:tcPr>
            <w:tcW w:w="567" w:type="dxa"/>
            <w:tcBorders>
              <w:top w:val="single" w:sz="4" w:space="0" w:color="auto"/>
              <w:left w:val="nil"/>
              <w:bottom w:val="single" w:sz="4" w:space="0" w:color="auto"/>
              <w:right w:val="single" w:sz="4" w:space="0" w:color="auto"/>
            </w:tcBorders>
            <w:shd w:val="clear" w:color="auto" w:fill="C6EFCE"/>
          </w:tcPr>
          <w:p w14:paraId="2D97E65C" w14:textId="77777777" w:rsidR="003A3D51" w:rsidRDefault="0002775A">
            <w:pPr>
              <w:pStyle w:val="P68B1DB1-Normal41"/>
              <w:jc w:val="center"/>
              <w:rPr>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tcPr>
          <w:p w14:paraId="376D2619" w14:textId="77777777" w:rsidR="003A3D51" w:rsidRDefault="0002775A">
            <w:pPr>
              <w:pStyle w:val="P68B1DB1-Normal41"/>
              <w:jc w:val="center"/>
              <w:rPr>
                <w:noProof/>
              </w:rPr>
            </w:pPr>
            <w:r>
              <w:rPr>
                <w:noProof/>
              </w:rPr>
              <w:t>2025</w:t>
            </w:r>
          </w:p>
        </w:tc>
        <w:tc>
          <w:tcPr>
            <w:tcW w:w="3515" w:type="dxa"/>
            <w:tcBorders>
              <w:top w:val="single" w:sz="4" w:space="0" w:color="auto"/>
              <w:left w:val="nil"/>
              <w:bottom w:val="single" w:sz="4" w:space="0" w:color="auto"/>
              <w:right w:val="single" w:sz="4" w:space="0" w:color="auto"/>
            </w:tcBorders>
            <w:shd w:val="clear" w:color="auto" w:fill="C6EFCE"/>
          </w:tcPr>
          <w:p w14:paraId="715B5C47" w14:textId="77777777" w:rsidR="003A3D51" w:rsidRDefault="0002775A">
            <w:pPr>
              <w:pStyle w:val="P68B1DB1-Normal41"/>
              <w:rPr>
                <w:noProof/>
              </w:rPr>
            </w:pPr>
            <w:r>
              <w:rPr>
                <w:noProof/>
              </w:rPr>
              <w:t xml:space="preserve">900 tjänstemän i systemet för strategisk planering och genomförande av regleringseffekter på nationell och regional nivå ska utbildas på grundval av de utbildningsmoduler som tagits fram. </w:t>
            </w:r>
          </w:p>
        </w:tc>
      </w:tr>
    </w:tbl>
    <w:p w14:paraId="10EAA3A2" w14:textId="77777777" w:rsidR="003A3D51" w:rsidRDefault="003A3D51">
      <w:pPr>
        <w:spacing w:line="240" w:lineRule="auto"/>
        <w:ind w:left="840"/>
        <w:jc w:val="both"/>
        <w:textAlignment w:val="baseline"/>
        <w:rPr>
          <w:rFonts w:ascii="Segoe UI" w:eastAsia="Times New Roman" w:hAnsi="Segoe UI" w:cs="Segoe UI"/>
          <w:noProof/>
          <w:sz w:val="18"/>
        </w:rPr>
      </w:pPr>
    </w:p>
    <w:p w14:paraId="15D042B2" w14:textId="77777777" w:rsidR="003A3D51" w:rsidRDefault="003A3D51">
      <w:pPr>
        <w:spacing w:line="240" w:lineRule="auto"/>
        <w:ind w:left="840"/>
        <w:jc w:val="both"/>
        <w:textAlignment w:val="baseline"/>
        <w:rPr>
          <w:rFonts w:ascii="Segoe UI" w:eastAsia="Times New Roman" w:hAnsi="Segoe UI" w:cs="Segoe UI"/>
          <w:noProof/>
          <w:sz w:val="18"/>
        </w:rPr>
      </w:pPr>
    </w:p>
    <w:p w14:paraId="21BBEFE9" w14:textId="77777777" w:rsidR="003A3D51" w:rsidRDefault="003A3D51">
      <w:pPr>
        <w:keepNext/>
        <w:tabs>
          <w:tab w:val="left" w:pos="850"/>
        </w:tabs>
        <w:spacing w:after="200" w:line="276" w:lineRule="auto"/>
        <w:jc w:val="both"/>
        <w:outlineLvl w:val="0"/>
        <w:rPr>
          <w:rFonts w:ascii="Times New Roman" w:eastAsia="Calibri" w:hAnsi="Times New Roman" w:cs="Times New Roman"/>
          <w:b/>
          <w:smallCaps/>
          <w:noProof/>
          <w:sz w:val="24"/>
        </w:rPr>
        <w:sectPr w:rsidR="003A3D51" w:rsidSect="0001477B">
          <w:headerReference w:type="even" r:id="rId144"/>
          <w:headerReference w:type="default" r:id="rId145"/>
          <w:footerReference w:type="even" r:id="rId146"/>
          <w:footerReference w:type="default" r:id="rId147"/>
          <w:headerReference w:type="first" r:id="rId148"/>
          <w:footerReference w:type="first" r:id="rId149"/>
          <w:pgSz w:w="15840" w:h="12240" w:orient="landscape"/>
          <w:pgMar w:top="1440" w:right="1440" w:bottom="1440" w:left="1440" w:header="708" w:footer="708" w:gutter="0"/>
          <w:cols w:space="708"/>
          <w:docGrid w:linePitch="360"/>
        </w:sectPr>
      </w:pPr>
    </w:p>
    <w:p w14:paraId="1034AEE6" w14:textId="77777777" w:rsidR="003A3D51" w:rsidRDefault="0002775A">
      <w:pPr>
        <w:pStyle w:val="P68B1DB1-Normal2"/>
        <w:keepNext/>
        <w:tabs>
          <w:tab w:val="left" w:pos="850"/>
        </w:tabs>
        <w:spacing w:after="200" w:line="276" w:lineRule="auto"/>
        <w:jc w:val="both"/>
        <w:outlineLvl w:val="0"/>
        <w:rPr>
          <w:rFonts w:ascii="Calibri" w:hAnsi="Calibri" w:cs="Arial"/>
          <w:noProof/>
        </w:rPr>
      </w:pPr>
      <w:r>
        <w:rPr>
          <w:noProof/>
        </w:rPr>
        <w:t>H. KOMPONENT 2.2: YTTERLIGARE EFFEKTIVISERING AV DEN OFFENTLIGA FÖRVALTNINGEN</w:t>
      </w:r>
    </w:p>
    <w:p w14:paraId="50265BB6" w14:textId="77777777" w:rsidR="003A3D51" w:rsidRDefault="0002775A">
      <w:pPr>
        <w:pStyle w:val="P68B1DB1-Normal40"/>
        <w:spacing w:before="120" w:after="120" w:line="240" w:lineRule="auto"/>
        <w:jc w:val="both"/>
        <w:rPr>
          <w:noProof/>
        </w:rPr>
      </w:pPr>
      <w:r>
        <w:rPr>
          <w:noProof/>
        </w:rPr>
        <w:t xml:space="preserve">Komponenten syftar till att modernisera Kroatiens offentliga förvaltning och göra den mer användarcentrerad, genom att uppmuntra faktiska och funktionella sammanslagningar av lokala förvaltningsenheter, öka digitaliseringen, interoperabiliteten, effektivitetsvinsterna i resursfördelningen på lokal nivå och reformera ersättningssystemet och personalförvaltningen. </w:t>
      </w:r>
    </w:p>
    <w:p w14:paraId="6A992AC2" w14:textId="77777777" w:rsidR="003A3D51" w:rsidRDefault="0002775A">
      <w:pPr>
        <w:pStyle w:val="P68B1DB1-Normal40"/>
        <w:spacing w:before="120" w:after="120" w:line="240" w:lineRule="auto"/>
        <w:jc w:val="both"/>
        <w:rPr>
          <w:noProof/>
        </w:rPr>
      </w:pPr>
      <w:r>
        <w:rPr>
          <w:noProof/>
        </w:rPr>
        <w:t>De övergripande målen är att förbättra förmågan att locka till sig och behålla begåvade anställda inom den offentliga förvaltningen av hög kvalitet och förbättra kvaliteten på de offentliga tjänsterna i lokala och regionala förvaltningsenheter, vilket hämmas av svag administrativ och finanspolitisk kapacitet och brist på insyn.</w:t>
      </w:r>
    </w:p>
    <w:p w14:paraId="110A45EC" w14:textId="77777777" w:rsidR="003A3D51" w:rsidRDefault="0002775A">
      <w:pPr>
        <w:pStyle w:val="P68B1DB1-Normal40"/>
        <w:spacing w:before="120" w:after="120" w:line="240" w:lineRule="auto"/>
        <w:jc w:val="both"/>
        <w:rPr>
          <w:noProof/>
        </w:rPr>
      </w:pPr>
      <w:r>
        <w:rPr>
          <w:noProof/>
        </w:rPr>
        <w:t>Komponenten ska omfatta större reformer med tillhörande investeringar:</w:t>
      </w:r>
    </w:p>
    <w:p w14:paraId="5229225C" w14:textId="77777777" w:rsidR="003A3D51" w:rsidRDefault="0002775A">
      <w:pPr>
        <w:pStyle w:val="P68B1DB1-Normal40"/>
        <w:numPr>
          <w:ilvl w:val="0"/>
          <w:numId w:val="17"/>
        </w:numPr>
        <w:spacing w:before="120" w:after="120" w:line="240" w:lineRule="auto"/>
        <w:jc w:val="both"/>
        <w:rPr>
          <w:noProof/>
        </w:rPr>
      </w:pPr>
      <w:r>
        <w:rPr>
          <w:noProof/>
        </w:rPr>
        <w:t xml:space="preserve">Förbättra rekryteringsprocessen inom den offentliga förvaltningen genom att stärka systemet för tillträde till offentliga tjänster och ytterligare förbättra tjänstemännens kompetens, </w:t>
      </w:r>
    </w:p>
    <w:p w14:paraId="0F180309" w14:textId="77777777" w:rsidR="003A3D51" w:rsidRDefault="0002775A">
      <w:pPr>
        <w:pStyle w:val="P68B1DB1-Normal40"/>
        <w:numPr>
          <w:ilvl w:val="0"/>
          <w:numId w:val="17"/>
        </w:numPr>
        <w:spacing w:before="120" w:after="120" w:line="240" w:lineRule="auto"/>
        <w:jc w:val="both"/>
        <w:rPr>
          <w:noProof/>
        </w:rPr>
      </w:pPr>
      <w:r>
        <w:rPr>
          <w:noProof/>
        </w:rPr>
        <w:t>Införa nya löne- och arbetsmodeller i den offentliga förvaltningen, bland annat genom att reformera lönesystemet inom den offentliga sektorn, uppgradera personalförvaltningssystemet och främja vertikal och horisontell rörlighet.</w:t>
      </w:r>
    </w:p>
    <w:p w14:paraId="27391B0E" w14:textId="77777777" w:rsidR="003A3D51" w:rsidRDefault="0002775A">
      <w:pPr>
        <w:pStyle w:val="P68B1DB1-Normal40"/>
        <w:numPr>
          <w:ilvl w:val="0"/>
          <w:numId w:val="17"/>
        </w:numPr>
        <w:spacing w:before="120" w:after="120" w:line="240" w:lineRule="auto"/>
        <w:jc w:val="both"/>
        <w:rPr>
          <w:noProof/>
        </w:rPr>
      </w:pPr>
      <w:r>
        <w:rPr>
          <w:noProof/>
        </w:rPr>
        <w:t xml:space="preserve">Digital omvandling av bevarandebaser och arkivregister, </w:t>
      </w:r>
    </w:p>
    <w:p w14:paraId="54CFB70F" w14:textId="77777777" w:rsidR="003A3D51" w:rsidRDefault="0002775A">
      <w:pPr>
        <w:pStyle w:val="P68B1DB1-Normal40"/>
        <w:numPr>
          <w:ilvl w:val="0"/>
          <w:numId w:val="17"/>
        </w:numPr>
        <w:spacing w:before="120" w:after="120" w:line="240" w:lineRule="auto"/>
        <w:jc w:val="both"/>
        <w:rPr>
          <w:noProof/>
        </w:rPr>
      </w:pPr>
      <w:r>
        <w:rPr>
          <w:noProof/>
        </w:rPr>
        <w:t>Säkerställa en funktionell och hållbar lokal förvaltning genom ytterligare optimering och decentralisering av lokala förvaltningsenheter genom stimulerat stöd till funktionella och faktiska sammanslagningar.</w:t>
      </w:r>
    </w:p>
    <w:p w14:paraId="3FAEA586" w14:textId="77777777" w:rsidR="003A3D51" w:rsidRDefault="0002775A">
      <w:pPr>
        <w:pStyle w:val="P68B1DB1-Normal40"/>
        <w:spacing w:before="120" w:after="120" w:line="240" w:lineRule="auto"/>
        <w:jc w:val="both"/>
        <w:rPr>
          <w:noProof/>
        </w:rPr>
      </w:pPr>
      <w:r>
        <w:rPr>
          <w:noProof/>
        </w:rPr>
        <w:t>Komponenten ska bidra till att ta itu med landsspecifika rekommendationer om behovet av att effektivisera den offentliga förvaltningen (landsspecifik rekommendation 1, 2019) och om att förbättra tillhandahållandet av och kvaliteten på tjänster i mindre lokala förvaltningsenheter (landsspecifik rekommendation 4, 2020).</w:t>
      </w:r>
    </w:p>
    <w:p w14:paraId="2A10CED0" w14:textId="77777777" w:rsidR="003A3D51" w:rsidRDefault="0002775A">
      <w:pPr>
        <w:pStyle w:val="P68B1DB1-Normal40"/>
        <w:spacing w:before="120" w:after="120" w:line="240" w:lineRule="auto"/>
        <w:jc w:val="both"/>
        <w:rPr>
          <w:noProof/>
        </w:rPr>
      </w:pPr>
      <w:r>
        <w:rPr>
          <w:noProof/>
        </w:rPr>
        <w:t>Komponenten omfattar fyra reformer och sju investeringar.</w:t>
      </w:r>
    </w:p>
    <w:p w14:paraId="61DABFD4" w14:textId="77777777" w:rsidR="003A3D51" w:rsidRDefault="0002775A">
      <w:pPr>
        <w:pStyle w:val="P68B1DB1-Normal4"/>
        <w:keepNext/>
        <w:tabs>
          <w:tab w:val="num" w:pos="850"/>
        </w:tabs>
        <w:spacing w:after="200" w:line="276" w:lineRule="auto"/>
        <w:ind w:left="851"/>
        <w:jc w:val="both"/>
        <w:outlineLvl w:val="1"/>
        <w:rPr>
          <w:rFonts w:ascii="Calibri" w:eastAsia="Calibri" w:hAnsi="Calibri" w:cs="Arial"/>
          <w:noProof/>
        </w:rPr>
      </w:pPr>
      <w:r>
        <w:rPr>
          <w:noProof/>
        </w:rPr>
        <w:t xml:space="preserve">H.1. </w:t>
      </w:r>
      <w:r>
        <w:rPr>
          <w:noProof/>
        </w:rPr>
        <w:tab/>
        <w:t>Beskrivning av reformer och investeringar avseende icke återbetalningspliktigt ekonomiskt stöd</w:t>
      </w:r>
    </w:p>
    <w:p w14:paraId="1FFDFFAF" w14:textId="77777777" w:rsidR="003A3D51" w:rsidRDefault="0002775A">
      <w:pPr>
        <w:pStyle w:val="P68B1DB1-Normal18"/>
        <w:keepNext/>
        <w:tabs>
          <w:tab w:val="num" w:pos="850"/>
        </w:tabs>
        <w:spacing w:after="200" w:line="276" w:lineRule="auto"/>
        <w:ind w:left="851"/>
        <w:jc w:val="both"/>
        <w:outlineLvl w:val="2"/>
        <w:rPr>
          <w:rFonts w:ascii="Calibri" w:eastAsia="Calibri" w:hAnsi="Calibri" w:cs="Arial"/>
          <w:noProof/>
        </w:rPr>
      </w:pPr>
      <w:r>
        <w:rPr>
          <w:noProof/>
        </w:rPr>
        <w:t xml:space="preserve">Reform C2.2 R1 – Förbättra rekryteringen inom den offentliga förvaltningen </w:t>
      </w:r>
    </w:p>
    <w:p w14:paraId="6E46A3FA" w14:textId="77777777" w:rsidR="003A3D51" w:rsidRDefault="0002775A">
      <w:pPr>
        <w:pStyle w:val="P68B1DB1-Normal3"/>
        <w:spacing w:before="120" w:after="120" w:line="240" w:lineRule="auto"/>
        <w:jc w:val="both"/>
        <w:rPr>
          <w:noProof/>
        </w:rPr>
      </w:pPr>
      <w:r>
        <w:rPr>
          <w:noProof/>
        </w:rPr>
        <w:t>Denna reform syftar till att förbättra rekryteringssystemet inom den offentliga förvaltningen för att säkerställa anställning av högt kompetenta tjänstemän som ska bidra till att förbättra den offentliga förvaltningens effektivitet och möjliggöra en omorientering av den offentliga förvaltningen till medborgarnas behov. Reformen ska omfatta ändringar av den rättsliga ramen. Vid sidan av reformen avser myndigheterna att utveckla it-verktyg, metoder och det innehåll som krävs för kompetenskontroll och kapacitetsuppbyggande åtgärder.</w:t>
      </w:r>
    </w:p>
    <w:p w14:paraId="270DB1FF" w14:textId="77777777" w:rsidR="003A3D51" w:rsidRDefault="0002775A">
      <w:pPr>
        <w:pStyle w:val="P68B1DB1-Normal3"/>
        <w:spacing w:before="120" w:after="120" w:line="240" w:lineRule="auto"/>
        <w:jc w:val="both"/>
        <w:rPr>
          <w:noProof/>
        </w:rPr>
      </w:pPr>
      <w:r>
        <w:rPr>
          <w:noProof/>
        </w:rPr>
        <w:t xml:space="preserve">Ett centraliserat urvalssystem för offentliganställda ska införas på grundval av på förhand fastställda planer, en analys av arbetsbördan och de offentliga myndigheternas faktiska behov för att rekrytera en särskild profil av tjänstemän. I rekryteringsprocessen ska de sökande testas online för att säkerställa ett öppet och mer objektivt urval av sökande. </w:t>
      </w:r>
    </w:p>
    <w:p w14:paraId="537246FF" w14:textId="77777777" w:rsidR="003A3D51" w:rsidRDefault="0002775A">
      <w:pPr>
        <w:pStyle w:val="P68B1DB1-Normal3"/>
        <w:spacing w:before="120" w:after="120" w:line="240" w:lineRule="auto"/>
        <w:jc w:val="both"/>
        <w:rPr>
          <w:noProof/>
        </w:rPr>
      </w:pPr>
      <w:r>
        <w:rPr>
          <w:noProof/>
        </w:rPr>
        <w:t>Åtgärden ska vara slutförd senast den 30 juni 2023.</w:t>
      </w:r>
    </w:p>
    <w:p w14:paraId="621A89CA"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C2.2 R1-I1 – Centraliserat urvalssystem</w:t>
      </w:r>
    </w:p>
    <w:p w14:paraId="2F24EC77" w14:textId="77777777" w:rsidR="003A3D51" w:rsidRDefault="0002775A">
      <w:pPr>
        <w:pStyle w:val="P68B1DB1-Normal3"/>
        <w:spacing w:before="120" w:after="120" w:line="240" w:lineRule="auto"/>
        <w:jc w:val="both"/>
        <w:rPr>
          <w:noProof/>
        </w:rPr>
      </w:pPr>
      <w:r>
        <w:rPr>
          <w:noProof/>
        </w:rPr>
        <w:t>Syftet med denna investering är att inrätta ett mer objektivt och öppet rekryteringssystem baserat på faktiska behov och ekonomiska resurser. Den ska se till att de bästa och mest kompetenta kandidaterna rekryteras och därigenom bidra till att förbättra den offentliga förvaltningens effektivitet.</w:t>
      </w:r>
    </w:p>
    <w:p w14:paraId="36906227" w14:textId="77777777" w:rsidR="003A3D51" w:rsidRDefault="0002775A">
      <w:pPr>
        <w:pStyle w:val="P68B1DB1-Normal3"/>
        <w:spacing w:before="120" w:after="120" w:line="240" w:lineRule="auto"/>
        <w:jc w:val="both"/>
        <w:rPr>
          <w:noProof/>
        </w:rPr>
      </w:pPr>
      <w:r>
        <w:rPr>
          <w:noProof/>
        </w:rPr>
        <w:t>Investeringen ska omfatta följande verksamheter:</w:t>
      </w:r>
    </w:p>
    <w:p w14:paraId="5C125299" w14:textId="77777777" w:rsidR="003A3D51" w:rsidRDefault="0002775A">
      <w:pPr>
        <w:pStyle w:val="P68B1DB1-Normal3"/>
        <w:numPr>
          <w:ilvl w:val="0"/>
          <w:numId w:val="16"/>
        </w:numPr>
        <w:spacing w:before="120" w:after="120" w:line="240" w:lineRule="auto"/>
        <w:jc w:val="both"/>
        <w:rPr>
          <w:noProof/>
        </w:rPr>
      </w:pPr>
      <w:r>
        <w:rPr>
          <w:noProof/>
        </w:rPr>
        <w:t>Utveckling av en jämförande analys av utformningen av centraliserade sysselsättningssystem i EU:s medlemsstater och utarbetande av ett förslag till en ny sysselsättningsmodell.</w:t>
      </w:r>
    </w:p>
    <w:p w14:paraId="45F7AF05" w14:textId="77777777" w:rsidR="003A3D51" w:rsidRDefault="0002775A">
      <w:pPr>
        <w:pStyle w:val="P68B1DB1-Normal3"/>
        <w:numPr>
          <w:ilvl w:val="0"/>
          <w:numId w:val="16"/>
        </w:numPr>
        <w:spacing w:before="120" w:after="120" w:line="240" w:lineRule="auto"/>
        <w:jc w:val="both"/>
        <w:rPr>
          <w:noProof/>
        </w:rPr>
      </w:pPr>
      <w:r>
        <w:rPr>
          <w:noProof/>
        </w:rPr>
        <w:t>Ändringar av den rättsliga ramen, inbegripet lagen om offentlig anställning, av förfarandena för rekrytering av tjänstemän till statliga förvaltningsorgan, professionella tjänster och statliga kontor.</w:t>
      </w:r>
    </w:p>
    <w:p w14:paraId="4A021AD2" w14:textId="77777777" w:rsidR="003A3D51" w:rsidRDefault="0002775A">
      <w:pPr>
        <w:pStyle w:val="P68B1DB1-Normal3"/>
        <w:numPr>
          <w:ilvl w:val="0"/>
          <w:numId w:val="16"/>
        </w:numPr>
        <w:spacing w:before="120" w:after="120" w:line="240" w:lineRule="auto"/>
        <w:jc w:val="both"/>
        <w:rPr>
          <w:noProof/>
        </w:rPr>
      </w:pPr>
      <w:r>
        <w:rPr>
          <w:noProof/>
        </w:rPr>
        <w:t>Utveckling av standardiserade prov och utbildning.</w:t>
      </w:r>
    </w:p>
    <w:p w14:paraId="4DCBD97B" w14:textId="77777777" w:rsidR="003A3D51" w:rsidRDefault="0002775A">
      <w:pPr>
        <w:pStyle w:val="P68B1DB1-Normal3"/>
        <w:numPr>
          <w:ilvl w:val="0"/>
          <w:numId w:val="16"/>
        </w:numPr>
        <w:spacing w:before="120" w:after="120" w:line="240" w:lineRule="auto"/>
        <w:jc w:val="both"/>
        <w:rPr>
          <w:noProof/>
        </w:rPr>
      </w:pPr>
      <w:r>
        <w:rPr>
          <w:noProof/>
        </w:rPr>
        <w:t xml:space="preserve">Utveckling av it-plattformen. </w:t>
      </w:r>
    </w:p>
    <w:p w14:paraId="206332CE" w14:textId="77777777" w:rsidR="003A3D51" w:rsidRDefault="0002775A">
      <w:pPr>
        <w:pStyle w:val="P68B1DB1-Normal3"/>
        <w:numPr>
          <w:ilvl w:val="0"/>
          <w:numId w:val="16"/>
        </w:numPr>
        <w:spacing w:before="120" w:after="120" w:line="240" w:lineRule="auto"/>
        <w:jc w:val="both"/>
        <w:rPr>
          <w:noProof/>
        </w:rPr>
      </w:pPr>
      <w:r>
        <w:rPr>
          <w:noProof/>
        </w:rPr>
        <w:t xml:space="preserve">Testning och genomförande av it-plattformen. </w:t>
      </w:r>
    </w:p>
    <w:p w14:paraId="18A0CAA0" w14:textId="77777777" w:rsidR="003A3D51" w:rsidRDefault="0002775A">
      <w:pPr>
        <w:pStyle w:val="P68B1DB1-Normal3"/>
        <w:spacing w:after="200" w:line="276" w:lineRule="auto"/>
        <w:jc w:val="both"/>
        <w:rPr>
          <w:rFonts w:ascii="Calibri" w:hAnsi="Calibri" w:cs="Arial"/>
          <w:noProof/>
        </w:rPr>
      </w:pPr>
      <w:r>
        <w:rPr>
          <w:noProof/>
        </w:rPr>
        <w:t>Åtgärden ska vara slutförd senast den 31 december 2024.</w:t>
      </w:r>
    </w:p>
    <w:p w14:paraId="6B8A2208" w14:textId="77777777" w:rsidR="003A3D51" w:rsidRDefault="0002775A">
      <w:pPr>
        <w:pStyle w:val="P68B1DB1-Normal18"/>
        <w:keepNext/>
        <w:tabs>
          <w:tab w:val="num" w:pos="850"/>
        </w:tabs>
        <w:spacing w:after="200" w:line="276" w:lineRule="auto"/>
        <w:ind w:left="851"/>
        <w:jc w:val="both"/>
        <w:outlineLvl w:val="2"/>
        <w:rPr>
          <w:rFonts w:ascii="Calibri" w:eastAsia="Calibri" w:hAnsi="Calibri" w:cs="Arial"/>
          <w:noProof/>
        </w:rPr>
      </w:pPr>
      <w:r>
        <w:rPr>
          <w:noProof/>
        </w:rPr>
        <w:t>Investering C2.2 R1 – I2 – E-statsexamen</w:t>
      </w:r>
    </w:p>
    <w:p w14:paraId="2D4878CE" w14:textId="77777777" w:rsidR="003A3D51" w:rsidRDefault="0002775A">
      <w:pPr>
        <w:pStyle w:val="P68B1DB1-Normal3"/>
        <w:spacing w:before="120" w:after="120" w:line="240" w:lineRule="auto"/>
        <w:jc w:val="both"/>
        <w:rPr>
          <w:noProof/>
        </w:rPr>
      </w:pPr>
      <w:r>
        <w:rPr>
          <w:noProof/>
        </w:rPr>
        <w:t xml:space="preserve">Syftet med denna investering är att inrätta ett nytt system för att på elektronisk väg klara ett statsprov för att säkerställa ett mer objektivt, lämpligt och giltigt sätt att bedöma de sökandes kunskaper genom ett standardiserat skriftligt prov. </w:t>
      </w:r>
    </w:p>
    <w:p w14:paraId="504F3FE4" w14:textId="77777777" w:rsidR="003A3D51" w:rsidRDefault="0002775A">
      <w:pPr>
        <w:pStyle w:val="P68B1DB1-Normal3"/>
        <w:spacing w:before="120" w:after="120" w:line="240" w:lineRule="auto"/>
        <w:jc w:val="both"/>
        <w:rPr>
          <w:noProof/>
        </w:rPr>
      </w:pPr>
      <w:r>
        <w:rPr>
          <w:noProof/>
        </w:rPr>
        <w:t>Investeringen ska omfatta utveckling av en programvara genom vilken förfarandena för utveckling av testmaterialet för den statliga examinationen, ansökan om examination, organisation, genomförande och godkännande av statsexamen ska tillhandahållas. Kontrollintyget ska göras tillgängligt elektroniskt. Systemet ska skapa en databas över provningsuppgifter och testmaterial, en databas över sökande och ska säkerställa att det upprättas rapporter om genomförandet och resultaten av proven. Ett sådant system ska möjliggöra kontinuerlig övervakning och förbättring av alla processer för utveckling och genomförande av statliga prov. Provlokaler i 4 provcentrum i Zagreb, Split, Rijeka och Osijek ska vara utrustade och göras tillgängliga för e-examen samt det centraliserade urvalssystemet (investering C2.2.R1-I1).</w:t>
      </w:r>
    </w:p>
    <w:p w14:paraId="0B52EB7E" w14:textId="77777777" w:rsidR="003A3D51" w:rsidRDefault="0002775A">
      <w:pPr>
        <w:pStyle w:val="P68B1DB1-Normal3"/>
        <w:spacing w:before="120" w:after="120" w:line="240" w:lineRule="auto"/>
        <w:jc w:val="both"/>
        <w:rPr>
          <w:noProof/>
        </w:rPr>
      </w:pPr>
      <w:r>
        <w:rPr>
          <w:noProof/>
        </w:rPr>
        <w:t>Åtgärden ska vara slutförd senast den 31 december 2022.</w:t>
      </w:r>
    </w:p>
    <w:p w14:paraId="0720F633"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 xml:space="preserve">Reform C2.2 R2 – Nya löne- och arbetsmodeller inom offentlig förvaltning </w:t>
      </w:r>
    </w:p>
    <w:p w14:paraId="1691C990" w14:textId="77777777" w:rsidR="003A3D51" w:rsidRDefault="0002775A">
      <w:pPr>
        <w:pStyle w:val="P68B1DB1-Normal3"/>
        <w:spacing w:before="120" w:after="120" w:line="240" w:lineRule="auto"/>
        <w:jc w:val="both"/>
        <w:rPr>
          <w:noProof/>
        </w:rPr>
      </w:pPr>
      <w:r>
        <w:rPr>
          <w:noProof/>
        </w:rPr>
        <w:t xml:space="preserve">Reformen syftar till att införa ett rättvist, öppet, konsekvent och ekonomiskt hållbart lönesystem inom den statliga förvaltningen och den offentliga förvaltningen samt ett standardiserat, digitaliserat och användarorienterat system för personalförvaltning. För att hantera den nya verkligheten med arbete ska en smart arbetsmodell införas som ger tjänstemännen de verktyg och den kompetens som krävs för att de ska kunna utföra sina uppgifter på distans. </w:t>
      </w:r>
    </w:p>
    <w:p w14:paraId="5F24261F" w14:textId="073EA9E9" w:rsidR="003A3D51" w:rsidRDefault="0002775A">
      <w:pPr>
        <w:pStyle w:val="P68B1DB1-Normal3"/>
        <w:spacing w:before="120" w:after="120" w:line="240" w:lineRule="auto"/>
        <w:jc w:val="both"/>
        <w:rPr>
          <w:noProof/>
        </w:rPr>
      </w:pPr>
      <w:r>
        <w:rPr>
          <w:noProof/>
        </w:rPr>
        <w:t>På grundval av en analys av situationen och en jämförelse av lönerna inom offentlig förvaltning och offentlig förvaltning ska ett nytt betalningssystem skapas och en ny lag om offentliganställdas löner och en ny lag om löner i offentlig tjänst antas. De nya lagarna ska innehålla bestämmelser om utvärdering av arbetstillfällen enligt fastställda kriterier och för att säkerställa en harmonisering av lönerna inom statlig förvaltning och offentliga tjänster. Den nya lönemodellen ska införa ett belöningssystem som bygger på prestation (arbetsprestation). Bestämmelserna om utvärdering och uppflyttning av offentliganställda ska ändras. Bedömningen av prestationer och effektivitet ska ligga till grund för karriärutveckling och befordran.</w:t>
      </w:r>
    </w:p>
    <w:p w14:paraId="08D756B2" w14:textId="77777777" w:rsidR="003A3D51" w:rsidRDefault="0002775A">
      <w:pPr>
        <w:pStyle w:val="P68B1DB1-Normal3"/>
        <w:spacing w:before="120" w:after="120" w:line="240" w:lineRule="auto"/>
        <w:jc w:val="both"/>
        <w:rPr>
          <w:noProof/>
        </w:rPr>
      </w:pPr>
      <w:bookmarkStart w:id="4" w:name="_Hlk148466901"/>
      <w:r>
        <w:rPr>
          <w:noProof/>
        </w:rPr>
        <w:t>Åtgärden ska vara slutförd senast den 30 juni 2023.</w:t>
      </w:r>
    </w:p>
    <w:bookmarkEnd w:id="4"/>
    <w:p w14:paraId="48259F90"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C2.2 R2-I1 – Förbättra ersättningssystemet inom den statliga förvaltningen och i den offentliga förvaltningen</w:t>
      </w:r>
    </w:p>
    <w:p w14:paraId="66673A4A" w14:textId="77777777" w:rsidR="003A3D51" w:rsidRDefault="0002775A">
      <w:pPr>
        <w:pStyle w:val="P68B1DB1-Normal3"/>
        <w:spacing w:before="120" w:after="120" w:line="240" w:lineRule="auto"/>
        <w:jc w:val="both"/>
        <w:rPr>
          <w:noProof/>
        </w:rPr>
      </w:pPr>
      <w:r>
        <w:rPr>
          <w:noProof/>
        </w:rPr>
        <w:t xml:space="preserve">Denna investering ska införa det nya ersättningssystemet inom den statliga förvaltningen och de offentliga tjänsterna, till stöd för reformen på samma område. Den ska säkerställa ett rättvisare system ur tjänstemännens perspektiv, bli mer konkurrenskraftigt och finanspolitiskt hållbart när det gäller att bibehålla den totala lönevikten i statsbudgeten och dess rationellare fördelning. </w:t>
      </w:r>
    </w:p>
    <w:p w14:paraId="21342710" w14:textId="77777777" w:rsidR="003A3D51" w:rsidRDefault="0002775A">
      <w:pPr>
        <w:pStyle w:val="P68B1DB1-Normal3"/>
        <w:spacing w:before="120" w:after="120" w:line="240" w:lineRule="auto"/>
        <w:jc w:val="both"/>
        <w:rPr>
          <w:noProof/>
        </w:rPr>
      </w:pPr>
      <w:r>
        <w:rPr>
          <w:noProof/>
        </w:rPr>
        <w:t xml:space="preserve">Ett enda statligt samordningsorgan med ansvar för den interinstitutionella samordningen av all verksamhet ska inrättas, åtföljt av expertgrupper som inbegriper företrädare för arbetsmarknadens parter. Det nuvarande lönesystemet och den rättsliga ramen ska analyseras och en jämförande analys med jämförbara medlemsstater ska utvecklas. På grundval av analyserna ska det nya förslaget till ett nytt lönesystem och en ny rättslig ram utarbetas, nio nya funktioner ska ingå i it-systemet för personaladministration och en kommunikationsstrategi ska utarbetas och genomföras. </w:t>
      </w:r>
    </w:p>
    <w:p w14:paraId="68CB6627" w14:textId="77777777" w:rsidR="003A3D51" w:rsidRDefault="0002775A">
      <w:pPr>
        <w:pStyle w:val="P68B1DB1-Normal3"/>
        <w:spacing w:before="120" w:after="120" w:line="240" w:lineRule="auto"/>
        <w:jc w:val="both"/>
        <w:rPr>
          <w:noProof/>
        </w:rPr>
      </w:pPr>
      <w:r>
        <w:rPr>
          <w:noProof/>
        </w:rPr>
        <w:t>Åtgärden ska vara slutförd senast den 30 juni 2024.</w:t>
      </w:r>
    </w:p>
    <w:p w14:paraId="5E1AE219"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C2.2 R2 – I2 – Införande av Hybrid Workplace Access Model – Smartworking</w:t>
      </w:r>
    </w:p>
    <w:p w14:paraId="4860C38E" w14:textId="77777777" w:rsidR="003A3D51" w:rsidRDefault="0002775A">
      <w:pPr>
        <w:pStyle w:val="P68B1DB1-Normal3"/>
        <w:tabs>
          <w:tab w:val="left" w:pos="2329"/>
        </w:tabs>
        <w:spacing w:before="120" w:after="120" w:line="240" w:lineRule="auto"/>
        <w:jc w:val="both"/>
        <w:rPr>
          <w:noProof/>
        </w:rPr>
      </w:pPr>
      <w:r>
        <w:rPr>
          <w:noProof/>
        </w:rPr>
        <w:t xml:space="preserve">Syftet med denna investering är att införa en modell som gör det möjligt för tjänstemän att arbeta på distans för att tillhandahålla offentliga tjänster av hög kvalitet som är tillgängliga för alla och öka tjänstemännens motivation. Den ska inrätta ett innovativt arbetsflöde som bygger på flexibilitet i fråga om arbetstid och arbetsplats i enlighet med behoven i den offentliga förvaltningens processer och planer. De rättsliga arrangemangen för offentlig förvaltning och arbetsmarknadsrelationer för införandet av en hybridmodell för arbete inom den offentliga förvaltningen och rättsväsendet (arbetslagen, lagen om offentlig anställning, lagen om anställningsskydd och stadgarna) ska ändras så att arbetstagarna kan arbeta smidigt och kontinuerligt.  </w:t>
      </w:r>
    </w:p>
    <w:p w14:paraId="433AFCB2" w14:textId="77777777" w:rsidR="003A3D51" w:rsidRDefault="0002775A">
      <w:pPr>
        <w:pStyle w:val="P68B1DB1-Normal3"/>
        <w:spacing w:before="120" w:after="120" w:line="240" w:lineRule="auto"/>
        <w:jc w:val="both"/>
        <w:rPr>
          <w:noProof/>
        </w:rPr>
      </w:pPr>
      <w:r>
        <w:rPr>
          <w:noProof/>
        </w:rPr>
        <w:t>För att uppnå ovanstående mål omfattar åtgärden följande verksamheter:</w:t>
      </w:r>
    </w:p>
    <w:p w14:paraId="48FD17E6" w14:textId="77777777" w:rsidR="003A3D51" w:rsidRDefault="0002775A">
      <w:pPr>
        <w:pStyle w:val="P68B1DB1-Normal3"/>
        <w:numPr>
          <w:ilvl w:val="0"/>
          <w:numId w:val="18"/>
        </w:numPr>
        <w:spacing w:before="120" w:after="120" w:line="240" w:lineRule="auto"/>
        <w:jc w:val="both"/>
        <w:rPr>
          <w:noProof/>
        </w:rPr>
      </w:pPr>
      <w:r>
        <w:rPr>
          <w:noProof/>
        </w:rPr>
        <w:t>Anlitande av externa experter för att fastställa det aktuella läget när det gäller villkoren för distansarbete och förbereda och genomföra ledarskapsutbildning.</w:t>
      </w:r>
    </w:p>
    <w:p w14:paraId="308AA73A" w14:textId="77777777" w:rsidR="003A3D51" w:rsidRDefault="0002775A">
      <w:pPr>
        <w:pStyle w:val="P68B1DB1-Normal3"/>
        <w:numPr>
          <w:ilvl w:val="0"/>
          <w:numId w:val="18"/>
        </w:numPr>
        <w:spacing w:before="120" w:after="120" w:line="240" w:lineRule="auto"/>
        <w:jc w:val="both"/>
        <w:rPr>
          <w:noProof/>
        </w:rPr>
      </w:pPr>
      <w:r>
        <w:rPr>
          <w:noProof/>
        </w:rPr>
        <w:t>Utarbetande av ett förslag till en modell och en plan för hybridtillträde till arbetsplatsen med en fullständig normativ lösning för externa experters genomförande.</w:t>
      </w:r>
    </w:p>
    <w:p w14:paraId="523E1949" w14:textId="77777777" w:rsidR="003A3D51" w:rsidRDefault="0002775A">
      <w:pPr>
        <w:pStyle w:val="P68B1DB1-Normal3"/>
        <w:numPr>
          <w:ilvl w:val="0"/>
          <w:numId w:val="18"/>
        </w:numPr>
        <w:spacing w:before="120" w:after="120" w:line="240" w:lineRule="auto"/>
        <w:jc w:val="both"/>
        <w:rPr>
          <w:noProof/>
        </w:rPr>
      </w:pPr>
      <w:r>
        <w:rPr>
          <w:noProof/>
        </w:rPr>
        <w:t>Ändringar av den rättsliga ramen och arbetsmetoderna.</w:t>
      </w:r>
    </w:p>
    <w:p w14:paraId="335CEEB8" w14:textId="77777777" w:rsidR="003A3D51" w:rsidRDefault="0002775A">
      <w:pPr>
        <w:pStyle w:val="P68B1DB1-Normal3"/>
        <w:numPr>
          <w:ilvl w:val="0"/>
          <w:numId w:val="18"/>
        </w:numPr>
        <w:spacing w:before="120" w:after="120" w:line="240" w:lineRule="auto"/>
        <w:jc w:val="both"/>
        <w:rPr>
          <w:noProof/>
        </w:rPr>
      </w:pPr>
      <w:r>
        <w:rPr>
          <w:noProof/>
        </w:rPr>
        <w:t xml:space="preserve">Förvärv av informationsteknik (bärbara datorer, surfplattor, smarttelefoner och nödvändig programvara), som förvärvats genom öppna offentliga upphandlingsförfaranden. </w:t>
      </w:r>
    </w:p>
    <w:p w14:paraId="0F3EE396" w14:textId="77777777" w:rsidR="003A3D51" w:rsidRDefault="0002775A">
      <w:pPr>
        <w:pStyle w:val="P68B1DB1-Normal3"/>
        <w:numPr>
          <w:ilvl w:val="0"/>
          <w:numId w:val="18"/>
        </w:numPr>
        <w:spacing w:before="120" w:after="120" w:line="240" w:lineRule="auto"/>
        <w:jc w:val="both"/>
        <w:rPr>
          <w:noProof/>
        </w:rPr>
      </w:pPr>
      <w:r>
        <w:rPr>
          <w:noProof/>
        </w:rPr>
        <w:t>Personalutbildning.</w:t>
      </w:r>
    </w:p>
    <w:p w14:paraId="7AADA3B1" w14:textId="77777777" w:rsidR="003A3D51" w:rsidRDefault="0002775A">
      <w:pPr>
        <w:pStyle w:val="P68B1DB1-Normal3"/>
        <w:spacing w:before="120" w:after="120" w:line="240" w:lineRule="auto"/>
        <w:jc w:val="both"/>
        <w:rPr>
          <w:noProof/>
        </w:rPr>
      </w:pPr>
      <w:r>
        <w:rPr>
          <w:noProof/>
        </w:rPr>
        <w:t>Åtgärden ska vara slutförd senast den 30 september 2023.</w:t>
      </w:r>
    </w:p>
    <w:p w14:paraId="726DB1F6"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Reform C2.2 R3 – Digital omvandling av bevarandebaser och arkivregister</w:t>
      </w:r>
    </w:p>
    <w:p w14:paraId="75512386" w14:textId="77777777" w:rsidR="003A3D51" w:rsidRDefault="0002775A">
      <w:pPr>
        <w:pStyle w:val="P68B1DB1-Normal3"/>
        <w:spacing w:before="120" w:after="120" w:line="240" w:lineRule="auto"/>
        <w:jc w:val="both"/>
        <w:rPr>
          <w:noProof/>
        </w:rPr>
      </w:pPr>
      <w:r>
        <w:rPr>
          <w:noProof/>
        </w:rPr>
        <w:t>Denna reform syftar till att förbättra de offentliga myndigheternas dokumenthantering för att förbättra affärsprocesserna. Åtgärden förväntas möjliggöra ett effektivare tillhandahållande av offentliga förvaltningstjänster genom att använda genomförda IKT-lösningar som ska säkerställa interoperabilitet och datadelning, kostnadsminskning, insyn i företagen och skydd av medborgarnas rättigheter.</w:t>
      </w:r>
    </w:p>
    <w:p w14:paraId="44CCC0F1" w14:textId="77777777" w:rsidR="003A3D51" w:rsidRDefault="0002775A">
      <w:pPr>
        <w:pStyle w:val="P68B1DB1-Normal3"/>
        <w:spacing w:before="120" w:after="120" w:line="240" w:lineRule="auto"/>
        <w:jc w:val="both"/>
        <w:rPr>
          <w:noProof/>
        </w:rPr>
      </w:pPr>
      <w:r>
        <w:rPr>
          <w:noProof/>
        </w:rPr>
        <w:t>Dessutom avser myndigheterna att utveckla en digital offentlig tjänst som ska utvecklas och införas för att ge tillgång till digitala bevarandebaser som byggts för kulturella och historiska platser. Dessutom kommer utvecklingen av nödvändiga standarder och kriterier att förbättra den offentliga förvaltningens övergripande effektivitet i detta sammanhang. Utveckling av det nationella informationssystemet för arkiv, förstärkning av infrastrukturen och den mänskliga kapaciteten i statliga arkiv och en förstärkning av kapaciteten att digitalisera analoga pappersregister av dokumentskapare och dokumentägare planeras för att förbättra de digitala offentliga tjänsterna genom snabbare tillgång till dokumentation och bättre efterlevnad av användarnas och alla berörda medborgares rättigheter.</w:t>
      </w:r>
    </w:p>
    <w:p w14:paraId="7E12C1BA" w14:textId="77777777" w:rsidR="003A3D51" w:rsidRDefault="0002775A">
      <w:pPr>
        <w:pStyle w:val="P68B1DB1-Normal3"/>
        <w:spacing w:before="120" w:after="120" w:line="240" w:lineRule="auto"/>
        <w:jc w:val="both"/>
        <w:rPr>
          <w:noProof/>
        </w:rPr>
      </w:pPr>
      <w:r>
        <w:rPr>
          <w:noProof/>
        </w:rPr>
        <w:t>Åtgärden ska vara slutförd senast den 30 juni 2024.</w:t>
      </w:r>
    </w:p>
    <w:p w14:paraId="309EF727"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C2.2 R3 – I1 – Införande av</w:t>
      </w:r>
      <w:r>
        <w:rPr>
          <w:noProof/>
        </w:rPr>
        <w:tab/>
        <w:t>digital infrastruktur och offentliga förvaltningstjänster genom utveckling av ett system för bevarande</w:t>
      </w:r>
    </w:p>
    <w:p w14:paraId="5D7C734D" w14:textId="77777777" w:rsidR="003A3D51" w:rsidRDefault="0002775A">
      <w:pPr>
        <w:pStyle w:val="P68B1DB1-Normal3"/>
        <w:spacing w:before="120" w:after="120" w:line="240" w:lineRule="auto"/>
        <w:jc w:val="both"/>
        <w:rPr>
          <w:noProof/>
        </w:rPr>
      </w:pPr>
      <w:r>
        <w:rPr>
          <w:noProof/>
        </w:rPr>
        <w:t>Denna investering syftar till att inrätta en ny digital offentlig tjänst (e-bevarandebas) som är kopplad till befintliga digitala offentliga tjänster (t.ex. e-medborgare, informationssystem för fysisk planering) i syfte att minska de administrativa hindren i tillståndsprocessen enligt lagen om skydd och bevarande av kulturegendom, främja ett snabbt utfärdande av bygglov och säkerställa öppenhet och ett enhetligt förfarande för att erhålla relevanta handlingar i hela landet. Det ska göra det möjligt för tjänstemän att handlägga ärenden snabbare och möjliggöra en effektivare offentlig förvaltning, samtidigt som investerarna i förväg görs medvetna om de krav som rör kulturarvet. Investeringen förväntas öka den rättsliga säkerheten i samband med bevarandet av kulturtillgångar och ge allmänheten insikt i de konservativa kraven.</w:t>
      </w:r>
    </w:p>
    <w:p w14:paraId="0A602C8A" w14:textId="77777777" w:rsidR="003A3D51" w:rsidRDefault="0002775A">
      <w:pPr>
        <w:pStyle w:val="P68B1DB1-Normal3"/>
        <w:spacing w:before="120" w:after="120" w:line="240" w:lineRule="auto"/>
        <w:jc w:val="both"/>
        <w:rPr>
          <w:noProof/>
        </w:rPr>
      </w:pPr>
      <w:r>
        <w:rPr>
          <w:noProof/>
        </w:rPr>
        <w:t>Denna investering ska omfatta utveckling av en digital offentlig tjänst för it-system samt utveckling av digitala bevarandebaser. Standarder, kriterier och metoder för utveckling av bevarandebaser ska fastställas. De digitaliserade bevarandebaserna, inklusive en fullständig analys av kulturplatsernas tillstånd, tillvaratagande och skyddsåtgärder, ska offentliggöras.</w:t>
      </w:r>
    </w:p>
    <w:p w14:paraId="26995C43" w14:textId="77777777" w:rsidR="003A3D51" w:rsidRDefault="0002775A">
      <w:pPr>
        <w:pStyle w:val="P68B1DB1-Normal3"/>
        <w:spacing w:before="120" w:after="120" w:line="240" w:lineRule="auto"/>
        <w:jc w:val="both"/>
        <w:rPr>
          <w:noProof/>
        </w:rPr>
      </w:pPr>
      <w:r>
        <w:rPr>
          <w:noProof/>
        </w:rPr>
        <w:t xml:space="preserve">Åtgärden ska vara slutförd senast den 30 juni 2026.  </w:t>
      </w:r>
    </w:p>
    <w:p w14:paraId="64753DAB"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Investering C2.2 R3-I2 – Förbättring av den offentliga sektorns digitala infrastruktur och tjänster genom utveckling av det nationella arkivinformationssystemet och förstärkning av det nationella arkivnätverket</w:t>
      </w:r>
    </w:p>
    <w:p w14:paraId="00CBC655" w14:textId="77777777" w:rsidR="003A3D51" w:rsidRDefault="0002775A">
      <w:pPr>
        <w:pStyle w:val="P68B1DB1-Normal3"/>
        <w:spacing w:before="120" w:after="120" w:line="240" w:lineRule="auto"/>
        <w:jc w:val="both"/>
        <w:rPr>
          <w:noProof/>
        </w:rPr>
      </w:pPr>
      <w:r>
        <w:rPr>
          <w:noProof/>
        </w:rPr>
        <w:t>Denna investering syftar till att förbättra förvaltningen och arkiveringen av handlingar som skapas av offentliga myndigheter och rättsväsendet genom att koppla samman befintliga tjänster och ge tillgång till alla berörda offentliga myndigheter, samtidigt som medborgarnas rättigheter skyddas. De planerade investeringarna ska bidra till att minska kostnaderna för lokaler, utrustning och personal för institutioner som upprättar dokumenten samt stärka deras kapacitet att hantera digital dokumentation. Kroatien ska uttryckligen identifiera de potentiella riskerna och tillhörande särskilda riskreducerande åtgärder mot datasäkerhet, inbegripet när och om användning av molnleverantörer från tredjeländer som omfattas av extraterritoriell lagstiftning planeras.</w:t>
      </w:r>
    </w:p>
    <w:p w14:paraId="24844C00" w14:textId="77777777" w:rsidR="003A3D51" w:rsidRDefault="0002775A">
      <w:pPr>
        <w:pStyle w:val="P68B1DB1-Normal3"/>
        <w:spacing w:before="120" w:after="120" w:line="240" w:lineRule="auto"/>
        <w:jc w:val="both"/>
        <w:rPr>
          <w:noProof/>
        </w:rPr>
      </w:pPr>
      <w:r>
        <w:rPr>
          <w:noProof/>
        </w:rPr>
        <w:t>Investeringen ska omfatta utveckling av ett nationellt arkivinformationssystem och inrättande av en ny e-arkivtjänst, inom den statliga informationsinfrastrukturen, kopplad till befintliga e-tjänster. Genomförandet ska omfatta följande verksamheter:</w:t>
      </w:r>
    </w:p>
    <w:p w14:paraId="02645A6C" w14:textId="77777777" w:rsidR="003A3D51" w:rsidRDefault="0002775A">
      <w:pPr>
        <w:pStyle w:val="P68B1DB1-Normal3"/>
        <w:numPr>
          <w:ilvl w:val="0"/>
          <w:numId w:val="19"/>
        </w:numPr>
        <w:spacing w:before="120" w:after="120" w:line="240" w:lineRule="auto"/>
        <w:jc w:val="both"/>
        <w:rPr>
          <w:noProof/>
        </w:rPr>
      </w:pPr>
      <w:r>
        <w:rPr>
          <w:noProof/>
        </w:rPr>
        <w:t>Utveckling av it-system, inklusive testning och datamigration.</w:t>
      </w:r>
    </w:p>
    <w:p w14:paraId="5EED859C" w14:textId="77777777" w:rsidR="003A3D51" w:rsidRDefault="0002775A">
      <w:pPr>
        <w:pStyle w:val="P68B1DB1-Normal3"/>
        <w:numPr>
          <w:ilvl w:val="0"/>
          <w:numId w:val="19"/>
        </w:numPr>
        <w:spacing w:before="120" w:after="120" w:line="240" w:lineRule="auto"/>
        <w:jc w:val="both"/>
        <w:rPr>
          <w:noProof/>
        </w:rPr>
      </w:pPr>
      <w:r>
        <w:rPr>
          <w:noProof/>
        </w:rPr>
        <w:t>Utveckling av en databas för lagring av digitaliserade uppgifter.</w:t>
      </w:r>
    </w:p>
    <w:p w14:paraId="592BA5D9" w14:textId="77777777" w:rsidR="003A3D51" w:rsidRDefault="0002775A">
      <w:pPr>
        <w:pStyle w:val="P68B1DB1-Normal3"/>
        <w:numPr>
          <w:ilvl w:val="0"/>
          <w:numId w:val="19"/>
        </w:numPr>
        <w:spacing w:before="120" w:after="120" w:line="240" w:lineRule="auto"/>
        <w:jc w:val="both"/>
        <w:rPr>
          <w:noProof/>
        </w:rPr>
      </w:pPr>
      <w:r>
        <w:rPr>
          <w:noProof/>
        </w:rPr>
        <w:t>Utveckling av en digital offentlig tjänst för tillgång till och användning av digitaliserade register.</w:t>
      </w:r>
    </w:p>
    <w:p w14:paraId="7A866BC4" w14:textId="77777777" w:rsidR="003A3D51" w:rsidRDefault="0002775A">
      <w:pPr>
        <w:pStyle w:val="P68B1DB1-Normal3"/>
        <w:numPr>
          <w:ilvl w:val="0"/>
          <w:numId w:val="19"/>
        </w:numPr>
        <w:spacing w:before="120" w:after="120" w:line="240" w:lineRule="auto"/>
        <w:jc w:val="both"/>
        <w:rPr>
          <w:noProof/>
        </w:rPr>
      </w:pPr>
      <w:r>
        <w:rPr>
          <w:noProof/>
        </w:rPr>
        <w:t>Stärka lagringskapaciteten i 8 regionala regeringsarkiv för att överföra permanenta pappersarkiv.</w:t>
      </w:r>
    </w:p>
    <w:p w14:paraId="11E13AAA" w14:textId="77777777" w:rsidR="003A3D51" w:rsidRDefault="0002775A">
      <w:pPr>
        <w:pStyle w:val="P68B1DB1-Normal3"/>
        <w:numPr>
          <w:ilvl w:val="0"/>
          <w:numId w:val="19"/>
        </w:numPr>
        <w:spacing w:before="120" w:after="120" w:line="240" w:lineRule="auto"/>
        <w:jc w:val="both"/>
        <w:rPr>
          <w:noProof/>
        </w:rPr>
      </w:pPr>
      <w:r>
        <w:rPr>
          <w:noProof/>
        </w:rPr>
        <w:t>Stärka den mänskliga kapaciteten genom utbildning av personal i 19 statliga arkiv och 120 rättsliga myndigheter för att förbättra dokumenthanteringen i den digitala miljön.</w:t>
      </w:r>
    </w:p>
    <w:p w14:paraId="089433FF" w14:textId="77777777" w:rsidR="003A3D51" w:rsidRDefault="0002775A">
      <w:pPr>
        <w:pStyle w:val="P68B1DB1-Normal3"/>
        <w:numPr>
          <w:ilvl w:val="0"/>
          <w:numId w:val="19"/>
        </w:numPr>
        <w:spacing w:before="120" w:after="120" w:line="240" w:lineRule="auto"/>
        <w:jc w:val="both"/>
        <w:rPr>
          <w:noProof/>
        </w:rPr>
      </w:pPr>
      <w:r>
        <w:rPr>
          <w:noProof/>
        </w:rPr>
        <w:t xml:space="preserve">Upprätta och välja ut pappersregister hos de rättsliga myndigheterna. </w:t>
      </w:r>
    </w:p>
    <w:p w14:paraId="389B85DE" w14:textId="77777777" w:rsidR="003A3D51" w:rsidRDefault="0002775A">
      <w:pPr>
        <w:pStyle w:val="P68B1DB1-Normal3"/>
        <w:numPr>
          <w:ilvl w:val="0"/>
          <w:numId w:val="19"/>
        </w:numPr>
        <w:spacing w:before="120" w:after="120" w:line="240" w:lineRule="auto"/>
        <w:jc w:val="both"/>
        <w:rPr>
          <w:noProof/>
        </w:rPr>
      </w:pPr>
      <w:r>
        <w:rPr>
          <w:noProof/>
        </w:rPr>
        <w:t xml:space="preserve">De rättsliga myndigheternas förfogande över register som har passerat lagringstiderna och som inte längre används för normala affärsprocesser. </w:t>
      </w:r>
    </w:p>
    <w:p w14:paraId="416B7362" w14:textId="77777777" w:rsidR="003A3D51" w:rsidRDefault="0002775A">
      <w:pPr>
        <w:pStyle w:val="P68B1DB1-Normal3"/>
        <w:numPr>
          <w:ilvl w:val="0"/>
          <w:numId w:val="19"/>
        </w:numPr>
        <w:spacing w:before="120" w:after="120" w:line="240" w:lineRule="auto"/>
        <w:jc w:val="both"/>
        <w:rPr>
          <w:noProof/>
        </w:rPr>
      </w:pPr>
      <w:r>
        <w:rPr>
          <w:noProof/>
        </w:rPr>
        <w:t>Digitalisering av utvalda pappershandlingar som finns kvar hos de rättsliga myndigheterna i enlighet med yrkesmässiga riktlinjer för digitalisering av arkiv och gällande lagstiftning.</w:t>
      </w:r>
    </w:p>
    <w:p w14:paraId="5236595B" w14:textId="77777777" w:rsidR="003A3D51" w:rsidRDefault="0002775A">
      <w:pPr>
        <w:pStyle w:val="P68B1DB1-Normal3"/>
        <w:spacing w:before="120" w:after="120" w:line="240" w:lineRule="auto"/>
        <w:jc w:val="both"/>
        <w:rPr>
          <w:noProof/>
        </w:rPr>
      </w:pPr>
      <w:r>
        <w:rPr>
          <w:noProof/>
        </w:rPr>
        <w:t>Åtgärden ska vara slutförd senast den 30 juni 2026.</w:t>
      </w:r>
    </w:p>
    <w:p w14:paraId="0A0EE156" w14:textId="77777777" w:rsidR="003A3D51" w:rsidRDefault="0002775A">
      <w:pPr>
        <w:pStyle w:val="P68B1DB1-Normal18"/>
        <w:keepNext/>
        <w:numPr>
          <w:ilvl w:val="2"/>
          <w:numId w:val="0"/>
        </w:numPr>
        <w:spacing w:before="120" w:after="120" w:line="240" w:lineRule="auto"/>
        <w:ind w:left="851"/>
        <w:jc w:val="both"/>
        <w:outlineLvl w:val="2"/>
        <w:rPr>
          <w:i/>
          <w:noProof/>
        </w:rPr>
      </w:pPr>
      <w:r>
        <w:rPr>
          <w:noProof/>
        </w:rPr>
        <w:t xml:space="preserve">Reform C2.2 R4 – Funktionella och hållbara lokala myndigheter </w:t>
      </w:r>
    </w:p>
    <w:p w14:paraId="77E75B95" w14:textId="77777777" w:rsidR="003A3D51" w:rsidRDefault="0002775A">
      <w:pPr>
        <w:pStyle w:val="P68B1DB1-Normal3"/>
        <w:spacing w:before="120" w:after="120" w:line="240" w:lineRule="auto"/>
        <w:jc w:val="both"/>
        <w:rPr>
          <w:noProof/>
        </w:rPr>
      </w:pPr>
      <w:r>
        <w:rPr>
          <w:noProof/>
        </w:rPr>
        <w:t xml:space="preserve">Denna reform syftar till att inrätta ett effektivt system av hög kvalitet för lokala och regionala myndigheter genom att stimulera både funktionell och faktisk integration av lokala förvaltningsenheter. Reformen förväntas bidra till ett förbättrat, effektivt och öppet tillhandahållande av offentliga tjänster till medborgarna och ge dem lika möjligheter att tillgodose sina behov och intressen, oavsett bosättningsort. </w:t>
      </w:r>
    </w:p>
    <w:p w14:paraId="01B15DF1" w14:textId="77777777" w:rsidR="003A3D51" w:rsidRDefault="0002775A">
      <w:pPr>
        <w:pStyle w:val="P68B1DB1-Normal3"/>
        <w:spacing w:before="120" w:after="120" w:line="240" w:lineRule="auto"/>
        <w:jc w:val="both"/>
        <w:rPr>
          <w:noProof/>
        </w:rPr>
      </w:pPr>
      <w:r>
        <w:rPr>
          <w:noProof/>
        </w:rPr>
        <w:t xml:space="preserve">Den relevanta lagstiftningen, lagen om genomförandet av Republiken Kroatiens statsbudget för 2022, ska ändras och en mekanism för ekonomiskt stöd ska införas för att uppmuntra både funktionella och faktiska sammanslagningar. Tillräckliga resurser ska säkerställas i statsbudgeten för att ekonomiskt uppmuntra till en faktisk sammanslagning av minst 20 % av de lokala förvaltningsenheterna och en funktionell sammanslagning av minst 40 % av de lokala förvaltningsenheterna. Under mekanismens utformningsfas ska ett antal möjliga finansieringsmodeller för gemensamma resultat identifieras, med beaktande av omfattningen av de tjänster som de lokala och regionala förvaltningsenheterna måste tillhandahålla enligt definitionen i lag och enheternas rapporterade behov för att utföra de gemensamma uppgifterna. Ett framgångsrikt slutförande av den faktiska eller funktionella sammanslagningen ska vara en förutsättning för tilldelning av ytterligare medel eller samfinansiering från den nationella budgeten. </w:t>
      </w:r>
      <w:r>
        <w:rPr>
          <w:noProof/>
          <w:color w:val="000000"/>
        </w:rPr>
        <w:t>Den kroatiska regeringens beslut ska fastställa kriterierna och nivån på incitamenten, med större skatteincitament för faktiska fusioner, medan incitamenten för funktionella fusioner beror på antalet och typen av funktioner som planeras för fusionen.</w:t>
      </w:r>
    </w:p>
    <w:p w14:paraId="0C6D8EF1" w14:textId="77777777" w:rsidR="003A3D51" w:rsidRDefault="00D31A2F">
      <w:pPr>
        <w:pStyle w:val="P68B1DB1-Normal11"/>
        <w:spacing w:before="120" w:after="120" w:line="240" w:lineRule="auto"/>
        <w:jc w:val="both"/>
        <w:rPr>
          <w:rFonts w:eastAsia="Calibri"/>
          <w:noProof/>
        </w:rPr>
      </w:pPr>
      <w:sdt>
        <w:sdtPr>
          <w:rPr>
            <w:rFonts w:eastAsia="Calibri"/>
            <w:noProof/>
            <w:lang w:val="en-GB"/>
          </w:rPr>
          <w:id w:val="999383225"/>
        </w:sdtPr>
        <w:sdtEndPr/>
        <w:sdtContent>
          <w:r w:rsidR="0002775A">
            <w:rPr>
              <w:noProof/>
            </w:rPr>
            <w:t>Ändringar i föreskrifterna om mekanismen för ekonomiskt stöd till lokala och regionala myndigheter, vilket gör det möjligt att betala ut ekonomiska incitament för sammanslagningar.</w:t>
          </w:r>
        </w:sdtContent>
      </w:sdt>
    </w:p>
    <w:p w14:paraId="6211635B" w14:textId="77777777" w:rsidR="003A3D51" w:rsidRDefault="0002775A">
      <w:pPr>
        <w:pStyle w:val="P68B1DB1-Normal3"/>
        <w:spacing w:before="120" w:after="120" w:line="240" w:lineRule="auto"/>
        <w:jc w:val="both"/>
        <w:rPr>
          <w:noProof/>
        </w:rPr>
      </w:pPr>
      <w:r>
        <w:rPr>
          <w:noProof/>
        </w:rPr>
        <w:t>Reformen ska vara genomförd senast den 31 mars 2022.</w:t>
      </w:r>
    </w:p>
    <w:p w14:paraId="501D868B" w14:textId="77777777" w:rsidR="003A3D51" w:rsidRDefault="0002775A">
      <w:pPr>
        <w:pStyle w:val="P68B1DB1-Normal18"/>
        <w:keepNext/>
        <w:numPr>
          <w:ilvl w:val="2"/>
          <w:numId w:val="0"/>
        </w:numPr>
        <w:spacing w:before="240" w:after="0"/>
        <w:ind w:left="851"/>
        <w:jc w:val="both"/>
        <w:outlineLvl w:val="2"/>
        <w:rPr>
          <w:noProof/>
        </w:rPr>
      </w:pPr>
      <w:r>
        <w:rPr>
          <w:noProof/>
        </w:rPr>
        <w:t>Investeringar C2.2 R4 – I1 – Ytterligare optimering och decentralisering av lokala och regionala myndigheter genom stöd till funktionella och faktiska sammanslagningar</w:t>
      </w:r>
    </w:p>
    <w:p w14:paraId="17BF7404" w14:textId="77777777" w:rsidR="003A3D51" w:rsidRDefault="0002775A">
      <w:pPr>
        <w:pStyle w:val="P68B1DB1-Normal3"/>
        <w:spacing w:before="120" w:after="120" w:line="240" w:lineRule="auto"/>
        <w:jc w:val="both"/>
        <w:rPr>
          <w:noProof/>
        </w:rPr>
      </w:pPr>
      <w:r>
        <w:rPr>
          <w:noProof/>
        </w:rPr>
        <w:t xml:space="preserve">Denna investering ska omfatta uppgradering av it-systemet för att stödja den åtföljande reformen (C2.2 R4) och inrätta ett system av hög kvalitet för att främja funktionella och faktiska sammanslagningar av lokala förvaltningsenheter. Dessa ska tillhandahålla tjänster till medborgarna på ett mer människocentrerat och öppet sätt och stärka deras administrativa kapacitet så att de kan utföra sina uppgifter på ett effektivare sätt. Enheterna ska uppmuntras att antingen utföra uppgifter gemensamt (funktionell sammanslagning) eller att faktiskt slå samman med andra lokala självstyrande enheter genom att förse dem med lämplig sakkunskap samt genom att inrätta ett system för ekonomiska incitament. </w:t>
      </w:r>
    </w:p>
    <w:p w14:paraId="26D2780D" w14:textId="77777777" w:rsidR="003A3D51" w:rsidRDefault="0002775A">
      <w:pPr>
        <w:pStyle w:val="P68B1DB1-Normal3"/>
        <w:spacing w:before="120" w:after="120" w:line="240" w:lineRule="auto"/>
        <w:jc w:val="both"/>
        <w:rPr>
          <w:noProof/>
        </w:rPr>
      </w:pPr>
      <w:r>
        <w:rPr>
          <w:noProof/>
        </w:rPr>
        <w:t xml:space="preserve">Det it-system som nämns ovan och som utvecklats inom ramen för Europeiska socialfondens projekt ”Optimisation of the Local and Regional Self-Government System” ska uppgraderas och göras tillgängligt för de lokala förvaltningsenheterna. It-systemet ska göra det möjligt för enheterna att tydligare upptäcka vilka uppgifter som skulle vara effektivare att utföra tillsammans med andra lokala förvaltningsenheter och vilka enheter som är lämpliga partner för gemensamt utförande av uppgifterna. De uppgifter som samlas in genom systemet ska också ligga till grund för faktiska fusioner av andelar som uttrycker intresse för sådana fusioner. </w:t>
      </w:r>
    </w:p>
    <w:p w14:paraId="73543FD8" w14:textId="77777777" w:rsidR="003A3D51" w:rsidRDefault="0002775A">
      <w:pPr>
        <w:pStyle w:val="P68B1DB1-Normal3"/>
        <w:spacing w:before="120" w:after="120" w:line="240" w:lineRule="auto"/>
        <w:jc w:val="both"/>
        <w:rPr>
          <w:noProof/>
        </w:rPr>
      </w:pPr>
      <w:r>
        <w:rPr>
          <w:noProof/>
        </w:rPr>
        <w:t xml:space="preserve">Ett frågeformulär för självbedömning ska utarbetas och fyllas i av de lokala förvaltningsenheterna för att komplettera de tillgängliga uppgifterna. Riktlinjer och rekommendationer för fusioner ska utarbetas på grundval av ovannämnda uppgifter. Systemet ska möjliggöra en omfattande översikt över vilken uppgift som kan utföras gemensamt samt föreslå modeller för fusioner, såsom inrättande av ett gemensamt förvaltningsorgan eller gemensamma institutioner. Vid faktiska sammanslagningar ska systemet ge indikationer på nödvändiga åtgärder och ett urval av lämpliga partnerenheter. </w:t>
      </w:r>
    </w:p>
    <w:p w14:paraId="0222395C" w14:textId="77777777" w:rsidR="003A3D51" w:rsidRDefault="0002775A">
      <w:pPr>
        <w:pStyle w:val="P68B1DB1-Normal3"/>
        <w:spacing w:before="120" w:after="120" w:line="240" w:lineRule="auto"/>
        <w:jc w:val="both"/>
        <w:rPr>
          <w:noProof/>
        </w:rPr>
      </w:pPr>
      <w:r>
        <w:rPr>
          <w:noProof/>
        </w:rPr>
        <w:t>Åtgärden ska vara slutförd senast den 30 juni 2025.</w:t>
      </w:r>
    </w:p>
    <w:p w14:paraId="75FF2382" w14:textId="77777777" w:rsidR="003A3D51" w:rsidRDefault="003A3D51">
      <w:pPr>
        <w:rPr>
          <w:noProof/>
        </w:rPr>
        <w:sectPr w:rsidR="003A3D51" w:rsidSect="00DA3BCA">
          <w:headerReference w:type="even" r:id="rId150"/>
          <w:headerReference w:type="default" r:id="rId151"/>
          <w:footerReference w:type="even" r:id="rId152"/>
          <w:footerReference w:type="default" r:id="rId153"/>
          <w:headerReference w:type="first" r:id="rId154"/>
          <w:footerReference w:type="first" r:id="rId155"/>
          <w:pgSz w:w="12240" w:h="15840"/>
          <w:pgMar w:top="1440" w:right="1440" w:bottom="1440" w:left="1440" w:header="708" w:footer="708" w:gutter="0"/>
          <w:cols w:space="708"/>
          <w:docGrid w:linePitch="360"/>
        </w:sectPr>
      </w:pPr>
    </w:p>
    <w:p w14:paraId="58022F0F" w14:textId="77777777" w:rsidR="003A3D51" w:rsidRDefault="0002775A">
      <w:pPr>
        <w:pStyle w:val="P68B1DB1-Normal4"/>
        <w:keepNext/>
        <w:tabs>
          <w:tab w:val="num" w:pos="850"/>
        </w:tabs>
        <w:spacing w:before="40" w:after="240"/>
        <w:ind w:left="851"/>
        <w:jc w:val="both"/>
        <w:outlineLvl w:val="1"/>
        <w:rPr>
          <w:noProof/>
        </w:rPr>
      </w:pPr>
      <w:r>
        <w:rPr>
          <w:noProof/>
        </w:rPr>
        <w:t xml:space="preserve">H.2. </w:t>
      </w:r>
      <w:r>
        <w:rPr>
          <w:noProof/>
        </w:rPr>
        <w:tab/>
        <w:t>Delmål, mål, indikatorer och tidsplan för övervakning och genomförande avseende icke återbetalningspliktigt ekonomiskt stöd</w:t>
      </w:r>
    </w:p>
    <w:tbl>
      <w:tblPr>
        <w:tblW w:w="5000" w:type="pct"/>
        <w:jc w:val="center"/>
        <w:tblCellMar>
          <w:top w:w="28" w:type="dxa"/>
          <w:left w:w="28" w:type="dxa"/>
          <w:bottom w:w="28" w:type="dxa"/>
          <w:right w:w="28" w:type="dxa"/>
        </w:tblCellMar>
        <w:tblLook w:val="04A0" w:firstRow="1" w:lastRow="0" w:firstColumn="1" w:lastColumn="0" w:noHBand="0" w:noVBand="1"/>
      </w:tblPr>
      <w:tblGrid>
        <w:gridCol w:w="126"/>
        <w:gridCol w:w="192"/>
        <w:gridCol w:w="202"/>
        <w:gridCol w:w="3891"/>
        <w:gridCol w:w="2512"/>
        <w:gridCol w:w="227"/>
        <w:gridCol w:w="175"/>
        <w:gridCol w:w="107"/>
        <w:gridCol w:w="202"/>
        <w:gridCol w:w="123"/>
        <w:gridCol w:w="5259"/>
      </w:tblGrid>
      <w:tr w:rsidR="003A3D51" w14:paraId="417CB01D" w14:textId="77777777" w:rsidTr="00FB7A6D">
        <w:trPr>
          <w:trHeight w:val="927"/>
          <w:tblHeader/>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D43487" w14:textId="77777777" w:rsidR="003A3D51" w:rsidRDefault="0002775A">
            <w:pPr>
              <w:pStyle w:val="P68B1DB1-Normal6"/>
              <w:spacing w:after="0" w:line="276" w:lineRule="auto"/>
              <w:jc w:val="center"/>
              <w:rPr>
                <w:noProof/>
              </w:rPr>
            </w:pPr>
            <w:r>
              <w:rPr>
                <w:noProof/>
              </w:rPr>
              <w:t>Antal</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F01653" w14:textId="77777777" w:rsidR="003A3D51" w:rsidRDefault="0002775A">
            <w:pPr>
              <w:pStyle w:val="P68B1DB1-Normal6"/>
              <w:spacing w:after="0" w:line="276" w:lineRule="auto"/>
              <w:jc w:val="center"/>
              <w:rPr>
                <w:noProof/>
              </w:rPr>
            </w:pPr>
            <w:r>
              <w:rPr>
                <w:noProof/>
              </w:rPr>
              <w:t>Åtgärd</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69574F4" w14:textId="77777777" w:rsidR="003A3D51" w:rsidRDefault="0002775A">
            <w:pPr>
              <w:pStyle w:val="P68B1DB1-Normal6"/>
              <w:spacing w:after="0" w:line="276" w:lineRule="auto"/>
              <w:jc w:val="center"/>
              <w:rPr>
                <w:noProof/>
              </w:rPr>
            </w:pPr>
            <w:r>
              <w:rPr>
                <w:noProof/>
              </w:rPr>
              <w:t>Delmål/mål</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B45F6C" w14:textId="77777777" w:rsidR="003A3D51" w:rsidRDefault="0002775A">
            <w:pPr>
              <w:pStyle w:val="P68B1DB1-Normal6"/>
              <w:spacing w:after="0" w:line="276" w:lineRule="auto"/>
              <w:jc w:val="center"/>
              <w:rPr>
                <w:noProof/>
              </w:rPr>
            </w:pPr>
            <w:r>
              <w:rPr>
                <w:noProof/>
              </w:rPr>
              <w:t>Namn</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BDA792"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868"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ED27743"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546" w:type="pct"/>
            <w:gridSpan w:val="2"/>
            <w:tcBorders>
              <w:top w:val="single" w:sz="4" w:space="0" w:color="auto"/>
              <w:left w:val="nil"/>
              <w:bottom w:val="single" w:sz="4" w:space="0" w:color="auto"/>
              <w:right w:val="single" w:sz="4" w:space="0" w:color="auto"/>
            </w:tcBorders>
            <w:shd w:val="clear" w:color="auto" w:fill="BDD7EE"/>
            <w:vAlign w:val="center"/>
            <w:hideMark/>
          </w:tcPr>
          <w:p w14:paraId="7B361C67" w14:textId="77777777" w:rsidR="003A3D51" w:rsidRDefault="0002775A">
            <w:pPr>
              <w:pStyle w:val="P68B1DB1-Normal6"/>
              <w:spacing w:after="0" w:line="276" w:lineRule="auto"/>
              <w:jc w:val="center"/>
              <w:rPr>
                <w:noProof/>
              </w:rPr>
            </w:pPr>
            <w:r>
              <w:rPr>
                <w:noProof/>
              </w:rPr>
              <w:t>Tid</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EC9E2A" w14:textId="77777777" w:rsidR="003A3D51" w:rsidRDefault="0002775A">
            <w:pPr>
              <w:pStyle w:val="P68B1DB1-Normal6"/>
              <w:spacing w:after="0" w:line="276" w:lineRule="auto"/>
              <w:jc w:val="center"/>
              <w:rPr>
                <w:noProof/>
              </w:rPr>
            </w:pPr>
            <w:r>
              <w:rPr>
                <w:noProof/>
              </w:rPr>
              <w:t>Beskrivning av varje delmål och mål</w:t>
            </w:r>
          </w:p>
        </w:tc>
      </w:tr>
      <w:tr w:rsidR="003A3D51" w14:paraId="0632649A" w14:textId="77777777" w:rsidTr="00FB7A6D">
        <w:trPr>
          <w:trHeight w:val="418"/>
          <w:tblHeader/>
          <w:jc w:val="center"/>
        </w:trPr>
        <w:tc>
          <w:tcPr>
            <w:tcW w:w="247" w:type="pct"/>
            <w:vMerge/>
            <w:tcBorders>
              <w:top w:val="single" w:sz="4" w:space="0" w:color="auto"/>
              <w:left w:val="single" w:sz="4" w:space="0" w:color="auto"/>
              <w:bottom w:val="single" w:sz="4" w:space="0" w:color="auto"/>
              <w:right w:val="single" w:sz="4" w:space="0" w:color="auto"/>
            </w:tcBorders>
            <w:hideMark/>
          </w:tcPr>
          <w:p w14:paraId="677D0FDD" w14:textId="77777777" w:rsidR="003A3D51" w:rsidRDefault="003A3D51">
            <w:pPr>
              <w:spacing w:after="0" w:line="276" w:lineRule="auto"/>
              <w:jc w:val="center"/>
              <w:rPr>
                <w:rFonts w:ascii="Times New Roman" w:eastAsia="Times New Roman" w:hAnsi="Times New Roman" w:cs="Times New Roman"/>
                <w:b/>
                <w:noProof/>
              </w:rPr>
            </w:pPr>
          </w:p>
        </w:tc>
        <w:tc>
          <w:tcPr>
            <w:tcW w:w="259" w:type="pct"/>
            <w:vMerge/>
            <w:tcBorders>
              <w:top w:val="single" w:sz="4" w:space="0" w:color="auto"/>
              <w:left w:val="single" w:sz="4" w:space="0" w:color="auto"/>
              <w:bottom w:val="single" w:sz="4" w:space="0" w:color="auto"/>
              <w:right w:val="single" w:sz="4" w:space="0" w:color="auto"/>
            </w:tcBorders>
            <w:hideMark/>
          </w:tcPr>
          <w:p w14:paraId="43D68E7E" w14:textId="77777777" w:rsidR="003A3D51" w:rsidRDefault="003A3D51">
            <w:pPr>
              <w:spacing w:after="0" w:line="276" w:lineRule="auto"/>
              <w:jc w:val="center"/>
              <w:rPr>
                <w:rFonts w:ascii="Times New Roman" w:eastAsia="Times New Roman" w:hAnsi="Times New Roman" w:cs="Times New Roman"/>
                <w:b/>
                <w:noProof/>
              </w:rPr>
            </w:pPr>
          </w:p>
        </w:tc>
        <w:tc>
          <w:tcPr>
            <w:tcW w:w="289" w:type="pct"/>
            <w:vMerge/>
            <w:tcBorders>
              <w:top w:val="single" w:sz="4" w:space="0" w:color="auto"/>
              <w:left w:val="single" w:sz="4" w:space="0" w:color="auto"/>
              <w:bottom w:val="single" w:sz="4" w:space="0" w:color="auto"/>
              <w:right w:val="single" w:sz="4" w:space="0" w:color="auto"/>
            </w:tcBorders>
            <w:hideMark/>
          </w:tcPr>
          <w:p w14:paraId="19253F42" w14:textId="77777777" w:rsidR="003A3D51" w:rsidRDefault="003A3D51">
            <w:pPr>
              <w:spacing w:after="0" w:line="276" w:lineRule="auto"/>
              <w:jc w:val="center"/>
              <w:rPr>
                <w:rFonts w:ascii="Times New Roman" w:eastAsia="Times New Roman" w:hAnsi="Times New Roman" w:cs="Times New Roman"/>
                <w:b/>
                <w:noProof/>
              </w:rPr>
            </w:pPr>
          </w:p>
        </w:tc>
        <w:tc>
          <w:tcPr>
            <w:tcW w:w="767" w:type="pct"/>
            <w:vMerge/>
            <w:tcBorders>
              <w:top w:val="single" w:sz="4" w:space="0" w:color="auto"/>
              <w:left w:val="single" w:sz="4" w:space="0" w:color="auto"/>
              <w:bottom w:val="single" w:sz="4" w:space="0" w:color="auto"/>
              <w:right w:val="single" w:sz="4" w:space="0" w:color="auto"/>
            </w:tcBorders>
            <w:hideMark/>
          </w:tcPr>
          <w:p w14:paraId="44F88564" w14:textId="77777777" w:rsidR="003A3D51" w:rsidRDefault="003A3D51">
            <w:pPr>
              <w:spacing w:after="0" w:line="276" w:lineRule="auto"/>
              <w:rPr>
                <w:rFonts w:ascii="Times New Roman" w:eastAsia="Times New Roman" w:hAnsi="Times New Roman" w:cs="Times New Roman"/>
                <w:b/>
                <w:noProof/>
              </w:rPr>
            </w:pPr>
          </w:p>
        </w:tc>
        <w:tc>
          <w:tcPr>
            <w:tcW w:w="682" w:type="pct"/>
            <w:vMerge/>
            <w:tcBorders>
              <w:top w:val="single" w:sz="4" w:space="0" w:color="auto"/>
              <w:left w:val="single" w:sz="4" w:space="0" w:color="auto"/>
              <w:bottom w:val="single" w:sz="4" w:space="0" w:color="auto"/>
              <w:right w:val="single" w:sz="4" w:space="0" w:color="auto"/>
            </w:tcBorders>
            <w:hideMark/>
          </w:tcPr>
          <w:p w14:paraId="0D2232EF" w14:textId="77777777" w:rsidR="003A3D51" w:rsidRDefault="003A3D51">
            <w:pPr>
              <w:spacing w:after="0" w:line="276" w:lineRule="auto"/>
              <w:rPr>
                <w:rFonts w:ascii="Times New Roman" w:eastAsia="Times New Roman" w:hAnsi="Times New Roman" w:cs="Times New Roman"/>
                <w:b/>
                <w:noProof/>
              </w:rPr>
            </w:pPr>
          </w:p>
        </w:tc>
        <w:tc>
          <w:tcPr>
            <w:tcW w:w="357" w:type="pct"/>
            <w:tcBorders>
              <w:top w:val="nil"/>
              <w:left w:val="single" w:sz="4" w:space="0" w:color="auto"/>
              <w:bottom w:val="single" w:sz="4" w:space="0" w:color="auto"/>
              <w:right w:val="single" w:sz="4" w:space="0" w:color="auto"/>
            </w:tcBorders>
            <w:shd w:val="clear" w:color="auto" w:fill="BDD7EE"/>
            <w:vAlign w:val="center"/>
            <w:hideMark/>
          </w:tcPr>
          <w:p w14:paraId="7408B9FC" w14:textId="77777777" w:rsidR="003A3D51" w:rsidRDefault="0002775A">
            <w:pPr>
              <w:pStyle w:val="P68B1DB1-Normal6"/>
              <w:spacing w:after="0" w:line="276" w:lineRule="auto"/>
              <w:jc w:val="center"/>
              <w:rPr>
                <w:noProof/>
              </w:rPr>
            </w:pPr>
            <w:r>
              <w:rPr>
                <w:noProof/>
              </w:rPr>
              <w:t>Enhet</w:t>
            </w:r>
          </w:p>
        </w:tc>
        <w:tc>
          <w:tcPr>
            <w:tcW w:w="252" w:type="pct"/>
            <w:tcBorders>
              <w:top w:val="nil"/>
              <w:left w:val="nil"/>
              <w:bottom w:val="single" w:sz="4" w:space="0" w:color="auto"/>
              <w:right w:val="single" w:sz="4" w:space="0" w:color="auto"/>
            </w:tcBorders>
            <w:shd w:val="clear" w:color="auto" w:fill="BDD7EE"/>
            <w:vAlign w:val="center"/>
            <w:hideMark/>
          </w:tcPr>
          <w:p w14:paraId="0DD3FD79" w14:textId="77777777" w:rsidR="003A3D51" w:rsidRDefault="0002775A">
            <w:pPr>
              <w:pStyle w:val="P68B1DB1-Normal6"/>
              <w:spacing w:after="0" w:line="276" w:lineRule="auto"/>
              <w:jc w:val="center"/>
              <w:rPr>
                <w:noProof/>
              </w:rPr>
            </w:pPr>
            <w:r>
              <w:rPr>
                <w:noProof/>
              </w:rPr>
              <w:t>Baslinjen</w:t>
            </w:r>
          </w:p>
        </w:tc>
        <w:tc>
          <w:tcPr>
            <w:tcW w:w="259" w:type="pct"/>
            <w:tcBorders>
              <w:top w:val="nil"/>
              <w:left w:val="nil"/>
              <w:bottom w:val="single" w:sz="4" w:space="0" w:color="auto"/>
              <w:right w:val="single" w:sz="4" w:space="0" w:color="auto"/>
            </w:tcBorders>
            <w:shd w:val="clear" w:color="auto" w:fill="BDD7EE"/>
            <w:vAlign w:val="center"/>
            <w:hideMark/>
          </w:tcPr>
          <w:p w14:paraId="18AFC76D" w14:textId="77777777" w:rsidR="003A3D51" w:rsidRDefault="0002775A">
            <w:pPr>
              <w:pStyle w:val="P68B1DB1-Normal6"/>
              <w:spacing w:after="0" w:line="276" w:lineRule="auto"/>
              <w:jc w:val="center"/>
              <w:rPr>
                <w:noProof/>
              </w:rPr>
            </w:pPr>
            <w:r>
              <w:rPr>
                <w:noProof/>
              </w:rPr>
              <w:t>Mål</w:t>
            </w:r>
          </w:p>
        </w:tc>
        <w:tc>
          <w:tcPr>
            <w:tcW w:w="243" w:type="pct"/>
            <w:tcBorders>
              <w:top w:val="nil"/>
              <w:left w:val="nil"/>
              <w:bottom w:val="single" w:sz="4" w:space="0" w:color="auto"/>
              <w:right w:val="single" w:sz="4" w:space="0" w:color="auto"/>
            </w:tcBorders>
            <w:shd w:val="clear" w:color="auto" w:fill="BDD7EE"/>
            <w:vAlign w:val="center"/>
            <w:hideMark/>
          </w:tcPr>
          <w:p w14:paraId="2A826A7B" w14:textId="77777777" w:rsidR="003A3D51" w:rsidRDefault="0002775A">
            <w:pPr>
              <w:pStyle w:val="P68B1DB1-Normal6"/>
              <w:spacing w:after="0" w:line="276" w:lineRule="auto"/>
              <w:jc w:val="center"/>
              <w:rPr>
                <w:noProof/>
              </w:rPr>
            </w:pPr>
            <w:r>
              <w:rPr>
                <w:noProof/>
              </w:rPr>
              <w:t>Q</w:t>
            </w:r>
          </w:p>
        </w:tc>
        <w:tc>
          <w:tcPr>
            <w:tcW w:w="303" w:type="pct"/>
            <w:tcBorders>
              <w:top w:val="nil"/>
              <w:left w:val="nil"/>
              <w:bottom w:val="single" w:sz="4" w:space="0" w:color="auto"/>
              <w:right w:val="single" w:sz="4" w:space="0" w:color="auto"/>
            </w:tcBorders>
            <w:shd w:val="clear" w:color="auto" w:fill="BDD7EE"/>
            <w:vAlign w:val="center"/>
            <w:hideMark/>
          </w:tcPr>
          <w:p w14:paraId="683BA7E7" w14:textId="77777777" w:rsidR="003A3D51" w:rsidRDefault="0002775A">
            <w:pPr>
              <w:pStyle w:val="P68B1DB1-Normal6"/>
              <w:spacing w:after="0" w:line="276" w:lineRule="auto"/>
              <w:jc w:val="center"/>
              <w:rPr>
                <w:noProof/>
              </w:rPr>
            </w:pPr>
            <w:r>
              <w:rPr>
                <w:noProof/>
              </w:rPr>
              <w:t>Året</w:t>
            </w:r>
          </w:p>
        </w:tc>
        <w:tc>
          <w:tcPr>
            <w:tcW w:w="1342" w:type="pct"/>
            <w:vMerge/>
            <w:tcBorders>
              <w:top w:val="single" w:sz="4" w:space="0" w:color="auto"/>
              <w:bottom w:val="single" w:sz="4" w:space="0" w:color="auto"/>
              <w:right w:val="single" w:sz="4" w:space="0" w:color="auto"/>
            </w:tcBorders>
            <w:hideMark/>
          </w:tcPr>
          <w:p w14:paraId="53A54419" w14:textId="77777777" w:rsidR="003A3D51" w:rsidRDefault="003A3D51">
            <w:pPr>
              <w:spacing w:after="0" w:line="276" w:lineRule="auto"/>
              <w:rPr>
                <w:rFonts w:ascii="Times New Roman" w:eastAsia="Times New Roman" w:hAnsi="Times New Roman" w:cs="Times New Roman"/>
                <w:b/>
                <w:noProof/>
              </w:rPr>
            </w:pPr>
          </w:p>
        </w:tc>
      </w:tr>
      <w:tr w:rsidR="003A3D51" w14:paraId="65D3FB19"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564A228A" w14:textId="77777777" w:rsidR="003A3D51" w:rsidRDefault="0002775A">
            <w:pPr>
              <w:pStyle w:val="P68B1DB1-Normal7"/>
              <w:spacing w:after="0" w:line="276" w:lineRule="auto"/>
              <w:jc w:val="center"/>
              <w:rPr>
                <w:rFonts w:ascii="Times New Roman" w:hAnsi="Times New Roman" w:cs="Times New Roman"/>
                <w:noProof/>
              </w:rPr>
            </w:pPr>
            <w:r>
              <w:rPr>
                <w:noProof/>
              </w:rPr>
              <w:t>163</w:t>
            </w:r>
          </w:p>
        </w:tc>
        <w:tc>
          <w:tcPr>
            <w:tcW w:w="259" w:type="pct"/>
            <w:tcBorders>
              <w:top w:val="single" w:sz="4" w:space="0" w:color="auto"/>
              <w:left w:val="nil"/>
              <w:bottom w:val="single" w:sz="4" w:space="0" w:color="auto"/>
              <w:right w:val="single" w:sz="4" w:space="0" w:color="auto"/>
            </w:tcBorders>
            <w:shd w:val="clear" w:color="auto" w:fill="C6EFCE"/>
            <w:noWrap/>
          </w:tcPr>
          <w:p w14:paraId="751BE39E" w14:textId="77777777" w:rsidR="003A3D51" w:rsidRDefault="0002775A">
            <w:pPr>
              <w:pStyle w:val="P68B1DB1-Normal7"/>
              <w:spacing w:after="200" w:line="276" w:lineRule="auto"/>
              <w:jc w:val="center"/>
              <w:rPr>
                <w:rFonts w:ascii="Times New Roman" w:hAnsi="Times New Roman" w:cs="Times New Roman"/>
                <w:noProof/>
              </w:rPr>
            </w:pPr>
            <w:r>
              <w:rPr>
                <w:noProof/>
              </w:rPr>
              <w:t>C2.2 R1</w:t>
            </w:r>
          </w:p>
        </w:tc>
        <w:tc>
          <w:tcPr>
            <w:tcW w:w="289" w:type="pct"/>
            <w:tcBorders>
              <w:top w:val="single" w:sz="4" w:space="0" w:color="auto"/>
              <w:left w:val="nil"/>
              <w:bottom w:val="single" w:sz="4" w:space="0" w:color="auto"/>
              <w:right w:val="single" w:sz="4" w:space="0" w:color="auto"/>
            </w:tcBorders>
            <w:shd w:val="clear" w:color="auto" w:fill="C6EFCE"/>
            <w:noWrap/>
          </w:tcPr>
          <w:p w14:paraId="49F81C49"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67" w:type="pct"/>
            <w:tcBorders>
              <w:top w:val="single" w:sz="4" w:space="0" w:color="auto"/>
              <w:left w:val="nil"/>
              <w:bottom w:val="single" w:sz="4" w:space="0" w:color="auto"/>
              <w:right w:val="single" w:sz="4" w:space="0" w:color="auto"/>
            </w:tcBorders>
            <w:shd w:val="clear" w:color="auto" w:fill="C6EFCE"/>
            <w:noWrap/>
          </w:tcPr>
          <w:p w14:paraId="4E61E7F9" w14:textId="77777777" w:rsidR="003A3D51" w:rsidRDefault="0002775A">
            <w:pPr>
              <w:pStyle w:val="P68B1DB1-Normal7"/>
              <w:spacing w:after="240" w:line="276" w:lineRule="auto"/>
              <w:rPr>
                <w:rFonts w:ascii="Times New Roman" w:hAnsi="Times New Roman" w:cs="Times New Roman"/>
                <w:noProof/>
              </w:rPr>
            </w:pPr>
            <w:r>
              <w:rPr>
                <w:noProof/>
              </w:rPr>
              <w:t>Ändrad rättslig ram för ett centraliserat urvalssystem inom den statliga förvaltningen, fastställande av tjänstemännens nödvändiga kvalifikationer och inrättande av ett modernt rekryteringssystem</w:t>
            </w:r>
          </w:p>
        </w:tc>
        <w:tc>
          <w:tcPr>
            <w:tcW w:w="682" w:type="pct"/>
            <w:tcBorders>
              <w:top w:val="single" w:sz="4" w:space="0" w:color="auto"/>
              <w:left w:val="nil"/>
              <w:bottom w:val="single" w:sz="4" w:space="0" w:color="auto"/>
              <w:right w:val="single" w:sz="4" w:space="0" w:color="auto"/>
            </w:tcBorders>
            <w:shd w:val="clear" w:color="auto" w:fill="C6EFCE"/>
            <w:noWrap/>
          </w:tcPr>
          <w:p w14:paraId="1D0D11ED" w14:textId="77777777" w:rsidR="003A3D51" w:rsidRDefault="0002775A">
            <w:pPr>
              <w:pStyle w:val="P68B1DB1-Normal7"/>
              <w:spacing w:after="240" w:line="276" w:lineRule="auto"/>
              <w:rPr>
                <w:rFonts w:ascii="Times New Roman" w:hAnsi="Times New Roman" w:cs="Times New Roman"/>
                <w:noProof/>
              </w:rPr>
            </w:pPr>
            <w:r>
              <w:rPr>
                <w:noProof/>
              </w:rPr>
              <w:t xml:space="preserve">Ikraftträdande av en ändrad rättslig ram för ett centraliserat system för urval av offentliganställda. </w:t>
            </w:r>
          </w:p>
        </w:tc>
        <w:tc>
          <w:tcPr>
            <w:tcW w:w="357" w:type="pct"/>
            <w:tcBorders>
              <w:top w:val="nil"/>
              <w:left w:val="nil"/>
              <w:bottom w:val="single" w:sz="4" w:space="0" w:color="auto"/>
              <w:right w:val="single" w:sz="4" w:space="0" w:color="auto"/>
            </w:tcBorders>
            <w:shd w:val="clear" w:color="auto" w:fill="C6EFCE"/>
            <w:noWrap/>
          </w:tcPr>
          <w:p w14:paraId="19757C1B" w14:textId="77777777" w:rsidR="003A3D51" w:rsidRDefault="0002775A">
            <w:pPr>
              <w:pStyle w:val="P68B1DB1-Normal7"/>
              <w:spacing w:after="0" w:line="276" w:lineRule="auto"/>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4B26C47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9" w:type="pct"/>
            <w:tcBorders>
              <w:top w:val="nil"/>
              <w:left w:val="nil"/>
              <w:bottom w:val="single" w:sz="4" w:space="0" w:color="auto"/>
              <w:right w:val="single" w:sz="4" w:space="0" w:color="auto"/>
            </w:tcBorders>
            <w:shd w:val="clear" w:color="auto" w:fill="C6EFCE"/>
            <w:noWrap/>
          </w:tcPr>
          <w:p w14:paraId="294BECF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3" w:type="pct"/>
            <w:tcBorders>
              <w:top w:val="nil"/>
              <w:left w:val="nil"/>
              <w:bottom w:val="single" w:sz="4" w:space="0" w:color="auto"/>
              <w:right w:val="single" w:sz="4" w:space="0" w:color="auto"/>
            </w:tcBorders>
            <w:shd w:val="clear" w:color="auto" w:fill="C6EFCE"/>
            <w:noWrap/>
          </w:tcPr>
          <w:p w14:paraId="60CE6A23"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nil"/>
              <w:left w:val="nil"/>
              <w:bottom w:val="single" w:sz="4" w:space="0" w:color="auto"/>
              <w:right w:val="single" w:sz="4" w:space="0" w:color="auto"/>
            </w:tcBorders>
            <w:shd w:val="clear" w:color="auto" w:fill="C6EFCE"/>
            <w:noWrap/>
          </w:tcPr>
          <w:p w14:paraId="69CAB992"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342" w:type="pct"/>
            <w:tcBorders>
              <w:top w:val="single" w:sz="4" w:space="0" w:color="auto"/>
              <w:left w:val="nil"/>
              <w:bottom w:val="single" w:sz="4" w:space="0" w:color="auto"/>
              <w:right w:val="single" w:sz="4" w:space="0" w:color="auto"/>
            </w:tcBorders>
            <w:shd w:val="clear" w:color="auto" w:fill="C6EFCE"/>
            <w:noWrap/>
          </w:tcPr>
          <w:p w14:paraId="213E15B8" w14:textId="77777777" w:rsidR="003A3D51" w:rsidRDefault="0002775A">
            <w:pPr>
              <w:pStyle w:val="P68B1DB1-Normal7"/>
              <w:spacing w:after="240" w:line="276" w:lineRule="auto"/>
              <w:rPr>
                <w:rFonts w:ascii="Times New Roman" w:hAnsi="Times New Roman" w:cs="Times New Roman"/>
                <w:noProof/>
              </w:rPr>
            </w:pPr>
            <w:r>
              <w:rPr>
                <w:noProof/>
              </w:rPr>
              <w:t>Den reviderade lagstiftningen ska omfatta åtminstone följande åtgärder:</w:t>
            </w:r>
            <w:r>
              <w:rPr>
                <w:noProof/>
              </w:rPr>
              <w:br/>
              <w:t>— definiera arbetsprofiler som är specifika för den nationella förvaltningen för att locka till sig den kompetens och de färdigheter som krävs.</w:t>
            </w:r>
            <w:r>
              <w:rPr>
                <w:noProof/>
              </w:rPr>
              <w:br/>
              <w:t>— Skapa en gemensam arbetsplattform för att centralisera rekryteringsförfarandena inom en enda plattform för alla nationella förvaltningar.</w:t>
            </w:r>
            <w:r>
              <w:rPr>
                <w:noProof/>
              </w:rPr>
              <w:br/>
              <w:t xml:space="preserve">— Anpassa rekryteringsprocessen för i) övergången från ett system med enbart kunskap till ett system som i första hand bygger på kompetens och lämpliga färdigheter, II) Bedömning av tjänstemännens kompetens. III) skilja mellan rekrytering på ursprunglig nivå, som uteslutande bör baseras på kompetens, och rekrytering av specialiserade profiler, som bör kombinera kompetens med relevant arbetslivserfarenhet och leda till tillträde till karriärer på högre nivå. </w:t>
            </w:r>
            <w:r>
              <w:rPr>
                <w:noProof/>
              </w:rPr>
              <w:br/>
              <w:t>Stärka engagemanget för en jämn könsfördelning och säkerställa jämställdhet vid rekrytering samt befordran av kvinnor till ledande befattningar.</w:t>
            </w:r>
          </w:p>
        </w:tc>
      </w:tr>
      <w:tr w:rsidR="003A3D51" w14:paraId="2897E29D" w14:textId="77777777" w:rsidTr="00FB7A6D">
        <w:trPr>
          <w:trHeight w:val="283"/>
          <w:jc w:val="center"/>
        </w:trPr>
        <w:tc>
          <w:tcPr>
            <w:tcW w:w="247" w:type="pct"/>
            <w:tcBorders>
              <w:top w:val="nil"/>
              <w:left w:val="single" w:sz="4" w:space="0" w:color="auto"/>
              <w:bottom w:val="single" w:sz="4" w:space="0" w:color="auto"/>
              <w:right w:val="single" w:sz="4" w:space="0" w:color="auto"/>
            </w:tcBorders>
            <w:shd w:val="clear" w:color="auto" w:fill="C6EFCE"/>
            <w:noWrap/>
          </w:tcPr>
          <w:p w14:paraId="1054E452" w14:textId="77777777" w:rsidR="003A3D51" w:rsidRDefault="0002775A">
            <w:pPr>
              <w:pStyle w:val="P68B1DB1-Normal7"/>
              <w:spacing w:after="200" w:line="276" w:lineRule="auto"/>
              <w:jc w:val="center"/>
              <w:rPr>
                <w:rFonts w:ascii="Times New Roman" w:hAnsi="Times New Roman" w:cs="Times New Roman"/>
                <w:noProof/>
              </w:rPr>
            </w:pPr>
            <w:r>
              <w:rPr>
                <w:noProof/>
              </w:rPr>
              <w:t>164</w:t>
            </w:r>
          </w:p>
        </w:tc>
        <w:tc>
          <w:tcPr>
            <w:tcW w:w="259" w:type="pct"/>
            <w:tcBorders>
              <w:top w:val="nil"/>
              <w:left w:val="nil"/>
              <w:bottom w:val="single" w:sz="4" w:space="0" w:color="auto"/>
              <w:right w:val="single" w:sz="4" w:space="0" w:color="auto"/>
            </w:tcBorders>
            <w:shd w:val="clear" w:color="auto" w:fill="C6EFCE"/>
            <w:noWrap/>
          </w:tcPr>
          <w:p w14:paraId="23C7E965" w14:textId="77777777" w:rsidR="003A3D51" w:rsidRDefault="0002775A">
            <w:pPr>
              <w:pStyle w:val="P68B1DB1-Normal7"/>
              <w:spacing w:after="200" w:line="276" w:lineRule="auto"/>
              <w:jc w:val="center"/>
              <w:rPr>
                <w:rFonts w:ascii="Times New Roman" w:hAnsi="Times New Roman" w:cs="Times New Roman"/>
                <w:noProof/>
              </w:rPr>
            </w:pPr>
            <w:r>
              <w:rPr>
                <w:noProof/>
              </w:rPr>
              <w:t>C2.2 R1-I1</w:t>
            </w:r>
          </w:p>
        </w:tc>
        <w:tc>
          <w:tcPr>
            <w:tcW w:w="289" w:type="pct"/>
            <w:tcBorders>
              <w:top w:val="nil"/>
              <w:left w:val="nil"/>
              <w:bottom w:val="single" w:sz="4" w:space="0" w:color="auto"/>
              <w:right w:val="single" w:sz="4" w:space="0" w:color="auto"/>
            </w:tcBorders>
            <w:shd w:val="clear" w:color="auto" w:fill="C6EFCE"/>
            <w:noWrap/>
          </w:tcPr>
          <w:p w14:paraId="475185B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nil"/>
              <w:left w:val="nil"/>
              <w:bottom w:val="single" w:sz="4" w:space="0" w:color="auto"/>
              <w:right w:val="single" w:sz="4" w:space="0" w:color="auto"/>
            </w:tcBorders>
            <w:shd w:val="clear" w:color="auto" w:fill="C6EFCE"/>
            <w:noWrap/>
          </w:tcPr>
          <w:p w14:paraId="1D84400F" w14:textId="77777777" w:rsidR="003A3D51" w:rsidRDefault="0002775A">
            <w:pPr>
              <w:pStyle w:val="P68B1DB1-Normal7"/>
              <w:spacing w:after="200" w:line="276" w:lineRule="auto"/>
              <w:rPr>
                <w:rFonts w:ascii="Times New Roman" w:hAnsi="Times New Roman" w:cs="Times New Roman"/>
                <w:noProof/>
              </w:rPr>
            </w:pPr>
            <w:r>
              <w:rPr>
                <w:noProof/>
              </w:rPr>
              <w:t>100 % av alla nyrekryterade, fast anställda tjänstemän i offentliga organ anställs uteslutande genom ett nytt centraliserat, digitaliserat och standardiserat urvals- och rekryteringssystem som finns tillgängligt via en nyutvecklad it-plattform.</w:t>
            </w:r>
          </w:p>
        </w:tc>
        <w:tc>
          <w:tcPr>
            <w:tcW w:w="682" w:type="pct"/>
            <w:tcBorders>
              <w:top w:val="nil"/>
              <w:left w:val="nil"/>
              <w:bottom w:val="single" w:sz="4" w:space="0" w:color="auto"/>
              <w:right w:val="single" w:sz="4" w:space="0" w:color="auto"/>
            </w:tcBorders>
            <w:shd w:val="clear" w:color="auto" w:fill="C6EFCE"/>
            <w:noWrap/>
          </w:tcPr>
          <w:p w14:paraId="759A533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57" w:type="pct"/>
            <w:tcBorders>
              <w:top w:val="nil"/>
              <w:left w:val="nil"/>
              <w:bottom w:val="single" w:sz="4" w:space="0" w:color="auto"/>
              <w:right w:val="single" w:sz="4" w:space="0" w:color="auto"/>
            </w:tcBorders>
            <w:shd w:val="clear" w:color="auto" w:fill="C6EFCE"/>
            <w:noWrap/>
          </w:tcPr>
          <w:p w14:paraId="3C776808"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2" w:type="pct"/>
            <w:tcBorders>
              <w:top w:val="nil"/>
              <w:left w:val="nil"/>
              <w:bottom w:val="single" w:sz="4" w:space="0" w:color="auto"/>
              <w:right w:val="single" w:sz="4" w:space="0" w:color="auto"/>
            </w:tcBorders>
            <w:shd w:val="clear" w:color="auto" w:fill="C6EFCE"/>
            <w:noWrap/>
          </w:tcPr>
          <w:p w14:paraId="4BDEC8E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nil"/>
              <w:left w:val="nil"/>
              <w:bottom w:val="single" w:sz="4" w:space="0" w:color="auto"/>
              <w:right w:val="single" w:sz="4" w:space="0" w:color="auto"/>
            </w:tcBorders>
            <w:shd w:val="clear" w:color="auto" w:fill="C6EFCE"/>
            <w:noWrap/>
          </w:tcPr>
          <w:p w14:paraId="3CCE497E" w14:textId="77777777" w:rsidR="003A3D51" w:rsidRDefault="0002775A">
            <w:pPr>
              <w:pStyle w:val="P68B1DB1-Normal7"/>
              <w:spacing w:after="200" w:line="276" w:lineRule="auto"/>
              <w:jc w:val="center"/>
              <w:rPr>
                <w:rFonts w:ascii="Times New Roman" w:hAnsi="Times New Roman" w:cs="Times New Roman"/>
                <w:noProof/>
              </w:rPr>
            </w:pPr>
            <w:r>
              <w:rPr>
                <w:noProof/>
              </w:rPr>
              <w:t>100</w:t>
            </w:r>
          </w:p>
        </w:tc>
        <w:tc>
          <w:tcPr>
            <w:tcW w:w="243" w:type="pct"/>
            <w:tcBorders>
              <w:top w:val="nil"/>
              <w:left w:val="nil"/>
              <w:bottom w:val="single" w:sz="4" w:space="0" w:color="auto"/>
              <w:right w:val="single" w:sz="4" w:space="0" w:color="auto"/>
            </w:tcBorders>
            <w:shd w:val="clear" w:color="auto" w:fill="C6EFCE"/>
            <w:noWrap/>
          </w:tcPr>
          <w:p w14:paraId="50E63F1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303" w:type="pct"/>
            <w:tcBorders>
              <w:top w:val="nil"/>
              <w:left w:val="nil"/>
              <w:bottom w:val="single" w:sz="4" w:space="0" w:color="auto"/>
              <w:right w:val="single" w:sz="4" w:space="0" w:color="auto"/>
            </w:tcBorders>
            <w:shd w:val="clear" w:color="auto" w:fill="C6EFCE"/>
            <w:noWrap/>
          </w:tcPr>
          <w:p w14:paraId="2C101B4C"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342" w:type="pct"/>
            <w:tcBorders>
              <w:top w:val="nil"/>
              <w:left w:val="nil"/>
              <w:bottom w:val="single" w:sz="4" w:space="0" w:color="auto"/>
              <w:right w:val="single" w:sz="4" w:space="0" w:color="auto"/>
            </w:tcBorders>
            <w:shd w:val="clear" w:color="auto" w:fill="C6EFCE"/>
            <w:noWrap/>
          </w:tcPr>
          <w:p w14:paraId="00F3EB56" w14:textId="77777777" w:rsidR="003A3D51" w:rsidRDefault="0002775A">
            <w:pPr>
              <w:pStyle w:val="P68B1DB1-Normal7"/>
              <w:spacing w:after="200" w:line="276" w:lineRule="auto"/>
              <w:rPr>
                <w:rFonts w:ascii="Times New Roman" w:hAnsi="Times New Roman" w:cs="Times New Roman"/>
                <w:noProof/>
              </w:rPr>
            </w:pPr>
            <w:r>
              <w:rPr>
                <w:noProof/>
              </w:rPr>
              <w:t xml:space="preserve">Ett centraliserat urvalssystem för offentliganställda ska införas och genomföras på grundval av på förhand fastställda mottagningsplaner som bygger på analyser av arbetsbördan och de offentliga myndigheternas faktiska behov av att rekrytera en viss profil av tjänstemän. Systemet ska föreskriva att sökande i rekryteringsprocessen testas online för att säkerställa ett mer öppet och objektivt urval av sökande.  </w:t>
            </w:r>
          </w:p>
        </w:tc>
      </w:tr>
      <w:tr w:rsidR="003A3D51" w14:paraId="07BEA9D1" w14:textId="77777777" w:rsidTr="00FB7A6D">
        <w:trPr>
          <w:trHeight w:val="283"/>
          <w:jc w:val="center"/>
        </w:trPr>
        <w:tc>
          <w:tcPr>
            <w:tcW w:w="247" w:type="pct"/>
            <w:tcBorders>
              <w:top w:val="nil"/>
              <w:left w:val="single" w:sz="4" w:space="0" w:color="auto"/>
              <w:bottom w:val="single" w:sz="4" w:space="0" w:color="auto"/>
              <w:right w:val="single" w:sz="4" w:space="0" w:color="auto"/>
            </w:tcBorders>
            <w:shd w:val="clear" w:color="auto" w:fill="C6EFCE"/>
            <w:noWrap/>
          </w:tcPr>
          <w:p w14:paraId="65DD667E" w14:textId="77777777" w:rsidR="003A3D51" w:rsidRDefault="0002775A">
            <w:pPr>
              <w:pStyle w:val="P68B1DB1-Normal7"/>
              <w:spacing w:after="0" w:line="276" w:lineRule="auto"/>
              <w:jc w:val="center"/>
              <w:rPr>
                <w:rFonts w:ascii="Times New Roman" w:hAnsi="Times New Roman" w:cs="Times New Roman"/>
                <w:noProof/>
              </w:rPr>
            </w:pPr>
            <w:r>
              <w:rPr>
                <w:noProof/>
              </w:rPr>
              <w:t>165</w:t>
            </w:r>
          </w:p>
        </w:tc>
        <w:tc>
          <w:tcPr>
            <w:tcW w:w="259" w:type="pct"/>
            <w:tcBorders>
              <w:top w:val="nil"/>
              <w:left w:val="nil"/>
              <w:bottom w:val="single" w:sz="4" w:space="0" w:color="auto"/>
              <w:right w:val="single" w:sz="4" w:space="0" w:color="auto"/>
            </w:tcBorders>
            <w:shd w:val="clear" w:color="auto" w:fill="C6EFCE"/>
            <w:noWrap/>
          </w:tcPr>
          <w:p w14:paraId="79B1E3B9" w14:textId="77777777" w:rsidR="003A3D51" w:rsidRDefault="0002775A">
            <w:pPr>
              <w:pStyle w:val="P68B1DB1-Normal7"/>
              <w:spacing w:after="200" w:line="276" w:lineRule="auto"/>
              <w:jc w:val="center"/>
              <w:rPr>
                <w:rFonts w:ascii="Times New Roman" w:hAnsi="Times New Roman" w:cs="Times New Roman"/>
                <w:noProof/>
              </w:rPr>
            </w:pPr>
            <w:r>
              <w:rPr>
                <w:noProof/>
              </w:rPr>
              <w:t>C2.2 R1-I2</w:t>
            </w:r>
          </w:p>
        </w:tc>
        <w:tc>
          <w:tcPr>
            <w:tcW w:w="289" w:type="pct"/>
            <w:tcBorders>
              <w:top w:val="nil"/>
              <w:left w:val="nil"/>
              <w:bottom w:val="single" w:sz="4" w:space="0" w:color="auto"/>
              <w:right w:val="single" w:sz="4" w:space="0" w:color="auto"/>
            </w:tcBorders>
            <w:shd w:val="clear" w:color="auto" w:fill="C6EFCE"/>
            <w:noWrap/>
          </w:tcPr>
          <w:p w14:paraId="387A209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nil"/>
              <w:left w:val="nil"/>
              <w:bottom w:val="single" w:sz="4" w:space="0" w:color="auto"/>
              <w:right w:val="single" w:sz="4" w:space="0" w:color="auto"/>
            </w:tcBorders>
            <w:shd w:val="clear" w:color="auto" w:fill="C6EFCE"/>
            <w:noWrap/>
          </w:tcPr>
          <w:p w14:paraId="4041791B" w14:textId="77777777" w:rsidR="003A3D51" w:rsidRDefault="0002775A">
            <w:pPr>
              <w:pStyle w:val="P68B1DB1-Normal7"/>
              <w:spacing w:after="240" w:line="276" w:lineRule="auto"/>
              <w:rPr>
                <w:rFonts w:ascii="Times New Roman" w:hAnsi="Times New Roman" w:cs="Times New Roman"/>
                <w:noProof/>
              </w:rPr>
            </w:pPr>
            <w:r>
              <w:rPr>
                <w:noProof/>
              </w:rPr>
              <w:t xml:space="preserve">100 % av de tjänstemän vid alla offentliga institutioner som måste klara den statliga examen, digitalt klarar den statliga examen på grundval av en ny examensmodell.  </w:t>
            </w:r>
          </w:p>
        </w:tc>
        <w:tc>
          <w:tcPr>
            <w:tcW w:w="682" w:type="pct"/>
            <w:tcBorders>
              <w:top w:val="nil"/>
              <w:left w:val="nil"/>
              <w:bottom w:val="single" w:sz="4" w:space="0" w:color="auto"/>
              <w:right w:val="single" w:sz="4" w:space="0" w:color="auto"/>
            </w:tcBorders>
            <w:shd w:val="clear" w:color="auto" w:fill="C6EFCE"/>
            <w:noWrap/>
          </w:tcPr>
          <w:p w14:paraId="2ACFCD63" w14:textId="77777777" w:rsidR="003A3D51" w:rsidRDefault="0002775A">
            <w:pPr>
              <w:pStyle w:val="P68B1DB1-Normal7"/>
              <w:spacing w:after="240" w:line="276" w:lineRule="auto"/>
              <w:rPr>
                <w:rFonts w:ascii="Times New Roman" w:hAnsi="Times New Roman" w:cs="Times New Roman"/>
                <w:noProof/>
              </w:rPr>
            </w:pPr>
            <w:r>
              <w:rPr>
                <w:noProof/>
              </w:rPr>
              <w:t xml:space="preserve"> </w:t>
            </w:r>
          </w:p>
        </w:tc>
        <w:tc>
          <w:tcPr>
            <w:tcW w:w="357" w:type="pct"/>
            <w:tcBorders>
              <w:top w:val="nil"/>
              <w:left w:val="nil"/>
              <w:bottom w:val="single" w:sz="4" w:space="0" w:color="auto"/>
              <w:right w:val="single" w:sz="4" w:space="0" w:color="auto"/>
            </w:tcBorders>
            <w:shd w:val="clear" w:color="auto" w:fill="C6EFCE"/>
            <w:noWrap/>
          </w:tcPr>
          <w:p w14:paraId="01071ADF" w14:textId="77777777" w:rsidR="003A3D51" w:rsidRDefault="0002775A">
            <w:pPr>
              <w:pStyle w:val="P68B1DB1-Normal7"/>
              <w:spacing w:after="0" w:line="276" w:lineRule="auto"/>
              <w:jc w:val="center"/>
              <w:rPr>
                <w:rFonts w:ascii="Times New Roman" w:hAnsi="Times New Roman" w:cs="Times New Roman"/>
                <w:noProof/>
              </w:rPr>
            </w:pPr>
            <w:r>
              <w:rPr>
                <w:noProof/>
              </w:rPr>
              <w:t>% (i procent)</w:t>
            </w:r>
          </w:p>
        </w:tc>
        <w:tc>
          <w:tcPr>
            <w:tcW w:w="252" w:type="pct"/>
            <w:tcBorders>
              <w:top w:val="nil"/>
              <w:left w:val="nil"/>
              <w:bottom w:val="single" w:sz="4" w:space="0" w:color="auto"/>
              <w:right w:val="single" w:sz="4" w:space="0" w:color="auto"/>
            </w:tcBorders>
            <w:shd w:val="clear" w:color="auto" w:fill="C6EFCE"/>
            <w:noWrap/>
          </w:tcPr>
          <w:p w14:paraId="089E909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nil"/>
              <w:left w:val="nil"/>
              <w:bottom w:val="single" w:sz="4" w:space="0" w:color="auto"/>
              <w:right w:val="single" w:sz="4" w:space="0" w:color="auto"/>
            </w:tcBorders>
            <w:shd w:val="clear" w:color="auto" w:fill="C6EFCE"/>
            <w:noWrap/>
          </w:tcPr>
          <w:p w14:paraId="461CBCF4" w14:textId="77777777" w:rsidR="003A3D51" w:rsidRDefault="0002775A">
            <w:pPr>
              <w:pStyle w:val="P68B1DB1-Normal7"/>
              <w:spacing w:after="200" w:line="276" w:lineRule="auto"/>
              <w:jc w:val="center"/>
              <w:rPr>
                <w:rFonts w:ascii="Times New Roman" w:hAnsi="Times New Roman" w:cs="Times New Roman"/>
                <w:noProof/>
              </w:rPr>
            </w:pPr>
            <w:r>
              <w:rPr>
                <w:noProof/>
              </w:rPr>
              <w:t>100</w:t>
            </w:r>
          </w:p>
        </w:tc>
        <w:tc>
          <w:tcPr>
            <w:tcW w:w="243" w:type="pct"/>
            <w:tcBorders>
              <w:top w:val="nil"/>
              <w:left w:val="nil"/>
              <w:bottom w:val="single" w:sz="4" w:space="0" w:color="auto"/>
              <w:right w:val="single" w:sz="4" w:space="0" w:color="auto"/>
            </w:tcBorders>
            <w:shd w:val="clear" w:color="auto" w:fill="C6EFCE"/>
            <w:noWrap/>
          </w:tcPr>
          <w:p w14:paraId="5789BD6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303" w:type="pct"/>
            <w:tcBorders>
              <w:top w:val="nil"/>
              <w:left w:val="nil"/>
              <w:bottom w:val="single" w:sz="4" w:space="0" w:color="auto"/>
              <w:right w:val="single" w:sz="4" w:space="0" w:color="auto"/>
            </w:tcBorders>
            <w:shd w:val="clear" w:color="auto" w:fill="C6EFCE"/>
            <w:noWrap/>
          </w:tcPr>
          <w:p w14:paraId="5A34425B"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342" w:type="pct"/>
            <w:tcBorders>
              <w:top w:val="nil"/>
              <w:left w:val="nil"/>
              <w:bottom w:val="single" w:sz="4" w:space="0" w:color="auto"/>
              <w:right w:val="single" w:sz="4" w:space="0" w:color="auto"/>
            </w:tcBorders>
            <w:shd w:val="clear" w:color="auto" w:fill="C6EFCE"/>
            <w:noWrap/>
          </w:tcPr>
          <w:p w14:paraId="21E27567" w14:textId="77777777" w:rsidR="003A3D51" w:rsidRDefault="0002775A">
            <w:pPr>
              <w:pStyle w:val="P68B1DB1-Normal7"/>
              <w:spacing w:after="240" w:line="276" w:lineRule="auto"/>
              <w:rPr>
                <w:rFonts w:ascii="Times New Roman" w:hAnsi="Times New Roman" w:cs="Times New Roman"/>
                <w:noProof/>
              </w:rPr>
            </w:pPr>
            <w:r>
              <w:rPr>
                <w:noProof/>
              </w:rPr>
              <w:t>100 % av de tjänstemän vid alla offentliga institutioner som måste genomgå den statliga examen och genomgå examen enligt en helt digitaliserad modell. Processen med att genomgå statsexamen digitaliseras i syfte att göra examenssystemet mer transparent, tillgängligt (på flera platser i hela landet) och effektivt.</w:t>
            </w:r>
          </w:p>
        </w:tc>
      </w:tr>
      <w:tr w:rsidR="003A3D51" w14:paraId="05F94E28" w14:textId="77777777" w:rsidTr="00FB7A6D">
        <w:trPr>
          <w:trHeight w:val="283"/>
          <w:jc w:val="center"/>
        </w:trPr>
        <w:tc>
          <w:tcPr>
            <w:tcW w:w="247" w:type="pct"/>
            <w:tcBorders>
              <w:top w:val="nil"/>
              <w:left w:val="single" w:sz="4" w:space="0" w:color="auto"/>
              <w:bottom w:val="single" w:sz="4" w:space="0" w:color="auto"/>
              <w:right w:val="single" w:sz="4" w:space="0" w:color="auto"/>
            </w:tcBorders>
            <w:shd w:val="clear" w:color="auto" w:fill="C6EFCE"/>
            <w:noWrap/>
          </w:tcPr>
          <w:p w14:paraId="38856FA6" w14:textId="77777777" w:rsidR="003A3D51" w:rsidRDefault="0002775A">
            <w:pPr>
              <w:pStyle w:val="P68B1DB1-Normal7"/>
              <w:spacing w:after="200" w:line="276" w:lineRule="auto"/>
              <w:jc w:val="center"/>
              <w:rPr>
                <w:rFonts w:ascii="Times New Roman" w:hAnsi="Times New Roman" w:cs="Times New Roman"/>
                <w:noProof/>
              </w:rPr>
            </w:pPr>
            <w:r>
              <w:rPr>
                <w:noProof/>
              </w:rPr>
              <w:t>166</w:t>
            </w:r>
          </w:p>
        </w:tc>
        <w:tc>
          <w:tcPr>
            <w:tcW w:w="259" w:type="pct"/>
            <w:tcBorders>
              <w:top w:val="nil"/>
              <w:left w:val="nil"/>
              <w:bottom w:val="single" w:sz="4" w:space="0" w:color="auto"/>
              <w:right w:val="single" w:sz="4" w:space="0" w:color="auto"/>
            </w:tcBorders>
            <w:shd w:val="clear" w:color="auto" w:fill="C6EFCE"/>
            <w:noWrap/>
          </w:tcPr>
          <w:p w14:paraId="7218FA09" w14:textId="77777777" w:rsidR="003A3D51" w:rsidRDefault="0002775A">
            <w:pPr>
              <w:pStyle w:val="P68B1DB1-Normal7"/>
              <w:spacing w:after="200" w:line="276" w:lineRule="auto"/>
              <w:jc w:val="center"/>
              <w:rPr>
                <w:rFonts w:ascii="Times New Roman" w:hAnsi="Times New Roman" w:cs="Times New Roman"/>
                <w:noProof/>
              </w:rPr>
            </w:pPr>
            <w:r>
              <w:rPr>
                <w:noProof/>
              </w:rPr>
              <w:t>C2.2 R2</w:t>
            </w:r>
          </w:p>
        </w:tc>
        <w:tc>
          <w:tcPr>
            <w:tcW w:w="289" w:type="pct"/>
            <w:tcBorders>
              <w:top w:val="nil"/>
              <w:left w:val="nil"/>
              <w:bottom w:val="single" w:sz="4" w:space="0" w:color="auto"/>
              <w:right w:val="single" w:sz="4" w:space="0" w:color="auto"/>
            </w:tcBorders>
            <w:shd w:val="clear" w:color="auto" w:fill="C6EFCE"/>
            <w:noWrap/>
          </w:tcPr>
          <w:p w14:paraId="433D171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67" w:type="pct"/>
            <w:tcBorders>
              <w:top w:val="nil"/>
              <w:left w:val="nil"/>
              <w:bottom w:val="single" w:sz="4" w:space="0" w:color="auto"/>
              <w:right w:val="single" w:sz="4" w:space="0" w:color="auto"/>
            </w:tcBorders>
            <w:shd w:val="clear" w:color="auto" w:fill="C6EFCE"/>
            <w:noWrap/>
          </w:tcPr>
          <w:p w14:paraId="19ABB5E2" w14:textId="77777777" w:rsidR="003A3D51" w:rsidRDefault="0002775A">
            <w:pPr>
              <w:pStyle w:val="P68B1DB1-Normal7"/>
              <w:spacing w:after="200" w:line="276" w:lineRule="auto"/>
              <w:rPr>
                <w:rFonts w:ascii="Times New Roman" w:hAnsi="Times New Roman" w:cs="Times New Roman"/>
                <w:noProof/>
              </w:rPr>
            </w:pPr>
            <w:r>
              <w:rPr>
                <w:noProof/>
              </w:rPr>
              <w:t>Ikraftträdande av lagar om löner inom statlig förvaltning och offentliga tjänster samt av bestämmelser om rörlighet</w:t>
            </w:r>
          </w:p>
        </w:tc>
        <w:tc>
          <w:tcPr>
            <w:tcW w:w="682" w:type="pct"/>
            <w:tcBorders>
              <w:top w:val="nil"/>
              <w:left w:val="nil"/>
              <w:bottom w:val="single" w:sz="4" w:space="0" w:color="auto"/>
              <w:right w:val="single" w:sz="4" w:space="0" w:color="auto"/>
            </w:tcBorders>
            <w:shd w:val="clear" w:color="auto" w:fill="C6EFCE"/>
            <w:noWrap/>
          </w:tcPr>
          <w:p w14:paraId="6B6D617C" w14:textId="77777777" w:rsidR="003A3D51" w:rsidRDefault="0002775A">
            <w:pPr>
              <w:pStyle w:val="P68B1DB1-Normal7"/>
              <w:spacing w:after="200" w:line="276" w:lineRule="auto"/>
              <w:rPr>
                <w:rFonts w:ascii="Times New Roman" w:hAnsi="Times New Roman" w:cs="Times New Roman"/>
                <w:noProof/>
              </w:rPr>
            </w:pPr>
            <w:r>
              <w:rPr>
                <w:noProof/>
              </w:rPr>
              <w:t>Ikraftträdande av lagarna om löner inom statlig förvaltning och offentliga tjänster och av bestämmelserna om vertikal och horisontell rörlighet för tjänstemän inom offentlig förvaltning</w:t>
            </w:r>
          </w:p>
        </w:tc>
        <w:tc>
          <w:tcPr>
            <w:tcW w:w="357" w:type="pct"/>
            <w:tcBorders>
              <w:top w:val="nil"/>
              <w:left w:val="nil"/>
              <w:bottom w:val="single" w:sz="4" w:space="0" w:color="auto"/>
              <w:right w:val="single" w:sz="4" w:space="0" w:color="auto"/>
            </w:tcBorders>
            <w:shd w:val="clear" w:color="auto" w:fill="C6EFCE"/>
            <w:noWrap/>
          </w:tcPr>
          <w:p w14:paraId="5E41CFB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1DC9F76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9" w:type="pct"/>
            <w:tcBorders>
              <w:top w:val="nil"/>
              <w:left w:val="nil"/>
              <w:bottom w:val="single" w:sz="4" w:space="0" w:color="auto"/>
              <w:right w:val="single" w:sz="4" w:space="0" w:color="auto"/>
            </w:tcBorders>
            <w:shd w:val="clear" w:color="auto" w:fill="C6EFCE"/>
            <w:noWrap/>
          </w:tcPr>
          <w:p w14:paraId="6824B0B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3" w:type="pct"/>
            <w:tcBorders>
              <w:top w:val="nil"/>
              <w:left w:val="nil"/>
              <w:bottom w:val="single" w:sz="4" w:space="0" w:color="auto"/>
              <w:right w:val="single" w:sz="4" w:space="0" w:color="auto"/>
            </w:tcBorders>
            <w:shd w:val="clear" w:color="auto" w:fill="C6EFCE"/>
            <w:noWrap/>
          </w:tcPr>
          <w:p w14:paraId="629C19D8"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nil"/>
              <w:left w:val="nil"/>
              <w:bottom w:val="single" w:sz="4" w:space="0" w:color="auto"/>
              <w:right w:val="single" w:sz="4" w:space="0" w:color="auto"/>
            </w:tcBorders>
            <w:shd w:val="clear" w:color="auto" w:fill="C6EFCE"/>
            <w:noWrap/>
          </w:tcPr>
          <w:p w14:paraId="19986A9B"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342" w:type="pct"/>
            <w:tcBorders>
              <w:top w:val="nil"/>
              <w:left w:val="nil"/>
              <w:bottom w:val="single" w:sz="4" w:space="0" w:color="auto"/>
              <w:right w:val="single" w:sz="4" w:space="0" w:color="auto"/>
            </w:tcBorders>
            <w:shd w:val="clear" w:color="auto" w:fill="C6EFCE"/>
            <w:noWrap/>
          </w:tcPr>
          <w:p w14:paraId="073E8ECF" w14:textId="77777777" w:rsidR="003A3D51" w:rsidRDefault="0002775A">
            <w:pPr>
              <w:pStyle w:val="P68B1DB1-Normal7"/>
              <w:spacing w:after="200" w:line="276" w:lineRule="auto"/>
              <w:rPr>
                <w:rFonts w:ascii="Times New Roman" w:hAnsi="Times New Roman" w:cs="Times New Roman"/>
                <w:noProof/>
              </w:rPr>
            </w:pPr>
            <w:r>
              <w:rPr>
                <w:noProof/>
              </w:rPr>
              <w:t>Ny lagstiftning om löner inom statlig förvaltning och offentlig förvaltning ska möjliggöra en rättvis och öppen bedömning av tjänster i enlighet med fastställda kriterier, vilket säkerställer harmonisering av lönegrader och bonusar inom den offentliga förvaltningen och inom den offentliga förvaltningen, fastställande av koefficienter på yrkesnivå i samråd med arbetsmarknadens parter och inrättande av ett belöningssystem baserat på prestation (arbetsprestation). Ett nytt betalningssystem ska inrättas och de nya lagarna om löner och löner inom den offentliga sektorn ska innehålla bestämmelser om en rättvis och öppen utvärdering av tjänster i enlighet med fastställda kriterier och för att säkerställa en harmonisering av lönerna inom den offentliga förvaltningen och den offentliga förvaltningen samt inrätta ett belöningssystem som bygger på arbetsprestationer.</w:t>
            </w:r>
            <w:r>
              <w:rPr>
                <w:noProof/>
              </w:rPr>
              <w:br/>
            </w:r>
            <w:r>
              <w:rPr>
                <w:noProof/>
              </w:rPr>
              <w:br/>
              <w:t xml:space="preserve">Den rättsliga ramen (lagen om offentlig förvaltning och förordningar) för vertikal och horisontell rörlighet ska ändras. Detta inbegriper en karriärplan som omfattar eventuell tillgång till chefstjänster på mellannivå och högre nivå och en förstärkning av kopplingen mellan karriärutveckling och prestationsbedömning. Dessutom fastställa förutsättningarna för en effektiv arbetsmarknad inom den offentliga förvaltningen, inbegripet a) inrättandet av ett öppet och enhetligt system för annonsering av alla lediga tjänster inom den offentliga förvaltningen, b) möjlighet att söka alla tillgängliga jobb överallt i den offentliga förvaltningen. </w:t>
            </w:r>
          </w:p>
        </w:tc>
      </w:tr>
      <w:tr w:rsidR="003A3D51" w14:paraId="7E6B3AF4"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4837F56D" w14:textId="77777777" w:rsidR="003A3D51" w:rsidRDefault="0002775A">
            <w:pPr>
              <w:pStyle w:val="P68B1DB1-Normal7"/>
              <w:spacing w:after="200" w:line="276" w:lineRule="auto"/>
              <w:jc w:val="center"/>
              <w:rPr>
                <w:rFonts w:ascii="Times New Roman" w:hAnsi="Times New Roman" w:cs="Times New Roman"/>
                <w:noProof/>
              </w:rPr>
            </w:pPr>
            <w:r>
              <w:rPr>
                <w:noProof/>
              </w:rPr>
              <w:t>167</w:t>
            </w:r>
          </w:p>
        </w:tc>
        <w:tc>
          <w:tcPr>
            <w:tcW w:w="259" w:type="pct"/>
            <w:tcBorders>
              <w:top w:val="single" w:sz="4" w:space="0" w:color="auto"/>
              <w:left w:val="nil"/>
              <w:bottom w:val="single" w:sz="4" w:space="0" w:color="auto"/>
              <w:right w:val="single" w:sz="4" w:space="0" w:color="auto"/>
            </w:tcBorders>
            <w:shd w:val="clear" w:color="auto" w:fill="C6EFCE"/>
            <w:noWrap/>
          </w:tcPr>
          <w:p w14:paraId="25CF2679" w14:textId="77777777" w:rsidR="003A3D51" w:rsidRDefault="0002775A">
            <w:pPr>
              <w:pStyle w:val="P68B1DB1-Normal7"/>
              <w:spacing w:after="200" w:line="276" w:lineRule="auto"/>
              <w:jc w:val="center"/>
              <w:rPr>
                <w:rFonts w:ascii="Times New Roman" w:hAnsi="Times New Roman" w:cs="Times New Roman"/>
                <w:noProof/>
              </w:rPr>
            </w:pPr>
            <w:r>
              <w:rPr>
                <w:noProof/>
              </w:rPr>
              <w:t>C2.2 R2-I1</w:t>
            </w:r>
          </w:p>
        </w:tc>
        <w:tc>
          <w:tcPr>
            <w:tcW w:w="289" w:type="pct"/>
            <w:tcBorders>
              <w:top w:val="single" w:sz="4" w:space="0" w:color="auto"/>
              <w:left w:val="nil"/>
              <w:bottom w:val="single" w:sz="4" w:space="0" w:color="auto"/>
              <w:right w:val="single" w:sz="4" w:space="0" w:color="auto"/>
            </w:tcBorders>
            <w:shd w:val="clear" w:color="auto" w:fill="C6EFCE"/>
            <w:noWrap/>
          </w:tcPr>
          <w:p w14:paraId="1703BB9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single" w:sz="4" w:space="0" w:color="auto"/>
              <w:left w:val="nil"/>
              <w:bottom w:val="single" w:sz="4" w:space="0" w:color="auto"/>
              <w:right w:val="single" w:sz="4" w:space="0" w:color="auto"/>
            </w:tcBorders>
            <w:shd w:val="clear" w:color="auto" w:fill="C6EFCE"/>
            <w:noWrap/>
          </w:tcPr>
          <w:p w14:paraId="053F415B" w14:textId="77777777" w:rsidR="003A3D51" w:rsidRDefault="0002775A">
            <w:pPr>
              <w:pStyle w:val="P68B1DB1-Normal7"/>
              <w:spacing w:after="200" w:line="276" w:lineRule="auto"/>
              <w:rPr>
                <w:rFonts w:ascii="Times New Roman" w:hAnsi="Times New Roman" w:cs="Times New Roman"/>
                <w:noProof/>
              </w:rPr>
            </w:pPr>
            <w:r>
              <w:rPr>
                <w:noProof/>
              </w:rPr>
              <w:t>Personalförvaltningssystemet, registret över offentliga tjänstemän och det centraliserade lönesystemet (RegZap – Cop) kompletteras med nio nya funktioner som digitaliserar alla relaterade processer som ska förenkla och påskynda ändringen av lönesystemet.</w:t>
            </w:r>
          </w:p>
        </w:tc>
        <w:tc>
          <w:tcPr>
            <w:tcW w:w="682" w:type="pct"/>
            <w:tcBorders>
              <w:top w:val="single" w:sz="4" w:space="0" w:color="auto"/>
              <w:left w:val="nil"/>
              <w:bottom w:val="single" w:sz="4" w:space="0" w:color="auto"/>
              <w:right w:val="single" w:sz="4" w:space="0" w:color="auto"/>
            </w:tcBorders>
            <w:shd w:val="clear" w:color="auto" w:fill="C6EFCE"/>
            <w:noWrap/>
          </w:tcPr>
          <w:p w14:paraId="66BB02D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57" w:type="pct"/>
            <w:tcBorders>
              <w:top w:val="single" w:sz="4" w:space="0" w:color="auto"/>
              <w:left w:val="nil"/>
              <w:bottom w:val="single" w:sz="4" w:space="0" w:color="auto"/>
              <w:right w:val="single" w:sz="4" w:space="0" w:color="auto"/>
            </w:tcBorders>
            <w:shd w:val="clear" w:color="auto" w:fill="C6EFCE"/>
            <w:noWrap/>
          </w:tcPr>
          <w:p w14:paraId="2F68060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2" w:type="pct"/>
            <w:tcBorders>
              <w:top w:val="single" w:sz="4" w:space="0" w:color="auto"/>
              <w:left w:val="nil"/>
              <w:bottom w:val="single" w:sz="4" w:space="0" w:color="auto"/>
              <w:right w:val="single" w:sz="4" w:space="0" w:color="auto"/>
            </w:tcBorders>
            <w:shd w:val="clear" w:color="auto" w:fill="C6EFCE"/>
            <w:noWrap/>
          </w:tcPr>
          <w:p w14:paraId="44BD4A2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single" w:sz="4" w:space="0" w:color="auto"/>
              <w:left w:val="nil"/>
              <w:bottom w:val="single" w:sz="4" w:space="0" w:color="auto"/>
              <w:right w:val="single" w:sz="4" w:space="0" w:color="auto"/>
            </w:tcBorders>
            <w:shd w:val="clear" w:color="auto" w:fill="C6EFCE"/>
            <w:noWrap/>
          </w:tcPr>
          <w:p w14:paraId="2CD1EEA4" w14:textId="77777777" w:rsidR="003A3D51" w:rsidRDefault="0002775A">
            <w:pPr>
              <w:pStyle w:val="P68B1DB1-Normal7"/>
              <w:spacing w:after="200" w:line="276" w:lineRule="auto"/>
              <w:jc w:val="center"/>
              <w:rPr>
                <w:rFonts w:ascii="Times New Roman" w:hAnsi="Times New Roman" w:cs="Times New Roman"/>
                <w:noProof/>
              </w:rPr>
            </w:pPr>
            <w:r>
              <w:rPr>
                <w:noProof/>
              </w:rPr>
              <w:t>9</w:t>
            </w:r>
          </w:p>
        </w:tc>
        <w:tc>
          <w:tcPr>
            <w:tcW w:w="243" w:type="pct"/>
            <w:tcBorders>
              <w:top w:val="single" w:sz="4" w:space="0" w:color="auto"/>
              <w:left w:val="nil"/>
              <w:bottom w:val="single" w:sz="4" w:space="0" w:color="auto"/>
              <w:right w:val="single" w:sz="4" w:space="0" w:color="auto"/>
            </w:tcBorders>
            <w:shd w:val="clear" w:color="auto" w:fill="C6EFCE"/>
            <w:noWrap/>
          </w:tcPr>
          <w:p w14:paraId="0CBCDFD3"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single" w:sz="4" w:space="0" w:color="auto"/>
              <w:left w:val="nil"/>
              <w:bottom w:val="single" w:sz="4" w:space="0" w:color="auto"/>
              <w:right w:val="single" w:sz="4" w:space="0" w:color="auto"/>
            </w:tcBorders>
            <w:shd w:val="clear" w:color="auto" w:fill="C6EFCE"/>
            <w:noWrap/>
          </w:tcPr>
          <w:p w14:paraId="44E357C0"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342" w:type="pct"/>
            <w:tcBorders>
              <w:top w:val="single" w:sz="4" w:space="0" w:color="auto"/>
              <w:left w:val="nil"/>
              <w:bottom w:val="single" w:sz="4" w:space="0" w:color="auto"/>
              <w:right w:val="single" w:sz="4" w:space="0" w:color="auto"/>
            </w:tcBorders>
            <w:shd w:val="clear" w:color="auto" w:fill="C6EFCE"/>
            <w:noWrap/>
          </w:tcPr>
          <w:p w14:paraId="60AA4022" w14:textId="77777777" w:rsidR="003A3D51" w:rsidRDefault="0002775A">
            <w:pPr>
              <w:pStyle w:val="P68B1DB1-Normal7"/>
              <w:spacing w:after="200" w:line="276" w:lineRule="auto"/>
              <w:rPr>
                <w:rFonts w:ascii="Times New Roman" w:hAnsi="Times New Roman" w:cs="Times New Roman"/>
                <w:noProof/>
              </w:rPr>
            </w:pPr>
            <w:r>
              <w:rPr>
                <w:noProof/>
              </w:rPr>
              <w:t>Nio nya funktioner ska utvecklas och införas i REGZAP-COP (dessa är utarbetande av akter om personalens rättigheter och skyldigheter, utvärdering, arbetsregister, karriärplanering och karriärutveckling, den inre arbetsmarknaden och en individanpassad strategi för systemet av tjänstemän, tjänsteresor) för att stödja genomförandet av de föreslagna ändringarna av lönesystemet.</w:t>
            </w:r>
          </w:p>
        </w:tc>
      </w:tr>
      <w:tr w:rsidR="003A3D51" w14:paraId="30EE6466"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72C1A457" w14:textId="77777777" w:rsidR="003A3D51" w:rsidRDefault="0002775A">
            <w:pPr>
              <w:pStyle w:val="P68B1DB1-Normal7"/>
              <w:spacing w:after="200" w:line="276" w:lineRule="auto"/>
              <w:jc w:val="center"/>
              <w:rPr>
                <w:rFonts w:ascii="Times New Roman" w:hAnsi="Times New Roman" w:cs="Times New Roman"/>
                <w:noProof/>
              </w:rPr>
            </w:pPr>
            <w:r>
              <w:rPr>
                <w:noProof/>
              </w:rPr>
              <w:t>168</w:t>
            </w:r>
          </w:p>
        </w:tc>
        <w:tc>
          <w:tcPr>
            <w:tcW w:w="259" w:type="pct"/>
            <w:tcBorders>
              <w:top w:val="single" w:sz="4" w:space="0" w:color="auto"/>
              <w:left w:val="nil"/>
              <w:bottom w:val="single" w:sz="4" w:space="0" w:color="auto"/>
              <w:right w:val="single" w:sz="4" w:space="0" w:color="auto"/>
            </w:tcBorders>
            <w:shd w:val="clear" w:color="auto" w:fill="C6EFCE"/>
            <w:noWrap/>
          </w:tcPr>
          <w:p w14:paraId="09CA87A2" w14:textId="77777777" w:rsidR="003A3D51" w:rsidRDefault="0002775A">
            <w:pPr>
              <w:pStyle w:val="P68B1DB1-Normal7"/>
              <w:spacing w:after="200" w:line="276" w:lineRule="auto"/>
              <w:jc w:val="center"/>
              <w:rPr>
                <w:rFonts w:ascii="Times New Roman" w:hAnsi="Times New Roman" w:cs="Times New Roman"/>
                <w:noProof/>
              </w:rPr>
            </w:pPr>
            <w:r>
              <w:rPr>
                <w:noProof/>
              </w:rPr>
              <w:t>C2.2 R2-I2</w:t>
            </w:r>
          </w:p>
        </w:tc>
        <w:tc>
          <w:tcPr>
            <w:tcW w:w="289" w:type="pct"/>
            <w:tcBorders>
              <w:top w:val="single" w:sz="4" w:space="0" w:color="auto"/>
              <w:left w:val="nil"/>
              <w:bottom w:val="single" w:sz="4" w:space="0" w:color="auto"/>
              <w:right w:val="single" w:sz="4" w:space="0" w:color="auto"/>
            </w:tcBorders>
            <w:shd w:val="clear" w:color="auto" w:fill="C6EFCE"/>
            <w:noWrap/>
          </w:tcPr>
          <w:p w14:paraId="39C2063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single" w:sz="4" w:space="0" w:color="auto"/>
              <w:left w:val="nil"/>
              <w:bottom w:val="single" w:sz="4" w:space="0" w:color="auto"/>
              <w:right w:val="single" w:sz="4" w:space="0" w:color="auto"/>
            </w:tcBorders>
            <w:shd w:val="clear" w:color="auto" w:fill="C6EFCE"/>
            <w:noWrap/>
          </w:tcPr>
          <w:p w14:paraId="6375B7A2" w14:textId="77777777" w:rsidR="003A3D51" w:rsidRDefault="0002775A">
            <w:pPr>
              <w:pStyle w:val="P68B1DB1-Normal7"/>
              <w:spacing w:after="200" w:line="276" w:lineRule="auto"/>
              <w:rPr>
                <w:rFonts w:ascii="Times New Roman" w:hAnsi="Times New Roman" w:cs="Times New Roman"/>
                <w:noProof/>
              </w:rPr>
            </w:pPr>
            <w:r>
              <w:rPr>
                <w:noProof/>
              </w:rPr>
              <w:t xml:space="preserve">Minst 20 % av de offentliganställda arbetar enligt modellen för smart arbete </w:t>
            </w:r>
          </w:p>
        </w:tc>
        <w:tc>
          <w:tcPr>
            <w:tcW w:w="682" w:type="pct"/>
            <w:tcBorders>
              <w:top w:val="single" w:sz="4" w:space="0" w:color="auto"/>
              <w:left w:val="nil"/>
              <w:bottom w:val="single" w:sz="4" w:space="0" w:color="auto"/>
              <w:right w:val="single" w:sz="4" w:space="0" w:color="auto"/>
            </w:tcBorders>
            <w:shd w:val="clear" w:color="auto" w:fill="C6EFCE"/>
            <w:noWrap/>
          </w:tcPr>
          <w:p w14:paraId="3612B684"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57" w:type="pct"/>
            <w:tcBorders>
              <w:top w:val="single" w:sz="4" w:space="0" w:color="auto"/>
              <w:left w:val="nil"/>
              <w:bottom w:val="single" w:sz="4" w:space="0" w:color="auto"/>
              <w:right w:val="single" w:sz="4" w:space="0" w:color="auto"/>
            </w:tcBorders>
            <w:shd w:val="clear" w:color="auto" w:fill="C6EFCE"/>
            <w:noWrap/>
          </w:tcPr>
          <w:p w14:paraId="06F0B8AE"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2" w:type="pct"/>
            <w:tcBorders>
              <w:top w:val="single" w:sz="4" w:space="0" w:color="auto"/>
              <w:left w:val="nil"/>
              <w:bottom w:val="single" w:sz="4" w:space="0" w:color="auto"/>
              <w:right w:val="single" w:sz="4" w:space="0" w:color="auto"/>
            </w:tcBorders>
            <w:shd w:val="clear" w:color="auto" w:fill="C6EFCE"/>
            <w:noWrap/>
          </w:tcPr>
          <w:p w14:paraId="5BE98CB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single" w:sz="4" w:space="0" w:color="auto"/>
              <w:left w:val="nil"/>
              <w:bottom w:val="single" w:sz="4" w:space="0" w:color="auto"/>
              <w:right w:val="single" w:sz="4" w:space="0" w:color="auto"/>
            </w:tcBorders>
            <w:shd w:val="clear" w:color="auto" w:fill="C6EFCE"/>
            <w:noWrap/>
          </w:tcPr>
          <w:p w14:paraId="29C7B6A6" w14:textId="77777777" w:rsidR="003A3D51" w:rsidRDefault="0002775A">
            <w:pPr>
              <w:pStyle w:val="P68B1DB1-Normal7"/>
              <w:spacing w:after="200" w:line="276" w:lineRule="auto"/>
              <w:jc w:val="center"/>
              <w:rPr>
                <w:rFonts w:ascii="Times New Roman" w:hAnsi="Times New Roman" w:cs="Times New Roman"/>
                <w:noProof/>
              </w:rPr>
            </w:pPr>
            <w:r>
              <w:rPr>
                <w:noProof/>
              </w:rPr>
              <w:t>20</w:t>
            </w:r>
          </w:p>
        </w:tc>
        <w:tc>
          <w:tcPr>
            <w:tcW w:w="243" w:type="pct"/>
            <w:tcBorders>
              <w:top w:val="single" w:sz="4" w:space="0" w:color="auto"/>
              <w:left w:val="nil"/>
              <w:bottom w:val="single" w:sz="4" w:space="0" w:color="auto"/>
              <w:right w:val="single" w:sz="4" w:space="0" w:color="auto"/>
            </w:tcBorders>
            <w:shd w:val="clear" w:color="auto" w:fill="C6EFCE"/>
            <w:noWrap/>
          </w:tcPr>
          <w:p w14:paraId="6DB6CF4D"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303" w:type="pct"/>
            <w:tcBorders>
              <w:top w:val="single" w:sz="4" w:space="0" w:color="auto"/>
              <w:left w:val="nil"/>
              <w:bottom w:val="single" w:sz="4" w:space="0" w:color="auto"/>
              <w:right w:val="single" w:sz="4" w:space="0" w:color="auto"/>
            </w:tcBorders>
            <w:shd w:val="clear" w:color="auto" w:fill="C6EFCE"/>
            <w:noWrap/>
          </w:tcPr>
          <w:p w14:paraId="193BA460"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342" w:type="pct"/>
            <w:tcBorders>
              <w:top w:val="single" w:sz="4" w:space="0" w:color="auto"/>
              <w:left w:val="nil"/>
              <w:bottom w:val="single" w:sz="4" w:space="0" w:color="auto"/>
              <w:right w:val="single" w:sz="4" w:space="0" w:color="auto"/>
            </w:tcBorders>
            <w:shd w:val="clear" w:color="auto" w:fill="C6EFCE"/>
            <w:noWrap/>
          </w:tcPr>
          <w:p w14:paraId="201DC3D4" w14:textId="77777777" w:rsidR="003A3D51" w:rsidRDefault="0002775A">
            <w:pPr>
              <w:pStyle w:val="P68B1DB1-Normal7"/>
              <w:spacing w:after="200" w:line="276" w:lineRule="auto"/>
              <w:rPr>
                <w:rFonts w:ascii="Times New Roman" w:hAnsi="Times New Roman" w:cs="Times New Roman"/>
                <w:noProof/>
              </w:rPr>
            </w:pPr>
            <w:r>
              <w:rPr>
                <w:noProof/>
              </w:rPr>
              <w:t xml:space="preserve">20 % av de offentliganställda arbetar redan enligt modellen för smart arbete, vilket gör det möjligt för dem att arbeta på distans för att tillhandahålla offentliga tjänster av hög kvalitet som är tillgängliga för alla och öka tjänstemännens motivation.  </w:t>
            </w:r>
          </w:p>
        </w:tc>
      </w:tr>
      <w:tr w:rsidR="003A3D51" w14:paraId="3797A9F0"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448E625D" w14:textId="77777777" w:rsidR="003A3D51" w:rsidRDefault="0002775A">
            <w:pPr>
              <w:pStyle w:val="P68B1DB1-Normal7"/>
              <w:spacing w:after="200" w:line="276" w:lineRule="auto"/>
              <w:jc w:val="center"/>
              <w:rPr>
                <w:rFonts w:ascii="Times New Roman" w:hAnsi="Times New Roman" w:cs="Times New Roman"/>
                <w:noProof/>
              </w:rPr>
            </w:pPr>
            <w:r>
              <w:rPr>
                <w:noProof/>
              </w:rPr>
              <w:t>169</w:t>
            </w:r>
          </w:p>
        </w:tc>
        <w:tc>
          <w:tcPr>
            <w:tcW w:w="259" w:type="pct"/>
            <w:tcBorders>
              <w:top w:val="single" w:sz="4" w:space="0" w:color="auto"/>
              <w:left w:val="nil"/>
              <w:bottom w:val="single" w:sz="4" w:space="0" w:color="auto"/>
              <w:right w:val="single" w:sz="4" w:space="0" w:color="auto"/>
            </w:tcBorders>
            <w:shd w:val="clear" w:color="auto" w:fill="C6EFCE"/>
            <w:noWrap/>
          </w:tcPr>
          <w:p w14:paraId="2560644D" w14:textId="77777777" w:rsidR="003A3D51" w:rsidRDefault="0002775A">
            <w:pPr>
              <w:pStyle w:val="P68B1DB1-Normal7"/>
              <w:spacing w:after="200" w:line="276" w:lineRule="auto"/>
              <w:jc w:val="center"/>
              <w:rPr>
                <w:rFonts w:ascii="Times New Roman" w:hAnsi="Times New Roman" w:cs="Times New Roman"/>
                <w:noProof/>
              </w:rPr>
            </w:pPr>
            <w:r>
              <w:rPr>
                <w:noProof/>
              </w:rPr>
              <w:t>C2.2 R2-I2</w:t>
            </w:r>
          </w:p>
        </w:tc>
        <w:tc>
          <w:tcPr>
            <w:tcW w:w="289" w:type="pct"/>
            <w:tcBorders>
              <w:top w:val="single" w:sz="4" w:space="0" w:color="auto"/>
              <w:left w:val="nil"/>
              <w:bottom w:val="single" w:sz="4" w:space="0" w:color="auto"/>
              <w:right w:val="single" w:sz="4" w:space="0" w:color="auto"/>
            </w:tcBorders>
            <w:shd w:val="clear" w:color="auto" w:fill="C6EFCE"/>
            <w:noWrap/>
          </w:tcPr>
          <w:p w14:paraId="7DF4A1A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single" w:sz="4" w:space="0" w:color="auto"/>
              <w:left w:val="nil"/>
              <w:bottom w:val="single" w:sz="4" w:space="0" w:color="auto"/>
              <w:right w:val="single" w:sz="4" w:space="0" w:color="auto"/>
            </w:tcBorders>
            <w:shd w:val="clear" w:color="auto" w:fill="C6EFCE"/>
            <w:noWrap/>
          </w:tcPr>
          <w:p w14:paraId="2CE99E84" w14:textId="77777777" w:rsidR="003A3D51" w:rsidRDefault="0002775A">
            <w:pPr>
              <w:pStyle w:val="P68B1DB1-Normal7"/>
              <w:spacing w:after="200" w:line="276" w:lineRule="auto"/>
              <w:rPr>
                <w:rFonts w:ascii="Times New Roman" w:hAnsi="Times New Roman" w:cs="Times New Roman"/>
                <w:noProof/>
              </w:rPr>
            </w:pPr>
            <w:r>
              <w:rPr>
                <w:noProof/>
              </w:rPr>
              <w:t xml:space="preserve">Minst 60 % av de offentliganställda som utbildats i smart arbetsmetod  </w:t>
            </w:r>
          </w:p>
        </w:tc>
        <w:tc>
          <w:tcPr>
            <w:tcW w:w="682" w:type="pct"/>
            <w:tcBorders>
              <w:top w:val="single" w:sz="4" w:space="0" w:color="auto"/>
              <w:left w:val="nil"/>
              <w:bottom w:val="single" w:sz="4" w:space="0" w:color="auto"/>
              <w:right w:val="single" w:sz="4" w:space="0" w:color="auto"/>
            </w:tcBorders>
            <w:shd w:val="clear" w:color="auto" w:fill="C6EFCE"/>
            <w:noWrap/>
          </w:tcPr>
          <w:p w14:paraId="1972FFB4"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57" w:type="pct"/>
            <w:tcBorders>
              <w:top w:val="single" w:sz="4" w:space="0" w:color="auto"/>
              <w:left w:val="nil"/>
              <w:bottom w:val="single" w:sz="4" w:space="0" w:color="auto"/>
              <w:right w:val="single" w:sz="4" w:space="0" w:color="auto"/>
            </w:tcBorders>
            <w:shd w:val="clear" w:color="auto" w:fill="C6EFCE"/>
            <w:noWrap/>
          </w:tcPr>
          <w:p w14:paraId="6BC85662"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2" w:type="pct"/>
            <w:tcBorders>
              <w:top w:val="single" w:sz="4" w:space="0" w:color="auto"/>
              <w:left w:val="nil"/>
              <w:bottom w:val="single" w:sz="4" w:space="0" w:color="auto"/>
              <w:right w:val="single" w:sz="4" w:space="0" w:color="auto"/>
            </w:tcBorders>
            <w:shd w:val="clear" w:color="auto" w:fill="C6EFCE"/>
            <w:noWrap/>
          </w:tcPr>
          <w:p w14:paraId="7FA6DE1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single" w:sz="4" w:space="0" w:color="auto"/>
              <w:left w:val="nil"/>
              <w:bottom w:val="single" w:sz="4" w:space="0" w:color="auto"/>
              <w:right w:val="single" w:sz="4" w:space="0" w:color="auto"/>
            </w:tcBorders>
            <w:shd w:val="clear" w:color="auto" w:fill="C6EFCE"/>
            <w:noWrap/>
          </w:tcPr>
          <w:p w14:paraId="3FA224BE" w14:textId="77777777" w:rsidR="003A3D51" w:rsidRDefault="0002775A">
            <w:pPr>
              <w:pStyle w:val="P68B1DB1-Normal7"/>
              <w:spacing w:after="200" w:line="276" w:lineRule="auto"/>
              <w:jc w:val="center"/>
              <w:rPr>
                <w:rFonts w:ascii="Times New Roman" w:hAnsi="Times New Roman" w:cs="Times New Roman"/>
                <w:noProof/>
              </w:rPr>
            </w:pPr>
            <w:r>
              <w:rPr>
                <w:noProof/>
              </w:rPr>
              <w:t>60</w:t>
            </w:r>
          </w:p>
        </w:tc>
        <w:tc>
          <w:tcPr>
            <w:tcW w:w="243" w:type="pct"/>
            <w:tcBorders>
              <w:top w:val="single" w:sz="4" w:space="0" w:color="auto"/>
              <w:left w:val="nil"/>
              <w:bottom w:val="single" w:sz="4" w:space="0" w:color="auto"/>
              <w:right w:val="single" w:sz="4" w:space="0" w:color="auto"/>
            </w:tcBorders>
            <w:shd w:val="clear" w:color="auto" w:fill="C6EFCE"/>
            <w:noWrap/>
          </w:tcPr>
          <w:p w14:paraId="4A685C86"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303" w:type="pct"/>
            <w:tcBorders>
              <w:top w:val="single" w:sz="4" w:space="0" w:color="auto"/>
              <w:left w:val="nil"/>
              <w:bottom w:val="single" w:sz="4" w:space="0" w:color="auto"/>
              <w:right w:val="single" w:sz="4" w:space="0" w:color="auto"/>
            </w:tcBorders>
            <w:shd w:val="clear" w:color="auto" w:fill="C6EFCE"/>
            <w:noWrap/>
          </w:tcPr>
          <w:p w14:paraId="20B24FCE"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342" w:type="pct"/>
            <w:tcBorders>
              <w:top w:val="single" w:sz="4" w:space="0" w:color="auto"/>
              <w:left w:val="nil"/>
              <w:bottom w:val="single" w:sz="4" w:space="0" w:color="auto"/>
              <w:right w:val="single" w:sz="4" w:space="0" w:color="auto"/>
            </w:tcBorders>
            <w:shd w:val="clear" w:color="auto" w:fill="C6EFCE"/>
            <w:noWrap/>
          </w:tcPr>
          <w:p w14:paraId="73AC647B" w14:textId="77777777" w:rsidR="003A3D51" w:rsidRDefault="0002775A">
            <w:pPr>
              <w:pStyle w:val="P68B1DB1-Normal7"/>
              <w:spacing w:after="200" w:line="276" w:lineRule="auto"/>
              <w:rPr>
                <w:rFonts w:ascii="Times New Roman" w:hAnsi="Times New Roman" w:cs="Times New Roman"/>
                <w:noProof/>
              </w:rPr>
            </w:pPr>
            <w:r>
              <w:rPr>
                <w:noProof/>
              </w:rPr>
              <w:t xml:space="preserve">60 % av de offentliganställda är utbildade i modellen för smart arbete och har den kompetens som krävs för att arbeta på distans för att tillhandahålla offentliga tjänster av hög kvalitet som är tillgängliga för alla och öka tjänstemännens motivation.  </w:t>
            </w:r>
          </w:p>
        </w:tc>
      </w:tr>
      <w:tr w:rsidR="003A3D51" w14:paraId="173E36F4" w14:textId="77777777" w:rsidTr="00FB7A6D">
        <w:trPr>
          <w:trHeight w:val="283"/>
          <w:jc w:val="center"/>
        </w:trPr>
        <w:tc>
          <w:tcPr>
            <w:tcW w:w="247" w:type="pct"/>
            <w:tcBorders>
              <w:top w:val="nil"/>
              <w:left w:val="single" w:sz="4" w:space="0" w:color="auto"/>
              <w:bottom w:val="single" w:sz="4" w:space="0" w:color="auto"/>
              <w:right w:val="single" w:sz="4" w:space="0" w:color="auto"/>
            </w:tcBorders>
            <w:shd w:val="clear" w:color="auto" w:fill="C6EFCE"/>
            <w:noWrap/>
          </w:tcPr>
          <w:p w14:paraId="505F1B5A" w14:textId="77777777" w:rsidR="003A3D51" w:rsidRDefault="0002775A">
            <w:pPr>
              <w:pStyle w:val="P68B1DB1-Normal7"/>
              <w:spacing w:after="200" w:line="276" w:lineRule="auto"/>
              <w:jc w:val="center"/>
              <w:rPr>
                <w:rFonts w:ascii="Times New Roman" w:hAnsi="Times New Roman" w:cs="Times New Roman"/>
                <w:noProof/>
              </w:rPr>
            </w:pPr>
            <w:r>
              <w:rPr>
                <w:noProof/>
              </w:rPr>
              <w:t>170</w:t>
            </w:r>
          </w:p>
        </w:tc>
        <w:tc>
          <w:tcPr>
            <w:tcW w:w="259" w:type="pct"/>
            <w:tcBorders>
              <w:top w:val="nil"/>
              <w:left w:val="nil"/>
              <w:bottom w:val="single" w:sz="4" w:space="0" w:color="auto"/>
              <w:right w:val="single" w:sz="4" w:space="0" w:color="auto"/>
            </w:tcBorders>
            <w:shd w:val="clear" w:color="auto" w:fill="C6EFCE"/>
            <w:noWrap/>
          </w:tcPr>
          <w:p w14:paraId="6BA92A41" w14:textId="77777777" w:rsidR="003A3D51" w:rsidRDefault="0002775A">
            <w:pPr>
              <w:pStyle w:val="P68B1DB1-Normal7"/>
              <w:spacing w:after="200" w:line="276" w:lineRule="auto"/>
              <w:jc w:val="center"/>
              <w:rPr>
                <w:rFonts w:ascii="Times New Roman" w:hAnsi="Times New Roman" w:cs="Times New Roman"/>
                <w:noProof/>
              </w:rPr>
            </w:pPr>
            <w:r>
              <w:rPr>
                <w:noProof/>
              </w:rPr>
              <w:t>C2.2 R3</w:t>
            </w:r>
          </w:p>
        </w:tc>
        <w:tc>
          <w:tcPr>
            <w:tcW w:w="289" w:type="pct"/>
            <w:tcBorders>
              <w:top w:val="nil"/>
              <w:left w:val="nil"/>
              <w:bottom w:val="single" w:sz="4" w:space="0" w:color="auto"/>
              <w:right w:val="single" w:sz="4" w:space="0" w:color="auto"/>
            </w:tcBorders>
            <w:shd w:val="clear" w:color="auto" w:fill="C6EFCE"/>
            <w:noWrap/>
          </w:tcPr>
          <w:p w14:paraId="53C6E24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67" w:type="pct"/>
            <w:tcBorders>
              <w:top w:val="nil"/>
              <w:left w:val="nil"/>
              <w:bottom w:val="single" w:sz="4" w:space="0" w:color="auto"/>
              <w:right w:val="single" w:sz="4" w:space="0" w:color="auto"/>
            </w:tcBorders>
            <w:shd w:val="clear" w:color="auto" w:fill="C6EFCE"/>
            <w:noWrap/>
          </w:tcPr>
          <w:p w14:paraId="0FE439A1" w14:textId="77777777" w:rsidR="003A3D51" w:rsidRDefault="0002775A">
            <w:pPr>
              <w:pStyle w:val="P68B1DB1-Normal7"/>
              <w:spacing w:after="200" w:line="276" w:lineRule="auto"/>
              <w:rPr>
                <w:rFonts w:ascii="Times New Roman" w:hAnsi="Times New Roman" w:cs="Times New Roman"/>
                <w:noProof/>
              </w:rPr>
            </w:pPr>
            <w:r>
              <w:rPr>
                <w:noProof/>
              </w:rPr>
              <w:t>Inrättande av en e-bevarandetjänst</w:t>
            </w:r>
          </w:p>
        </w:tc>
        <w:tc>
          <w:tcPr>
            <w:tcW w:w="682" w:type="pct"/>
            <w:tcBorders>
              <w:top w:val="nil"/>
              <w:left w:val="nil"/>
              <w:bottom w:val="single" w:sz="4" w:space="0" w:color="auto"/>
              <w:right w:val="single" w:sz="4" w:space="0" w:color="auto"/>
            </w:tcBorders>
            <w:shd w:val="clear" w:color="auto" w:fill="C6EFCE"/>
            <w:noWrap/>
          </w:tcPr>
          <w:p w14:paraId="41839BEC" w14:textId="77777777" w:rsidR="003A3D51" w:rsidRDefault="0002775A">
            <w:pPr>
              <w:pStyle w:val="P68B1DB1-Normal7"/>
              <w:spacing w:after="200" w:line="276" w:lineRule="auto"/>
              <w:rPr>
                <w:rFonts w:ascii="Times New Roman" w:hAnsi="Times New Roman" w:cs="Times New Roman"/>
                <w:noProof/>
              </w:rPr>
            </w:pPr>
            <w:r>
              <w:rPr>
                <w:noProof/>
              </w:rPr>
              <w:t>E-bevarandebasens digitala offentliga tjänst fullt fungerande och tillgänglig</w:t>
            </w:r>
          </w:p>
        </w:tc>
        <w:tc>
          <w:tcPr>
            <w:tcW w:w="357" w:type="pct"/>
            <w:tcBorders>
              <w:top w:val="nil"/>
              <w:left w:val="nil"/>
              <w:bottom w:val="single" w:sz="4" w:space="0" w:color="auto"/>
              <w:right w:val="single" w:sz="4" w:space="0" w:color="auto"/>
            </w:tcBorders>
            <w:shd w:val="clear" w:color="auto" w:fill="C6EFCE"/>
            <w:noWrap/>
          </w:tcPr>
          <w:p w14:paraId="71017CA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6119182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9" w:type="pct"/>
            <w:tcBorders>
              <w:top w:val="nil"/>
              <w:left w:val="nil"/>
              <w:bottom w:val="single" w:sz="4" w:space="0" w:color="auto"/>
              <w:right w:val="single" w:sz="4" w:space="0" w:color="auto"/>
            </w:tcBorders>
            <w:shd w:val="clear" w:color="auto" w:fill="C6EFCE"/>
            <w:noWrap/>
          </w:tcPr>
          <w:p w14:paraId="1AC023E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3" w:type="pct"/>
            <w:tcBorders>
              <w:top w:val="nil"/>
              <w:left w:val="nil"/>
              <w:bottom w:val="single" w:sz="4" w:space="0" w:color="auto"/>
              <w:right w:val="single" w:sz="4" w:space="0" w:color="auto"/>
            </w:tcBorders>
            <w:shd w:val="clear" w:color="auto" w:fill="C6EFCE"/>
            <w:noWrap/>
          </w:tcPr>
          <w:p w14:paraId="582D197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303" w:type="pct"/>
            <w:tcBorders>
              <w:top w:val="nil"/>
              <w:left w:val="nil"/>
              <w:bottom w:val="single" w:sz="4" w:space="0" w:color="auto"/>
              <w:right w:val="single" w:sz="4" w:space="0" w:color="auto"/>
            </w:tcBorders>
            <w:shd w:val="clear" w:color="auto" w:fill="C6EFCE"/>
            <w:noWrap/>
          </w:tcPr>
          <w:p w14:paraId="553618C8"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342" w:type="pct"/>
            <w:tcBorders>
              <w:top w:val="nil"/>
              <w:left w:val="nil"/>
              <w:bottom w:val="single" w:sz="4" w:space="0" w:color="auto"/>
              <w:right w:val="single" w:sz="4" w:space="0" w:color="auto"/>
            </w:tcBorders>
            <w:shd w:val="clear" w:color="auto" w:fill="C6EFCE"/>
            <w:noWrap/>
          </w:tcPr>
          <w:p w14:paraId="17619FDA" w14:textId="77777777" w:rsidR="003A3D51" w:rsidRDefault="0002775A">
            <w:pPr>
              <w:pStyle w:val="P68B1DB1-Normal7"/>
              <w:spacing w:after="200" w:line="276" w:lineRule="auto"/>
              <w:rPr>
                <w:rFonts w:ascii="Times New Roman" w:hAnsi="Times New Roman" w:cs="Times New Roman"/>
                <w:noProof/>
              </w:rPr>
            </w:pPr>
            <w:r>
              <w:rPr>
                <w:noProof/>
              </w:rPr>
              <w:t>Genom att inrätta digital infrastruktur och offentliga förvaltningstjänster stärker utvecklingen av ett system med bevarandebaser offentliga myndigheters och andra dokumentskaparers dokumenthantering som väsentliga stödfunktioner för alla affärsprocesser. E-bevarandesystemet ska möjliggöra ett effektivare tillhandahållande av offentliga förvaltningstjänster med hjälp av genomförda IKT-lösningar som säkerställer interoperabilitet och datadelning, kostnadsminskning, insyn i näringslivet och skydd av medborgarnas rättigheter.</w:t>
            </w:r>
            <w:r>
              <w:rPr>
                <w:noProof/>
              </w:rPr>
              <w:br/>
              <w:t>Den digitala offentliga tjänsten (e-bevarandebasen) som är kopplad till befintliga digitala offentliga tjänster ska inrättas för att undanröja administrativa hinder i tillståndsförfarandet enligt lagen om skydd och bevarande av kulturell egendom.</w:t>
            </w:r>
          </w:p>
        </w:tc>
      </w:tr>
      <w:tr w:rsidR="003A3D51" w14:paraId="68334748"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48CEF06D" w14:textId="77777777" w:rsidR="003A3D51" w:rsidRDefault="0002775A">
            <w:pPr>
              <w:pStyle w:val="P68B1DB1-Normal7"/>
              <w:spacing w:after="200" w:line="276" w:lineRule="auto"/>
              <w:jc w:val="center"/>
              <w:rPr>
                <w:rFonts w:ascii="Times New Roman" w:hAnsi="Times New Roman" w:cs="Times New Roman"/>
                <w:noProof/>
              </w:rPr>
            </w:pPr>
            <w:r>
              <w:rPr>
                <w:noProof/>
              </w:rPr>
              <w:t>171</w:t>
            </w:r>
          </w:p>
        </w:tc>
        <w:tc>
          <w:tcPr>
            <w:tcW w:w="259" w:type="pct"/>
            <w:tcBorders>
              <w:top w:val="single" w:sz="4" w:space="0" w:color="auto"/>
              <w:left w:val="nil"/>
              <w:bottom w:val="single" w:sz="4" w:space="0" w:color="auto"/>
              <w:right w:val="single" w:sz="4" w:space="0" w:color="auto"/>
            </w:tcBorders>
            <w:shd w:val="clear" w:color="auto" w:fill="C6EFCE"/>
            <w:noWrap/>
          </w:tcPr>
          <w:p w14:paraId="45EA71DE" w14:textId="77777777" w:rsidR="003A3D51" w:rsidRDefault="0002775A">
            <w:pPr>
              <w:pStyle w:val="P68B1DB1-Normal7"/>
              <w:spacing w:after="200" w:line="276" w:lineRule="auto"/>
              <w:jc w:val="center"/>
              <w:rPr>
                <w:rFonts w:ascii="Times New Roman" w:hAnsi="Times New Roman" w:cs="Times New Roman"/>
                <w:noProof/>
              </w:rPr>
            </w:pPr>
            <w:r>
              <w:rPr>
                <w:noProof/>
              </w:rPr>
              <w:t>C2.2 R3</w:t>
            </w:r>
          </w:p>
        </w:tc>
        <w:tc>
          <w:tcPr>
            <w:tcW w:w="289" w:type="pct"/>
            <w:tcBorders>
              <w:top w:val="single" w:sz="4" w:space="0" w:color="auto"/>
              <w:left w:val="nil"/>
              <w:bottom w:val="single" w:sz="4" w:space="0" w:color="auto"/>
              <w:right w:val="single" w:sz="4" w:space="0" w:color="auto"/>
            </w:tcBorders>
            <w:shd w:val="clear" w:color="auto" w:fill="C6EFCE"/>
            <w:noWrap/>
          </w:tcPr>
          <w:p w14:paraId="4E1F3D8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67" w:type="pct"/>
            <w:tcBorders>
              <w:top w:val="single" w:sz="4" w:space="0" w:color="auto"/>
              <w:left w:val="nil"/>
              <w:bottom w:val="single" w:sz="4" w:space="0" w:color="auto"/>
              <w:right w:val="single" w:sz="4" w:space="0" w:color="auto"/>
            </w:tcBorders>
            <w:shd w:val="clear" w:color="auto" w:fill="C6EFCE"/>
            <w:noWrap/>
          </w:tcPr>
          <w:p w14:paraId="1F88ECEB" w14:textId="77777777" w:rsidR="003A3D51" w:rsidRDefault="0002775A">
            <w:pPr>
              <w:pStyle w:val="P68B1DB1-Normal7"/>
              <w:spacing w:after="200" w:line="276" w:lineRule="auto"/>
              <w:rPr>
                <w:rFonts w:ascii="Times New Roman" w:hAnsi="Times New Roman" w:cs="Times New Roman"/>
                <w:noProof/>
              </w:rPr>
            </w:pPr>
            <w:r>
              <w:rPr>
                <w:noProof/>
              </w:rPr>
              <w:t>Inrättande av ett nationellt arkivinformationssystem</w:t>
            </w:r>
          </w:p>
        </w:tc>
        <w:tc>
          <w:tcPr>
            <w:tcW w:w="682" w:type="pct"/>
            <w:tcBorders>
              <w:top w:val="single" w:sz="4" w:space="0" w:color="auto"/>
              <w:left w:val="nil"/>
              <w:bottom w:val="single" w:sz="4" w:space="0" w:color="auto"/>
              <w:right w:val="single" w:sz="4" w:space="0" w:color="auto"/>
            </w:tcBorders>
            <w:shd w:val="clear" w:color="auto" w:fill="C6EFCE"/>
            <w:noWrap/>
          </w:tcPr>
          <w:p w14:paraId="62F5AAAB" w14:textId="77777777" w:rsidR="003A3D51" w:rsidRDefault="0002775A">
            <w:pPr>
              <w:pStyle w:val="P68B1DB1-Normal7"/>
              <w:spacing w:after="200" w:line="276" w:lineRule="auto"/>
              <w:rPr>
                <w:rFonts w:ascii="Times New Roman" w:hAnsi="Times New Roman" w:cs="Times New Roman"/>
                <w:noProof/>
              </w:rPr>
            </w:pPr>
            <w:r>
              <w:rPr>
                <w:noProof/>
              </w:rPr>
              <w:t xml:space="preserve">Det nationella arkivinformationssystemet fungerar fullt ut och är tillgängligt </w:t>
            </w:r>
          </w:p>
        </w:tc>
        <w:tc>
          <w:tcPr>
            <w:tcW w:w="357" w:type="pct"/>
            <w:tcBorders>
              <w:top w:val="single" w:sz="4" w:space="0" w:color="auto"/>
              <w:left w:val="nil"/>
              <w:bottom w:val="single" w:sz="4" w:space="0" w:color="auto"/>
              <w:right w:val="single" w:sz="4" w:space="0" w:color="auto"/>
            </w:tcBorders>
            <w:shd w:val="clear" w:color="auto" w:fill="C6EFCE"/>
            <w:noWrap/>
          </w:tcPr>
          <w:p w14:paraId="05A13DE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2" w:type="pct"/>
            <w:tcBorders>
              <w:top w:val="single" w:sz="4" w:space="0" w:color="auto"/>
              <w:left w:val="nil"/>
              <w:bottom w:val="single" w:sz="4" w:space="0" w:color="auto"/>
              <w:right w:val="single" w:sz="4" w:space="0" w:color="auto"/>
            </w:tcBorders>
            <w:shd w:val="clear" w:color="auto" w:fill="C6EFCE"/>
            <w:noWrap/>
          </w:tcPr>
          <w:p w14:paraId="15D0DAA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9" w:type="pct"/>
            <w:tcBorders>
              <w:top w:val="single" w:sz="4" w:space="0" w:color="auto"/>
              <w:left w:val="nil"/>
              <w:bottom w:val="single" w:sz="4" w:space="0" w:color="auto"/>
              <w:right w:val="single" w:sz="4" w:space="0" w:color="auto"/>
            </w:tcBorders>
            <w:shd w:val="clear" w:color="auto" w:fill="C6EFCE"/>
            <w:noWrap/>
          </w:tcPr>
          <w:p w14:paraId="0862002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3" w:type="pct"/>
            <w:tcBorders>
              <w:top w:val="single" w:sz="4" w:space="0" w:color="auto"/>
              <w:left w:val="nil"/>
              <w:bottom w:val="single" w:sz="4" w:space="0" w:color="auto"/>
              <w:right w:val="single" w:sz="4" w:space="0" w:color="auto"/>
            </w:tcBorders>
            <w:shd w:val="clear" w:color="auto" w:fill="C6EFCE"/>
            <w:noWrap/>
          </w:tcPr>
          <w:p w14:paraId="32ADBCA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single" w:sz="4" w:space="0" w:color="auto"/>
              <w:left w:val="nil"/>
              <w:bottom w:val="single" w:sz="4" w:space="0" w:color="auto"/>
              <w:right w:val="single" w:sz="4" w:space="0" w:color="auto"/>
            </w:tcBorders>
            <w:shd w:val="clear" w:color="auto" w:fill="C6EFCE"/>
            <w:noWrap/>
          </w:tcPr>
          <w:p w14:paraId="4E2C1C21"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342" w:type="pct"/>
            <w:tcBorders>
              <w:top w:val="single" w:sz="4" w:space="0" w:color="auto"/>
              <w:left w:val="nil"/>
              <w:bottom w:val="single" w:sz="4" w:space="0" w:color="auto"/>
              <w:right w:val="single" w:sz="4" w:space="0" w:color="auto"/>
            </w:tcBorders>
            <w:shd w:val="clear" w:color="auto" w:fill="C6EFCE"/>
            <w:noWrap/>
          </w:tcPr>
          <w:p w14:paraId="0D3FEB51" w14:textId="77777777" w:rsidR="003A3D51" w:rsidRDefault="0002775A">
            <w:pPr>
              <w:pStyle w:val="P68B1DB1-Normal7"/>
              <w:spacing w:after="200" w:line="276" w:lineRule="auto"/>
              <w:rPr>
                <w:rFonts w:ascii="Times New Roman" w:hAnsi="Times New Roman" w:cs="Times New Roman"/>
                <w:noProof/>
              </w:rPr>
            </w:pPr>
            <w:r>
              <w:rPr>
                <w:noProof/>
              </w:rPr>
              <w:t xml:space="preserve">Ett nationellt arkivinformationssystem ska inrättas för att förbättra offentliga myndigheters och andra dokumentskares dokumenthantering, som en viktig stödjande funktion för alla affärsprocesser. </w:t>
            </w:r>
          </w:p>
        </w:tc>
      </w:tr>
      <w:tr w:rsidR="003A3D51" w14:paraId="5D5950B0" w14:textId="77777777" w:rsidTr="00FB7A6D">
        <w:trPr>
          <w:trHeight w:val="283"/>
          <w:jc w:val="center"/>
        </w:trPr>
        <w:tc>
          <w:tcPr>
            <w:tcW w:w="247" w:type="pct"/>
            <w:tcBorders>
              <w:top w:val="nil"/>
              <w:left w:val="single" w:sz="4" w:space="0" w:color="auto"/>
              <w:bottom w:val="single" w:sz="4" w:space="0" w:color="auto"/>
              <w:right w:val="single" w:sz="4" w:space="0" w:color="auto"/>
            </w:tcBorders>
            <w:shd w:val="clear" w:color="auto" w:fill="C6EFCE"/>
            <w:noWrap/>
          </w:tcPr>
          <w:p w14:paraId="12429297" w14:textId="77777777" w:rsidR="003A3D51" w:rsidRDefault="0002775A">
            <w:pPr>
              <w:pStyle w:val="P68B1DB1-Normal7"/>
              <w:spacing w:after="0" w:line="276" w:lineRule="auto"/>
              <w:jc w:val="center"/>
              <w:rPr>
                <w:rFonts w:ascii="Times New Roman" w:hAnsi="Times New Roman" w:cs="Times New Roman"/>
                <w:noProof/>
              </w:rPr>
            </w:pPr>
            <w:r>
              <w:rPr>
                <w:noProof/>
              </w:rPr>
              <w:t>172</w:t>
            </w:r>
          </w:p>
        </w:tc>
        <w:tc>
          <w:tcPr>
            <w:tcW w:w="259" w:type="pct"/>
            <w:tcBorders>
              <w:top w:val="nil"/>
              <w:left w:val="nil"/>
              <w:bottom w:val="single" w:sz="4" w:space="0" w:color="auto"/>
              <w:right w:val="single" w:sz="4" w:space="0" w:color="auto"/>
            </w:tcBorders>
            <w:shd w:val="clear" w:color="auto" w:fill="C6EFCE"/>
            <w:noWrap/>
          </w:tcPr>
          <w:p w14:paraId="1EFE60E2" w14:textId="77777777" w:rsidR="003A3D51" w:rsidRDefault="0002775A">
            <w:pPr>
              <w:pStyle w:val="P68B1DB1-Normal7"/>
              <w:spacing w:after="200" w:line="276" w:lineRule="auto"/>
              <w:jc w:val="center"/>
              <w:rPr>
                <w:rFonts w:ascii="Times New Roman" w:hAnsi="Times New Roman" w:cs="Times New Roman"/>
                <w:noProof/>
              </w:rPr>
            </w:pPr>
            <w:r>
              <w:rPr>
                <w:noProof/>
              </w:rPr>
              <w:t>C2.2 R3-I1</w:t>
            </w:r>
          </w:p>
        </w:tc>
        <w:tc>
          <w:tcPr>
            <w:tcW w:w="289" w:type="pct"/>
            <w:tcBorders>
              <w:top w:val="nil"/>
              <w:left w:val="nil"/>
              <w:bottom w:val="single" w:sz="4" w:space="0" w:color="auto"/>
              <w:right w:val="single" w:sz="4" w:space="0" w:color="auto"/>
            </w:tcBorders>
            <w:shd w:val="clear" w:color="auto" w:fill="C6EFCE"/>
            <w:noWrap/>
          </w:tcPr>
          <w:p w14:paraId="1FD7702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nil"/>
              <w:left w:val="nil"/>
              <w:bottom w:val="single" w:sz="4" w:space="0" w:color="auto"/>
              <w:right w:val="single" w:sz="4" w:space="0" w:color="auto"/>
            </w:tcBorders>
            <w:shd w:val="clear" w:color="auto" w:fill="C6EFCE"/>
            <w:noWrap/>
          </w:tcPr>
          <w:p w14:paraId="26F66EE6" w14:textId="77777777" w:rsidR="003A3D51" w:rsidRDefault="0002775A">
            <w:pPr>
              <w:pStyle w:val="P68B1DB1-Normal7"/>
              <w:spacing w:after="200" w:line="276" w:lineRule="auto"/>
              <w:rPr>
                <w:rFonts w:ascii="Times New Roman" w:hAnsi="Times New Roman" w:cs="Times New Roman"/>
                <w:noProof/>
              </w:rPr>
            </w:pPr>
            <w:r>
              <w:rPr>
                <w:noProof/>
              </w:rPr>
              <w:t xml:space="preserve">Inrättande av en uppsättning på 60 offentligt tillgängliga konservatorier för de mest komplexa kulturella och historiska platserna med högt monumentvärde </w:t>
            </w:r>
          </w:p>
        </w:tc>
        <w:tc>
          <w:tcPr>
            <w:tcW w:w="682" w:type="pct"/>
            <w:tcBorders>
              <w:top w:val="nil"/>
              <w:left w:val="nil"/>
              <w:bottom w:val="single" w:sz="4" w:space="0" w:color="auto"/>
              <w:right w:val="single" w:sz="4" w:space="0" w:color="auto"/>
            </w:tcBorders>
            <w:shd w:val="clear" w:color="auto" w:fill="C6EFCE"/>
            <w:noWrap/>
          </w:tcPr>
          <w:p w14:paraId="5709222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57" w:type="pct"/>
            <w:tcBorders>
              <w:top w:val="nil"/>
              <w:left w:val="nil"/>
              <w:bottom w:val="single" w:sz="4" w:space="0" w:color="auto"/>
              <w:right w:val="single" w:sz="4" w:space="0" w:color="auto"/>
            </w:tcBorders>
            <w:shd w:val="clear" w:color="auto" w:fill="C6EFCE"/>
            <w:noWrap/>
          </w:tcPr>
          <w:p w14:paraId="14701FA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2" w:type="pct"/>
            <w:tcBorders>
              <w:top w:val="nil"/>
              <w:left w:val="nil"/>
              <w:bottom w:val="single" w:sz="4" w:space="0" w:color="auto"/>
              <w:right w:val="single" w:sz="4" w:space="0" w:color="auto"/>
            </w:tcBorders>
            <w:shd w:val="clear" w:color="auto" w:fill="C6EFCE"/>
            <w:noWrap/>
          </w:tcPr>
          <w:p w14:paraId="2C7A988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nil"/>
              <w:left w:val="nil"/>
              <w:bottom w:val="single" w:sz="4" w:space="0" w:color="auto"/>
              <w:right w:val="single" w:sz="4" w:space="0" w:color="auto"/>
            </w:tcBorders>
            <w:shd w:val="clear" w:color="auto" w:fill="C6EFCE"/>
            <w:noWrap/>
          </w:tcPr>
          <w:p w14:paraId="7639D3CB" w14:textId="77777777" w:rsidR="003A3D51" w:rsidRDefault="0002775A">
            <w:pPr>
              <w:pStyle w:val="P68B1DB1-Normal7"/>
              <w:spacing w:after="200" w:line="276" w:lineRule="auto"/>
              <w:jc w:val="center"/>
              <w:rPr>
                <w:rFonts w:ascii="Times New Roman" w:hAnsi="Times New Roman" w:cs="Times New Roman"/>
                <w:noProof/>
              </w:rPr>
            </w:pPr>
            <w:r>
              <w:rPr>
                <w:noProof/>
              </w:rPr>
              <w:t>60</w:t>
            </w:r>
          </w:p>
        </w:tc>
        <w:tc>
          <w:tcPr>
            <w:tcW w:w="243" w:type="pct"/>
            <w:tcBorders>
              <w:top w:val="nil"/>
              <w:left w:val="nil"/>
              <w:bottom w:val="single" w:sz="4" w:space="0" w:color="auto"/>
              <w:right w:val="single" w:sz="4" w:space="0" w:color="auto"/>
            </w:tcBorders>
            <w:shd w:val="clear" w:color="auto" w:fill="C6EFCE"/>
            <w:noWrap/>
          </w:tcPr>
          <w:p w14:paraId="237F1CC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nil"/>
              <w:left w:val="nil"/>
              <w:bottom w:val="single" w:sz="4" w:space="0" w:color="auto"/>
              <w:right w:val="single" w:sz="4" w:space="0" w:color="auto"/>
            </w:tcBorders>
            <w:shd w:val="clear" w:color="auto" w:fill="C6EFCE"/>
            <w:noWrap/>
          </w:tcPr>
          <w:p w14:paraId="5E7F5528"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342" w:type="pct"/>
            <w:tcBorders>
              <w:top w:val="nil"/>
              <w:left w:val="nil"/>
              <w:bottom w:val="single" w:sz="4" w:space="0" w:color="auto"/>
              <w:right w:val="single" w:sz="4" w:space="0" w:color="auto"/>
            </w:tcBorders>
            <w:shd w:val="clear" w:color="auto" w:fill="C6EFCE"/>
            <w:noWrap/>
          </w:tcPr>
          <w:p w14:paraId="55F2C416" w14:textId="77777777" w:rsidR="003A3D51" w:rsidRDefault="0002775A">
            <w:pPr>
              <w:pStyle w:val="P68B1DB1-Normal7"/>
              <w:spacing w:after="200" w:line="276" w:lineRule="auto"/>
              <w:rPr>
                <w:rFonts w:ascii="Times New Roman" w:hAnsi="Times New Roman" w:cs="Times New Roman"/>
                <w:noProof/>
              </w:rPr>
            </w:pPr>
            <w:r>
              <w:rPr>
                <w:noProof/>
              </w:rPr>
              <w:t>60 e-bevarandebaser har skapats och offentliggjorts. E-bevarandebasen är en digital expertdokumentation som innehåller en grafisk och textuell del som omfattar identifiering, situationsanalys, tillvaratagande och bevarandeåtgärder för kulturella och historiska värden i ett avgränsat geografiskt område. Dokument om fysisk planering måste, beroende på typ och område, innehålla uppgifter från bevarandebasen, inklusive åtgärder för att skydda fast kulturföremål i området.</w:t>
            </w:r>
            <w:r>
              <w:rPr>
                <w:noProof/>
              </w:rPr>
              <w:br/>
              <w:t>En e-konservativ bas ska utvecklas för var och en av de mest komplexa kulturhistoriska minnesplatserna med högt monument som uppfyller kriterierna om fara och skyndsamhet för slutförande med tanke på den planerade byggverksamheten.</w:t>
            </w:r>
          </w:p>
        </w:tc>
      </w:tr>
      <w:tr w:rsidR="003A3D51" w14:paraId="5C671FC5"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467961D4" w14:textId="77777777" w:rsidR="003A3D51" w:rsidRDefault="0002775A">
            <w:pPr>
              <w:pStyle w:val="P68B1DB1-Normal7"/>
              <w:spacing w:after="200" w:line="276" w:lineRule="auto"/>
              <w:jc w:val="center"/>
              <w:rPr>
                <w:rFonts w:ascii="Times New Roman" w:hAnsi="Times New Roman" w:cs="Times New Roman"/>
                <w:noProof/>
              </w:rPr>
            </w:pPr>
            <w:r>
              <w:rPr>
                <w:noProof/>
              </w:rPr>
              <w:t>173</w:t>
            </w:r>
          </w:p>
        </w:tc>
        <w:tc>
          <w:tcPr>
            <w:tcW w:w="259" w:type="pct"/>
            <w:tcBorders>
              <w:top w:val="single" w:sz="4" w:space="0" w:color="auto"/>
              <w:left w:val="nil"/>
              <w:bottom w:val="single" w:sz="4" w:space="0" w:color="auto"/>
              <w:right w:val="single" w:sz="4" w:space="0" w:color="auto"/>
            </w:tcBorders>
            <w:shd w:val="clear" w:color="auto" w:fill="C6EFCE"/>
            <w:noWrap/>
          </w:tcPr>
          <w:p w14:paraId="39AADF74" w14:textId="77777777" w:rsidR="003A3D51" w:rsidRDefault="0002775A">
            <w:pPr>
              <w:pStyle w:val="P68B1DB1-Normal7"/>
              <w:spacing w:after="200" w:line="276" w:lineRule="auto"/>
              <w:jc w:val="center"/>
              <w:rPr>
                <w:rFonts w:ascii="Times New Roman" w:hAnsi="Times New Roman" w:cs="Times New Roman"/>
                <w:noProof/>
              </w:rPr>
            </w:pPr>
            <w:r>
              <w:rPr>
                <w:noProof/>
              </w:rPr>
              <w:t>C2.2 R3-I2</w:t>
            </w:r>
          </w:p>
        </w:tc>
        <w:tc>
          <w:tcPr>
            <w:tcW w:w="289" w:type="pct"/>
            <w:tcBorders>
              <w:top w:val="single" w:sz="4" w:space="0" w:color="auto"/>
              <w:left w:val="nil"/>
              <w:bottom w:val="single" w:sz="4" w:space="0" w:color="auto"/>
              <w:right w:val="single" w:sz="4" w:space="0" w:color="auto"/>
            </w:tcBorders>
            <w:shd w:val="clear" w:color="auto" w:fill="C6EFCE"/>
            <w:noWrap/>
          </w:tcPr>
          <w:p w14:paraId="6B4B2C05"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67" w:type="pct"/>
            <w:tcBorders>
              <w:top w:val="single" w:sz="4" w:space="0" w:color="auto"/>
              <w:left w:val="nil"/>
              <w:bottom w:val="single" w:sz="4" w:space="0" w:color="auto"/>
              <w:right w:val="single" w:sz="4" w:space="0" w:color="auto"/>
            </w:tcBorders>
            <w:shd w:val="clear" w:color="auto" w:fill="C6EFCE"/>
            <w:noWrap/>
          </w:tcPr>
          <w:p w14:paraId="3DE4B593" w14:textId="77777777" w:rsidR="003A3D51" w:rsidRDefault="0002775A">
            <w:pPr>
              <w:pStyle w:val="P68B1DB1-Normal7"/>
              <w:spacing w:after="200" w:line="276" w:lineRule="auto"/>
              <w:rPr>
                <w:rFonts w:ascii="Times New Roman" w:hAnsi="Times New Roman" w:cs="Times New Roman"/>
                <w:noProof/>
              </w:rPr>
            </w:pPr>
            <w:r>
              <w:rPr>
                <w:noProof/>
              </w:rPr>
              <w:t>600 dokumentskapare använder arkivinformationssystemet</w:t>
            </w:r>
          </w:p>
        </w:tc>
        <w:tc>
          <w:tcPr>
            <w:tcW w:w="682" w:type="pct"/>
            <w:tcBorders>
              <w:top w:val="single" w:sz="4" w:space="0" w:color="auto"/>
              <w:left w:val="nil"/>
              <w:bottom w:val="single" w:sz="4" w:space="0" w:color="auto"/>
              <w:right w:val="single" w:sz="4" w:space="0" w:color="auto"/>
            </w:tcBorders>
            <w:shd w:val="clear" w:color="auto" w:fill="C6EFCE"/>
            <w:noWrap/>
          </w:tcPr>
          <w:p w14:paraId="0A16A8B0"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57" w:type="pct"/>
            <w:tcBorders>
              <w:top w:val="single" w:sz="4" w:space="0" w:color="auto"/>
              <w:left w:val="nil"/>
              <w:bottom w:val="single" w:sz="4" w:space="0" w:color="auto"/>
              <w:right w:val="single" w:sz="4" w:space="0" w:color="auto"/>
            </w:tcBorders>
            <w:shd w:val="clear" w:color="auto" w:fill="C6EFCE"/>
            <w:noWrap/>
          </w:tcPr>
          <w:p w14:paraId="22522B1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2" w:type="pct"/>
            <w:tcBorders>
              <w:top w:val="single" w:sz="4" w:space="0" w:color="auto"/>
              <w:left w:val="nil"/>
              <w:bottom w:val="single" w:sz="4" w:space="0" w:color="auto"/>
              <w:right w:val="single" w:sz="4" w:space="0" w:color="auto"/>
            </w:tcBorders>
            <w:shd w:val="clear" w:color="auto" w:fill="C6EFCE"/>
            <w:noWrap/>
          </w:tcPr>
          <w:p w14:paraId="454B4827"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59" w:type="pct"/>
            <w:tcBorders>
              <w:top w:val="single" w:sz="4" w:space="0" w:color="auto"/>
              <w:left w:val="nil"/>
              <w:bottom w:val="single" w:sz="4" w:space="0" w:color="auto"/>
              <w:right w:val="single" w:sz="4" w:space="0" w:color="auto"/>
            </w:tcBorders>
            <w:shd w:val="clear" w:color="auto" w:fill="C6EFCE"/>
            <w:noWrap/>
          </w:tcPr>
          <w:p w14:paraId="741BC83F" w14:textId="77777777" w:rsidR="003A3D51" w:rsidRDefault="0002775A">
            <w:pPr>
              <w:pStyle w:val="P68B1DB1-Normal7"/>
              <w:spacing w:after="200" w:line="276" w:lineRule="auto"/>
              <w:jc w:val="center"/>
              <w:rPr>
                <w:rFonts w:ascii="Times New Roman" w:hAnsi="Times New Roman" w:cs="Times New Roman"/>
                <w:noProof/>
              </w:rPr>
            </w:pPr>
            <w:r>
              <w:rPr>
                <w:noProof/>
              </w:rPr>
              <w:t>600</w:t>
            </w:r>
          </w:p>
        </w:tc>
        <w:tc>
          <w:tcPr>
            <w:tcW w:w="243" w:type="pct"/>
            <w:tcBorders>
              <w:top w:val="single" w:sz="4" w:space="0" w:color="auto"/>
              <w:left w:val="nil"/>
              <w:bottom w:val="single" w:sz="4" w:space="0" w:color="auto"/>
              <w:right w:val="single" w:sz="4" w:space="0" w:color="auto"/>
            </w:tcBorders>
            <w:shd w:val="clear" w:color="auto" w:fill="C6EFCE"/>
            <w:noWrap/>
          </w:tcPr>
          <w:p w14:paraId="68DE0F0C"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single" w:sz="4" w:space="0" w:color="auto"/>
              <w:left w:val="nil"/>
              <w:bottom w:val="single" w:sz="4" w:space="0" w:color="auto"/>
              <w:right w:val="single" w:sz="4" w:space="0" w:color="auto"/>
            </w:tcBorders>
            <w:shd w:val="clear" w:color="auto" w:fill="C6EFCE"/>
            <w:noWrap/>
          </w:tcPr>
          <w:p w14:paraId="29F42A6F"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342" w:type="pct"/>
            <w:tcBorders>
              <w:top w:val="single" w:sz="4" w:space="0" w:color="auto"/>
              <w:left w:val="nil"/>
              <w:bottom w:val="single" w:sz="4" w:space="0" w:color="auto"/>
              <w:right w:val="single" w:sz="4" w:space="0" w:color="auto"/>
            </w:tcBorders>
            <w:shd w:val="clear" w:color="auto" w:fill="C6EFCE"/>
            <w:noWrap/>
          </w:tcPr>
          <w:p w14:paraId="170CAD75" w14:textId="77777777" w:rsidR="003A3D51" w:rsidRDefault="0002775A">
            <w:pPr>
              <w:pStyle w:val="P68B1DB1-Normal7"/>
              <w:spacing w:after="200" w:line="276" w:lineRule="auto"/>
              <w:rPr>
                <w:rFonts w:ascii="Times New Roman" w:hAnsi="Times New Roman" w:cs="Times New Roman"/>
                <w:noProof/>
              </w:rPr>
            </w:pPr>
            <w:r>
              <w:rPr>
                <w:noProof/>
              </w:rPr>
              <w:t>Minst 600 upphovsmän som använder det nationella informationssystemet för att hantera och lagra dokumentation. Uppgifter om antalet enskilda upphovsmän som har tillgång till systemet ska analyseras och rapporteras av ministeriet.</w:t>
            </w:r>
            <w:r>
              <w:rPr>
                <w:noProof/>
              </w:rPr>
              <w:br/>
              <w:t>Systemet möjliggör ett effektivare tillhandahållande av offentliga förvaltningstjänster med hjälp av genomförda IKT-lösningar som säkerställer interoperabilitet och datadelning, kostnadsminskning, insyn i företagen och skydd av medborgarnas rättigheter.</w:t>
            </w:r>
          </w:p>
        </w:tc>
      </w:tr>
      <w:tr w:rsidR="003A3D51" w14:paraId="79EDDAA7"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7B3AA03B" w14:textId="77777777" w:rsidR="003A3D51" w:rsidRDefault="0002775A">
            <w:pPr>
              <w:pStyle w:val="P68B1DB1-Normal7"/>
              <w:spacing w:after="200" w:line="276" w:lineRule="auto"/>
              <w:jc w:val="center"/>
              <w:rPr>
                <w:rFonts w:ascii="Times New Roman" w:hAnsi="Times New Roman" w:cs="Times New Roman"/>
                <w:noProof/>
              </w:rPr>
            </w:pPr>
            <w:r>
              <w:rPr>
                <w:noProof/>
              </w:rPr>
              <w:t>174</w:t>
            </w:r>
          </w:p>
        </w:tc>
        <w:tc>
          <w:tcPr>
            <w:tcW w:w="259" w:type="pct"/>
            <w:tcBorders>
              <w:top w:val="single" w:sz="4" w:space="0" w:color="auto"/>
              <w:left w:val="nil"/>
              <w:bottom w:val="single" w:sz="4" w:space="0" w:color="auto"/>
              <w:right w:val="single" w:sz="4" w:space="0" w:color="auto"/>
            </w:tcBorders>
            <w:shd w:val="clear" w:color="auto" w:fill="C6EFCE"/>
            <w:noWrap/>
          </w:tcPr>
          <w:p w14:paraId="1321E535" w14:textId="77777777" w:rsidR="003A3D51" w:rsidRDefault="0002775A">
            <w:pPr>
              <w:pStyle w:val="P68B1DB1-Normal7"/>
              <w:spacing w:after="200" w:line="276" w:lineRule="auto"/>
              <w:jc w:val="center"/>
              <w:rPr>
                <w:rFonts w:ascii="Times New Roman" w:hAnsi="Times New Roman" w:cs="Times New Roman"/>
                <w:noProof/>
              </w:rPr>
            </w:pPr>
            <w:r>
              <w:rPr>
                <w:noProof/>
              </w:rPr>
              <w:t>C2.2 R4</w:t>
            </w:r>
          </w:p>
        </w:tc>
        <w:tc>
          <w:tcPr>
            <w:tcW w:w="289" w:type="pct"/>
            <w:tcBorders>
              <w:top w:val="single" w:sz="4" w:space="0" w:color="auto"/>
              <w:left w:val="nil"/>
              <w:bottom w:val="single" w:sz="4" w:space="0" w:color="auto"/>
              <w:right w:val="single" w:sz="4" w:space="0" w:color="auto"/>
            </w:tcBorders>
            <w:shd w:val="clear" w:color="auto" w:fill="C6EFCE"/>
            <w:noWrap/>
          </w:tcPr>
          <w:p w14:paraId="1662D9C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67" w:type="pct"/>
            <w:tcBorders>
              <w:top w:val="single" w:sz="4" w:space="0" w:color="auto"/>
              <w:left w:val="nil"/>
              <w:bottom w:val="single" w:sz="4" w:space="0" w:color="auto"/>
              <w:right w:val="single" w:sz="4" w:space="0" w:color="auto"/>
            </w:tcBorders>
            <w:shd w:val="clear" w:color="auto" w:fill="C6EFCE"/>
            <w:noWrap/>
          </w:tcPr>
          <w:p w14:paraId="6949719F" w14:textId="77777777" w:rsidR="003A3D51" w:rsidRDefault="0002775A">
            <w:pPr>
              <w:pStyle w:val="P68B1DB1-Normal7"/>
              <w:spacing w:after="200" w:line="276" w:lineRule="auto"/>
              <w:rPr>
                <w:rFonts w:ascii="Times New Roman" w:hAnsi="Times New Roman" w:cs="Times New Roman"/>
                <w:noProof/>
              </w:rPr>
            </w:pPr>
            <w:r>
              <w:rPr>
                <w:noProof/>
              </w:rPr>
              <w:t>Ändring av de rättsliga ramarna för att uppmuntra frivillig funktionell eller faktisk sammanslagning av lokala förvaltningsenheter (LGU) och antagande av ett beslut av den kroatiska regeringen om kriterierna för beviljande av skatteincitament för frivilliga funktionella eller faktiska fusioner</w:t>
            </w:r>
          </w:p>
        </w:tc>
        <w:tc>
          <w:tcPr>
            <w:tcW w:w="682" w:type="pct"/>
            <w:tcBorders>
              <w:top w:val="single" w:sz="4" w:space="0" w:color="auto"/>
              <w:left w:val="nil"/>
              <w:bottom w:val="single" w:sz="4" w:space="0" w:color="auto"/>
              <w:right w:val="single" w:sz="4" w:space="0" w:color="auto"/>
            </w:tcBorders>
            <w:shd w:val="clear" w:color="auto" w:fill="C6EFCE"/>
            <w:noWrap/>
          </w:tcPr>
          <w:p w14:paraId="4198C1CB"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den rättsliga ramen  </w:t>
            </w:r>
          </w:p>
        </w:tc>
        <w:tc>
          <w:tcPr>
            <w:tcW w:w="357" w:type="pct"/>
            <w:tcBorders>
              <w:top w:val="single" w:sz="4" w:space="0" w:color="auto"/>
              <w:left w:val="nil"/>
              <w:bottom w:val="single" w:sz="4" w:space="0" w:color="auto"/>
              <w:right w:val="single" w:sz="4" w:space="0" w:color="auto"/>
            </w:tcBorders>
            <w:shd w:val="clear" w:color="auto" w:fill="C6EFCE"/>
            <w:noWrap/>
          </w:tcPr>
          <w:p w14:paraId="1C4F6B3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2" w:type="pct"/>
            <w:tcBorders>
              <w:top w:val="single" w:sz="4" w:space="0" w:color="auto"/>
              <w:left w:val="nil"/>
              <w:bottom w:val="single" w:sz="4" w:space="0" w:color="auto"/>
              <w:right w:val="single" w:sz="4" w:space="0" w:color="auto"/>
            </w:tcBorders>
            <w:shd w:val="clear" w:color="auto" w:fill="C6EFCE"/>
            <w:noWrap/>
          </w:tcPr>
          <w:p w14:paraId="2DD0774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9" w:type="pct"/>
            <w:tcBorders>
              <w:top w:val="single" w:sz="4" w:space="0" w:color="auto"/>
              <w:left w:val="nil"/>
              <w:bottom w:val="single" w:sz="4" w:space="0" w:color="auto"/>
              <w:right w:val="single" w:sz="4" w:space="0" w:color="auto"/>
            </w:tcBorders>
            <w:shd w:val="clear" w:color="auto" w:fill="C6EFCE"/>
            <w:noWrap/>
          </w:tcPr>
          <w:p w14:paraId="317D441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3" w:type="pct"/>
            <w:tcBorders>
              <w:top w:val="single" w:sz="4" w:space="0" w:color="auto"/>
              <w:left w:val="nil"/>
              <w:bottom w:val="single" w:sz="4" w:space="0" w:color="auto"/>
              <w:right w:val="single" w:sz="4" w:space="0" w:color="auto"/>
            </w:tcBorders>
            <w:shd w:val="clear" w:color="auto" w:fill="C6EFCE"/>
            <w:noWrap/>
          </w:tcPr>
          <w:p w14:paraId="2DA95FD9"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303" w:type="pct"/>
            <w:tcBorders>
              <w:top w:val="single" w:sz="4" w:space="0" w:color="auto"/>
              <w:left w:val="nil"/>
              <w:bottom w:val="single" w:sz="4" w:space="0" w:color="auto"/>
              <w:right w:val="single" w:sz="4" w:space="0" w:color="auto"/>
            </w:tcBorders>
            <w:shd w:val="clear" w:color="auto" w:fill="C6EFCE"/>
            <w:noWrap/>
          </w:tcPr>
          <w:p w14:paraId="55CEE498"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342" w:type="pct"/>
            <w:tcBorders>
              <w:top w:val="single" w:sz="4" w:space="0" w:color="auto"/>
              <w:left w:val="nil"/>
              <w:bottom w:val="single" w:sz="4" w:space="0" w:color="auto"/>
              <w:right w:val="single" w:sz="4" w:space="0" w:color="auto"/>
            </w:tcBorders>
            <w:shd w:val="clear" w:color="auto" w:fill="C6EFCE"/>
            <w:noWrap/>
          </w:tcPr>
          <w:p w14:paraId="7D24701C" w14:textId="77777777" w:rsidR="003A3D51" w:rsidRDefault="0002775A">
            <w:pPr>
              <w:pStyle w:val="P68B1DB1-Normal7"/>
              <w:spacing w:after="200" w:line="276" w:lineRule="auto"/>
              <w:rPr>
                <w:rFonts w:ascii="Times New Roman" w:hAnsi="Times New Roman" w:cs="Times New Roman"/>
                <w:noProof/>
              </w:rPr>
            </w:pPr>
            <w:r>
              <w:rPr>
                <w:noProof/>
              </w:rPr>
              <w:t>Den ändrade rättsliga ramen och mekanismen för finansiellt stöd ska uppmuntra en funktionell och effektiv sammanslagning av lokala förvaltningsenheter, samtidigt som tillräckliga resurser i statsbudgeten säkerställs för att ekonomiskt uppmuntra till en faktisk sammanslagning av minst 20 % av LGU, dvs. minst 40 % av LGU under perioden fram till 2026. I samband med detta ska de funktionellt sammanslagna LGU behålla samma budgetmedel som är tillgängliga för dem före sammanslagningen, under en period på minst två år, ska incitamenten också täcka engångskostnader för blandfinansiering och tillhandahålla ytterligare resurser på grundval av de besparingar som uppnåtts under de kommande fem åren. Dessutom ska incitament för verkliga sammanslagningar av LGU omfatta kapitalöverföringar av engångskaraktär under fem år som ska användas av LGU för infrastrukturprojekt. Den kroatiska regeringens beslut ska fastställa kriterierna och nivån på incitamenten, med större skatteincitament för faktiska fusioner, medan incitamenten för funktionella fusioner beror på antalet och typen av funktioner som planeras för fusionen. Efter antagandet av beslutet av Republiken Kroatiens regering ska en offentlig inbjudan till LGU att anmäla intresse för den frivilliga funktionella eller faktiska sammanslagningen offentliggöras i den officiella tidningen.</w:t>
            </w:r>
          </w:p>
        </w:tc>
      </w:tr>
      <w:tr w:rsidR="003A3D51" w14:paraId="00216505" w14:textId="77777777" w:rsidTr="00FB7A6D">
        <w:trPr>
          <w:trHeight w:val="283"/>
          <w:jc w:val="center"/>
        </w:trPr>
        <w:tc>
          <w:tcPr>
            <w:tcW w:w="247" w:type="pct"/>
            <w:tcBorders>
              <w:top w:val="single" w:sz="4" w:space="0" w:color="auto"/>
              <w:left w:val="single" w:sz="4" w:space="0" w:color="auto"/>
              <w:bottom w:val="single" w:sz="4" w:space="0" w:color="auto"/>
              <w:right w:val="single" w:sz="4" w:space="0" w:color="auto"/>
            </w:tcBorders>
            <w:shd w:val="clear" w:color="auto" w:fill="C6EFCE"/>
            <w:noWrap/>
          </w:tcPr>
          <w:p w14:paraId="34EA3BDE" w14:textId="77777777" w:rsidR="003A3D51" w:rsidRDefault="0002775A">
            <w:pPr>
              <w:pStyle w:val="P68B1DB1-Normal7"/>
              <w:spacing w:after="200" w:line="276" w:lineRule="auto"/>
              <w:jc w:val="center"/>
              <w:rPr>
                <w:rFonts w:ascii="Times New Roman" w:hAnsi="Times New Roman" w:cs="Times New Roman"/>
                <w:noProof/>
              </w:rPr>
            </w:pPr>
            <w:r>
              <w:rPr>
                <w:noProof/>
              </w:rPr>
              <w:t>175</w:t>
            </w:r>
          </w:p>
        </w:tc>
        <w:tc>
          <w:tcPr>
            <w:tcW w:w="259" w:type="pct"/>
            <w:tcBorders>
              <w:top w:val="single" w:sz="4" w:space="0" w:color="auto"/>
              <w:left w:val="nil"/>
              <w:bottom w:val="single" w:sz="4" w:space="0" w:color="auto"/>
              <w:right w:val="single" w:sz="4" w:space="0" w:color="auto"/>
            </w:tcBorders>
            <w:shd w:val="clear" w:color="auto" w:fill="C6EFCE"/>
            <w:noWrap/>
          </w:tcPr>
          <w:p w14:paraId="19078F97" w14:textId="77777777" w:rsidR="003A3D51" w:rsidRDefault="0002775A">
            <w:pPr>
              <w:pStyle w:val="P68B1DB1-Normal7"/>
              <w:spacing w:after="200" w:line="276" w:lineRule="auto"/>
              <w:jc w:val="center"/>
              <w:rPr>
                <w:rFonts w:ascii="Times New Roman" w:hAnsi="Times New Roman" w:cs="Times New Roman"/>
                <w:noProof/>
              </w:rPr>
            </w:pPr>
            <w:r>
              <w:rPr>
                <w:noProof/>
              </w:rPr>
              <w:t>C2.2 R4-I1</w:t>
            </w:r>
          </w:p>
        </w:tc>
        <w:tc>
          <w:tcPr>
            <w:tcW w:w="289" w:type="pct"/>
            <w:tcBorders>
              <w:top w:val="single" w:sz="4" w:space="0" w:color="auto"/>
              <w:left w:val="nil"/>
              <w:bottom w:val="single" w:sz="4" w:space="0" w:color="auto"/>
              <w:right w:val="single" w:sz="4" w:space="0" w:color="auto"/>
            </w:tcBorders>
            <w:shd w:val="clear" w:color="auto" w:fill="C6EFCE"/>
            <w:noWrap/>
          </w:tcPr>
          <w:p w14:paraId="521C427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67" w:type="pct"/>
            <w:tcBorders>
              <w:top w:val="single" w:sz="4" w:space="0" w:color="auto"/>
              <w:left w:val="nil"/>
              <w:bottom w:val="single" w:sz="4" w:space="0" w:color="auto"/>
              <w:right w:val="single" w:sz="4" w:space="0" w:color="auto"/>
            </w:tcBorders>
            <w:shd w:val="clear" w:color="auto" w:fill="C6EFCE"/>
            <w:noWrap/>
          </w:tcPr>
          <w:p w14:paraId="212E81F6" w14:textId="77777777" w:rsidR="003A3D51" w:rsidRDefault="0002775A">
            <w:pPr>
              <w:pStyle w:val="P68B1DB1-Normal7"/>
              <w:spacing w:after="200" w:line="276" w:lineRule="auto"/>
              <w:rPr>
                <w:rFonts w:ascii="Times New Roman" w:hAnsi="Times New Roman" w:cs="Times New Roman"/>
                <w:noProof/>
              </w:rPr>
            </w:pPr>
            <w:r>
              <w:rPr>
                <w:noProof/>
              </w:rPr>
              <w:t>Stödmekanism för frivilliga funktionella och verkliga anslutningar och inrättande av ett komplett stödsystem för funktionell och effektiv koppling av enheter.</w:t>
            </w:r>
          </w:p>
        </w:tc>
        <w:tc>
          <w:tcPr>
            <w:tcW w:w="682" w:type="pct"/>
            <w:tcBorders>
              <w:top w:val="single" w:sz="4" w:space="0" w:color="auto"/>
              <w:left w:val="nil"/>
              <w:bottom w:val="single" w:sz="4" w:space="0" w:color="auto"/>
              <w:right w:val="single" w:sz="4" w:space="0" w:color="auto"/>
            </w:tcBorders>
            <w:shd w:val="clear" w:color="auto" w:fill="C6EFCE"/>
            <w:noWrap/>
          </w:tcPr>
          <w:p w14:paraId="103C6CB9" w14:textId="77777777" w:rsidR="003A3D51" w:rsidRDefault="0002775A">
            <w:pPr>
              <w:pStyle w:val="P68B1DB1-Normal7"/>
              <w:spacing w:after="200" w:line="276" w:lineRule="auto"/>
              <w:rPr>
                <w:rFonts w:ascii="Times New Roman" w:hAnsi="Times New Roman" w:cs="Times New Roman"/>
                <w:noProof/>
              </w:rPr>
            </w:pPr>
            <w:r>
              <w:rPr>
                <w:noProof/>
              </w:rPr>
              <w:t xml:space="preserve">Det finns en omfattande stödmekanism för funktionella/faktiska sammanslagningar av lokala förvaltningsenheter. </w:t>
            </w:r>
          </w:p>
        </w:tc>
        <w:tc>
          <w:tcPr>
            <w:tcW w:w="357" w:type="pct"/>
            <w:tcBorders>
              <w:top w:val="single" w:sz="4" w:space="0" w:color="auto"/>
              <w:left w:val="nil"/>
              <w:bottom w:val="single" w:sz="4" w:space="0" w:color="auto"/>
              <w:right w:val="single" w:sz="4" w:space="0" w:color="auto"/>
            </w:tcBorders>
            <w:shd w:val="clear" w:color="auto" w:fill="C6EFCE"/>
            <w:noWrap/>
          </w:tcPr>
          <w:p w14:paraId="7923AB1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2" w:type="pct"/>
            <w:tcBorders>
              <w:top w:val="single" w:sz="4" w:space="0" w:color="auto"/>
              <w:left w:val="nil"/>
              <w:bottom w:val="single" w:sz="4" w:space="0" w:color="auto"/>
              <w:right w:val="single" w:sz="4" w:space="0" w:color="auto"/>
            </w:tcBorders>
            <w:shd w:val="clear" w:color="auto" w:fill="C6EFCE"/>
            <w:noWrap/>
          </w:tcPr>
          <w:p w14:paraId="68670F1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9" w:type="pct"/>
            <w:tcBorders>
              <w:top w:val="single" w:sz="4" w:space="0" w:color="auto"/>
              <w:left w:val="nil"/>
              <w:bottom w:val="single" w:sz="4" w:space="0" w:color="auto"/>
              <w:right w:val="single" w:sz="4" w:space="0" w:color="auto"/>
            </w:tcBorders>
            <w:shd w:val="clear" w:color="auto" w:fill="C6EFCE"/>
            <w:noWrap/>
          </w:tcPr>
          <w:p w14:paraId="54BB6DE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3" w:type="pct"/>
            <w:tcBorders>
              <w:top w:val="single" w:sz="4" w:space="0" w:color="auto"/>
              <w:left w:val="nil"/>
              <w:bottom w:val="single" w:sz="4" w:space="0" w:color="auto"/>
              <w:right w:val="single" w:sz="4" w:space="0" w:color="auto"/>
            </w:tcBorders>
            <w:shd w:val="clear" w:color="auto" w:fill="C6EFCE"/>
            <w:noWrap/>
          </w:tcPr>
          <w:p w14:paraId="35750540"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303" w:type="pct"/>
            <w:tcBorders>
              <w:top w:val="single" w:sz="4" w:space="0" w:color="auto"/>
              <w:left w:val="nil"/>
              <w:bottom w:val="single" w:sz="4" w:space="0" w:color="auto"/>
              <w:right w:val="single" w:sz="4" w:space="0" w:color="auto"/>
            </w:tcBorders>
            <w:shd w:val="clear" w:color="auto" w:fill="C6EFCE"/>
            <w:noWrap/>
          </w:tcPr>
          <w:p w14:paraId="65572E28"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342" w:type="pct"/>
            <w:tcBorders>
              <w:top w:val="single" w:sz="4" w:space="0" w:color="auto"/>
              <w:left w:val="nil"/>
              <w:bottom w:val="single" w:sz="4" w:space="0" w:color="auto"/>
              <w:right w:val="single" w:sz="4" w:space="0" w:color="auto"/>
            </w:tcBorders>
            <w:shd w:val="clear" w:color="auto" w:fill="C6EFCE"/>
            <w:noWrap/>
          </w:tcPr>
          <w:p w14:paraId="5C92A06D" w14:textId="77777777" w:rsidR="003A3D51" w:rsidRDefault="0002775A">
            <w:pPr>
              <w:pStyle w:val="P68B1DB1-Normal7"/>
              <w:spacing w:after="200" w:line="276" w:lineRule="auto"/>
              <w:rPr>
                <w:rFonts w:ascii="Times New Roman" w:hAnsi="Times New Roman" w:cs="Times New Roman"/>
                <w:noProof/>
              </w:rPr>
            </w:pPr>
            <w:r>
              <w:rPr>
                <w:noProof/>
              </w:rPr>
              <w:t>Stöd till den fortsatta processen för optimering av funktionellt arbete inom de lokala enheternas ansvarsområde har slutförts och följande uppgifter och stödåtgärder har genomförts:</w:t>
            </w:r>
            <w:r>
              <w:rPr>
                <w:noProof/>
              </w:rPr>
              <w:br/>
              <w:t>— (själv-) bedömning av enheternas kapacitet att utföra de uppgifter som omfattas av deras tillämpningsområde och visa på behovet av och intresset för ett gemensamt utförande av uppgifterna, dvs. den faktiska sammanslagningen, i alla lokala förvaltningsenheter.</w:t>
            </w:r>
            <w:r>
              <w:rPr>
                <w:noProof/>
              </w:rPr>
              <w:br/>
              <w:t xml:space="preserve">— Identifiering av verksamhet som lämpar sig för gemensam prestanda mellan enskilda enheter </w:t>
            </w:r>
            <w:r>
              <w:rPr>
                <w:noProof/>
              </w:rPr>
              <w:br/>
              <w:t xml:space="preserve">— Genomförande av ett it-stödsystem för att funktionellt koppla samman de lokala myndigheternas uppgifter </w:t>
            </w:r>
            <w:r>
              <w:rPr>
                <w:noProof/>
              </w:rPr>
              <w:br/>
              <w:t>— Utbildning av 50 tjänstemän inom den statliga förvaltningen för att stödja lokala förvaltningsenheter när det gäller funktionella förbindelser och faktiska sammanslagningar slutförs.</w:t>
            </w:r>
            <w:r>
              <w:rPr>
                <w:noProof/>
              </w:rPr>
              <w:br/>
              <w:t>— Utbildning av 100 tjänstemän vid lokala förvaltningsenheter för att utföra gemensamma uppgifter som en del av en funktionell koppling slutförs.</w:t>
            </w:r>
          </w:p>
        </w:tc>
      </w:tr>
    </w:tbl>
    <w:p w14:paraId="1C2D281E" w14:textId="77777777" w:rsidR="003A3D51" w:rsidRDefault="003A3D51">
      <w:pPr>
        <w:rPr>
          <w:noProof/>
        </w:rPr>
        <w:sectPr w:rsidR="003A3D51" w:rsidSect="0001477B">
          <w:headerReference w:type="even" r:id="rId156"/>
          <w:headerReference w:type="default" r:id="rId157"/>
          <w:footerReference w:type="even" r:id="rId158"/>
          <w:footerReference w:type="default" r:id="rId159"/>
          <w:headerReference w:type="first" r:id="rId160"/>
          <w:footerReference w:type="first" r:id="rId161"/>
          <w:pgSz w:w="15840" w:h="12240" w:orient="landscape"/>
          <w:pgMar w:top="1440" w:right="1440" w:bottom="1440" w:left="1440" w:header="708" w:footer="708" w:gutter="0"/>
          <w:cols w:space="708"/>
          <w:docGrid w:linePitch="360"/>
        </w:sectPr>
      </w:pPr>
    </w:p>
    <w:p w14:paraId="0B68BC54" w14:textId="77777777" w:rsidR="003A3D51" w:rsidRDefault="0002775A">
      <w:pPr>
        <w:pStyle w:val="paragraph"/>
        <w:spacing w:before="0" w:beforeAutospacing="0" w:after="0" w:afterAutospacing="0"/>
        <w:ind w:left="840"/>
        <w:jc w:val="both"/>
        <w:textAlignment w:val="baseline"/>
        <w:rPr>
          <w:rStyle w:val="eop"/>
          <w:noProof/>
        </w:rPr>
      </w:pPr>
      <w:r>
        <w:rPr>
          <w:rStyle w:val="normaltextrun"/>
          <w:b/>
          <w:noProof/>
        </w:rPr>
        <w:t xml:space="preserve">H.3. </w:t>
      </w:r>
      <w:r>
        <w:rPr>
          <w:noProof/>
        </w:rPr>
        <w:tab/>
      </w:r>
      <w:r>
        <w:rPr>
          <w:rStyle w:val="normaltextrun"/>
          <w:b/>
          <w:noProof/>
        </w:rPr>
        <w:t xml:space="preserve">Beskrivning av reformerna och investeringarna för lånet </w:t>
      </w:r>
      <w:r>
        <w:rPr>
          <w:rStyle w:val="eop"/>
          <w:noProof/>
        </w:rPr>
        <w:t xml:space="preserve"> </w:t>
      </w:r>
    </w:p>
    <w:p w14:paraId="4C0D9192"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3F966A93" w14:textId="0ABB112E" w:rsidR="003A3D51" w:rsidRDefault="0002775A">
      <w:pPr>
        <w:pStyle w:val="P68B1DB1-Normal18"/>
        <w:keepNext/>
        <w:spacing w:before="120" w:after="120" w:line="240" w:lineRule="auto"/>
        <w:ind w:left="851"/>
        <w:jc w:val="both"/>
        <w:outlineLvl w:val="2"/>
        <w:rPr>
          <w:i/>
          <w:noProof/>
        </w:rPr>
      </w:pPr>
      <w:r>
        <w:rPr>
          <w:noProof/>
        </w:rPr>
        <w:t xml:space="preserve">Reform C2.2. R5 – Nya löne- och arbetsmodeller inom offentlig förvaltning – höjd ambitionsnivå för reformen genom att fastställa ytterligare särskilda krav på innehållet i stadgarna  </w:t>
      </w:r>
    </w:p>
    <w:p w14:paraId="08836FC2" w14:textId="36A894DA" w:rsidR="003A3D51" w:rsidRDefault="0002775A">
      <w:pPr>
        <w:pStyle w:val="P68B1DB1-Normal43"/>
        <w:spacing w:before="120"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Denna reform syftar till att höja ambitionsnivån i genomförandet av reform R2 </w:t>
      </w:r>
      <w:r>
        <w:rPr>
          <w:rFonts w:ascii="Times New Roman" w:eastAsia="SimSun" w:hAnsi="Times New Roman" w:cs="Times New Roman"/>
          <w:noProof/>
          <w:u w:val="single"/>
        </w:rPr>
        <w:t xml:space="preserve">Nya löne- och arbetsmodeller inom offentlig förvaltning och offentlig förvaltning genom att lägga till särskilda krav på innehållet i de förordningar som åtföljer lagen </w:t>
      </w:r>
      <w:r>
        <w:rPr>
          <w:rFonts w:ascii="Times New Roman" w:eastAsia="Calibri" w:hAnsi="Times New Roman" w:cs="Times New Roman"/>
          <w:noProof/>
        </w:rPr>
        <w:t>om löner inom offentlig och offentlig förvaltning som antagits inom ramen för R2.</w:t>
      </w:r>
    </w:p>
    <w:p w14:paraId="35631D99" w14:textId="6C4BA5DB" w:rsidR="003A3D51" w:rsidRDefault="0002775A">
      <w:pPr>
        <w:pStyle w:val="P68B1DB1-Normal3"/>
        <w:spacing w:before="120" w:after="120" w:line="240" w:lineRule="auto"/>
        <w:jc w:val="both"/>
        <w:rPr>
          <w:noProof/>
        </w:rPr>
      </w:pPr>
      <w:r>
        <w:rPr>
          <w:noProof/>
        </w:rPr>
        <w:t xml:space="preserve">I regeringsdekret till stöd för lagen om löner inom civil- och offentliganställda fastställs i detalj intervallen för koefficienter och löneklasser inom den enhetliga löneskalan för statliga organ och offentliga tjänster.  </w:t>
      </w:r>
    </w:p>
    <w:p w14:paraId="3673524C" w14:textId="77777777" w:rsidR="003A3D51" w:rsidRDefault="0002775A">
      <w:pPr>
        <w:pStyle w:val="P68B1DB1-Normal3"/>
        <w:spacing w:before="120" w:after="120" w:line="240" w:lineRule="auto"/>
        <w:jc w:val="both"/>
        <w:rPr>
          <w:noProof/>
        </w:rPr>
      </w:pPr>
      <w:r>
        <w:rPr>
          <w:noProof/>
        </w:rPr>
        <w:t xml:space="preserve">Dessutom ska det i en regeringsförordning fastställas tjänstetitlar, villkor för placering på en viss tjänst, klassificering av tjänster, berörd lönegrad och löneberäkningskoefficienter inom den lönegraden. </w:t>
      </w:r>
    </w:p>
    <w:p w14:paraId="0128EDAD" w14:textId="75599813" w:rsidR="003A3D51" w:rsidRDefault="0002775A">
      <w:pPr>
        <w:pStyle w:val="P68B1DB1-Normal3"/>
        <w:spacing w:before="120" w:after="120" w:line="240" w:lineRule="auto"/>
        <w:jc w:val="both"/>
        <w:rPr>
          <w:noProof/>
        </w:rPr>
      </w:pPr>
      <w:r>
        <w:rPr>
          <w:noProof/>
        </w:rPr>
        <w:t xml:space="preserve">Löneberäkningskoefficienterna ska fastställas på grundval av en arbetsutvärdering, med beaktande av de standardkriterier för arbetsutvärdering och arbetsindelning som fastställs i lagen om löner inom den offentliga och offentliga förvaltningen (såsom komplexitet i arbetet, erforderlig yrkeserfarenhet, självständighet i arbetet och krav på ytterligare kompetens och licenser). Det sätt på vilket standardkriterierna ska tillämpas vid arbetsutvärdering och arbetsindelning kommer att fastställas i regeringsförordningar. </w:t>
      </w:r>
    </w:p>
    <w:p w14:paraId="1A32C4F1" w14:textId="7EB3A0E3" w:rsidR="003A3D51" w:rsidRDefault="0002775A">
      <w:pPr>
        <w:pStyle w:val="P68B1DB1-Normal3"/>
        <w:spacing w:before="120" w:after="120" w:line="240" w:lineRule="auto"/>
        <w:jc w:val="both"/>
        <w:rPr>
          <w:noProof/>
        </w:rPr>
      </w:pPr>
      <w:r>
        <w:rPr>
          <w:noProof/>
        </w:rPr>
        <w:t xml:space="preserve">Riktmärkning av arbetstillfällen syftar till att säkerställa genomförandet av principen om lika lön för lika eller likvärdigt arbete genom att tillämpa enhetliga standardriktmärken och undanröja praxis att arbeten med samma eller liknande arbeten, men inom olika statliga organ eller offentliga tjänster, får olika lön. </w:t>
      </w:r>
    </w:p>
    <w:p w14:paraId="28BA02C8" w14:textId="49EA3904" w:rsidR="003A3D51" w:rsidRDefault="0002775A">
      <w:pPr>
        <w:pStyle w:val="P68B1DB1-Normal3"/>
        <w:spacing w:before="120" w:after="120" w:line="240" w:lineRule="auto"/>
        <w:jc w:val="both"/>
        <w:rPr>
          <w:noProof/>
        </w:rPr>
      </w:pPr>
      <w:r>
        <w:rPr>
          <w:noProof/>
        </w:rPr>
        <w:t xml:space="preserve">Slutligen syftar stadgarna till att säkerställa att samma lönegrad klassificeras som tjänster med samma eller nära samma värde i fråga om arbetets komplexitet, ansvar, självständighet och andra standardkriterier.  </w:t>
      </w:r>
    </w:p>
    <w:p w14:paraId="03097E9A" w14:textId="77777777" w:rsidR="003A3D51" w:rsidRDefault="0002775A">
      <w:pPr>
        <w:pStyle w:val="P68B1DB1-Normal3"/>
        <w:spacing w:before="120" w:after="120" w:line="240" w:lineRule="auto"/>
        <w:jc w:val="both"/>
        <w:rPr>
          <w:noProof/>
        </w:rPr>
      </w:pPr>
      <w:r>
        <w:rPr>
          <w:noProof/>
        </w:rPr>
        <w:t>Åtgärden ska vara slutförd senast den 30 juni 2024.</w:t>
      </w:r>
    </w:p>
    <w:p w14:paraId="1E4A7DCD" w14:textId="77777777" w:rsidR="003A3D51" w:rsidRDefault="003A3D51">
      <w:pPr>
        <w:spacing w:before="120" w:after="120" w:line="240" w:lineRule="auto"/>
        <w:jc w:val="both"/>
        <w:rPr>
          <w:rFonts w:ascii="Times New Roman" w:eastAsia="Calibri" w:hAnsi="Times New Roman" w:cs="Times New Roman"/>
          <w:noProof/>
          <w:sz w:val="24"/>
        </w:rPr>
      </w:pPr>
    </w:p>
    <w:p w14:paraId="2AC8E4E0"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78012B78" w14:textId="77777777" w:rsidR="003A3D51" w:rsidRDefault="003A3D51">
      <w:pPr>
        <w:pStyle w:val="paragraph"/>
        <w:spacing w:before="0" w:beforeAutospacing="0" w:after="0" w:afterAutospacing="0"/>
        <w:ind w:left="840"/>
        <w:jc w:val="both"/>
        <w:textAlignment w:val="baseline"/>
        <w:rPr>
          <w:rStyle w:val="normaltextrun"/>
          <w:b/>
          <w:noProof/>
        </w:rPr>
        <w:sectPr w:rsidR="003A3D51" w:rsidSect="0001477B">
          <w:headerReference w:type="even" r:id="rId162"/>
          <w:headerReference w:type="default" r:id="rId163"/>
          <w:footerReference w:type="even" r:id="rId164"/>
          <w:footerReference w:type="default" r:id="rId165"/>
          <w:headerReference w:type="first" r:id="rId166"/>
          <w:footerReference w:type="first" r:id="rId167"/>
          <w:pgSz w:w="12240" w:h="15840"/>
          <w:pgMar w:top="1440" w:right="1440" w:bottom="1440" w:left="1440" w:header="708" w:footer="708" w:gutter="0"/>
          <w:cols w:space="708"/>
          <w:docGrid w:linePitch="360"/>
        </w:sectPr>
      </w:pPr>
    </w:p>
    <w:p w14:paraId="5FED84BA"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H.4.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3609CBFB" w14:textId="0FE763E6"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i/>
          <w:noProof/>
          <w:color w:val="4F81BD"/>
        </w:rPr>
        <w:t>. </w:t>
      </w:r>
      <w:r>
        <w:rPr>
          <w:rStyle w:val="eop"/>
          <w:noProof/>
          <w:color w:val="4F81BD"/>
        </w:rPr>
        <w:t> </w:t>
      </w:r>
    </w:p>
    <w:tbl>
      <w:tblPr>
        <w:tblW w:w="15373" w:type="dxa"/>
        <w:jc w:val="center"/>
        <w:tblCellMar>
          <w:top w:w="28" w:type="dxa"/>
          <w:left w:w="28" w:type="dxa"/>
          <w:bottom w:w="28" w:type="dxa"/>
          <w:right w:w="28" w:type="dxa"/>
        </w:tblCellMar>
        <w:tblLook w:val="04A0" w:firstRow="1" w:lastRow="0" w:firstColumn="1" w:lastColumn="0" w:noHBand="0" w:noVBand="1"/>
      </w:tblPr>
      <w:tblGrid>
        <w:gridCol w:w="778"/>
        <w:gridCol w:w="1034"/>
        <w:gridCol w:w="946"/>
        <w:gridCol w:w="1984"/>
        <w:gridCol w:w="12"/>
        <w:gridCol w:w="2256"/>
        <w:gridCol w:w="851"/>
        <w:gridCol w:w="897"/>
        <w:gridCol w:w="851"/>
        <w:gridCol w:w="795"/>
        <w:gridCol w:w="850"/>
        <w:gridCol w:w="4385"/>
      </w:tblGrid>
      <w:tr w:rsidR="003A3D51" w14:paraId="5FF7DB64" w14:textId="77777777">
        <w:trPr>
          <w:trHeight w:val="693"/>
          <w:tblHeader/>
          <w:jc w:val="center"/>
        </w:trPr>
        <w:tc>
          <w:tcPr>
            <w:tcW w:w="7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0E3320D" w14:textId="77777777" w:rsidR="003A3D51" w:rsidRDefault="0002775A">
            <w:pPr>
              <w:pStyle w:val="P68B1DB1-Normal6"/>
              <w:spacing w:after="0" w:line="276" w:lineRule="auto"/>
              <w:jc w:val="center"/>
              <w:rPr>
                <w:noProof/>
              </w:rPr>
            </w:pPr>
            <w:r>
              <w:rPr>
                <w:noProof/>
              </w:rPr>
              <w:t>Antal</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03FCB5" w14:textId="77777777" w:rsidR="003A3D51" w:rsidRDefault="0002775A">
            <w:pPr>
              <w:pStyle w:val="P68B1DB1-Normal6"/>
              <w:spacing w:after="0" w:line="276" w:lineRule="auto"/>
              <w:jc w:val="center"/>
              <w:rPr>
                <w:noProof/>
              </w:rPr>
            </w:pPr>
            <w:r>
              <w:rPr>
                <w:noProof/>
              </w:rPr>
              <w:t>Åtgärd</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027962" w14:textId="77777777" w:rsidR="003A3D51" w:rsidRDefault="0002775A">
            <w:pPr>
              <w:pStyle w:val="P68B1DB1-Normal6"/>
              <w:spacing w:after="0" w:line="276" w:lineRule="auto"/>
              <w:jc w:val="center"/>
              <w:rPr>
                <w:noProof/>
              </w:rPr>
            </w:pPr>
            <w:r>
              <w:rPr>
                <w:noProof/>
              </w:rPr>
              <w:t>Delmål/mål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F75EF8" w14:textId="77777777" w:rsidR="003A3D51" w:rsidRDefault="0002775A">
            <w:pPr>
              <w:pStyle w:val="P68B1DB1-Normal6"/>
              <w:spacing w:after="0" w:line="276" w:lineRule="auto"/>
              <w:jc w:val="center"/>
              <w:rPr>
                <w:noProof/>
              </w:rPr>
            </w:pPr>
            <w:r>
              <w:rPr>
                <w:noProof/>
              </w:rPr>
              <w:t>Namn</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9033D0A"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2599"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C4986AB"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1417" w:type="dxa"/>
            <w:gridSpan w:val="2"/>
            <w:tcBorders>
              <w:top w:val="single" w:sz="4" w:space="0" w:color="auto"/>
              <w:left w:val="nil"/>
              <w:bottom w:val="single" w:sz="4" w:space="0" w:color="auto"/>
              <w:right w:val="single" w:sz="4" w:space="0" w:color="auto"/>
            </w:tcBorders>
            <w:shd w:val="clear" w:color="auto" w:fill="BDD7EE"/>
            <w:vAlign w:val="center"/>
            <w:hideMark/>
          </w:tcPr>
          <w:p w14:paraId="6BC02662" w14:textId="77777777" w:rsidR="003A3D51" w:rsidRDefault="0002775A">
            <w:pPr>
              <w:pStyle w:val="P68B1DB1-Normal6"/>
              <w:spacing w:after="0" w:line="276" w:lineRule="auto"/>
              <w:jc w:val="center"/>
              <w:rPr>
                <w:noProof/>
              </w:rPr>
            </w:pPr>
            <w:r>
              <w:rPr>
                <w:noProof/>
              </w:rPr>
              <w:t>Tid</w:t>
            </w:r>
          </w:p>
        </w:tc>
        <w:tc>
          <w:tcPr>
            <w:tcW w:w="43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8D7CC1" w14:textId="77777777" w:rsidR="003A3D51" w:rsidRDefault="0002775A">
            <w:pPr>
              <w:pStyle w:val="P68B1DB1-Normal6"/>
              <w:spacing w:after="0" w:line="276" w:lineRule="auto"/>
              <w:jc w:val="center"/>
              <w:rPr>
                <w:noProof/>
              </w:rPr>
            </w:pPr>
            <w:r>
              <w:rPr>
                <w:noProof/>
              </w:rPr>
              <w:t>Beskrivning av varje delmål och mål</w:t>
            </w:r>
          </w:p>
        </w:tc>
      </w:tr>
      <w:tr w:rsidR="003A3D51" w14:paraId="69BD2218" w14:textId="77777777">
        <w:trPr>
          <w:trHeight w:val="55"/>
          <w:tblHeader/>
          <w:jc w:val="center"/>
        </w:trPr>
        <w:tc>
          <w:tcPr>
            <w:tcW w:w="778" w:type="dxa"/>
            <w:vMerge/>
            <w:tcBorders>
              <w:top w:val="single" w:sz="4" w:space="0" w:color="auto"/>
              <w:left w:val="single" w:sz="4" w:space="0" w:color="auto"/>
              <w:bottom w:val="single" w:sz="4" w:space="0" w:color="auto"/>
              <w:right w:val="single" w:sz="4" w:space="0" w:color="auto"/>
            </w:tcBorders>
            <w:hideMark/>
          </w:tcPr>
          <w:p w14:paraId="42A87F04" w14:textId="77777777" w:rsidR="003A3D51" w:rsidRDefault="003A3D51">
            <w:pPr>
              <w:spacing w:after="0" w:line="276" w:lineRule="auto"/>
              <w:jc w:val="center"/>
              <w:rPr>
                <w:rFonts w:ascii="Times New Roman" w:eastAsia="Times New Roman" w:hAnsi="Times New Roman" w:cs="Times New Roman"/>
                <w:b/>
                <w:noProof/>
              </w:rPr>
            </w:pPr>
          </w:p>
        </w:tc>
        <w:tc>
          <w:tcPr>
            <w:tcW w:w="1034" w:type="dxa"/>
            <w:vMerge/>
            <w:tcBorders>
              <w:top w:val="single" w:sz="4" w:space="0" w:color="auto"/>
              <w:left w:val="single" w:sz="4" w:space="0" w:color="auto"/>
              <w:bottom w:val="single" w:sz="4" w:space="0" w:color="auto"/>
              <w:right w:val="single" w:sz="4" w:space="0" w:color="auto"/>
            </w:tcBorders>
            <w:hideMark/>
          </w:tcPr>
          <w:p w14:paraId="551DA7AD" w14:textId="77777777" w:rsidR="003A3D51" w:rsidRDefault="003A3D51">
            <w:pPr>
              <w:spacing w:after="0" w:line="276" w:lineRule="auto"/>
              <w:jc w:val="center"/>
              <w:rPr>
                <w:rFonts w:ascii="Times New Roman" w:eastAsia="Times New Roman" w:hAnsi="Times New Roman" w:cs="Times New Roman"/>
                <w:b/>
                <w:noProof/>
              </w:rPr>
            </w:pPr>
          </w:p>
        </w:tc>
        <w:tc>
          <w:tcPr>
            <w:tcW w:w="908" w:type="dxa"/>
            <w:vMerge/>
            <w:tcBorders>
              <w:top w:val="single" w:sz="4" w:space="0" w:color="auto"/>
              <w:left w:val="single" w:sz="4" w:space="0" w:color="auto"/>
              <w:bottom w:val="single" w:sz="4" w:space="0" w:color="auto"/>
              <w:right w:val="single" w:sz="4" w:space="0" w:color="auto"/>
            </w:tcBorders>
            <w:hideMark/>
          </w:tcPr>
          <w:p w14:paraId="6DB66EE9" w14:textId="77777777" w:rsidR="003A3D51" w:rsidRDefault="003A3D51">
            <w:pPr>
              <w:spacing w:after="0" w:line="276" w:lineRule="auto"/>
              <w:jc w:val="center"/>
              <w:rPr>
                <w:rFonts w:ascii="Times New Roman" w:eastAsia="Times New Roman" w:hAnsi="Times New Roman" w:cs="Times New Roman"/>
                <w:b/>
                <w:noProof/>
              </w:rPr>
            </w:pPr>
          </w:p>
        </w:tc>
        <w:tc>
          <w:tcPr>
            <w:tcW w:w="1984" w:type="dxa"/>
            <w:vMerge/>
            <w:tcBorders>
              <w:top w:val="single" w:sz="4" w:space="0" w:color="auto"/>
              <w:left w:val="single" w:sz="4" w:space="0" w:color="auto"/>
              <w:bottom w:val="single" w:sz="4" w:space="0" w:color="auto"/>
              <w:right w:val="single" w:sz="4" w:space="0" w:color="auto"/>
            </w:tcBorders>
            <w:hideMark/>
          </w:tcPr>
          <w:p w14:paraId="0AC9E366" w14:textId="77777777" w:rsidR="003A3D51" w:rsidRDefault="003A3D51">
            <w:pPr>
              <w:spacing w:after="0" w:line="276" w:lineRule="auto"/>
              <w:rPr>
                <w:rFonts w:ascii="Times New Roman" w:eastAsia="Times New Roman" w:hAnsi="Times New Roman" w:cs="Times New Roman"/>
                <w:b/>
                <w:noProof/>
              </w:rPr>
            </w:pPr>
          </w:p>
        </w:tc>
        <w:tc>
          <w:tcPr>
            <w:tcW w:w="2268" w:type="dxa"/>
            <w:gridSpan w:val="2"/>
            <w:vMerge/>
            <w:tcBorders>
              <w:top w:val="single" w:sz="4" w:space="0" w:color="auto"/>
              <w:left w:val="single" w:sz="4" w:space="0" w:color="auto"/>
              <w:bottom w:val="single" w:sz="4" w:space="0" w:color="auto"/>
              <w:right w:val="single" w:sz="4" w:space="0" w:color="auto"/>
            </w:tcBorders>
            <w:hideMark/>
          </w:tcPr>
          <w:p w14:paraId="7E25722E" w14:textId="77777777" w:rsidR="003A3D51" w:rsidRDefault="003A3D51">
            <w:pPr>
              <w:spacing w:after="0" w:line="276" w:lineRule="auto"/>
              <w:rPr>
                <w:rFonts w:ascii="Times New Roman" w:eastAsia="Times New Roman" w:hAnsi="Times New Roman" w:cs="Times New Roman"/>
                <w:b/>
                <w:noProof/>
              </w:rPr>
            </w:pPr>
          </w:p>
        </w:tc>
        <w:tc>
          <w:tcPr>
            <w:tcW w:w="851" w:type="dxa"/>
            <w:tcBorders>
              <w:top w:val="nil"/>
              <w:left w:val="single" w:sz="4" w:space="0" w:color="auto"/>
              <w:bottom w:val="single" w:sz="4" w:space="0" w:color="auto"/>
              <w:right w:val="single" w:sz="4" w:space="0" w:color="auto"/>
            </w:tcBorders>
            <w:shd w:val="clear" w:color="auto" w:fill="BDD7EE"/>
            <w:vAlign w:val="center"/>
            <w:hideMark/>
          </w:tcPr>
          <w:p w14:paraId="7D9A3C67" w14:textId="77777777" w:rsidR="003A3D51" w:rsidRDefault="0002775A">
            <w:pPr>
              <w:pStyle w:val="P68B1DB1-Normal6"/>
              <w:spacing w:after="0" w:line="276" w:lineRule="auto"/>
              <w:jc w:val="center"/>
              <w:rPr>
                <w:noProof/>
              </w:rPr>
            </w:pPr>
            <w:r>
              <w:rPr>
                <w:noProof/>
              </w:rPr>
              <w:t>Enhet</w:t>
            </w:r>
          </w:p>
        </w:tc>
        <w:tc>
          <w:tcPr>
            <w:tcW w:w="897" w:type="dxa"/>
            <w:tcBorders>
              <w:top w:val="nil"/>
              <w:left w:val="nil"/>
              <w:bottom w:val="single" w:sz="4" w:space="0" w:color="auto"/>
              <w:right w:val="single" w:sz="4" w:space="0" w:color="auto"/>
            </w:tcBorders>
            <w:shd w:val="clear" w:color="auto" w:fill="BDD7EE"/>
            <w:vAlign w:val="center"/>
            <w:hideMark/>
          </w:tcPr>
          <w:p w14:paraId="210C38A0" w14:textId="73413370" w:rsidR="003A3D51" w:rsidRDefault="0002775A">
            <w:pPr>
              <w:pStyle w:val="P68B1DB1-Normal6"/>
              <w:spacing w:after="0" w:line="276" w:lineRule="auto"/>
              <w:jc w:val="center"/>
              <w:rPr>
                <w:noProof/>
              </w:rPr>
            </w:pPr>
            <w:r>
              <w:rPr>
                <w:noProof/>
              </w:rPr>
              <w:t>Baslinjen</w:t>
            </w:r>
          </w:p>
        </w:tc>
        <w:tc>
          <w:tcPr>
            <w:tcW w:w="851" w:type="dxa"/>
            <w:tcBorders>
              <w:top w:val="nil"/>
              <w:left w:val="nil"/>
              <w:bottom w:val="single" w:sz="4" w:space="0" w:color="auto"/>
              <w:right w:val="single" w:sz="4" w:space="0" w:color="auto"/>
            </w:tcBorders>
            <w:shd w:val="clear" w:color="auto" w:fill="BDD7EE"/>
            <w:vAlign w:val="center"/>
            <w:hideMark/>
          </w:tcPr>
          <w:p w14:paraId="6CE519AE" w14:textId="77777777" w:rsidR="003A3D51" w:rsidRDefault="0002775A">
            <w:pPr>
              <w:pStyle w:val="P68B1DB1-Normal6"/>
              <w:spacing w:after="0" w:line="276" w:lineRule="auto"/>
              <w:jc w:val="center"/>
              <w:rPr>
                <w:noProof/>
              </w:rPr>
            </w:pPr>
            <w:r>
              <w:rPr>
                <w:noProof/>
              </w:rPr>
              <w:t>Mål</w:t>
            </w:r>
          </w:p>
        </w:tc>
        <w:tc>
          <w:tcPr>
            <w:tcW w:w="567" w:type="dxa"/>
            <w:tcBorders>
              <w:top w:val="nil"/>
              <w:left w:val="nil"/>
              <w:bottom w:val="single" w:sz="4" w:space="0" w:color="auto"/>
              <w:right w:val="single" w:sz="4" w:space="0" w:color="auto"/>
            </w:tcBorders>
            <w:shd w:val="clear" w:color="auto" w:fill="BDD7EE"/>
            <w:vAlign w:val="center"/>
            <w:hideMark/>
          </w:tcPr>
          <w:p w14:paraId="2C1713F6" w14:textId="77777777" w:rsidR="003A3D51" w:rsidRDefault="0002775A">
            <w:pPr>
              <w:pStyle w:val="P68B1DB1-Normal6"/>
              <w:spacing w:after="0" w:line="276" w:lineRule="auto"/>
              <w:jc w:val="center"/>
              <w:rPr>
                <w:noProof/>
              </w:rPr>
            </w:pPr>
            <w:r>
              <w:rPr>
                <w:noProof/>
              </w:rPr>
              <w:t>Q</w:t>
            </w:r>
          </w:p>
        </w:tc>
        <w:tc>
          <w:tcPr>
            <w:tcW w:w="850" w:type="dxa"/>
            <w:tcBorders>
              <w:top w:val="nil"/>
              <w:left w:val="nil"/>
              <w:bottom w:val="single" w:sz="4" w:space="0" w:color="auto"/>
              <w:right w:val="single" w:sz="4" w:space="0" w:color="auto"/>
            </w:tcBorders>
            <w:shd w:val="clear" w:color="auto" w:fill="BDD7EE"/>
            <w:vAlign w:val="center"/>
            <w:hideMark/>
          </w:tcPr>
          <w:p w14:paraId="0C657FA4" w14:textId="77777777" w:rsidR="003A3D51" w:rsidRDefault="0002775A">
            <w:pPr>
              <w:pStyle w:val="P68B1DB1-Normal6"/>
              <w:spacing w:after="0" w:line="276" w:lineRule="auto"/>
              <w:jc w:val="center"/>
              <w:rPr>
                <w:noProof/>
              </w:rPr>
            </w:pPr>
            <w:r>
              <w:rPr>
                <w:noProof/>
              </w:rPr>
              <w:t>Året</w:t>
            </w:r>
          </w:p>
        </w:tc>
        <w:tc>
          <w:tcPr>
            <w:tcW w:w="4385" w:type="dxa"/>
            <w:vMerge/>
            <w:tcBorders>
              <w:top w:val="single" w:sz="4" w:space="0" w:color="auto"/>
              <w:bottom w:val="single" w:sz="4" w:space="0" w:color="auto"/>
              <w:right w:val="single" w:sz="4" w:space="0" w:color="auto"/>
            </w:tcBorders>
            <w:hideMark/>
          </w:tcPr>
          <w:p w14:paraId="2CDE5DB1" w14:textId="77777777" w:rsidR="003A3D51" w:rsidRDefault="003A3D51">
            <w:pPr>
              <w:spacing w:after="0" w:line="276" w:lineRule="auto"/>
              <w:rPr>
                <w:rFonts w:ascii="Times New Roman" w:eastAsia="Times New Roman" w:hAnsi="Times New Roman" w:cs="Times New Roman"/>
                <w:b/>
                <w:noProof/>
              </w:rPr>
            </w:pPr>
          </w:p>
        </w:tc>
      </w:tr>
      <w:tr w:rsidR="003A3D51" w14:paraId="3129FD13" w14:textId="77777777">
        <w:trPr>
          <w:trHeight w:val="283"/>
          <w:jc w:val="center"/>
        </w:trPr>
        <w:tc>
          <w:tcPr>
            <w:tcW w:w="778" w:type="dxa"/>
            <w:tcBorders>
              <w:top w:val="single" w:sz="4" w:space="0" w:color="auto"/>
              <w:left w:val="single" w:sz="4" w:space="0" w:color="auto"/>
              <w:bottom w:val="single" w:sz="4" w:space="0" w:color="auto"/>
              <w:right w:val="single" w:sz="4" w:space="0" w:color="auto"/>
            </w:tcBorders>
            <w:shd w:val="clear" w:color="auto" w:fill="C6EFCE"/>
            <w:noWrap/>
          </w:tcPr>
          <w:p w14:paraId="17D1E7E9" w14:textId="74A91E9D" w:rsidR="003A3D51" w:rsidRDefault="0002775A">
            <w:pPr>
              <w:pStyle w:val="P68B1DB1-Normal17"/>
              <w:spacing w:after="0" w:line="276" w:lineRule="auto"/>
              <w:jc w:val="center"/>
              <w:rPr>
                <w:noProof/>
              </w:rPr>
            </w:pPr>
            <w:r>
              <w:rPr>
                <w:noProof/>
              </w:rPr>
              <w:t>393</w:t>
            </w:r>
          </w:p>
        </w:tc>
        <w:tc>
          <w:tcPr>
            <w:tcW w:w="1034" w:type="dxa"/>
            <w:tcBorders>
              <w:top w:val="single" w:sz="4" w:space="0" w:color="auto"/>
              <w:left w:val="nil"/>
              <w:bottom w:val="single" w:sz="4" w:space="0" w:color="auto"/>
              <w:right w:val="single" w:sz="4" w:space="0" w:color="auto"/>
            </w:tcBorders>
            <w:shd w:val="clear" w:color="auto" w:fill="C6EFCE"/>
            <w:noWrap/>
          </w:tcPr>
          <w:p w14:paraId="6ABA8C6A" w14:textId="6634825E" w:rsidR="003A3D51" w:rsidRDefault="0002775A">
            <w:pPr>
              <w:pStyle w:val="P68B1DB1-Normal16"/>
              <w:spacing w:after="200" w:line="276" w:lineRule="auto"/>
              <w:jc w:val="center"/>
              <w:rPr>
                <w:noProof/>
              </w:rPr>
            </w:pPr>
            <w:r>
              <w:rPr>
                <w:noProof/>
              </w:rPr>
              <w:t>C2.2.R5</w:t>
            </w:r>
          </w:p>
        </w:tc>
        <w:tc>
          <w:tcPr>
            <w:tcW w:w="908" w:type="dxa"/>
            <w:tcBorders>
              <w:top w:val="single" w:sz="4" w:space="0" w:color="auto"/>
              <w:left w:val="nil"/>
              <w:bottom w:val="single" w:sz="4" w:space="0" w:color="auto"/>
              <w:right w:val="single" w:sz="4" w:space="0" w:color="auto"/>
            </w:tcBorders>
            <w:shd w:val="clear" w:color="auto" w:fill="C6EFCE"/>
            <w:noWrap/>
          </w:tcPr>
          <w:p w14:paraId="11A9B63F" w14:textId="77777777" w:rsidR="003A3D51" w:rsidRDefault="0002775A">
            <w:pPr>
              <w:pStyle w:val="P68B1DB1-Normal16"/>
              <w:spacing w:after="200" w:line="276" w:lineRule="auto"/>
              <w:jc w:val="center"/>
              <w:rPr>
                <w:noProof/>
              </w:rPr>
            </w:pPr>
            <w:r>
              <w:rPr>
                <w:noProof/>
              </w:rPr>
              <w:t>M</w:t>
            </w:r>
          </w:p>
        </w:tc>
        <w:tc>
          <w:tcPr>
            <w:tcW w:w="1996" w:type="dxa"/>
            <w:gridSpan w:val="2"/>
            <w:tcBorders>
              <w:top w:val="single" w:sz="4" w:space="0" w:color="auto"/>
              <w:left w:val="nil"/>
              <w:bottom w:val="single" w:sz="4" w:space="0" w:color="auto"/>
              <w:right w:val="single" w:sz="4" w:space="0" w:color="auto"/>
            </w:tcBorders>
            <w:shd w:val="clear" w:color="auto" w:fill="C6EFCE"/>
            <w:noWrap/>
          </w:tcPr>
          <w:p w14:paraId="36C14C67" w14:textId="4DDD1D3C" w:rsidR="003A3D51" w:rsidRDefault="0002775A">
            <w:pPr>
              <w:pStyle w:val="P68B1DB1-Normal7"/>
              <w:spacing w:after="240" w:line="276" w:lineRule="auto"/>
              <w:rPr>
                <w:rFonts w:ascii="Times New Roman" w:hAnsi="Times New Roman" w:cs="Times New Roman"/>
                <w:noProof/>
              </w:rPr>
            </w:pPr>
            <w:r>
              <w:rPr>
                <w:noProof/>
              </w:rPr>
              <w:t>Ikraftträdande av förordningar som reglerar de nya lönemodellerna och det centraliserade systemet för urval inom den offentliga och den offentliga sektorn</w:t>
            </w:r>
          </w:p>
        </w:tc>
        <w:tc>
          <w:tcPr>
            <w:tcW w:w="2256" w:type="dxa"/>
            <w:tcBorders>
              <w:top w:val="single" w:sz="4" w:space="0" w:color="auto"/>
              <w:left w:val="nil"/>
              <w:bottom w:val="single" w:sz="4" w:space="0" w:color="auto"/>
              <w:right w:val="single" w:sz="4" w:space="0" w:color="auto"/>
            </w:tcBorders>
            <w:shd w:val="clear" w:color="auto" w:fill="C6EFCE"/>
            <w:noWrap/>
          </w:tcPr>
          <w:p w14:paraId="309CEA21" w14:textId="1F833FD6" w:rsidR="003A3D51" w:rsidRDefault="0002775A">
            <w:pPr>
              <w:pStyle w:val="P68B1DB1-Normal7"/>
              <w:spacing w:after="240" w:line="276" w:lineRule="auto"/>
              <w:rPr>
                <w:rFonts w:ascii="Times New Roman" w:hAnsi="Times New Roman" w:cs="Times New Roman"/>
                <w:noProof/>
              </w:rPr>
            </w:pPr>
            <w:r>
              <w:rPr>
                <w:noProof/>
              </w:rPr>
              <w:t>Ikraftträdande av regeringsförordningar om kriterier för reglering av nya lönemodeller inom den offentliga och den offentliga sektorn</w:t>
            </w:r>
          </w:p>
        </w:tc>
        <w:tc>
          <w:tcPr>
            <w:tcW w:w="851" w:type="dxa"/>
            <w:tcBorders>
              <w:top w:val="nil"/>
              <w:left w:val="nil"/>
              <w:bottom w:val="single" w:sz="4" w:space="0" w:color="auto"/>
              <w:right w:val="single" w:sz="4" w:space="0" w:color="auto"/>
            </w:tcBorders>
            <w:shd w:val="clear" w:color="auto" w:fill="C6EFCE"/>
            <w:noWrap/>
          </w:tcPr>
          <w:p w14:paraId="0ECEBE3F" w14:textId="77777777" w:rsidR="003A3D51" w:rsidRDefault="0002775A">
            <w:pPr>
              <w:pStyle w:val="P68B1DB1-Normal7"/>
              <w:spacing w:after="0" w:line="276" w:lineRule="auto"/>
              <w:jc w:val="center"/>
              <w:rPr>
                <w:noProof/>
                <w:color w:val="000000" w:themeColor="text1"/>
              </w:rPr>
            </w:pPr>
            <w:r>
              <w:rPr>
                <w:noProof/>
              </w:rPr>
              <w:t> </w:t>
            </w:r>
          </w:p>
        </w:tc>
        <w:tc>
          <w:tcPr>
            <w:tcW w:w="897" w:type="dxa"/>
            <w:tcBorders>
              <w:top w:val="nil"/>
              <w:left w:val="nil"/>
              <w:bottom w:val="single" w:sz="4" w:space="0" w:color="auto"/>
              <w:right w:val="single" w:sz="4" w:space="0" w:color="auto"/>
            </w:tcBorders>
            <w:shd w:val="clear" w:color="auto" w:fill="C6EFCE"/>
            <w:noWrap/>
          </w:tcPr>
          <w:p w14:paraId="2C652A97" w14:textId="77777777" w:rsidR="003A3D51" w:rsidRDefault="0002775A">
            <w:pPr>
              <w:pStyle w:val="P68B1DB1-Normal7"/>
              <w:spacing w:after="200" w:line="276" w:lineRule="auto"/>
              <w:jc w:val="center"/>
              <w:rPr>
                <w:noProof/>
                <w:color w:val="000000" w:themeColor="text1"/>
              </w:rPr>
            </w:pPr>
            <w:r>
              <w:rPr>
                <w:noProof/>
              </w:rPr>
              <w:t> </w:t>
            </w:r>
          </w:p>
        </w:tc>
        <w:tc>
          <w:tcPr>
            <w:tcW w:w="851" w:type="dxa"/>
            <w:tcBorders>
              <w:top w:val="nil"/>
              <w:left w:val="nil"/>
              <w:bottom w:val="single" w:sz="4" w:space="0" w:color="auto"/>
              <w:right w:val="single" w:sz="4" w:space="0" w:color="auto"/>
            </w:tcBorders>
            <w:shd w:val="clear" w:color="auto" w:fill="C6EFCE"/>
            <w:noWrap/>
          </w:tcPr>
          <w:p w14:paraId="401FA312" w14:textId="77777777" w:rsidR="003A3D51" w:rsidRDefault="0002775A">
            <w:pPr>
              <w:pStyle w:val="P68B1DB1-Normal7"/>
              <w:spacing w:after="200" w:line="276" w:lineRule="auto"/>
              <w:jc w:val="center"/>
              <w:rPr>
                <w:noProof/>
                <w:color w:val="000000" w:themeColor="text1"/>
              </w:rPr>
            </w:pPr>
            <w:r>
              <w:rPr>
                <w:noProof/>
              </w:rPr>
              <w:t> </w:t>
            </w:r>
          </w:p>
        </w:tc>
        <w:tc>
          <w:tcPr>
            <w:tcW w:w="567" w:type="dxa"/>
            <w:tcBorders>
              <w:top w:val="nil"/>
              <w:left w:val="nil"/>
              <w:bottom w:val="single" w:sz="4" w:space="0" w:color="auto"/>
              <w:right w:val="single" w:sz="4" w:space="0" w:color="auto"/>
            </w:tcBorders>
            <w:shd w:val="clear" w:color="auto" w:fill="C6EFCE"/>
            <w:noWrap/>
          </w:tcPr>
          <w:p w14:paraId="18BFB69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50" w:type="dxa"/>
            <w:tcBorders>
              <w:top w:val="nil"/>
              <w:left w:val="nil"/>
              <w:bottom w:val="single" w:sz="4" w:space="0" w:color="auto"/>
              <w:right w:val="single" w:sz="4" w:space="0" w:color="auto"/>
            </w:tcBorders>
            <w:shd w:val="clear" w:color="auto" w:fill="C6EFCE"/>
            <w:noWrap/>
          </w:tcPr>
          <w:p w14:paraId="0DCBA807"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385" w:type="dxa"/>
            <w:tcBorders>
              <w:top w:val="single" w:sz="4" w:space="0" w:color="auto"/>
              <w:left w:val="nil"/>
              <w:bottom w:val="single" w:sz="4" w:space="0" w:color="auto"/>
              <w:right w:val="single" w:sz="4" w:space="0" w:color="auto"/>
            </w:tcBorders>
            <w:shd w:val="clear" w:color="auto" w:fill="C6EFCE"/>
            <w:noWrap/>
          </w:tcPr>
          <w:p w14:paraId="0AB8B1AC" w14:textId="77777777" w:rsidR="003A3D51" w:rsidRDefault="0002775A">
            <w:pPr>
              <w:pStyle w:val="P68B1DB1-Normal7"/>
              <w:spacing w:after="0" w:line="276" w:lineRule="auto"/>
              <w:rPr>
                <w:noProof/>
                <w:color w:val="000000" w:themeColor="text1"/>
              </w:rPr>
            </w:pPr>
            <w:r>
              <w:rPr>
                <w:noProof/>
              </w:rPr>
              <w:t xml:space="preserve">Ikraftträdande av sex förordningar om lönesystem för lönegrader och koefficienter för anställda inom den offentliga förvaltningen samt förfarandet, kriterierna och metoden för att bedöma tjänstemäns och anställdas prestationer i statliga organ och offentliga tjänster.  Stadgarna ska i förekommande fall ta hänsyn till Världsbankens analys inom ramen för investering C2.2.R2-I1. </w:t>
            </w:r>
          </w:p>
          <w:p w14:paraId="038941D3" w14:textId="747A165C" w:rsidR="003A3D51" w:rsidRDefault="0002775A">
            <w:pPr>
              <w:pStyle w:val="P68B1DB1-Normal7"/>
              <w:spacing w:after="0" w:line="276" w:lineRule="auto"/>
              <w:rPr>
                <w:noProof/>
              </w:rPr>
            </w:pPr>
            <w:r>
              <w:rPr>
                <w:noProof/>
              </w:rPr>
              <w:t xml:space="preserve">I stadgarna ska följande fastställas: </w:t>
            </w:r>
          </w:p>
          <w:p w14:paraId="742E1DB1" w14:textId="77777777" w:rsidR="003A3D51" w:rsidRDefault="0002775A">
            <w:pPr>
              <w:pStyle w:val="P68B1DB1-Normal7"/>
              <w:spacing w:after="0" w:line="276" w:lineRule="auto"/>
              <w:rPr>
                <w:noProof/>
                <w:color w:val="000000" w:themeColor="text1"/>
              </w:rPr>
            </w:pPr>
            <w:r>
              <w:rPr>
                <w:noProof/>
              </w:rPr>
              <w:t xml:space="preserve">— metoden för att tillämpa de standardkriterier som fastställs i lagen om löner i offentlig tjänst vid förfarandet för utvärdering och klassificering av tjänster inom statliga organ och offentliga tjänster (expertgrupper inom statlig förvaltning och offentliga tjänster kommer att utvärdera tjänster och, i samarbete med ministeriet för rättsliga och administrativa frågor eller ministeriet för arbetsmarknads-, pensions-, familje- och socialpolitik, utföra en analys som ska beaktas vid fastställandet av lönekoefficienterna). </w:t>
            </w:r>
          </w:p>
          <w:p w14:paraId="2AFE60CE" w14:textId="5B9B6993" w:rsidR="003A3D51" w:rsidRDefault="0002775A">
            <w:pPr>
              <w:pStyle w:val="P68B1DB1-Normal7"/>
              <w:spacing w:after="0" w:line="276" w:lineRule="auto"/>
              <w:rPr>
                <w:noProof/>
              </w:rPr>
            </w:pPr>
            <w:r>
              <w:rPr>
                <w:noProof/>
              </w:rPr>
              <w:t xml:space="preserve">— tjänsteavdelningar, villkor för urval till tjänster, klassificering av tjänster och lönegrader samt lönekoefficienter inom den offentliga förvaltningen (efter konsolidering eller minskning av antalet tjänster). </w:t>
            </w:r>
          </w:p>
          <w:p w14:paraId="2453B463" w14:textId="5A11DDEB" w:rsidR="003A3D51" w:rsidRDefault="0002775A">
            <w:pPr>
              <w:pStyle w:val="P68B1DB1-Normal7"/>
              <w:spacing w:after="0" w:line="276" w:lineRule="auto"/>
              <w:rPr>
                <w:noProof/>
                <w:color w:val="000000" w:themeColor="text1"/>
              </w:rPr>
            </w:pPr>
            <w:r>
              <w:rPr>
                <w:noProof/>
              </w:rPr>
              <w:t>— tjänsteavdelningar, villkor för urval till tjänster, klassificering av tjänster och lönegrader samt lönekoefficienter i offentlig tjänst (efter konsolidering eller minskning av antalet tjänster).</w:t>
            </w:r>
          </w:p>
          <w:p w14:paraId="7BD4924D" w14:textId="1CF23A03" w:rsidR="003A3D51" w:rsidRDefault="0002775A">
            <w:pPr>
              <w:pStyle w:val="P68B1DB1-Normal7"/>
              <w:spacing w:after="0" w:line="276" w:lineRule="auto"/>
              <w:rPr>
                <w:noProof/>
              </w:rPr>
            </w:pPr>
            <w:r>
              <w:rPr>
                <w:noProof/>
              </w:rPr>
              <w:t>— koefficienterna inom lönegraderna i den enhetliga löneskalan för civil- och offentliganställda.</w:t>
            </w:r>
          </w:p>
          <w:p w14:paraId="61F7174D" w14:textId="1AC1D657" w:rsidR="003A3D51" w:rsidRDefault="0002775A">
            <w:pPr>
              <w:pStyle w:val="P68B1DB1-Normal7"/>
              <w:spacing w:after="0" w:line="276" w:lineRule="auto"/>
              <w:rPr>
                <w:rFonts w:ascii="Times New Roman" w:hAnsi="Times New Roman" w:cs="Times New Roman"/>
                <w:noProof/>
              </w:rPr>
            </w:pPr>
            <w:r>
              <w:rPr>
                <w:noProof/>
              </w:rPr>
              <w:t>— förfarande, kriterier och metod för utvärdering av tjänstemännens (inklusive chefsbefattningar) och anställda i den offentliga förvaltningen.</w:t>
            </w:r>
          </w:p>
          <w:p w14:paraId="24FDA184" w14:textId="107DDDCD" w:rsidR="003A3D51" w:rsidRDefault="0002775A">
            <w:pPr>
              <w:pStyle w:val="P68B1DB1-Normal7"/>
              <w:spacing w:after="0" w:line="276" w:lineRule="auto"/>
              <w:rPr>
                <w:rFonts w:ascii="Times New Roman" w:hAnsi="Times New Roman" w:cs="Times New Roman"/>
                <w:noProof/>
              </w:rPr>
            </w:pPr>
            <w:r>
              <w:rPr>
                <w:noProof/>
              </w:rPr>
              <w:t>— förfarande, kriterier och metod för utvärdering av tjänstemäns (inklusive chefsbefattningar) och anställda i offentlig tjänst.</w:t>
            </w:r>
          </w:p>
        </w:tc>
      </w:tr>
    </w:tbl>
    <w:p w14:paraId="4D3A7252" w14:textId="77777777" w:rsidR="003A3D51" w:rsidRDefault="003A3D51">
      <w:pPr>
        <w:pStyle w:val="paragraph"/>
        <w:spacing w:before="0" w:beforeAutospacing="0" w:after="0" w:afterAutospacing="0"/>
        <w:jc w:val="both"/>
        <w:rPr>
          <w:rStyle w:val="eop"/>
          <w:noProof/>
          <w:color w:val="4F81BD"/>
        </w:rPr>
      </w:pPr>
    </w:p>
    <w:p w14:paraId="56408B61" w14:textId="77777777" w:rsidR="003A3D51" w:rsidRDefault="003A3D51">
      <w:pPr>
        <w:rPr>
          <w:noProof/>
        </w:rPr>
      </w:pPr>
    </w:p>
    <w:p w14:paraId="0890A98A" w14:textId="77777777" w:rsidR="003A3D51" w:rsidRDefault="003A3D51">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rPr>
        <w:sectPr w:rsidR="003A3D51" w:rsidSect="0001477B">
          <w:headerReference w:type="even" r:id="rId168"/>
          <w:headerReference w:type="default" r:id="rId169"/>
          <w:footerReference w:type="even" r:id="rId170"/>
          <w:footerReference w:type="default" r:id="rId171"/>
          <w:headerReference w:type="first" r:id="rId172"/>
          <w:footerReference w:type="first" r:id="rId173"/>
          <w:pgSz w:w="15840" w:h="12240" w:orient="landscape"/>
          <w:pgMar w:top="1440" w:right="1440" w:bottom="1440" w:left="1440" w:header="708" w:footer="708" w:gutter="0"/>
          <w:cols w:space="708"/>
          <w:docGrid w:linePitch="360"/>
        </w:sectPr>
      </w:pPr>
    </w:p>
    <w:p w14:paraId="720817C2"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I. KOMPONENT 2.3: DEN DIGITALA OMSTÄLLNINGEN AV SAMHÄLLET OCH DEN OFFENTLIGA FÖRVALTNINGEN</w:t>
      </w:r>
    </w:p>
    <w:p w14:paraId="3B846F54" w14:textId="77777777" w:rsidR="003A3D51" w:rsidRDefault="0002775A">
      <w:pPr>
        <w:pStyle w:val="P68B1DB1-Normal3"/>
        <w:spacing w:before="120" w:after="100" w:line="240" w:lineRule="auto"/>
        <w:jc w:val="both"/>
        <w:rPr>
          <w:noProof/>
        </w:rPr>
      </w:pPr>
      <w:r>
        <w:rPr>
          <w:noProof/>
        </w:rPr>
        <w:t>Kroatien ligger på</w:t>
      </w:r>
      <w:r>
        <w:rPr>
          <w:noProof/>
          <w:vertAlign w:val="superscript"/>
        </w:rPr>
        <w:t>20:e</w:t>
      </w:r>
      <w:r>
        <w:rPr>
          <w:noProof/>
        </w:rPr>
        <w:t xml:space="preserve"> plats 2020 i indexet för digital ekonomi och digitalt samhälle (Desi), med betydande utrymme för förbättringar när det gäller tillgången till offentliga tjänster online. Kroatiens låga digitala konnektivitet hindrar också den fortsatta utvecklingen av landets digitala ekonomi och bidrar till den digitala klyftan mellan stads- och landsbygdsområden. </w:t>
      </w:r>
    </w:p>
    <w:p w14:paraId="62AFBB1C" w14:textId="77777777" w:rsidR="003A3D51" w:rsidRDefault="0002775A">
      <w:pPr>
        <w:pStyle w:val="P68B1DB1-Normal3"/>
        <w:spacing w:before="120" w:after="100" w:line="240" w:lineRule="auto"/>
        <w:jc w:val="both"/>
        <w:rPr>
          <w:noProof/>
        </w:rPr>
      </w:pPr>
      <w:r>
        <w:rPr>
          <w:noProof/>
        </w:rPr>
        <w:t xml:space="preserve">Syftet med denna del är att stödja den digitala omställningen av Kroatiens ekonomi och samhälle. Det omfattar reformer och investeringar för att digitalisera den offentliga förvaltningen, öka tillhandahållandet av offentliga onlinetjänster och ge tillgång till gigabitkonnektivitetsnät i områden som påverkas av marknadsmisslyckanden, inbegripet landsbygdsområden. </w:t>
      </w:r>
    </w:p>
    <w:p w14:paraId="0AAA19F6" w14:textId="77777777" w:rsidR="003A3D51" w:rsidRDefault="0002775A">
      <w:pPr>
        <w:pStyle w:val="P68B1DB1-Normal43"/>
        <w:spacing w:before="120" w:after="100" w:line="240" w:lineRule="auto"/>
        <w:jc w:val="both"/>
        <w:rPr>
          <w:rFonts w:ascii="Times New Roman" w:eastAsia="Times New Roman," w:hAnsi="Times New Roman" w:cs="Times New Roman"/>
          <w:i/>
          <w:noProof/>
        </w:rPr>
      </w:pPr>
      <w:r>
        <w:rPr>
          <w:rFonts w:ascii="Times New Roman" w:eastAsia="Calibri" w:hAnsi="Times New Roman" w:cs="Times New Roman"/>
          <w:noProof/>
        </w:rPr>
        <w:t>Denna del bidrar till att följa de landsspecifika rekommendationerna om behovet av att ”</w:t>
      </w:r>
      <w:r>
        <w:rPr>
          <w:rFonts w:ascii="Times New Roman" w:eastAsia="Calibri" w:hAnsi="Times New Roman" w:cs="Times New Roman"/>
          <w:i/>
          <w:noProof/>
        </w:rPr>
        <w:t>Konsolidera sociala förmåner och förbättra deras förmåga att minska fattigdomen</w:t>
      </w:r>
      <w:r>
        <w:rPr>
          <w:rFonts w:ascii="Times New Roman" w:eastAsia="Calibri" w:hAnsi="Times New Roman" w:cs="Times New Roman"/>
          <w:noProof/>
        </w:rPr>
        <w:t>” (landsspecifik rekommendation 2, 2019), ”</w:t>
      </w:r>
      <w:r>
        <w:rPr>
          <w:rFonts w:ascii="Times New Roman" w:eastAsia="Times New Roman," w:hAnsi="Times New Roman" w:cs="Times New Roman"/>
          <w:i/>
          <w:noProof/>
        </w:rPr>
        <w:t>Öka tillgången till digital infrastruktur och digitala tjänster”</w:t>
      </w:r>
      <w:r>
        <w:rPr>
          <w:rFonts w:ascii="Times New Roman" w:eastAsia="Times New Roman," w:hAnsi="Times New Roman" w:cs="Times New Roman"/>
          <w:noProof/>
        </w:rPr>
        <w:t xml:space="preserve"> (landsspecifik rekommendation 2, 2020) och att </w:t>
      </w:r>
      <w:r>
        <w:rPr>
          <w:rFonts w:ascii="Times New Roman" w:eastAsia="Times New Roman," w:hAnsi="Times New Roman" w:cs="Times New Roman"/>
          <w:i/>
          <w:noProof/>
        </w:rPr>
        <w:t>”inrikta investeringarna på den gröna och digitala omställningen, särskilt när det gäller höghastighetsbredband”</w:t>
      </w:r>
      <w:r>
        <w:rPr>
          <w:rFonts w:ascii="Times New Roman" w:eastAsia="Times New Roman," w:hAnsi="Times New Roman" w:cs="Times New Roman"/>
          <w:noProof/>
        </w:rPr>
        <w:t xml:space="preserve"> (landsspecifik rekommendation 3 och 2020)</w:t>
      </w:r>
      <w:r>
        <w:rPr>
          <w:rFonts w:ascii="Times New Roman" w:eastAsia="Times New Roman," w:hAnsi="Times New Roman" w:cs="Times New Roman"/>
          <w:i/>
          <w:noProof/>
        </w:rPr>
        <w:t>.</w:t>
      </w:r>
    </w:p>
    <w:p w14:paraId="3AB29E5A" w14:textId="77777777" w:rsidR="003A3D51" w:rsidRDefault="0002775A">
      <w:pPr>
        <w:pStyle w:val="P68B1DB1-Normal44"/>
        <w:spacing w:before="40" w:after="0"/>
        <w:jc w:val="both"/>
        <w:rPr>
          <w:noProof/>
        </w:rPr>
      </w:pPr>
      <w:r>
        <w:rPr>
          <w:noProof/>
        </w:rPr>
        <w:t>Komponenten omfattar fyra reformer och 20 investeringar.</w:t>
      </w:r>
    </w:p>
    <w:p w14:paraId="7171AE12" w14:textId="77777777" w:rsidR="003A3D51" w:rsidRDefault="003A3D51">
      <w:pPr>
        <w:spacing w:before="120" w:after="120" w:line="240" w:lineRule="auto"/>
        <w:jc w:val="both"/>
        <w:rPr>
          <w:rFonts w:ascii="Times New Roman" w:eastAsia="Calibri" w:hAnsi="Times New Roman" w:cs="Times New Roman"/>
          <w:noProof/>
          <w:sz w:val="24"/>
        </w:rPr>
      </w:pPr>
    </w:p>
    <w:p w14:paraId="312FDE67" w14:textId="77777777" w:rsidR="003A3D51" w:rsidRDefault="0002775A">
      <w:pPr>
        <w:pStyle w:val="P68B1DB1-Normal4"/>
        <w:keepNext/>
        <w:tabs>
          <w:tab w:val="num" w:pos="850"/>
        </w:tabs>
        <w:spacing w:before="40" w:after="0"/>
        <w:ind w:left="851"/>
        <w:jc w:val="both"/>
        <w:outlineLvl w:val="1"/>
        <w:rPr>
          <w:noProof/>
        </w:rPr>
      </w:pPr>
      <w:r>
        <w:rPr>
          <w:noProof/>
        </w:rPr>
        <w:t xml:space="preserve">I.1 </w:t>
      </w:r>
      <w:r>
        <w:rPr>
          <w:noProof/>
        </w:rPr>
        <w:tab/>
        <w:t>Beskrivning av reformer och investeringar avseende icke återbetalningspliktigt ekonomiskt stöd</w:t>
      </w:r>
    </w:p>
    <w:p w14:paraId="1473E49F" w14:textId="77777777" w:rsidR="003A3D51" w:rsidRDefault="0002775A">
      <w:pPr>
        <w:pStyle w:val="P68B1DB1-Normal5"/>
        <w:spacing w:before="120" w:after="120" w:line="240" w:lineRule="auto"/>
        <w:ind w:left="851"/>
        <w:jc w:val="both"/>
        <w:rPr>
          <w:noProof/>
        </w:rPr>
      </w:pPr>
      <w:r>
        <w:rPr>
          <w:noProof/>
        </w:rPr>
        <w:t>Reform C2.3.R1: En digital Kroatiens strategi och förstärkning av det interinstitutionella samarbetet och samordningen för en framgångsrik digital omställning av samhället och ekonomin</w:t>
      </w:r>
    </w:p>
    <w:p w14:paraId="3D165B03" w14:textId="77777777" w:rsidR="003A3D51" w:rsidRDefault="0002775A">
      <w:pPr>
        <w:pStyle w:val="P68B1DB1-Normal3"/>
        <w:spacing w:before="120" w:after="100" w:line="240" w:lineRule="auto"/>
        <w:jc w:val="both"/>
        <w:rPr>
          <w:noProof/>
        </w:rPr>
      </w:pPr>
      <w:r>
        <w:rPr>
          <w:noProof/>
        </w:rPr>
        <w:t>Syftet med denna reform är att styra den digitala omvandlingen av Kroatiens samhälle och ekonomi under det kommande årtiondet. Den ska tillhandahålla en strategisk ram, ”Kroatiens digitala strategi 2030”, som fastställer ramen för investeringar i den digitala omställningen och fastställer strategiska mål på följande områden: i) den digitala omställningen av ekonomin, ii) digitalisering av den offentliga förvaltningen och rättsväsendet, iii) digital konnektivitet/utveckling av bredbandsnät för elektronisk kommunikation och iv) utveckling av digitala färdigheter och digitala arbetstillfällen.</w:t>
      </w:r>
    </w:p>
    <w:p w14:paraId="1DAE6539" w14:textId="77777777" w:rsidR="003A3D51" w:rsidRDefault="0002775A">
      <w:pPr>
        <w:pStyle w:val="P68B1DB1-Normal3"/>
        <w:spacing w:before="120" w:after="100" w:line="240" w:lineRule="auto"/>
        <w:jc w:val="both"/>
        <w:rPr>
          <w:noProof/>
        </w:rPr>
      </w:pPr>
      <w:r>
        <w:rPr>
          <w:noProof/>
        </w:rPr>
        <w:t>Reformen ska också inrätta en mekanism för att samordna utarbetandet och genomförandet av projekt till stöd för den digitala omvandlingen av samhället och ekonomin på nationell, regional och lokal nivå, med riktlinjer för tydliga prioriterings- och utvärderingskriterier för investeringar.</w:t>
      </w:r>
    </w:p>
    <w:p w14:paraId="0446BB30" w14:textId="7E73951D" w:rsidR="003A3D51" w:rsidRDefault="0002775A">
      <w:pPr>
        <w:pStyle w:val="P68B1DB1-Normal5"/>
        <w:spacing w:before="120" w:after="120" w:line="240" w:lineRule="auto"/>
        <w:ind w:left="851"/>
        <w:jc w:val="both"/>
        <w:rPr>
          <w:noProof/>
        </w:rPr>
      </w:pPr>
      <w:r>
        <w:rPr>
          <w:noProof/>
        </w:rPr>
        <w:t>Reform C2.3.R2: Förbättrad interoperabilitet mellan informationssystem</w:t>
      </w:r>
    </w:p>
    <w:p w14:paraId="2887D065" w14:textId="77777777" w:rsidR="003A3D51" w:rsidRDefault="0002775A">
      <w:pPr>
        <w:pStyle w:val="P68B1DB1-Normal3"/>
        <w:spacing w:before="120" w:after="100" w:line="240" w:lineRule="auto"/>
        <w:jc w:val="both"/>
        <w:rPr>
          <w:noProof/>
        </w:rPr>
      </w:pPr>
      <w:r>
        <w:rPr>
          <w:noProof/>
        </w:rPr>
        <w:t>Syftet med denna reform är att stödja tillhandahållandet av digitala offentliga tjänster och underlätta interaktionen mellan medborgare/företag och den offentliga förvaltningen. Reformen syftar också till att införa avancerad dataanalys i den nationella förvaltningen i syfte att stödja datadrivet beslutsfattande på alla förvaltningsnivåer.</w:t>
      </w:r>
    </w:p>
    <w:p w14:paraId="7D526FC1" w14:textId="77777777" w:rsidR="003A3D51" w:rsidRDefault="0002775A">
      <w:pPr>
        <w:pStyle w:val="P68B1DB1-Normal3"/>
        <w:spacing w:before="120" w:after="100" w:line="240" w:lineRule="auto"/>
        <w:jc w:val="both"/>
        <w:rPr>
          <w:noProof/>
        </w:rPr>
      </w:pPr>
      <w:r>
        <w:rPr>
          <w:noProof/>
        </w:rPr>
        <w:t xml:space="preserve">Även om offentliga myndigheter i Kroatien för närvarande använder hundratals olika register och databaser förväntas reformen skapa förutsättningar för inrättandet av ett centralt register (centralt driftskompatibelt system) som sammankopplar centrala register (investering C2.3.R2.I1) samt för inrättandet av en central databas som möjliggör användning av avancerad dataanalys för behöriga myndigheter (investering C2.3.R2.I2). </w:t>
      </w:r>
    </w:p>
    <w:p w14:paraId="5E9640BD" w14:textId="77777777" w:rsidR="003A3D51" w:rsidRDefault="0002775A">
      <w:pPr>
        <w:pStyle w:val="P68B1DB1-Normal3"/>
        <w:spacing w:before="120" w:after="100" w:line="240" w:lineRule="auto"/>
        <w:jc w:val="both"/>
        <w:rPr>
          <w:noProof/>
        </w:rPr>
      </w:pPr>
      <w:r>
        <w:rPr>
          <w:noProof/>
        </w:rPr>
        <w:t xml:space="preserve">Reformen förväntas leda till systemförändringar, utveckling av driftskompatibla system på nationell nivå och datadrivet beslutsfattande. Det förväntas också förbättra tillhandahållandet av offentliga tjänster av hög kvalitet på nätet till företag och medborgare. </w:t>
      </w:r>
    </w:p>
    <w:p w14:paraId="453E75CA" w14:textId="77777777" w:rsidR="003A3D51" w:rsidRDefault="0002775A">
      <w:pPr>
        <w:pStyle w:val="P68B1DB1-Normal3"/>
        <w:spacing w:before="120" w:after="100" w:line="240" w:lineRule="auto"/>
        <w:jc w:val="both"/>
        <w:rPr>
          <w:noProof/>
        </w:rPr>
      </w:pPr>
      <w:r>
        <w:rPr>
          <w:noProof/>
        </w:rPr>
        <w:t>Åtgärden ska fastställa en organisatorisk struktur och ledningsstruktur för förvaltningen av det centrala interoperabilitetssystemet samt katalogen över e-tjänster som ska anslutas till det centrala interoperabilitetssystemet. Den ska också utveckla ekosystemet för att samla in, bearbeta, analysera, visa och dela data, i syfte att införa dataanalys i den nationella förvaltningen som ett nytt sätt att arbeta på alla beslutsnivåer.</w:t>
      </w:r>
    </w:p>
    <w:p w14:paraId="0839AC24" w14:textId="77777777" w:rsidR="003A3D51" w:rsidRDefault="0002775A">
      <w:pPr>
        <w:pStyle w:val="P68B1DB1-Normal3"/>
        <w:spacing w:before="120" w:after="120" w:line="240" w:lineRule="auto"/>
        <w:jc w:val="both"/>
        <w:rPr>
          <w:noProof/>
        </w:rPr>
      </w:pPr>
      <w:r>
        <w:rPr>
          <w:noProof/>
        </w:rPr>
        <w:t>Denna reform ska vara slutförd senast den 31 december 2024.</w:t>
      </w:r>
    </w:p>
    <w:p w14:paraId="278D87D1" w14:textId="77777777" w:rsidR="003A3D51" w:rsidRDefault="0002775A">
      <w:pPr>
        <w:pStyle w:val="P68B1DB1-Normal5"/>
        <w:spacing w:before="120" w:after="120" w:line="240" w:lineRule="auto"/>
        <w:ind w:left="851"/>
        <w:jc w:val="both"/>
        <w:rPr>
          <w:noProof/>
        </w:rPr>
      </w:pPr>
      <w:r>
        <w:rPr>
          <w:noProof/>
        </w:rPr>
        <w:t>Investering C2.3.R2-I1: Inrättande av ett centralt interoperabilitetssystem</w:t>
      </w:r>
    </w:p>
    <w:p w14:paraId="7BA0333D" w14:textId="77777777" w:rsidR="003A3D51" w:rsidRDefault="0002775A">
      <w:pPr>
        <w:pStyle w:val="P68B1DB1-Normal3"/>
        <w:spacing w:before="120" w:after="120" w:line="240" w:lineRule="auto"/>
        <w:jc w:val="both"/>
        <w:rPr>
          <w:noProof/>
        </w:rPr>
      </w:pPr>
      <w:r>
        <w:rPr>
          <w:noProof/>
        </w:rPr>
        <w:t xml:space="preserve">Syftet med denna investering är att bygga upp ett centralt register för offentliga myndigheter i syfte att åtgärda den nuvarande fragmenteringen (där hundratals register används av offentliga myndigheter) genom att inrätta ett centralt driftskompatibelt system för sammankoppling av basregister, i linje med den europeiska interoperabilitetsramen (EIF). </w:t>
      </w:r>
    </w:p>
    <w:p w14:paraId="4BDAB4F4" w14:textId="77777777" w:rsidR="003A3D51" w:rsidRDefault="0002775A">
      <w:pPr>
        <w:pStyle w:val="P68B1DB1-Normal3"/>
        <w:spacing w:before="120" w:after="120" w:line="240" w:lineRule="auto"/>
        <w:jc w:val="both"/>
        <w:rPr>
          <w:noProof/>
        </w:rPr>
      </w:pPr>
      <w:r>
        <w:rPr>
          <w:noProof/>
        </w:rPr>
        <w:t xml:space="preserve">Investeringen ska omfatta inrättandet av en central nationell portal, som ska integrera och koppla samman minst åtta befintliga centrala offentliga register (såsom födelseregister, bosättningsort, krigsveteraner) till ett driftskompatibelt centralt register. Det centrala registret ska säkerställa att informationen från de olika registren konsolideras i ett interoperabelt register och är tillgänglig för offentliga förvaltningar, medborgare och företag. </w:t>
      </w:r>
    </w:p>
    <w:p w14:paraId="205CCFFB" w14:textId="77777777" w:rsidR="003A3D51" w:rsidRDefault="0002775A">
      <w:pPr>
        <w:pStyle w:val="P68B1DB1-Normal3"/>
        <w:spacing w:before="120" w:after="120" w:line="240" w:lineRule="auto"/>
        <w:jc w:val="both"/>
        <w:rPr>
          <w:noProof/>
        </w:rPr>
      </w:pPr>
      <w:r>
        <w:rPr>
          <w:noProof/>
        </w:rPr>
        <w:t>Det centrala registret ska också möjliggöra tillhandahållande online av de 21 administrativa förfaranden som förtecknas i bilaga II till förordning (EU) 2018/1724 (förordningen om en gemensam digital ingång).</w:t>
      </w:r>
    </w:p>
    <w:p w14:paraId="23A393C5" w14:textId="6546F41F" w:rsidR="003A3D51" w:rsidRDefault="0002775A">
      <w:pPr>
        <w:pStyle w:val="P68B1DB1-Normal3"/>
        <w:spacing w:before="120" w:after="120" w:line="240" w:lineRule="auto"/>
        <w:jc w:val="both"/>
        <w:rPr>
          <w:noProof/>
        </w:rPr>
      </w:pPr>
      <w:r>
        <w:rPr>
          <w:noProof/>
        </w:rPr>
        <w:t xml:space="preserve">Denna investering ska vara slutförd senast den 30 september 2024. </w:t>
      </w:r>
    </w:p>
    <w:p w14:paraId="5568C043" w14:textId="77777777" w:rsidR="003A3D51" w:rsidRDefault="0002775A">
      <w:pPr>
        <w:pStyle w:val="P68B1DB1-Normal5"/>
        <w:spacing w:before="120" w:after="120" w:line="240" w:lineRule="auto"/>
        <w:ind w:left="851"/>
        <w:jc w:val="both"/>
        <w:rPr>
          <w:noProof/>
        </w:rPr>
      </w:pPr>
      <w:r>
        <w:rPr>
          <w:noProof/>
        </w:rPr>
        <w:t>Investering C2.3.R2-I2: Inrättande av ett centralt dataregister och verksamhetsanalyssystem</w:t>
      </w:r>
    </w:p>
    <w:p w14:paraId="2EA4A00F" w14:textId="77777777" w:rsidR="003A3D51" w:rsidRDefault="0002775A">
      <w:pPr>
        <w:pStyle w:val="P68B1DB1-Normal3"/>
        <w:spacing w:before="120" w:after="100" w:line="240" w:lineRule="auto"/>
        <w:jc w:val="both"/>
        <w:rPr>
          <w:noProof/>
        </w:rPr>
      </w:pPr>
      <w:r>
        <w:rPr>
          <w:noProof/>
        </w:rPr>
        <w:t>Syftet med denna investering är att bygga upp ett centralt datalager (DWH) för statliga myndigheter, som förväntas förbättra datahanteringssystemet genom att underlätta insamling av data i standardiserade format, behandling, analys och delning av data mellan offentliga myndigheter (såsom statliga och lokala förvaltningsenheter). Plattformen ska möjliggöra dataanalys i realtid och ta fram avancerade dataanalysverktyg (såsom fördefinierade verksamhetsindikatorer, resultattavlor och rapporter på daglig basis), som förväntas avsevärt förbättra det datadrivna beslutsfattandet på alla nivåer i den nationella förvaltningen.</w:t>
      </w:r>
    </w:p>
    <w:p w14:paraId="7C9D317E" w14:textId="77777777" w:rsidR="003A3D51" w:rsidRDefault="0002775A">
      <w:pPr>
        <w:pStyle w:val="P68B1DB1-Normal3"/>
        <w:spacing w:before="120" w:after="100" w:line="240" w:lineRule="auto"/>
        <w:jc w:val="both"/>
        <w:rPr>
          <w:noProof/>
        </w:rPr>
      </w:pPr>
      <w:r>
        <w:rPr>
          <w:noProof/>
        </w:rPr>
        <w:t xml:space="preserve">En del av datalagret ska också vara tillgänglig för medborgare och företag, i syfte att göra det möjligt för den privata sektorn att bygga upp och utveckla mervärdestjänster på de data och analysverktyg som de har tillgång till. </w:t>
      </w:r>
    </w:p>
    <w:p w14:paraId="3580AB01" w14:textId="77777777" w:rsidR="003A3D51" w:rsidRDefault="0002775A">
      <w:pPr>
        <w:pStyle w:val="P68B1DB1-Normal3"/>
        <w:spacing w:before="120" w:after="120" w:line="240" w:lineRule="auto"/>
        <w:jc w:val="both"/>
        <w:rPr>
          <w:noProof/>
        </w:rPr>
      </w:pPr>
      <w:r>
        <w:rPr>
          <w:noProof/>
        </w:rPr>
        <w:t>Denna investering ska vara slutförd senast den 31 december 2024.</w:t>
      </w:r>
    </w:p>
    <w:p w14:paraId="730454B2" w14:textId="77777777" w:rsidR="003A3D51" w:rsidRDefault="0002775A">
      <w:pPr>
        <w:pStyle w:val="P68B1DB1-Normal5"/>
        <w:pageBreakBefore/>
        <w:spacing w:before="120" w:after="120" w:line="240" w:lineRule="auto"/>
        <w:ind w:left="851"/>
        <w:jc w:val="both"/>
        <w:rPr>
          <w:noProof/>
        </w:rPr>
      </w:pPr>
      <w:r>
        <w:rPr>
          <w:noProof/>
        </w:rPr>
        <w:t>Investering C2.3.R3-I1: Uppgradering av centrumet för gemensamma tjänster</w:t>
      </w:r>
    </w:p>
    <w:p w14:paraId="08322F85" w14:textId="77777777" w:rsidR="003A3D51" w:rsidRDefault="0002775A">
      <w:pPr>
        <w:pStyle w:val="P68B1DB1-Normal3"/>
        <w:spacing w:before="120" w:after="120" w:line="240" w:lineRule="auto"/>
        <w:jc w:val="both"/>
        <w:rPr>
          <w:noProof/>
        </w:rPr>
      </w:pPr>
      <w:r>
        <w:rPr>
          <w:noProof/>
        </w:rPr>
        <w:t>Syftet med denna investering är att utöka kapaciteten i det statliga molnet (CDU) för att möjliggöra en stor ökning av antalet användare och uppgradera det genom utveckling av nya funktioner, vilket ska omfatta följande:</w:t>
      </w:r>
    </w:p>
    <w:p w14:paraId="0855C8BA" w14:textId="77777777" w:rsidR="003A3D51" w:rsidRDefault="0002775A">
      <w:pPr>
        <w:pStyle w:val="P68B1DB1-Normal3"/>
        <w:numPr>
          <w:ilvl w:val="0"/>
          <w:numId w:val="20"/>
        </w:numPr>
        <w:spacing w:before="120" w:after="120" w:line="240" w:lineRule="auto"/>
        <w:jc w:val="both"/>
        <w:rPr>
          <w:noProof/>
        </w:rPr>
      </w:pPr>
      <w:r>
        <w:rPr>
          <w:noProof/>
        </w:rPr>
        <w:t>En plattform för utveckling, genomförande och testning av tillämpningar för användare,</w:t>
      </w:r>
    </w:p>
    <w:p w14:paraId="5E023F04" w14:textId="77777777" w:rsidR="003A3D51" w:rsidRDefault="0002775A">
      <w:pPr>
        <w:pStyle w:val="P68B1DB1-Normal3"/>
        <w:numPr>
          <w:ilvl w:val="0"/>
          <w:numId w:val="20"/>
        </w:numPr>
        <w:spacing w:before="120" w:after="120" w:line="240" w:lineRule="auto"/>
        <w:jc w:val="both"/>
        <w:rPr>
          <w:noProof/>
        </w:rPr>
      </w:pPr>
      <w:r>
        <w:rPr>
          <w:noProof/>
        </w:rPr>
        <w:t>En plattform för IKT-stöd,</w:t>
      </w:r>
    </w:p>
    <w:p w14:paraId="1738662E" w14:textId="77777777" w:rsidR="003A3D51" w:rsidRDefault="0002775A">
      <w:pPr>
        <w:pStyle w:val="P68B1DB1-Normal3"/>
        <w:numPr>
          <w:ilvl w:val="0"/>
          <w:numId w:val="20"/>
        </w:numPr>
        <w:spacing w:before="120" w:after="120" w:line="240" w:lineRule="auto"/>
        <w:jc w:val="both"/>
        <w:rPr>
          <w:noProof/>
        </w:rPr>
      </w:pPr>
      <w:r>
        <w:rPr>
          <w:noProof/>
        </w:rPr>
        <w:t>Ett centralt övervakningssystem för informationssäkerhet för att hantera potentiella säkerhetshändelser i informations- och kommunikationsinfrastrukturen.</w:t>
      </w:r>
    </w:p>
    <w:p w14:paraId="69B4B180" w14:textId="77777777" w:rsidR="003A3D51" w:rsidRDefault="0002775A">
      <w:pPr>
        <w:pStyle w:val="P68B1DB1-Normal3"/>
        <w:numPr>
          <w:ilvl w:val="0"/>
          <w:numId w:val="20"/>
        </w:numPr>
        <w:spacing w:before="120" w:after="120" w:line="240" w:lineRule="auto"/>
        <w:jc w:val="both"/>
        <w:rPr>
          <w:noProof/>
        </w:rPr>
      </w:pPr>
      <w:r>
        <w:rPr>
          <w:noProof/>
        </w:rPr>
        <w:t xml:space="preserve">En biometrisk autentiseringsplattform som inrättar en tjänst för biometrisk identifiering som är integrerad i det befintliga centrala systemet för hantering av användares rättigheter och identitet. </w:t>
      </w:r>
    </w:p>
    <w:p w14:paraId="540A5D95" w14:textId="77777777" w:rsidR="003A3D51" w:rsidRDefault="0002775A">
      <w:pPr>
        <w:pStyle w:val="P68B1DB1-Normal3"/>
        <w:numPr>
          <w:ilvl w:val="0"/>
          <w:numId w:val="20"/>
        </w:numPr>
        <w:spacing w:before="120" w:after="120" w:line="240" w:lineRule="auto"/>
        <w:jc w:val="both"/>
        <w:rPr>
          <w:noProof/>
        </w:rPr>
      </w:pPr>
      <w:r>
        <w:rPr>
          <w:noProof/>
        </w:rPr>
        <w:t>En plattform för att enkelt skapa och hantera digitalt innehåll på användarnas webbplatser, med funktioner för intuitiv indexering, sökning och hämtning av innehåll, format, granskning, publicering och diskussionsforum.</w:t>
      </w:r>
    </w:p>
    <w:p w14:paraId="2CB4EE0E" w14:textId="77777777" w:rsidR="003A3D51" w:rsidRDefault="0002775A">
      <w:pPr>
        <w:pStyle w:val="P68B1DB1-Normal3"/>
        <w:numPr>
          <w:ilvl w:val="0"/>
          <w:numId w:val="20"/>
        </w:numPr>
        <w:spacing w:before="120" w:after="120" w:line="240" w:lineRule="auto"/>
        <w:jc w:val="both"/>
        <w:rPr>
          <w:noProof/>
        </w:rPr>
      </w:pPr>
      <w:r>
        <w:rPr>
          <w:noProof/>
        </w:rPr>
        <w:t xml:space="preserve">En plattform för utveckling av blockkedjeteknik för det statliga molnet, i linje med den europeiska infrastrukturen för blockkedjetjänster. </w:t>
      </w:r>
    </w:p>
    <w:p w14:paraId="341D4928" w14:textId="77777777" w:rsidR="003A3D51" w:rsidRDefault="0002775A">
      <w:pPr>
        <w:pStyle w:val="P68B1DB1-Normal3"/>
        <w:spacing w:before="120" w:after="120" w:line="240" w:lineRule="auto"/>
        <w:jc w:val="both"/>
        <w:rPr>
          <w:noProof/>
        </w:rPr>
      </w:pPr>
      <w:r>
        <w:rPr>
          <w:noProof/>
        </w:rPr>
        <w:t>CDU-plattformen (Shared Services Centre) ska integreras i de gemensamma europeiska dataområdena för att möjliggöra säkert värdskap för, åtkomst till och ändring av data och tjänster på EU-nivå.</w:t>
      </w:r>
    </w:p>
    <w:p w14:paraId="628C549A" w14:textId="77777777" w:rsidR="003A3D51" w:rsidRDefault="0002775A">
      <w:pPr>
        <w:pStyle w:val="P68B1DB1-Normal3"/>
        <w:spacing w:before="120" w:after="120" w:line="240" w:lineRule="auto"/>
        <w:jc w:val="both"/>
        <w:rPr>
          <w:noProof/>
          <w:highlight w:val="yellow"/>
        </w:rPr>
      </w:pPr>
      <w:r>
        <w:rPr>
          <w:noProof/>
        </w:rPr>
        <w:t>Denna investering ska vara slutförd senast den 30 juni 2026.</w:t>
      </w:r>
    </w:p>
    <w:p w14:paraId="3C968651" w14:textId="77777777" w:rsidR="003A3D51" w:rsidRDefault="0002775A">
      <w:pPr>
        <w:pStyle w:val="P68B1DB1-Normal5"/>
        <w:spacing w:before="120" w:after="120" w:line="240" w:lineRule="auto"/>
        <w:ind w:left="851"/>
        <w:jc w:val="both"/>
        <w:rPr>
          <w:noProof/>
        </w:rPr>
      </w:pPr>
      <w:r>
        <w:rPr>
          <w:noProof/>
        </w:rPr>
        <w:t>Investering C2.3.R3-I2: Förstärkning av polisens kapacitet att bekämpa it-brottslighet</w:t>
      </w:r>
    </w:p>
    <w:p w14:paraId="75AB9A41" w14:textId="77777777" w:rsidR="003A3D51" w:rsidRDefault="0002775A">
      <w:pPr>
        <w:pStyle w:val="P68B1DB1-Normal3"/>
        <w:spacing w:before="120" w:after="120" w:line="240" w:lineRule="auto"/>
        <w:jc w:val="both"/>
        <w:rPr>
          <w:noProof/>
        </w:rPr>
      </w:pPr>
      <w:r>
        <w:rPr>
          <w:noProof/>
        </w:rPr>
        <w:t xml:space="preserve">Syftet med investeringen är att stärka inrikesministeriets kapacitet att bekämpa it-brottslighet. </w:t>
      </w:r>
    </w:p>
    <w:p w14:paraId="53499EBB" w14:textId="77777777" w:rsidR="003A3D51" w:rsidRDefault="0002775A">
      <w:pPr>
        <w:pStyle w:val="P68B1DB1-Normal3"/>
        <w:spacing w:before="120" w:after="120" w:line="240" w:lineRule="auto"/>
        <w:jc w:val="both"/>
        <w:rPr>
          <w:noProof/>
        </w:rPr>
      </w:pPr>
      <w:r>
        <w:rPr>
          <w:noProof/>
        </w:rPr>
        <w:t xml:space="preserve">Investeringen omfattar inköp av specialiserad polisutrustning för analys av digitala bevis, specialiserad utbildning för poliser för att upptäcka och bekämpa cyberattacker och genomförande av offentliga förebyggande kampanjer riktade till företag och medborgare för att öka medvetenheten om it-brottslighet. </w:t>
      </w:r>
    </w:p>
    <w:p w14:paraId="4A5B5429" w14:textId="77777777" w:rsidR="003A3D51" w:rsidRDefault="0002775A">
      <w:pPr>
        <w:pStyle w:val="P68B1DB1-Normal3"/>
        <w:spacing w:before="120" w:after="120" w:line="240" w:lineRule="auto"/>
        <w:jc w:val="both"/>
        <w:rPr>
          <w:noProof/>
        </w:rPr>
      </w:pPr>
      <w:r>
        <w:rPr>
          <w:noProof/>
        </w:rPr>
        <w:t>Denna investering ska vara slutförd senast den 31 december 2024.</w:t>
      </w:r>
    </w:p>
    <w:p w14:paraId="2CB875C6" w14:textId="77777777" w:rsidR="003A3D51" w:rsidRDefault="0002775A">
      <w:pPr>
        <w:pStyle w:val="P68B1DB1-Normal5"/>
        <w:spacing w:before="120" w:after="120" w:line="240" w:lineRule="auto"/>
        <w:ind w:left="851"/>
        <w:jc w:val="both"/>
        <w:rPr>
          <w:noProof/>
        </w:rPr>
      </w:pPr>
      <w:r>
        <w:rPr>
          <w:noProof/>
        </w:rPr>
        <w:t>Investering C2.3.R3-I3: Inrättande av en enda kontaktpunkt för alla e-offentliga helpdesktjänster</w:t>
      </w:r>
    </w:p>
    <w:p w14:paraId="3B8AEE58" w14:textId="77777777" w:rsidR="003A3D51" w:rsidRDefault="0002775A">
      <w:pPr>
        <w:pStyle w:val="P68B1DB1-Normal3"/>
        <w:spacing w:before="120" w:after="120" w:line="240" w:lineRule="auto"/>
        <w:jc w:val="both"/>
        <w:rPr>
          <w:noProof/>
        </w:rPr>
      </w:pPr>
      <w:r>
        <w:rPr>
          <w:noProof/>
        </w:rPr>
        <w:t xml:space="preserve">Syftet med investeringen är att skapa en enda kontaktpunkt (JKC) som harmoniserar och centraliserar hjälpcentralen för alla offentliga förvaltningars onlinetjänster. Den enda kontaktpunkten förväntas tillhandahålla en ny, förbättrad tjänst för medborgare och företag att kommunicera med offentliga förvaltningar och ska göra det möjligt för användarna att enkelt hitta den begärda informationen. Den gemensamma kontaktpunkten ska också ha funktioner som gör det möjligt för användarna att skicka återkoppling, bedöma kvaliteten på interaktionen med tjänstemän och efterhandsutvärderingar, vilket förväntas förändra samspelet mellan Kroatiens offentliga förvaltning och dess användare. </w:t>
      </w:r>
    </w:p>
    <w:p w14:paraId="5BE66F66" w14:textId="77777777" w:rsidR="003A3D51" w:rsidRDefault="0002775A">
      <w:pPr>
        <w:pStyle w:val="P68B1DB1-Normal3"/>
        <w:spacing w:before="120" w:after="120" w:line="240" w:lineRule="auto"/>
        <w:jc w:val="both"/>
        <w:rPr>
          <w:noProof/>
        </w:rPr>
      </w:pPr>
      <w:r>
        <w:rPr>
          <w:noProof/>
        </w:rPr>
        <w:t>Denna investering ska vara slutförd senast den 31 december 2023.</w:t>
      </w:r>
    </w:p>
    <w:p w14:paraId="324C7632" w14:textId="77777777" w:rsidR="003A3D51" w:rsidRDefault="0002775A">
      <w:pPr>
        <w:pStyle w:val="P68B1DB1-Normal5"/>
        <w:pageBreakBefore/>
        <w:spacing w:before="120" w:after="120" w:line="240" w:lineRule="auto"/>
        <w:ind w:left="851"/>
        <w:jc w:val="both"/>
        <w:rPr>
          <w:noProof/>
        </w:rPr>
      </w:pPr>
      <w:r>
        <w:rPr>
          <w:noProof/>
        </w:rPr>
        <w:t>Investering C2.3.R3-I4: Konsolidering av infrastruktursystemen för hälsoinformation från CEZIH</w:t>
      </w:r>
    </w:p>
    <w:p w14:paraId="3A5F2359" w14:textId="77777777" w:rsidR="003A3D51" w:rsidRDefault="0002775A">
      <w:pPr>
        <w:pStyle w:val="P68B1DB1-Normal3"/>
        <w:spacing w:before="120" w:after="100" w:line="240" w:lineRule="auto"/>
        <w:jc w:val="both"/>
        <w:rPr>
          <w:noProof/>
        </w:rPr>
      </w:pPr>
      <w:r>
        <w:rPr>
          <w:noProof/>
        </w:rPr>
        <w:t>Syftet med investeringen är att uppgradera Kroatiens centrala informationshälsosystem (CEZIH), som används av alla aktörer i hälso- och sjukvårdssystemet (t.ex. sjukhus, vårdpersonal, vårdskolor, folkhälsoinstitutioner, apotek och laboratorier).</w:t>
      </w:r>
    </w:p>
    <w:p w14:paraId="6EDBD63C" w14:textId="77777777" w:rsidR="003A3D51" w:rsidRDefault="0002775A">
      <w:pPr>
        <w:pStyle w:val="P68B1DB1-Normal3"/>
        <w:spacing w:before="120" w:after="100" w:line="240" w:lineRule="auto"/>
        <w:jc w:val="both"/>
        <w:rPr>
          <w:noProof/>
        </w:rPr>
      </w:pPr>
      <w:r>
        <w:rPr>
          <w:noProof/>
        </w:rPr>
        <w:t xml:space="preserve">Investeringen ska i synnerhet överföra systemet till det statliga molnet (gemensamt servicecentrum) och fastställa lösningar för katastrofhantering för att säkerställa driftskontinuitet och tillhandahålla ett kontinuerligt, tillförlitligt och säkert driftssätt för det centrala hälsoinformationssystemet. </w:t>
      </w:r>
    </w:p>
    <w:p w14:paraId="02B6B1E3" w14:textId="50470AB8" w:rsidR="003A3D51" w:rsidRDefault="0002775A">
      <w:pPr>
        <w:pStyle w:val="P68B1DB1-Normal3"/>
        <w:spacing w:before="120" w:after="120" w:line="240" w:lineRule="auto"/>
        <w:jc w:val="both"/>
        <w:rPr>
          <w:noProof/>
        </w:rPr>
      </w:pPr>
      <w:r>
        <w:rPr>
          <w:noProof/>
        </w:rPr>
        <w:t>Denna investering ska vara slutförd senast den 30 juni 2024.</w:t>
      </w:r>
    </w:p>
    <w:p w14:paraId="35D30F22" w14:textId="77777777" w:rsidR="003A3D51" w:rsidRDefault="0002775A">
      <w:pPr>
        <w:pStyle w:val="P68B1DB1-Normal5"/>
        <w:spacing w:before="120" w:after="120" w:line="240" w:lineRule="auto"/>
        <w:ind w:left="851"/>
        <w:jc w:val="both"/>
        <w:rPr>
          <w:noProof/>
        </w:rPr>
      </w:pPr>
      <w:r>
        <w:rPr>
          <w:noProof/>
        </w:rPr>
        <w:t>Investering C2.3.R3-I5: Projekt för införande av digitala identitetskort</w:t>
      </w:r>
    </w:p>
    <w:p w14:paraId="7CF851A2" w14:textId="7E19B5C5" w:rsidR="003A3D51" w:rsidRDefault="0002775A">
      <w:pPr>
        <w:pStyle w:val="P68B1DB1-Normal3"/>
        <w:spacing w:before="120" w:after="120" w:line="240" w:lineRule="auto"/>
        <w:jc w:val="both"/>
        <w:rPr>
          <w:noProof/>
        </w:rPr>
      </w:pPr>
      <w:r>
        <w:rPr>
          <w:noProof/>
        </w:rPr>
        <w:t>Syftet med investeringen är att främja användningen av elektroniska signaturer i medborgarnas kontakter med den offentliga förvaltningen. Åtgärden förväntas göra det möjligt för användare av e-legitimation att underteckna dokument på mobila plattformar genom att använda mobilapplikationen Certilia.</w:t>
      </w:r>
    </w:p>
    <w:p w14:paraId="5D60B33A" w14:textId="77777777" w:rsidR="003A3D51" w:rsidRDefault="0002775A">
      <w:pPr>
        <w:pStyle w:val="P68B1DB1-Normal3"/>
        <w:spacing w:before="120" w:after="120" w:line="240" w:lineRule="auto"/>
        <w:jc w:val="both"/>
        <w:rPr>
          <w:noProof/>
        </w:rPr>
      </w:pPr>
      <w:r>
        <w:rPr>
          <w:noProof/>
        </w:rPr>
        <w:t>Den ska inrätta ett system för hantering av digital identitet (IDP) och ett mobilsigneringssystem för att utfärda fjärrcertifikat för kvalificerade elektroniska signaturer på distans. Utfärdandet av ett sådant certifikat är en förutsättning för att underteckna handlingar elektroniskt på mobila plattformar eller i mobilapplikationer för signaturer.</w:t>
      </w:r>
    </w:p>
    <w:p w14:paraId="61C8B02E" w14:textId="3F406838" w:rsidR="003A3D51" w:rsidRDefault="0002775A">
      <w:pPr>
        <w:pStyle w:val="P68B1DB1-Normal3"/>
        <w:spacing w:before="120" w:after="120" w:line="240" w:lineRule="auto"/>
        <w:jc w:val="both"/>
        <w:rPr>
          <w:noProof/>
        </w:rPr>
      </w:pPr>
      <w:r>
        <w:rPr>
          <w:noProof/>
        </w:rPr>
        <w:t>Denna investering ska vara slutförd senast den 31 december 2024.</w:t>
      </w:r>
    </w:p>
    <w:p w14:paraId="6B1BB511" w14:textId="77777777" w:rsidR="003A3D51" w:rsidRDefault="0002775A">
      <w:pPr>
        <w:pStyle w:val="P68B1DB1-Normal5"/>
        <w:spacing w:before="120" w:after="120" w:line="240" w:lineRule="auto"/>
        <w:ind w:left="851"/>
        <w:jc w:val="both"/>
        <w:rPr>
          <w:noProof/>
        </w:rPr>
      </w:pPr>
      <w:r>
        <w:rPr>
          <w:noProof/>
        </w:rPr>
        <w:t>Investering C2.3.R3-I6: Investeringar i statliga informationsinfrastrukturnät</w:t>
      </w:r>
    </w:p>
    <w:p w14:paraId="20FE3DA5" w14:textId="77777777" w:rsidR="003A3D51" w:rsidRDefault="0002775A">
      <w:pPr>
        <w:pStyle w:val="P68B1DB1-Normal3"/>
        <w:spacing w:before="120" w:after="100" w:line="240" w:lineRule="auto"/>
        <w:jc w:val="both"/>
        <w:rPr>
          <w:noProof/>
        </w:rPr>
      </w:pPr>
      <w:r>
        <w:rPr>
          <w:noProof/>
        </w:rPr>
        <w:t xml:space="preserve">Syftet med denna investering är att modernisera och utöka kapaciteten hos det nationella nätverket för informationsinfrastruktur (DII-nätet), som används av offentliga myndigheter i Kroatien för att tillhandahålla onlinetjänster till medborgare och företag. </w:t>
      </w:r>
    </w:p>
    <w:p w14:paraId="548FAF24" w14:textId="77777777" w:rsidR="003A3D51" w:rsidRDefault="0002775A">
      <w:pPr>
        <w:pStyle w:val="P68B1DB1-Normal3"/>
        <w:spacing w:before="120" w:after="100" w:line="240" w:lineRule="auto"/>
        <w:jc w:val="both"/>
        <w:rPr>
          <w:noProof/>
        </w:rPr>
      </w:pPr>
      <w:r>
        <w:rPr>
          <w:noProof/>
        </w:rPr>
        <w:t xml:space="preserve">Investeringen omfattar utformning av en ny säker nätarkitektur som tillgodoser myndigheternas behov och kopplar samman alla användare med ett enda nät. Det nya nätet ska särskilt säkerställa bredbandstillgång till ett nät med mycket hög kapacitet (10 Gbps) för alla offentliga myndigheter. För att säkerställa kontinuerlig konnektivitet för alla institutioner i systemet ska investeringen modernisera nätverksövervakningscentrumet och inrätta ett system, tillgängligt 24 timmar per dag och 7 dagar i veckan, för att tillhandahålla teknisk felsökning och stöd till användarna. </w:t>
      </w:r>
    </w:p>
    <w:p w14:paraId="273EEDDE" w14:textId="77777777" w:rsidR="003A3D51" w:rsidRDefault="0002775A">
      <w:pPr>
        <w:pStyle w:val="P68B1DB1-Normal3"/>
        <w:spacing w:before="120" w:after="120" w:line="240" w:lineRule="auto"/>
        <w:jc w:val="both"/>
        <w:rPr>
          <w:noProof/>
        </w:rPr>
      </w:pPr>
      <w:r>
        <w:rPr>
          <w:noProof/>
        </w:rPr>
        <w:t>Denna investering ska vara slutförd senast den 31 december 2025.</w:t>
      </w:r>
    </w:p>
    <w:p w14:paraId="343825CE" w14:textId="77777777" w:rsidR="003A3D51" w:rsidRDefault="0002775A">
      <w:pPr>
        <w:pStyle w:val="P68B1DB1-Normal5"/>
        <w:spacing w:before="120" w:after="120" w:line="240" w:lineRule="auto"/>
        <w:ind w:left="851"/>
        <w:jc w:val="both"/>
        <w:rPr>
          <w:noProof/>
        </w:rPr>
      </w:pPr>
      <w:r>
        <w:rPr>
          <w:noProof/>
        </w:rPr>
        <w:t>Investering C2.3.R3-I7: Förbättring av systemet för fysisk planering, byggande och statliga tillgångar genom digitalisering</w:t>
      </w:r>
    </w:p>
    <w:p w14:paraId="690F269A" w14:textId="77777777" w:rsidR="003A3D51" w:rsidRDefault="0002775A">
      <w:pPr>
        <w:pStyle w:val="P68B1DB1-Normal3"/>
        <w:spacing w:before="120" w:after="100" w:line="240" w:lineRule="auto"/>
        <w:jc w:val="both"/>
        <w:rPr>
          <w:noProof/>
        </w:rPr>
      </w:pPr>
      <w:r>
        <w:rPr>
          <w:noProof/>
        </w:rPr>
        <w:t>Syftet med denna investering är att uppgradera informationssystemet för fysisk planering och statlig äganderätt (ISPU) för att inrätta ett integrerat informationssystem för fysisk planering och möjliggöra digitalisering av förfaranden för förberedelse och genomförande av enskilda projekt, från identifiering av projektets lokalisering till erhållande av nödvändiga tillstånd.</w:t>
      </w:r>
    </w:p>
    <w:p w14:paraId="0548C8D3" w14:textId="77777777" w:rsidR="003A3D51" w:rsidRDefault="0002775A">
      <w:pPr>
        <w:pStyle w:val="P68B1DB1-Normal3"/>
        <w:spacing w:before="120" w:after="100" w:line="240" w:lineRule="auto"/>
        <w:jc w:val="both"/>
        <w:rPr>
          <w:noProof/>
        </w:rPr>
      </w:pPr>
      <w:r>
        <w:rPr>
          <w:noProof/>
        </w:rPr>
        <w:t xml:space="preserve">Åtgärden ska också möjliggöra förvärv av satellitbilder från Kroatiens högupplösta område och utveckling av digitala fysiska planer. </w:t>
      </w:r>
    </w:p>
    <w:p w14:paraId="544D0930" w14:textId="77777777" w:rsidR="003A3D51" w:rsidRDefault="0002775A">
      <w:pPr>
        <w:pStyle w:val="P68B1DB1-Normal3"/>
        <w:spacing w:before="120" w:after="120" w:line="240" w:lineRule="auto"/>
        <w:jc w:val="both"/>
        <w:rPr>
          <w:noProof/>
        </w:rPr>
      </w:pPr>
      <w:r>
        <w:rPr>
          <w:noProof/>
        </w:rPr>
        <w:t>Denna investering ska vara slutförd senast den 31 december 2025.</w:t>
      </w:r>
    </w:p>
    <w:p w14:paraId="2A665BAB" w14:textId="77777777" w:rsidR="003A3D51" w:rsidRDefault="0002775A">
      <w:pPr>
        <w:pStyle w:val="P68B1DB1-Normal5"/>
        <w:pageBreakBefore/>
        <w:spacing w:before="120" w:after="120" w:line="240" w:lineRule="auto"/>
        <w:ind w:left="851"/>
        <w:jc w:val="both"/>
        <w:rPr>
          <w:noProof/>
        </w:rPr>
      </w:pPr>
      <w:r>
        <w:rPr>
          <w:noProof/>
        </w:rPr>
        <w:t>Investering C2.3.R3-I8: Skapande av en digital mobil plattform</w:t>
      </w:r>
    </w:p>
    <w:p w14:paraId="33D771CF" w14:textId="77777777" w:rsidR="003A3D51" w:rsidRDefault="0002775A">
      <w:pPr>
        <w:pStyle w:val="P68B1DB1-Normal3"/>
        <w:spacing w:before="120" w:after="100" w:line="240" w:lineRule="auto"/>
        <w:jc w:val="both"/>
        <w:rPr>
          <w:noProof/>
        </w:rPr>
      </w:pPr>
      <w:r>
        <w:rPr>
          <w:noProof/>
        </w:rPr>
        <w:t>Syftet med denna investering är att skapa en mobil plattform för digitala offentliga tjänster som gör det möjligt för medborgarna att enkelt använda offentliga tjänster online på sina smarttelefoner. De befintliga ”e-medborgartjänsterna” har utvecklats för persondatorer och är för närvarande inte anpassade till mobila enheter, vilket innebär att det behövs en plattform som är anpassad till mobila applikationer.</w:t>
      </w:r>
    </w:p>
    <w:p w14:paraId="6B35DF00" w14:textId="77777777" w:rsidR="003A3D51" w:rsidRDefault="0002775A">
      <w:pPr>
        <w:pStyle w:val="P68B1DB1-Normal3"/>
        <w:spacing w:before="120" w:after="100" w:line="240" w:lineRule="auto"/>
        <w:jc w:val="both"/>
        <w:rPr>
          <w:noProof/>
        </w:rPr>
      </w:pPr>
      <w:r>
        <w:rPr>
          <w:noProof/>
        </w:rPr>
        <w:t>Denna investering, med användning av den senaste tekniken och de senaste standarderna, ska bygga upp en plattform som tillhandahåller ett standardiserat sätt att erbjuda offentliga tjänster på mobila plattformar (såsom begäran om födelseattest, begäran om bevis på bosättning, registrering av en adressändring, registrering av ett motorfordon). Den ska ansluta alla relaterade register och databaser till den centrala databasen för datautbyte (GSB). Investeringen ska också göra det möjligt att uppgradera det nationella identifieringsautentiseringssystemet (NIAS) till de senaste autentiseringstrenderna för mobila plattformar och införa moderna metoder för biometrisk tillämpning.</w:t>
      </w:r>
    </w:p>
    <w:p w14:paraId="0CB8E3D0" w14:textId="77777777" w:rsidR="003A3D51" w:rsidRDefault="0002775A">
      <w:pPr>
        <w:pStyle w:val="P68B1DB1-Normal3"/>
        <w:spacing w:before="120" w:after="120" w:line="240" w:lineRule="auto"/>
        <w:jc w:val="both"/>
        <w:rPr>
          <w:noProof/>
        </w:rPr>
      </w:pPr>
      <w:r>
        <w:rPr>
          <w:noProof/>
        </w:rPr>
        <w:t>Denna investering ska vara slutförd senast den 31 december 2025.</w:t>
      </w:r>
    </w:p>
    <w:p w14:paraId="2C0849C0" w14:textId="77777777" w:rsidR="003A3D51" w:rsidRDefault="0002775A">
      <w:pPr>
        <w:pStyle w:val="P68B1DB1-Normal5"/>
        <w:spacing w:before="120" w:after="120" w:line="240" w:lineRule="auto"/>
        <w:ind w:left="851"/>
        <w:jc w:val="both"/>
        <w:rPr>
          <w:noProof/>
        </w:rPr>
      </w:pPr>
      <w:r>
        <w:rPr>
          <w:noProof/>
        </w:rPr>
        <w:t>Investering C2.3.R3-I9: Om inrättande av en ny plattform för Kroatiens elektroniska bulletin för offentlig upphandling</w:t>
      </w:r>
    </w:p>
    <w:p w14:paraId="55022483" w14:textId="77777777" w:rsidR="003A3D51" w:rsidRDefault="0002775A">
      <w:pPr>
        <w:pStyle w:val="P68B1DB1-Normal3"/>
        <w:spacing w:before="120" w:after="100" w:line="240" w:lineRule="auto"/>
        <w:jc w:val="both"/>
        <w:rPr>
          <w:noProof/>
        </w:rPr>
      </w:pPr>
      <w:r>
        <w:rPr>
          <w:noProof/>
        </w:rPr>
        <w:t>Syftet med denna investering är att inrätta en ny it-plattform för e-upphandlingssystemet, i syfte att stödja digitaliseringen av processen för offentlig upphandling och genomföra de nya standardformulär för offentliggörande av meddelanden om offentlig upphandling som fastställs i kommissionens genomförandeförordning (EU) 2019/1780 (e-formulär).</w:t>
      </w:r>
    </w:p>
    <w:p w14:paraId="4E3FA6A8" w14:textId="77777777" w:rsidR="003A3D51" w:rsidRDefault="0002775A">
      <w:pPr>
        <w:pStyle w:val="P68B1DB1-Normal3"/>
        <w:spacing w:before="120" w:after="100" w:line="240" w:lineRule="auto"/>
        <w:jc w:val="both"/>
        <w:rPr>
          <w:noProof/>
        </w:rPr>
      </w:pPr>
      <w:r>
        <w:rPr>
          <w:noProof/>
        </w:rPr>
        <w:t>Investeringen ska modernisera it-plattformen för Kroatiens elektroniska annonsering för offentlig upphandling (EOJN), som för närvarande bygger på föråldrad teknik och inte på lämpligt sätt stöder ett effektivt genomförande av offentliga upphandlingsförfaranden. Åtgärden ska särskilt göra det möjligt att koppla alla upphandlingsförfaranden (från upphandlingsplan, genom genomförandet av förfarandet till uppgifter om betalningar som grundar sig på ingångna kontrakt) och ska införa online-överklaganden (e-överklaganden) som obligatoriska och möjligheten att betala avgifter online. Investeringen ska också fastställa en ram för att spåra efterlevnaden av vissa obligatoriska minimikriterier och mål (såsom strategisk, grön eller innovativ offentlig upphandling).</w:t>
      </w:r>
    </w:p>
    <w:p w14:paraId="7AE9588A" w14:textId="77777777" w:rsidR="003A3D51" w:rsidRDefault="0002775A">
      <w:pPr>
        <w:pStyle w:val="P68B1DB1-Normal3"/>
        <w:spacing w:before="120" w:after="120" w:line="240" w:lineRule="auto"/>
        <w:jc w:val="both"/>
        <w:rPr>
          <w:noProof/>
        </w:rPr>
      </w:pPr>
      <w:r>
        <w:rPr>
          <w:noProof/>
        </w:rPr>
        <w:t>Denna investering ska vara slutförd senast den 31 december 2023.</w:t>
      </w:r>
    </w:p>
    <w:p w14:paraId="64F69A58" w14:textId="77777777" w:rsidR="003A3D51" w:rsidRDefault="0002775A">
      <w:pPr>
        <w:pStyle w:val="P68B1DB1-Normal5"/>
        <w:spacing w:before="120" w:after="120" w:line="240" w:lineRule="auto"/>
        <w:ind w:left="851"/>
        <w:jc w:val="both"/>
        <w:rPr>
          <w:noProof/>
        </w:rPr>
      </w:pPr>
      <w:r>
        <w:rPr>
          <w:noProof/>
        </w:rPr>
        <w:t>Investering C2.3.R3-I10: Digitalisering och datorisering av CES (eHZZ)</w:t>
      </w:r>
    </w:p>
    <w:p w14:paraId="638C17AE" w14:textId="77777777" w:rsidR="003A3D51" w:rsidRDefault="0002775A">
      <w:pPr>
        <w:pStyle w:val="P68B1DB1-Normal3"/>
        <w:spacing w:before="120" w:after="100" w:line="240" w:lineRule="auto"/>
        <w:jc w:val="both"/>
        <w:rPr>
          <w:noProof/>
        </w:rPr>
      </w:pPr>
      <w:r>
        <w:rPr>
          <w:noProof/>
        </w:rPr>
        <w:t xml:space="preserve">Syftet med denna investering är att digitalisera den kroatiska arbetsförmedlingen (CES – HZZ), som för närvarande tillhandahåller de flesta handlingar i pappersformat utan något automatiserat system för digital lagring av dokumentation. Investeringen förväntas skapa ett system för hantering av digital identitet, ett system för personaladministration och digitalisering av CES:s arkiv. </w:t>
      </w:r>
    </w:p>
    <w:p w14:paraId="107555C4" w14:textId="77777777" w:rsidR="003A3D51" w:rsidRDefault="0002775A">
      <w:pPr>
        <w:pStyle w:val="P68B1DB1-Normal3"/>
        <w:spacing w:before="120" w:after="100" w:line="240" w:lineRule="auto"/>
        <w:jc w:val="both"/>
        <w:rPr>
          <w:noProof/>
        </w:rPr>
      </w:pPr>
      <w:r>
        <w:rPr>
          <w:noProof/>
        </w:rPr>
        <w:t xml:space="preserve">Investeringen ska helt automatisera och digitalisera CES:s affärsprocesser, med nya it-lösningar för att påskynda och automatisera CES:s arbete, höja säkerhetsnivån för alla affärsdata och möjliggöra spridning och central behandling av elektroniska dokument samt digitala och biometriska signaturer. </w:t>
      </w:r>
    </w:p>
    <w:p w14:paraId="0067F4BB"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2F246A13" w14:textId="77777777" w:rsidR="003A3D51" w:rsidRDefault="0002775A">
      <w:pPr>
        <w:pStyle w:val="P68B1DB1-Normal5"/>
        <w:pageBreakBefore/>
        <w:spacing w:before="120" w:after="120" w:line="240" w:lineRule="auto"/>
        <w:ind w:left="851"/>
        <w:jc w:val="both"/>
        <w:rPr>
          <w:noProof/>
        </w:rPr>
      </w:pPr>
      <w:r>
        <w:rPr>
          <w:noProof/>
        </w:rPr>
        <w:t>Investering C2.3.R3-I11: IKT-stöd modernisering av HZMO (eHZMO)</w:t>
      </w:r>
    </w:p>
    <w:p w14:paraId="230620F7" w14:textId="77777777" w:rsidR="003A3D51" w:rsidRDefault="0002775A">
      <w:pPr>
        <w:pStyle w:val="P68B1DB1-Normal3"/>
        <w:spacing w:before="120" w:after="100" w:line="240" w:lineRule="auto"/>
        <w:jc w:val="both"/>
        <w:rPr>
          <w:noProof/>
        </w:rPr>
      </w:pPr>
      <w:r>
        <w:rPr>
          <w:noProof/>
        </w:rPr>
        <w:t>Syftet med denna investering är att modernisera det föråldrade it-systemet vid det kroatiska pensionsförsäkringsinstitutet (HZMO) och digitalisera dess kärnverksamhet. Åtgärden förväntas öka HZMO:s effektivitet och stödja dess tillhandahållande av kvalitetstjänster.</w:t>
      </w:r>
    </w:p>
    <w:p w14:paraId="3D2B5F39" w14:textId="77777777" w:rsidR="003A3D51" w:rsidRDefault="0002775A">
      <w:pPr>
        <w:pStyle w:val="P68B1DB1-Normal3"/>
        <w:spacing w:before="120" w:after="100" w:line="240" w:lineRule="auto"/>
        <w:jc w:val="both"/>
        <w:rPr>
          <w:noProof/>
        </w:rPr>
      </w:pPr>
      <w:r>
        <w:rPr>
          <w:noProof/>
        </w:rPr>
        <w:t>Investeringen ska bygga upp ett nytt it-system till stöd för kärnprocesser, som ska omfatta moduler för hantering av</w:t>
      </w:r>
    </w:p>
    <w:p w14:paraId="43F0F017" w14:textId="77777777" w:rsidR="003A3D51" w:rsidRDefault="0002775A">
      <w:pPr>
        <w:pStyle w:val="P68B1DB1-Normal3"/>
        <w:numPr>
          <w:ilvl w:val="0"/>
          <w:numId w:val="20"/>
        </w:numPr>
        <w:spacing w:before="120" w:after="100" w:line="240" w:lineRule="auto"/>
        <w:contextualSpacing/>
        <w:jc w:val="both"/>
        <w:rPr>
          <w:noProof/>
        </w:rPr>
      </w:pPr>
      <w:r>
        <w:rPr>
          <w:noProof/>
        </w:rPr>
        <w:t xml:space="preserve">beräkningarna av pensions- och barnbidrag, </w:t>
      </w:r>
    </w:p>
    <w:p w14:paraId="0D3768CB" w14:textId="77777777" w:rsidR="003A3D51" w:rsidRDefault="0002775A">
      <w:pPr>
        <w:pStyle w:val="P68B1DB1-Normal3"/>
        <w:numPr>
          <w:ilvl w:val="0"/>
          <w:numId w:val="20"/>
        </w:numPr>
        <w:spacing w:before="120" w:after="100" w:line="240" w:lineRule="auto"/>
        <w:contextualSpacing/>
        <w:jc w:val="both"/>
        <w:rPr>
          <w:noProof/>
        </w:rPr>
      </w:pPr>
      <w:r>
        <w:rPr>
          <w:noProof/>
        </w:rPr>
        <w:t>uppgifter om bidrag och betalningar.</w:t>
      </w:r>
    </w:p>
    <w:p w14:paraId="21BBDD55" w14:textId="77777777" w:rsidR="003A3D51" w:rsidRDefault="0002775A">
      <w:pPr>
        <w:pStyle w:val="P68B1DB1-Normal3"/>
        <w:numPr>
          <w:ilvl w:val="0"/>
          <w:numId w:val="20"/>
        </w:numPr>
        <w:spacing w:before="120" w:after="100" w:line="240" w:lineRule="auto"/>
        <w:contextualSpacing/>
        <w:jc w:val="both"/>
        <w:rPr>
          <w:noProof/>
        </w:rPr>
      </w:pPr>
      <w:r>
        <w:rPr>
          <w:noProof/>
        </w:rPr>
        <w:t>uppgifter om stödmottagare.</w:t>
      </w:r>
    </w:p>
    <w:p w14:paraId="3F26D873" w14:textId="77777777" w:rsidR="003A3D51" w:rsidRDefault="0002775A">
      <w:pPr>
        <w:pStyle w:val="P68B1DB1-Normal3"/>
        <w:numPr>
          <w:ilvl w:val="0"/>
          <w:numId w:val="20"/>
        </w:numPr>
        <w:spacing w:before="120" w:after="100" w:line="240" w:lineRule="auto"/>
        <w:contextualSpacing/>
        <w:jc w:val="both"/>
        <w:rPr>
          <w:noProof/>
        </w:rPr>
      </w:pPr>
      <w:r>
        <w:rPr>
          <w:noProof/>
        </w:rPr>
        <w:t>överklaganden, prövningsförfaranden och tvister.</w:t>
      </w:r>
    </w:p>
    <w:p w14:paraId="504A940F" w14:textId="77777777" w:rsidR="003A3D51" w:rsidRDefault="0002775A">
      <w:pPr>
        <w:pStyle w:val="P68B1DB1-Normal3"/>
        <w:numPr>
          <w:ilvl w:val="0"/>
          <w:numId w:val="20"/>
        </w:numPr>
        <w:spacing w:before="120" w:after="100" w:line="240" w:lineRule="auto"/>
        <w:contextualSpacing/>
        <w:jc w:val="both"/>
        <w:rPr>
          <w:noProof/>
        </w:rPr>
      </w:pPr>
      <w:r>
        <w:rPr>
          <w:noProof/>
        </w:rPr>
        <w:t>digitala handlingar och arkiv.</w:t>
      </w:r>
    </w:p>
    <w:p w14:paraId="581EECF2" w14:textId="77777777" w:rsidR="003A3D51" w:rsidRDefault="0002775A">
      <w:pPr>
        <w:pStyle w:val="P68B1DB1-Normal3"/>
        <w:numPr>
          <w:ilvl w:val="0"/>
          <w:numId w:val="20"/>
        </w:numPr>
        <w:spacing w:before="120" w:after="100" w:line="240" w:lineRule="auto"/>
        <w:contextualSpacing/>
        <w:jc w:val="both"/>
        <w:rPr>
          <w:noProof/>
        </w:rPr>
      </w:pPr>
      <w:r>
        <w:rPr>
          <w:noProof/>
        </w:rPr>
        <w:t>analys- och redovisningsuppgifter.</w:t>
      </w:r>
    </w:p>
    <w:p w14:paraId="3574F687" w14:textId="77777777" w:rsidR="003A3D51" w:rsidRDefault="0002775A">
      <w:pPr>
        <w:pStyle w:val="P68B1DB1-Normal3"/>
        <w:numPr>
          <w:ilvl w:val="0"/>
          <w:numId w:val="20"/>
        </w:numPr>
        <w:spacing w:before="120" w:after="100" w:line="240" w:lineRule="auto"/>
        <w:contextualSpacing/>
        <w:jc w:val="both"/>
        <w:rPr>
          <w:noProof/>
        </w:rPr>
      </w:pPr>
      <w:r>
        <w:rPr>
          <w:noProof/>
        </w:rPr>
        <w:t>finansiella transaktioner,</w:t>
      </w:r>
    </w:p>
    <w:p w14:paraId="6322611F" w14:textId="77777777" w:rsidR="003A3D51" w:rsidRDefault="0002775A">
      <w:pPr>
        <w:pStyle w:val="P68B1DB1-Normal3"/>
        <w:numPr>
          <w:ilvl w:val="0"/>
          <w:numId w:val="20"/>
        </w:numPr>
        <w:spacing w:before="120" w:after="100" w:line="240" w:lineRule="auto"/>
        <w:contextualSpacing/>
        <w:jc w:val="both"/>
        <w:rPr>
          <w:noProof/>
        </w:rPr>
      </w:pPr>
      <w:r>
        <w:rPr>
          <w:noProof/>
        </w:rPr>
        <w:t>förfaranden för upphandling, upphandling och beställning.</w:t>
      </w:r>
    </w:p>
    <w:p w14:paraId="38F4D86D" w14:textId="77777777" w:rsidR="003A3D51" w:rsidRDefault="0002775A">
      <w:pPr>
        <w:pStyle w:val="P68B1DB1-Normal3"/>
        <w:numPr>
          <w:ilvl w:val="0"/>
          <w:numId w:val="20"/>
        </w:numPr>
        <w:spacing w:before="120" w:after="100" w:line="240" w:lineRule="auto"/>
        <w:contextualSpacing/>
        <w:jc w:val="both"/>
        <w:rPr>
          <w:noProof/>
        </w:rPr>
      </w:pPr>
      <w:r>
        <w:rPr>
          <w:noProof/>
        </w:rPr>
        <w:t>skulder och skulder (köpare/leverantörer).</w:t>
      </w:r>
    </w:p>
    <w:p w14:paraId="241F923C" w14:textId="77777777" w:rsidR="003A3D51" w:rsidRDefault="0002775A">
      <w:pPr>
        <w:pStyle w:val="P68B1DB1-Normal3"/>
        <w:numPr>
          <w:ilvl w:val="0"/>
          <w:numId w:val="20"/>
        </w:numPr>
        <w:spacing w:before="120" w:after="100" w:line="240" w:lineRule="auto"/>
        <w:contextualSpacing/>
        <w:jc w:val="both"/>
        <w:rPr>
          <w:noProof/>
        </w:rPr>
      </w:pPr>
      <w:r>
        <w:rPr>
          <w:noProof/>
        </w:rPr>
        <w:t>kapitalförvaltning.</w:t>
      </w:r>
    </w:p>
    <w:p w14:paraId="6A39C9F5" w14:textId="77777777" w:rsidR="003A3D51" w:rsidRDefault="0002775A">
      <w:pPr>
        <w:pStyle w:val="P68B1DB1-Normal3"/>
        <w:spacing w:before="120" w:after="100" w:line="240" w:lineRule="auto"/>
        <w:jc w:val="both"/>
        <w:rPr>
          <w:noProof/>
        </w:rPr>
      </w:pPr>
      <w:r>
        <w:rPr>
          <w:noProof/>
        </w:rPr>
        <w:t>Denna investering ska vara slutförd senast den 30 juni 2026.</w:t>
      </w:r>
    </w:p>
    <w:p w14:paraId="4605A4C1" w14:textId="77777777" w:rsidR="003A3D51" w:rsidRDefault="0002775A">
      <w:pPr>
        <w:pStyle w:val="P68B1DB1-Normal5"/>
        <w:spacing w:before="120" w:after="120" w:line="240" w:lineRule="auto"/>
        <w:ind w:left="851"/>
        <w:jc w:val="both"/>
        <w:rPr>
          <w:noProof/>
        </w:rPr>
      </w:pPr>
      <w:r>
        <w:rPr>
          <w:noProof/>
        </w:rPr>
        <w:t>Investering C2.3.R3-I12 Digitalisering av HZMO:s arkiv (eArhiva)</w:t>
      </w:r>
    </w:p>
    <w:p w14:paraId="618E5767" w14:textId="77777777" w:rsidR="003A3D51" w:rsidRDefault="0002775A">
      <w:pPr>
        <w:pStyle w:val="P68B1DB1-Normal3"/>
        <w:spacing w:before="120" w:after="100" w:line="240" w:lineRule="auto"/>
        <w:jc w:val="both"/>
        <w:rPr>
          <w:noProof/>
        </w:rPr>
      </w:pPr>
      <w:r>
        <w:rPr>
          <w:noProof/>
        </w:rPr>
        <w:t>Syftet med denna investering är att digitalisera det kroatiska pensionsförsäkringsinstitutets (HZMO) arkiv. Åtgärden förväntas avsevärt förbättra det övergripande resultatet av HZMO:s arbete och kostnadseffektiviteten i arkivförvaltningen, som för närvarande till stor del bygger på manuell sökning. Investeringen ska inrätta ett digitalt arkivhanteringssystem och en enda plats för permanent förvaring av arkiv. Investeringen är avsedd att digitalisera befintligt material, men också att inrätta ett centralt system som ska göra det möjligt att digitalisera alla nyskapade föremål, att registreras och lagras i det digitala arkivsystemet.</w:t>
      </w:r>
    </w:p>
    <w:p w14:paraId="2CBBFBB6" w14:textId="77777777" w:rsidR="003A3D51" w:rsidRDefault="0002775A">
      <w:pPr>
        <w:pStyle w:val="P68B1DB1-Normal3"/>
        <w:spacing w:before="120" w:after="100" w:line="240" w:lineRule="auto"/>
        <w:jc w:val="both"/>
        <w:rPr>
          <w:noProof/>
        </w:rPr>
      </w:pPr>
      <w:r>
        <w:rPr>
          <w:noProof/>
        </w:rPr>
        <w:t>HZMO har för närvarande cirka 4.5 miljoner ärenden till sitt förfogande. Syftet med investeringen är att digitalisera 1.000.000 aktiva filer (cirka 50.000.000 sidor).</w:t>
      </w:r>
    </w:p>
    <w:p w14:paraId="42B4412B" w14:textId="77777777" w:rsidR="003A3D51" w:rsidRDefault="0002775A">
      <w:pPr>
        <w:pStyle w:val="P68B1DB1-Normal3"/>
        <w:spacing w:before="120" w:after="100" w:line="240" w:lineRule="auto"/>
        <w:jc w:val="both"/>
        <w:rPr>
          <w:noProof/>
        </w:rPr>
      </w:pPr>
      <w:r>
        <w:rPr>
          <w:noProof/>
        </w:rPr>
        <w:t>Denna investering ska vara slutförd senast den 30 juni 2026.</w:t>
      </w:r>
    </w:p>
    <w:p w14:paraId="1834F679" w14:textId="77777777" w:rsidR="003A3D51" w:rsidRDefault="0002775A">
      <w:pPr>
        <w:pStyle w:val="P68B1DB1-Normal5"/>
        <w:spacing w:before="120" w:after="120" w:line="240" w:lineRule="auto"/>
        <w:ind w:left="851"/>
        <w:jc w:val="both"/>
        <w:rPr>
          <w:noProof/>
        </w:rPr>
      </w:pPr>
      <w:r>
        <w:rPr>
          <w:noProof/>
        </w:rPr>
        <w:t>Investering C2.3.R3-I13: Den digitala omvandlingen av skatteförvaltningen</w:t>
      </w:r>
    </w:p>
    <w:p w14:paraId="42E0505B" w14:textId="77777777" w:rsidR="003A3D51" w:rsidRDefault="0002775A">
      <w:pPr>
        <w:pStyle w:val="P68B1DB1-Normal3"/>
        <w:spacing w:before="120" w:after="100" w:line="240" w:lineRule="auto"/>
        <w:jc w:val="both"/>
        <w:rPr>
          <w:noProof/>
        </w:rPr>
      </w:pPr>
      <w:r>
        <w:rPr>
          <w:noProof/>
        </w:rPr>
        <w:t xml:space="preserve">Syftet med denna investering är att modernisera informationssystemet för skatteförvaltningen i syfte att utveckla en användarvänlig it-plattform med åtkomst för både skattebetalare och skatteförvaltningstjänstemän, och därigenom öka skatteförvaltningens effektivitet. </w:t>
      </w:r>
    </w:p>
    <w:p w14:paraId="32778914" w14:textId="77777777" w:rsidR="003A3D51" w:rsidRDefault="0002775A">
      <w:pPr>
        <w:pStyle w:val="P68B1DB1-Normal3"/>
        <w:spacing w:before="120" w:after="100" w:line="240" w:lineRule="auto"/>
        <w:jc w:val="both"/>
        <w:rPr>
          <w:noProof/>
        </w:rPr>
      </w:pPr>
      <w:r>
        <w:rPr>
          <w:noProof/>
        </w:rPr>
        <w:t>Investeringen ska uppgradera skatteförvaltningens IKT-infrastruktur och utveckla en plattform som möjliggör automatisering av skatteförvaltningens affärsprocesser. Plattformen ska också tillhandahålla dataanalys och stödja skatteförvaltningens framtida behov, öka säkerheten i IKT-infrastrukturen och säkerställa driftskontinuitet i händelse av krissituationer.</w:t>
      </w:r>
    </w:p>
    <w:p w14:paraId="2ED28BD3" w14:textId="77777777" w:rsidR="003A3D51" w:rsidRDefault="0002775A">
      <w:pPr>
        <w:pStyle w:val="P68B1DB1-Normal3"/>
        <w:spacing w:before="120" w:after="100" w:line="240" w:lineRule="auto"/>
        <w:jc w:val="both"/>
        <w:rPr>
          <w:noProof/>
        </w:rPr>
      </w:pPr>
      <w:r>
        <w:rPr>
          <w:noProof/>
        </w:rPr>
        <w:t>Investeringen ska vara slutförd senast den 30 juni 2026.</w:t>
      </w:r>
    </w:p>
    <w:p w14:paraId="5E4AE309" w14:textId="77777777" w:rsidR="003A3D51" w:rsidRDefault="0002775A">
      <w:pPr>
        <w:pStyle w:val="P68B1DB1-Normal5"/>
        <w:pageBreakBefore/>
        <w:spacing w:before="120" w:after="120" w:line="240" w:lineRule="auto"/>
        <w:ind w:left="851"/>
        <w:jc w:val="both"/>
        <w:rPr>
          <w:noProof/>
        </w:rPr>
      </w:pPr>
      <w:r>
        <w:rPr>
          <w:noProof/>
        </w:rPr>
        <w:t>Investering C2.3.R3-I14: Införande av det icke-kontanta betalningssystemet i ekonomin genom e-fakturor med integrerade e-arkiv och aktiv skatteredovisning</w:t>
      </w:r>
    </w:p>
    <w:p w14:paraId="79F4B1BF" w14:textId="77777777" w:rsidR="003A3D51" w:rsidRDefault="0002775A">
      <w:pPr>
        <w:pStyle w:val="P68B1DB1-Normal3"/>
        <w:spacing w:before="120" w:after="100" w:line="240" w:lineRule="auto"/>
        <w:jc w:val="both"/>
        <w:rPr>
          <w:noProof/>
        </w:rPr>
      </w:pPr>
      <w:r>
        <w:rPr>
          <w:noProof/>
        </w:rPr>
        <w:t xml:space="preserve">Syftet med denna investering är att inrätta ett onlinesystem för skatteredovisning i syfte att minska skattebetalarnas administrativa börda. </w:t>
      </w:r>
    </w:p>
    <w:p w14:paraId="3B53F8A7" w14:textId="77777777" w:rsidR="003A3D51" w:rsidRDefault="0002775A">
      <w:pPr>
        <w:pStyle w:val="P68B1DB1-Normal3"/>
        <w:spacing w:before="120" w:after="100" w:line="240" w:lineRule="auto"/>
        <w:jc w:val="both"/>
        <w:rPr>
          <w:noProof/>
        </w:rPr>
      </w:pPr>
      <w:r>
        <w:rPr>
          <w:noProof/>
        </w:rPr>
        <w:t xml:space="preserve">Investeringen ska inrätta ett nytt it-system för registrering av elektroniska fakturor (e-fakturor) som utfärdas av offentliga myndigheter för icke-kontanta betalningar i skatteförvaltningens informationssystem. Investeringen ska också inrätta ett avancerat online-redovisningssystem för mervärdesskatt. </w:t>
      </w:r>
    </w:p>
    <w:p w14:paraId="1F76F9B5" w14:textId="77777777" w:rsidR="003A3D51" w:rsidRDefault="0002775A">
      <w:pPr>
        <w:pStyle w:val="P68B1DB1-Normal3"/>
        <w:spacing w:before="120" w:after="100" w:line="240" w:lineRule="auto"/>
        <w:jc w:val="both"/>
        <w:rPr>
          <w:noProof/>
        </w:rPr>
      </w:pPr>
      <w:r>
        <w:rPr>
          <w:noProof/>
        </w:rPr>
        <w:t xml:space="preserve">Investeringen förväntas bidra till att förenkla skattedeklarationerna genom att minska antalet formulär som krävs och stödja efterlevnaden av skattereglerna. </w:t>
      </w:r>
    </w:p>
    <w:p w14:paraId="325662D5" w14:textId="77777777" w:rsidR="003A3D51" w:rsidRDefault="0002775A">
      <w:pPr>
        <w:pStyle w:val="P68B1DB1-Normal3"/>
        <w:spacing w:before="120" w:after="100" w:line="240" w:lineRule="auto"/>
        <w:jc w:val="both"/>
        <w:rPr>
          <w:noProof/>
        </w:rPr>
      </w:pPr>
      <w:r>
        <w:rPr>
          <w:noProof/>
        </w:rPr>
        <w:t xml:space="preserve">Investeringen ska vara slutförd senast den 31 december 2024. </w:t>
      </w:r>
    </w:p>
    <w:p w14:paraId="371A4332" w14:textId="77777777" w:rsidR="003A3D51" w:rsidRDefault="0002775A">
      <w:pPr>
        <w:pStyle w:val="P68B1DB1-Normal5"/>
        <w:spacing w:before="120" w:after="120" w:line="240" w:lineRule="auto"/>
        <w:ind w:left="851"/>
        <w:jc w:val="both"/>
        <w:rPr>
          <w:noProof/>
        </w:rPr>
      </w:pPr>
      <w:r>
        <w:rPr>
          <w:noProof/>
        </w:rPr>
        <w:t>Investering C2.3.R3-I15: Inrättande av lösningar för tillämpning av turism i syfte att administrativt avlasta entreprenörer och omvandla turismmodellen till hållbarhet</w:t>
      </w:r>
    </w:p>
    <w:p w14:paraId="0590A963" w14:textId="77777777" w:rsidR="003A3D51" w:rsidRDefault="0002775A">
      <w:pPr>
        <w:pStyle w:val="P68B1DB1-Normal3"/>
        <w:spacing w:before="120" w:after="100" w:line="240" w:lineRule="auto"/>
        <w:jc w:val="both"/>
        <w:rPr>
          <w:noProof/>
        </w:rPr>
      </w:pPr>
      <w:r>
        <w:rPr>
          <w:noProof/>
        </w:rPr>
        <w:t>Syftet med denna investering är att utveckla nya it-verktyg för det offentliga informationssystemet för turism (</w:t>
      </w:r>
      <w:r>
        <w:rPr>
          <w:i/>
          <w:noProof/>
        </w:rPr>
        <w:t>e-turism</w:t>
      </w:r>
      <w:r>
        <w:rPr>
          <w:noProof/>
        </w:rPr>
        <w:t xml:space="preserve">) för att bidra till en effektiv förvaltning av turismutvecklingen och stödja sektorns hållbarhet. </w:t>
      </w:r>
    </w:p>
    <w:p w14:paraId="19BEF4BD" w14:textId="77777777" w:rsidR="003A3D51" w:rsidRDefault="0002775A">
      <w:pPr>
        <w:pStyle w:val="P68B1DB1-Normal3"/>
        <w:spacing w:before="120" w:after="100" w:line="240" w:lineRule="auto"/>
        <w:jc w:val="both"/>
        <w:rPr>
          <w:noProof/>
        </w:rPr>
      </w:pPr>
      <w:r>
        <w:rPr>
          <w:noProof/>
        </w:rPr>
        <w:t>Investeringen ska fortsätta digitaliseringen av Kroatiens observationssystem för hållbar utveckling av turism (CROSTO), med utveckling av ett digitalt övervakningssystem för utveckling av resmål för att övervaka resmålens hållbarhet i linje med Etis (European Tourism Indicators System for Sustainable Destination Management).</w:t>
      </w:r>
    </w:p>
    <w:p w14:paraId="4DBFABDC" w14:textId="77777777" w:rsidR="003A3D51" w:rsidRDefault="0002775A">
      <w:pPr>
        <w:pStyle w:val="P68B1DB1-Normal3"/>
        <w:spacing w:before="120" w:after="100" w:line="240" w:lineRule="auto"/>
        <w:jc w:val="both"/>
        <w:rPr>
          <w:noProof/>
        </w:rPr>
      </w:pPr>
      <w:r>
        <w:rPr>
          <w:noProof/>
        </w:rPr>
        <w:t xml:space="preserve">Investeringen ska också bidra till att förbättra näringslivets intelligens inom turismen, med hjälp av uppgifter från olika källor, såsom det ”centrala turistregistret”, ”e-besökssystemet” eller Crosto-systemet. </w:t>
      </w:r>
    </w:p>
    <w:p w14:paraId="4D30EF69" w14:textId="44016734" w:rsidR="003A3D51" w:rsidRDefault="0002775A">
      <w:pPr>
        <w:pStyle w:val="P68B1DB1-Normal3"/>
        <w:spacing w:before="120" w:after="100" w:line="240" w:lineRule="auto"/>
        <w:jc w:val="both"/>
        <w:rPr>
          <w:noProof/>
        </w:rPr>
      </w:pPr>
      <w:r>
        <w:rPr>
          <w:noProof/>
        </w:rPr>
        <w:t>Denna investering ska vara slutförd senast den 30 juni 2026.</w:t>
      </w:r>
    </w:p>
    <w:p w14:paraId="695D7CD6" w14:textId="77777777" w:rsidR="003A3D51" w:rsidRDefault="0002775A">
      <w:pPr>
        <w:pStyle w:val="P68B1DB1-Normal5"/>
        <w:spacing w:before="120" w:after="120" w:line="240" w:lineRule="auto"/>
        <w:ind w:left="851"/>
        <w:jc w:val="both"/>
        <w:rPr>
          <w:noProof/>
        </w:rPr>
      </w:pPr>
      <w:r>
        <w:rPr>
          <w:noProof/>
        </w:rPr>
        <w:t>Investering C2.3.R3-I16: Digitalisering av idrotts- och fritidsprocesser på lokal och regional nivå</w:t>
      </w:r>
    </w:p>
    <w:p w14:paraId="428B1AF3" w14:textId="77777777" w:rsidR="003A3D51" w:rsidRDefault="0002775A">
      <w:pPr>
        <w:pStyle w:val="P68B1DB1-Normal3"/>
        <w:spacing w:before="120" w:after="100" w:line="240" w:lineRule="auto"/>
        <w:jc w:val="both"/>
        <w:rPr>
          <w:noProof/>
        </w:rPr>
      </w:pPr>
      <w:r>
        <w:rPr>
          <w:noProof/>
        </w:rPr>
        <w:t>Syftet med denna investering är att uppgradera informationssystemet inom idrotten, som är det it-system som används av ministeriet för turism och idrott, i syfte att underlätta tillgången till systemet för alla berörda parter, särskilt på lokal och regional nivå. Det är också avsett att stödja utvecklingen av elektroniska förfaranden och e-tjänster för medborgare och intressenter som är verksamma inom idrottssektorn.</w:t>
      </w:r>
    </w:p>
    <w:p w14:paraId="6D95A3C2" w14:textId="77777777" w:rsidR="003A3D51" w:rsidRDefault="0002775A">
      <w:pPr>
        <w:pStyle w:val="P68B1DB1-Normal3"/>
        <w:spacing w:before="120" w:after="100" w:line="240" w:lineRule="auto"/>
        <w:jc w:val="both"/>
        <w:rPr>
          <w:noProof/>
        </w:rPr>
      </w:pPr>
      <w:r>
        <w:rPr>
          <w:noProof/>
        </w:rPr>
        <w:t>Investeringen ska</w:t>
      </w:r>
    </w:p>
    <w:p w14:paraId="20B82E42" w14:textId="77777777" w:rsidR="003A3D51" w:rsidRDefault="0002775A">
      <w:pPr>
        <w:pStyle w:val="P68B1DB1-Normal3"/>
        <w:numPr>
          <w:ilvl w:val="0"/>
          <w:numId w:val="20"/>
        </w:numPr>
        <w:spacing w:before="120" w:after="100" w:line="240" w:lineRule="auto"/>
        <w:contextualSpacing/>
        <w:jc w:val="both"/>
        <w:rPr>
          <w:noProof/>
        </w:rPr>
      </w:pPr>
      <w:r>
        <w:rPr>
          <w:noProof/>
        </w:rPr>
        <w:t>Inrätta en applikationsmodul för att ge idrottsklubbar direkt tillgång till grundläggande register och register över informationssystemet inom idrotten, med möjlighet att föra in relevanta uppgifter, såsom sportjournaler och journaler över idrottsutövarnas läkarundersökningar,</w:t>
      </w:r>
    </w:p>
    <w:p w14:paraId="54D3594A" w14:textId="77777777" w:rsidR="003A3D51" w:rsidRDefault="0002775A">
      <w:pPr>
        <w:pStyle w:val="P68B1DB1-Normal3"/>
        <w:numPr>
          <w:ilvl w:val="0"/>
          <w:numId w:val="20"/>
        </w:numPr>
        <w:spacing w:before="120" w:after="100" w:line="240" w:lineRule="auto"/>
        <w:contextualSpacing/>
        <w:jc w:val="both"/>
        <w:rPr>
          <w:noProof/>
        </w:rPr>
      </w:pPr>
      <w:r>
        <w:rPr>
          <w:noProof/>
        </w:rPr>
        <w:t xml:space="preserve">Inrätta digitala verktyg och digitala förfaranden för att övervaka den offentliga finansieringen av idrottsprogram på nationell, regional och lokal nivå, i syfte att harmonisera, förenkla och öka insynen i processen, även på lokal och regional nivå. </w:t>
      </w:r>
    </w:p>
    <w:p w14:paraId="4B155861" w14:textId="77777777" w:rsidR="003A3D51" w:rsidRDefault="0002775A">
      <w:pPr>
        <w:pStyle w:val="P68B1DB1-Normal3"/>
        <w:numPr>
          <w:ilvl w:val="0"/>
          <w:numId w:val="20"/>
        </w:numPr>
        <w:spacing w:before="120" w:after="100" w:line="240" w:lineRule="auto"/>
        <w:contextualSpacing/>
        <w:jc w:val="both"/>
        <w:rPr>
          <w:noProof/>
        </w:rPr>
      </w:pPr>
      <w:r>
        <w:rPr>
          <w:noProof/>
        </w:rPr>
        <w:t>Inrätta en applikationsmodul för insamling av uppgifter om idrott och hälsoinriktad fysisk aktivitet, bland annat inrättandet av ett grundläggande register på området hälsoinriktad fysisk aktivitet (t.ex. registrering av information om befintliga program och professionell personal).</w:t>
      </w:r>
    </w:p>
    <w:p w14:paraId="0CEC5BAE" w14:textId="77777777" w:rsidR="003A3D51" w:rsidRDefault="0002775A">
      <w:pPr>
        <w:pStyle w:val="P68B1DB1-Normal3"/>
        <w:spacing w:before="120" w:after="100" w:line="240" w:lineRule="auto"/>
        <w:jc w:val="both"/>
        <w:rPr>
          <w:noProof/>
        </w:rPr>
      </w:pPr>
      <w:r>
        <w:rPr>
          <w:noProof/>
        </w:rPr>
        <w:t>Denna investering ska vara slutförd senast den 30 juni 2026.</w:t>
      </w:r>
    </w:p>
    <w:p w14:paraId="6285DEE7" w14:textId="77777777" w:rsidR="003A3D51" w:rsidRDefault="003A3D51">
      <w:pPr>
        <w:spacing w:before="120" w:after="120" w:line="240" w:lineRule="auto"/>
        <w:jc w:val="both"/>
        <w:rPr>
          <w:rFonts w:ascii="Times New Roman" w:eastAsia="Calibri" w:hAnsi="Times New Roman" w:cs="Times New Roman"/>
          <w:noProof/>
          <w:sz w:val="24"/>
        </w:rPr>
      </w:pPr>
    </w:p>
    <w:p w14:paraId="44C522B4" w14:textId="77777777" w:rsidR="003A3D51" w:rsidRDefault="0002775A">
      <w:pPr>
        <w:pStyle w:val="P68B1DB1-Normal5"/>
        <w:spacing w:before="120" w:after="120" w:line="240" w:lineRule="auto"/>
        <w:ind w:left="851"/>
        <w:jc w:val="both"/>
        <w:rPr>
          <w:noProof/>
        </w:rPr>
      </w:pPr>
      <w:r>
        <w:rPr>
          <w:noProof/>
        </w:rPr>
        <w:t>Reform C2.3.R4: Stärka konnektiviteten som en hörnsten i den digitala omställningen av samhället och ekonomin</w:t>
      </w:r>
    </w:p>
    <w:p w14:paraId="59D1249D" w14:textId="77777777" w:rsidR="003A3D51" w:rsidRDefault="0002775A">
      <w:pPr>
        <w:pStyle w:val="P68B1DB1-Normal3"/>
        <w:spacing w:before="120" w:after="100" w:line="240" w:lineRule="auto"/>
        <w:jc w:val="both"/>
        <w:rPr>
          <w:noProof/>
        </w:rPr>
      </w:pPr>
      <w:r>
        <w:rPr>
          <w:noProof/>
        </w:rPr>
        <w:t>Syftet med denna reform är att bana väg för att säkerställa tillgången till elektroniska kommunikationsnät som tillhandahåller gigabitkonnektivitet för hushåll och socioekonomiska drivkrafter, i linje med målen för det europeiska gigabitsamhället.</w:t>
      </w:r>
    </w:p>
    <w:p w14:paraId="477670FA" w14:textId="77777777" w:rsidR="003A3D51" w:rsidRDefault="0002775A">
      <w:pPr>
        <w:pStyle w:val="P68B1DB1-Normal3"/>
        <w:spacing w:before="120" w:after="100" w:line="240" w:lineRule="auto"/>
        <w:jc w:val="both"/>
        <w:rPr>
          <w:noProof/>
        </w:rPr>
      </w:pPr>
      <w:r>
        <w:rPr>
          <w:noProof/>
        </w:rPr>
        <w:t xml:space="preserve">Denna reform syftar till att säkerställa ett snabbt och omfattande genomförande av regelverket och den strategiska ramen på området elektronisk kommunikation, genom antagandet av lagen om elektronisk kommunikation, i enlighet med bestämmelserna i direktiv (EU) 2018/1972 om inrättande av en europeisk kodex för elektronisk kommunikation, och genomförandet av målen i den nationella bredbandsplanen i Kroatien för perioden 2021–2027. </w:t>
      </w:r>
    </w:p>
    <w:p w14:paraId="25D90DC6" w14:textId="77777777" w:rsidR="003A3D51" w:rsidRDefault="0002775A">
      <w:pPr>
        <w:pStyle w:val="P68B1DB1-Normal3"/>
        <w:spacing w:before="120" w:after="100" w:line="240" w:lineRule="auto"/>
        <w:jc w:val="both"/>
        <w:rPr>
          <w:noProof/>
        </w:rPr>
      </w:pPr>
      <w:r>
        <w:rPr>
          <w:noProof/>
        </w:rPr>
        <w:t xml:space="preserve">Reformen förväntas identifiera och ta itu med administrativa bördor och rättsliga hinder i samband med byggandet av gigabitkonnektivitetsnät, inbegripet 5G-nät, för att uppmuntra till investeringar i utbyggnaden av 5G-nät. </w:t>
      </w:r>
    </w:p>
    <w:p w14:paraId="12F22E70" w14:textId="77777777" w:rsidR="003A3D51" w:rsidRDefault="0002775A">
      <w:pPr>
        <w:pStyle w:val="P68B1DB1-Normal3"/>
        <w:spacing w:before="120" w:after="100" w:line="240" w:lineRule="auto"/>
        <w:jc w:val="both"/>
        <w:rPr>
          <w:noProof/>
        </w:rPr>
      </w:pPr>
      <w:r>
        <w:rPr>
          <w:noProof/>
        </w:rPr>
        <w:t xml:space="preserve">Denna reform kompletterar investeringarna i digital konnektivitet genom bredbandsanslutningar i fasta och avancerade trådlösa och mobila nät, bland annat genom användning av 5G-teknik. </w:t>
      </w:r>
    </w:p>
    <w:p w14:paraId="6FEC396E" w14:textId="77777777" w:rsidR="003A3D51" w:rsidRDefault="0002775A">
      <w:pPr>
        <w:pStyle w:val="P68B1DB1-Normal3"/>
        <w:spacing w:before="120" w:after="100" w:line="240" w:lineRule="auto"/>
        <w:jc w:val="both"/>
        <w:rPr>
          <w:noProof/>
        </w:rPr>
      </w:pPr>
      <w:r>
        <w:rPr>
          <w:noProof/>
        </w:rPr>
        <w:t>Denna investering ska vara slutförd senast den 30 juni 2026.</w:t>
      </w:r>
    </w:p>
    <w:p w14:paraId="54641A62" w14:textId="77777777" w:rsidR="003A3D51" w:rsidRDefault="0002775A">
      <w:pPr>
        <w:pStyle w:val="P68B1DB1-Normal5"/>
        <w:spacing w:before="120" w:after="120" w:line="240" w:lineRule="auto"/>
        <w:ind w:left="851"/>
        <w:jc w:val="both"/>
        <w:rPr>
          <w:noProof/>
        </w:rPr>
      </w:pPr>
      <w:r>
        <w:rPr>
          <w:noProof/>
        </w:rPr>
        <w:t>Investering C2.3.R4-I1: Genomförande av projekt inom ramen för det nationella ramprogrammet för utveckling av bredbandsinfrastruktur i områden där det kommersiella intresset för investeringar är otillräckligt</w:t>
      </w:r>
    </w:p>
    <w:p w14:paraId="1F551152" w14:textId="77777777" w:rsidR="003A3D51" w:rsidRDefault="0002775A">
      <w:pPr>
        <w:pStyle w:val="P68B1DB1-Normal3"/>
        <w:spacing w:before="120" w:after="100" w:line="240" w:lineRule="auto"/>
        <w:jc w:val="both"/>
        <w:rPr>
          <w:noProof/>
        </w:rPr>
      </w:pPr>
      <w:r>
        <w:rPr>
          <w:noProof/>
        </w:rPr>
        <w:t>Syftet med denna investering är att minska den digitala klyftan i Kroatien genom att öka den nationella bredbandstäckningen med gigabitkonnektivitet i områden där det inte finns tillräckligt kommersiellt intresse, i linje med det nationella ramprogrammet för utveckling av bredbandsinfrastruktur. Ytterligare investeringar i konnektivitet förväntas finansieras genom andra nationella medel eller EU-medel i syfte att uppnå EU:s gigabitambitioner.</w:t>
      </w:r>
    </w:p>
    <w:p w14:paraId="1D8649F6" w14:textId="77777777" w:rsidR="003A3D51" w:rsidRDefault="0002775A">
      <w:pPr>
        <w:pStyle w:val="P68B1DB1-Normal3"/>
        <w:spacing w:after="200" w:line="276" w:lineRule="auto"/>
        <w:jc w:val="both"/>
        <w:rPr>
          <w:rFonts w:ascii="Calibri" w:hAnsi="Calibri" w:cs="Arial"/>
          <w:noProof/>
        </w:rPr>
      </w:pPr>
      <w:r>
        <w:rPr>
          <w:noProof/>
        </w:rPr>
        <w:t>Investeringen syftar till att säkerställa att hushållen och de viktigaste socioekonomiska drivkrafterna i områden där det inte finns tillräckligt med kommersiella intressen (vita NGA-områden) har tillgång till gigabitnät. Investeringen är avsedd att omfatta omkring 20 projekt med lokala förvaltningsenheter som omfattar omkring 700 000 invånare och omkring 124 000 hushåll. Det exakta antalet projekt och täckningen ska fastställas efter det att ansökningsomgångarna och urvalet av projekt har genomförts.</w:t>
      </w:r>
    </w:p>
    <w:p w14:paraId="43D02DAC" w14:textId="77777777" w:rsidR="003A3D51" w:rsidRDefault="0002775A">
      <w:pPr>
        <w:pStyle w:val="P68B1DB1-Normal3"/>
        <w:spacing w:before="120" w:after="100" w:line="240" w:lineRule="auto"/>
        <w:jc w:val="both"/>
        <w:rPr>
          <w:noProof/>
        </w:rPr>
      </w:pPr>
      <w:r>
        <w:rPr>
          <w:noProof/>
        </w:rPr>
        <w:t>Denna investering ska vara slutförd senast den 30 juni 2026.</w:t>
      </w:r>
    </w:p>
    <w:p w14:paraId="2474E804" w14:textId="77777777" w:rsidR="003A3D51" w:rsidRDefault="0002775A">
      <w:pPr>
        <w:pStyle w:val="P68B1DB1-Normal5"/>
        <w:pageBreakBefore/>
        <w:spacing w:before="120" w:after="120" w:line="240" w:lineRule="auto"/>
        <w:ind w:left="851"/>
        <w:jc w:val="both"/>
        <w:rPr>
          <w:noProof/>
        </w:rPr>
      </w:pPr>
      <w:r>
        <w:rPr>
          <w:noProof/>
        </w:rPr>
        <w:t>Investering C2.3.R4-I2: Anläggning av passiv infrastruktur för elektronisk kommunikation</w:t>
      </w:r>
    </w:p>
    <w:p w14:paraId="33F5B4B3" w14:textId="77777777" w:rsidR="003A3D51" w:rsidRDefault="0002775A">
      <w:pPr>
        <w:pStyle w:val="P68B1DB1-Normal3"/>
        <w:spacing w:before="120" w:after="100" w:line="240" w:lineRule="auto"/>
        <w:jc w:val="both"/>
        <w:rPr>
          <w:noProof/>
        </w:rPr>
      </w:pPr>
      <w:r>
        <w:rPr>
          <w:noProof/>
        </w:rPr>
        <w:t>Syftet med denna investering är att öka tillgången till gigabitnät (som tillhandahåller 5G-konnektivitet) i landsbygdsområden och glesbefolkade områden där det inte finns något kommersiellt intresse av att bygga dessa nät.</w:t>
      </w:r>
    </w:p>
    <w:p w14:paraId="7422094C" w14:textId="77777777" w:rsidR="003A3D51" w:rsidRDefault="0002775A">
      <w:pPr>
        <w:pStyle w:val="P68B1DB1-Normal3"/>
        <w:spacing w:before="120" w:after="100" w:line="240" w:lineRule="auto"/>
        <w:jc w:val="both"/>
        <w:rPr>
          <w:noProof/>
        </w:rPr>
      </w:pPr>
      <w:r>
        <w:rPr>
          <w:noProof/>
        </w:rPr>
        <w:t>Det omfattar konstruktion av passiv infrastruktur för elektronisk kommunikation, såsom konstruktion av fristående antennstolpar, tillhandahållande av kapacitet för fiber- eller mikrovågsöverföring för att ansluta mobilnät för elektronisk kommunikation till basstationer. Den ska möjliggöra utvecklingen av 5G-nät inom de områden som omfattas och vara tillgänglig för användning av alla på lika villkor.</w:t>
      </w:r>
    </w:p>
    <w:p w14:paraId="58CB9362" w14:textId="77777777" w:rsidR="003A3D51" w:rsidRDefault="0002775A">
      <w:pPr>
        <w:pStyle w:val="P68B1DB1-Normal3"/>
        <w:spacing w:before="120" w:after="100" w:line="240" w:lineRule="auto"/>
        <w:jc w:val="both"/>
        <w:rPr>
          <w:noProof/>
        </w:rPr>
      </w:pPr>
      <w:r>
        <w:rPr>
          <w:noProof/>
        </w:rPr>
        <w:t>Investeringen är avsedd att inriktas på landsbygdsområden i län med de lägsta socioekonomiska indikatorerna (låga demografiska, sociala och ekonomiska förhållanden jämfört med det nationella genomsnittet).</w:t>
      </w:r>
    </w:p>
    <w:p w14:paraId="14E1EA4D" w14:textId="77777777" w:rsidR="003A3D51" w:rsidRDefault="0002775A">
      <w:pPr>
        <w:pStyle w:val="P68B1DB1-Normal3"/>
        <w:spacing w:before="120" w:after="100" w:line="240" w:lineRule="auto"/>
        <w:jc w:val="both"/>
        <w:rPr>
          <w:noProof/>
        </w:rPr>
      </w:pPr>
      <w:r>
        <w:rPr>
          <w:noProof/>
        </w:rPr>
        <w:t>Förvaltningen av den infrastruktur som ska byggas genom investeringen ska uteslutande ske utan vinstsyfte, i syfte att säkerställa att intäkterna från hyra av infrastrukturen täcker alla drifts- och underhållskostnader för infrastrukturen. Om hyresintäkterna överstiger kostnaderna ska överskottet inriktas på utbyggnad eller uppförande av ny infrastrukturkapacitet.</w:t>
      </w:r>
    </w:p>
    <w:p w14:paraId="39E63B54" w14:textId="77777777" w:rsidR="003A3D51" w:rsidRDefault="0002775A">
      <w:pPr>
        <w:pStyle w:val="P68B1DB1-Normal3"/>
        <w:spacing w:before="120" w:after="100" w:line="240" w:lineRule="auto"/>
        <w:jc w:val="both"/>
        <w:rPr>
          <w:noProof/>
        </w:rPr>
      </w:pPr>
      <w:r>
        <w:rPr>
          <w:noProof/>
        </w:rPr>
        <w:t>Denna investering ska vara slutförd senast den 30 juni 2026.</w:t>
      </w:r>
    </w:p>
    <w:p w14:paraId="507ED790" w14:textId="77777777" w:rsidR="003A3D51" w:rsidRDefault="003A3D51">
      <w:pPr>
        <w:spacing w:before="120" w:after="100" w:line="298" w:lineRule="exact"/>
        <w:jc w:val="both"/>
        <w:rPr>
          <w:rFonts w:ascii="Times New Roman" w:eastAsia="Calibri" w:hAnsi="Times New Roman" w:cs="Times New Roman"/>
          <w:noProof/>
          <w:sz w:val="24"/>
        </w:rPr>
      </w:pPr>
    </w:p>
    <w:p w14:paraId="2D20852F" w14:textId="77777777" w:rsidR="003A3D51" w:rsidRDefault="003A3D51">
      <w:pPr>
        <w:rPr>
          <w:noProof/>
        </w:rPr>
        <w:sectPr w:rsidR="003A3D51" w:rsidSect="0018743D">
          <w:headerReference w:type="even" r:id="rId174"/>
          <w:headerReference w:type="default" r:id="rId175"/>
          <w:footerReference w:type="even" r:id="rId176"/>
          <w:footerReference w:type="default" r:id="rId177"/>
          <w:headerReference w:type="first" r:id="rId178"/>
          <w:footerReference w:type="first" r:id="rId179"/>
          <w:pgSz w:w="12240" w:h="15840"/>
          <w:pgMar w:top="1440" w:right="1440" w:bottom="1440" w:left="1440" w:header="708" w:footer="708" w:gutter="0"/>
          <w:cols w:space="708"/>
          <w:docGrid w:linePitch="360"/>
        </w:sectPr>
      </w:pPr>
    </w:p>
    <w:p w14:paraId="53A215B1" w14:textId="77777777" w:rsidR="003A3D51" w:rsidRDefault="0002775A">
      <w:pPr>
        <w:pStyle w:val="P68B1DB1-Normal4"/>
        <w:keepNext/>
        <w:tabs>
          <w:tab w:val="num" w:pos="850"/>
        </w:tabs>
        <w:spacing w:before="40" w:after="240"/>
        <w:ind w:left="851"/>
        <w:jc w:val="both"/>
        <w:outlineLvl w:val="1"/>
        <w:rPr>
          <w:noProof/>
        </w:rPr>
      </w:pPr>
      <w:r>
        <w:rPr>
          <w:noProof/>
        </w:rPr>
        <w:t xml:space="preserve">I.2 </w:t>
      </w:r>
      <w:r>
        <w:rPr>
          <w:noProof/>
        </w:rPr>
        <w:tab/>
        <w:t>Delmål, mål, indikatorer och tidsplan för övervakning och genomförande avseende icke återbetalningspliktigt ekonomiskt stöd</w:t>
      </w:r>
    </w:p>
    <w:tbl>
      <w:tblPr>
        <w:tblW w:w="5000" w:type="pct"/>
        <w:jc w:val="center"/>
        <w:tblCellMar>
          <w:top w:w="28" w:type="dxa"/>
          <w:left w:w="28" w:type="dxa"/>
          <w:bottom w:w="28" w:type="dxa"/>
          <w:right w:w="28" w:type="dxa"/>
        </w:tblCellMar>
        <w:tblLook w:val="04A0" w:firstRow="1" w:lastRow="0" w:firstColumn="1" w:lastColumn="0" w:noHBand="0" w:noVBand="1"/>
      </w:tblPr>
      <w:tblGrid>
        <w:gridCol w:w="141"/>
        <w:gridCol w:w="239"/>
        <w:gridCol w:w="231"/>
        <w:gridCol w:w="2591"/>
        <w:gridCol w:w="2478"/>
        <w:gridCol w:w="260"/>
        <w:gridCol w:w="198"/>
        <w:gridCol w:w="233"/>
        <w:gridCol w:w="230"/>
        <w:gridCol w:w="136"/>
        <w:gridCol w:w="6279"/>
      </w:tblGrid>
      <w:tr w:rsidR="003A3D51" w14:paraId="73B22381" w14:textId="77777777" w:rsidTr="00803C03">
        <w:trPr>
          <w:tblHeader/>
          <w:jc w:val="center"/>
        </w:trPr>
        <w:tc>
          <w:tcPr>
            <w:tcW w:w="35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271B4B" w14:textId="77777777" w:rsidR="003A3D51" w:rsidRDefault="0002775A">
            <w:pPr>
              <w:pStyle w:val="P68B1DB1-Normal6"/>
              <w:spacing w:after="0" w:line="276" w:lineRule="auto"/>
              <w:jc w:val="center"/>
              <w:rPr>
                <w:noProof/>
              </w:rPr>
            </w:pPr>
            <w:bookmarkStart w:id="5" w:name="_Hlk148470999"/>
            <w:r>
              <w:rPr>
                <w:noProof/>
              </w:rPr>
              <w:t>Antal</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4EC69D" w14:textId="77777777" w:rsidR="003A3D51" w:rsidRDefault="0002775A">
            <w:pPr>
              <w:pStyle w:val="P68B1DB1-Normal6"/>
              <w:spacing w:after="0" w:line="276" w:lineRule="auto"/>
              <w:jc w:val="center"/>
              <w:rPr>
                <w:noProof/>
              </w:rPr>
            </w:pPr>
            <w:r>
              <w:rPr>
                <w:noProof/>
              </w:rPr>
              <w:t>Åtgärd</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2661FC" w14:textId="77777777" w:rsidR="003A3D51" w:rsidRDefault="0002775A">
            <w:pPr>
              <w:pStyle w:val="P68B1DB1-Normal6"/>
              <w:spacing w:after="0" w:line="276" w:lineRule="auto"/>
              <w:jc w:val="center"/>
              <w:rPr>
                <w:noProof/>
              </w:rPr>
            </w:pPr>
            <w:r>
              <w:rPr>
                <w:noProof/>
              </w:rPr>
              <w:t>Delmål/mål</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89B812" w14:textId="77777777" w:rsidR="003A3D51" w:rsidRDefault="0002775A">
            <w:pPr>
              <w:pStyle w:val="P68B1DB1-Normal6"/>
              <w:spacing w:after="0" w:line="276" w:lineRule="auto"/>
              <w:jc w:val="center"/>
              <w:rPr>
                <w:noProof/>
              </w:rPr>
            </w:pPr>
            <w:r>
              <w:rPr>
                <w:noProof/>
              </w:rPr>
              <w:t>Namn</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6754DE"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894"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02FA9AE"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467" w:type="pct"/>
            <w:gridSpan w:val="2"/>
            <w:tcBorders>
              <w:top w:val="single" w:sz="4" w:space="0" w:color="auto"/>
              <w:left w:val="nil"/>
              <w:bottom w:val="single" w:sz="4" w:space="0" w:color="auto"/>
              <w:right w:val="single" w:sz="4" w:space="0" w:color="auto"/>
            </w:tcBorders>
            <w:shd w:val="clear" w:color="auto" w:fill="BDD7EE"/>
            <w:vAlign w:val="center"/>
            <w:hideMark/>
          </w:tcPr>
          <w:p w14:paraId="1F8D5AAB" w14:textId="77777777" w:rsidR="003A3D51" w:rsidRDefault="0002775A">
            <w:pPr>
              <w:pStyle w:val="P68B1DB1-Normal6"/>
              <w:spacing w:after="0" w:line="276" w:lineRule="auto"/>
              <w:jc w:val="center"/>
              <w:rPr>
                <w:noProof/>
              </w:rPr>
            </w:pPr>
            <w:r>
              <w:rPr>
                <w:noProof/>
              </w:rPr>
              <w:t>Tid</w:t>
            </w:r>
          </w:p>
        </w:tc>
        <w:tc>
          <w:tcPr>
            <w:tcW w:w="127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CDC1F87" w14:textId="77777777" w:rsidR="003A3D51" w:rsidRDefault="0002775A">
            <w:pPr>
              <w:pStyle w:val="P68B1DB1-Normal6"/>
              <w:spacing w:after="0" w:line="276" w:lineRule="auto"/>
              <w:jc w:val="center"/>
              <w:rPr>
                <w:noProof/>
              </w:rPr>
            </w:pPr>
            <w:r>
              <w:rPr>
                <w:noProof/>
              </w:rPr>
              <w:t>Beskrivning av varje delmål och mål</w:t>
            </w:r>
          </w:p>
        </w:tc>
      </w:tr>
      <w:tr w:rsidR="003A3D51" w14:paraId="3C62918C" w14:textId="77777777" w:rsidTr="00803C03">
        <w:trPr>
          <w:tblHeader/>
          <w:jc w:val="center"/>
        </w:trPr>
        <w:tc>
          <w:tcPr>
            <w:tcW w:w="351" w:type="pct"/>
            <w:vMerge/>
            <w:tcBorders>
              <w:top w:val="single" w:sz="4" w:space="0" w:color="auto"/>
              <w:left w:val="single" w:sz="4" w:space="0" w:color="auto"/>
              <w:bottom w:val="single" w:sz="4" w:space="0" w:color="auto"/>
              <w:right w:val="single" w:sz="4" w:space="0" w:color="auto"/>
            </w:tcBorders>
            <w:hideMark/>
          </w:tcPr>
          <w:p w14:paraId="1409052D" w14:textId="77777777" w:rsidR="003A3D51" w:rsidRDefault="003A3D51">
            <w:pPr>
              <w:spacing w:after="0" w:line="276" w:lineRule="auto"/>
              <w:jc w:val="center"/>
              <w:rPr>
                <w:rFonts w:ascii="Times New Roman" w:eastAsia="Times New Roman" w:hAnsi="Times New Roman" w:cs="Times New Roman"/>
                <w:b/>
                <w:noProof/>
              </w:rPr>
            </w:pPr>
          </w:p>
        </w:tc>
        <w:tc>
          <w:tcPr>
            <w:tcW w:w="264" w:type="pct"/>
            <w:vMerge/>
            <w:tcBorders>
              <w:top w:val="single" w:sz="4" w:space="0" w:color="auto"/>
              <w:left w:val="single" w:sz="4" w:space="0" w:color="auto"/>
              <w:bottom w:val="single" w:sz="4" w:space="0" w:color="auto"/>
              <w:right w:val="single" w:sz="4" w:space="0" w:color="auto"/>
            </w:tcBorders>
            <w:hideMark/>
          </w:tcPr>
          <w:p w14:paraId="391845D2" w14:textId="77777777" w:rsidR="003A3D51" w:rsidRDefault="003A3D51">
            <w:pPr>
              <w:spacing w:after="0" w:line="276" w:lineRule="auto"/>
              <w:jc w:val="center"/>
              <w:rPr>
                <w:rFonts w:ascii="Times New Roman" w:eastAsia="Times New Roman" w:hAnsi="Times New Roman" w:cs="Times New Roman"/>
                <w:b/>
                <w:noProof/>
              </w:rPr>
            </w:pPr>
          </w:p>
        </w:tc>
        <w:tc>
          <w:tcPr>
            <w:tcW w:w="294" w:type="pct"/>
            <w:vMerge/>
            <w:tcBorders>
              <w:top w:val="single" w:sz="4" w:space="0" w:color="auto"/>
              <w:left w:val="single" w:sz="4" w:space="0" w:color="auto"/>
              <w:bottom w:val="single" w:sz="4" w:space="0" w:color="auto"/>
              <w:right w:val="single" w:sz="4" w:space="0" w:color="auto"/>
            </w:tcBorders>
            <w:hideMark/>
          </w:tcPr>
          <w:p w14:paraId="733B6526" w14:textId="77777777" w:rsidR="003A3D51" w:rsidRDefault="003A3D51">
            <w:pPr>
              <w:spacing w:after="0" w:line="276" w:lineRule="auto"/>
              <w:jc w:val="center"/>
              <w:rPr>
                <w:rFonts w:ascii="Times New Roman" w:eastAsia="Times New Roman" w:hAnsi="Times New Roman" w:cs="Times New Roman"/>
                <w:b/>
                <w:noProof/>
              </w:rPr>
            </w:pPr>
          </w:p>
        </w:tc>
        <w:tc>
          <w:tcPr>
            <w:tcW w:w="797" w:type="pct"/>
            <w:vMerge/>
            <w:tcBorders>
              <w:top w:val="single" w:sz="4" w:space="0" w:color="auto"/>
              <w:left w:val="single" w:sz="4" w:space="0" w:color="auto"/>
              <w:bottom w:val="single" w:sz="4" w:space="0" w:color="auto"/>
              <w:right w:val="single" w:sz="4" w:space="0" w:color="auto"/>
            </w:tcBorders>
            <w:hideMark/>
          </w:tcPr>
          <w:p w14:paraId="48A4572B" w14:textId="77777777" w:rsidR="003A3D51" w:rsidRDefault="003A3D51">
            <w:pPr>
              <w:spacing w:after="0" w:line="276" w:lineRule="auto"/>
              <w:rPr>
                <w:rFonts w:ascii="Times New Roman" w:eastAsia="Times New Roman" w:hAnsi="Times New Roman" w:cs="Times New Roman"/>
                <w:b/>
                <w:noProof/>
              </w:rPr>
            </w:pPr>
          </w:p>
        </w:tc>
        <w:tc>
          <w:tcPr>
            <w:tcW w:w="663" w:type="pct"/>
            <w:vMerge/>
            <w:tcBorders>
              <w:top w:val="single" w:sz="4" w:space="0" w:color="auto"/>
              <w:left w:val="single" w:sz="4" w:space="0" w:color="auto"/>
              <w:bottom w:val="single" w:sz="4" w:space="0" w:color="auto"/>
              <w:right w:val="single" w:sz="4" w:space="0" w:color="auto"/>
            </w:tcBorders>
            <w:hideMark/>
          </w:tcPr>
          <w:p w14:paraId="63B0E9E8" w14:textId="77777777" w:rsidR="003A3D51" w:rsidRDefault="003A3D51">
            <w:pPr>
              <w:spacing w:after="0" w:line="276" w:lineRule="auto"/>
              <w:rPr>
                <w:rFonts w:ascii="Times New Roman" w:eastAsia="Times New Roman" w:hAnsi="Times New Roman" w:cs="Times New Roman"/>
                <w:b/>
                <w:noProof/>
              </w:rPr>
            </w:pPr>
          </w:p>
        </w:tc>
        <w:tc>
          <w:tcPr>
            <w:tcW w:w="340" w:type="pct"/>
            <w:tcBorders>
              <w:top w:val="nil"/>
              <w:left w:val="single" w:sz="4" w:space="0" w:color="auto"/>
              <w:bottom w:val="single" w:sz="4" w:space="0" w:color="auto"/>
              <w:right w:val="single" w:sz="4" w:space="0" w:color="auto"/>
            </w:tcBorders>
            <w:shd w:val="clear" w:color="auto" w:fill="BDD7EE"/>
            <w:hideMark/>
          </w:tcPr>
          <w:p w14:paraId="150A4898" w14:textId="77777777" w:rsidR="003A3D51" w:rsidRDefault="0002775A">
            <w:pPr>
              <w:pStyle w:val="P68B1DB1-Normal6"/>
              <w:spacing w:after="0" w:line="276" w:lineRule="auto"/>
              <w:jc w:val="center"/>
              <w:rPr>
                <w:noProof/>
              </w:rPr>
            </w:pPr>
            <w:r>
              <w:rPr>
                <w:noProof/>
              </w:rPr>
              <w:t>Enhet</w:t>
            </w:r>
          </w:p>
        </w:tc>
        <w:tc>
          <w:tcPr>
            <w:tcW w:w="256" w:type="pct"/>
            <w:tcBorders>
              <w:top w:val="nil"/>
              <w:left w:val="nil"/>
              <w:bottom w:val="single" w:sz="4" w:space="0" w:color="auto"/>
              <w:right w:val="single" w:sz="4" w:space="0" w:color="auto"/>
            </w:tcBorders>
            <w:shd w:val="clear" w:color="auto" w:fill="BDD7EE"/>
            <w:hideMark/>
          </w:tcPr>
          <w:p w14:paraId="468FA47E" w14:textId="77777777" w:rsidR="003A3D51" w:rsidRDefault="0002775A">
            <w:pPr>
              <w:pStyle w:val="P68B1DB1-Normal6"/>
              <w:spacing w:after="0" w:line="276" w:lineRule="auto"/>
              <w:jc w:val="center"/>
              <w:rPr>
                <w:noProof/>
              </w:rPr>
            </w:pPr>
            <w:r>
              <w:rPr>
                <w:noProof/>
              </w:rPr>
              <w:t>Baslinjen</w:t>
            </w:r>
          </w:p>
        </w:tc>
        <w:tc>
          <w:tcPr>
            <w:tcW w:w="298" w:type="pct"/>
            <w:tcBorders>
              <w:top w:val="nil"/>
              <w:left w:val="nil"/>
              <w:bottom w:val="single" w:sz="4" w:space="0" w:color="auto"/>
              <w:right w:val="single" w:sz="4" w:space="0" w:color="auto"/>
            </w:tcBorders>
            <w:shd w:val="clear" w:color="auto" w:fill="BDD7EE"/>
            <w:hideMark/>
          </w:tcPr>
          <w:p w14:paraId="0FA6553C" w14:textId="77777777" w:rsidR="003A3D51" w:rsidRDefault="0002775A">
            <w:pPr>
              <w:pStyle w:val="P68B1DB1-Normal6"/>
              <w:spacing w:after="0" w:line="276" w:lineRule="auto"/>
              <w:jc w:val="center"/>
              <w:rPr>
                <w:noProof/>
              </w:rPr>
            </w:pPr>
            <w:r>
              <w:rPr>
                <w:noProof/>
              </w:rPr>
              <w:t>Mål</w:t>
            </w:r>
          </w:p>
        </w:tc>
        <w:tc>
          <w:tcPr>
            <w:tcW w:w="247" w:type="pct"/>
            <w:tcBorders>
              <w:top w:val="nil"/>
              <w:left w:val="nil"/>
              <w:bottom w:val="single" w:sz="4" w:space="0" w:color="auto"/>
              <w:right w:val="single" w:sz="4" w:space="0" w:color="auto"/>
            </w:tcBorders>
            <w:shd w:val="clear" w:color="auto" w:fill="BDD7EE"/>
            <w:hideMark/>
          </w:tcPr>
          <w:p w14:paraId="7B20A201" w14:textId="77777777" w:rsidR="003A3D51" w:rsidRDefault="0002775A">
            <w:pPr>
              <w:pStyle w:val="P68B1DB1-Normal6"/>
              <w:spacing w:after="0" w:line="276" w:lineRule="auto"/>
              <w:jc w:val="center"/>
              <w:rPr>
                <w:noProof/>
              </w:rPr>
            </w:pPr>
            <w:r>
              <w:rPr>
                <w:noProof/>
              </w:rPr>
              <w:t>Q</w:t>
            </w:r>
          </w:p>
        </w:tc>
        <w:tc>
          <w:tcPr>
            <w:tcW w:w="220" w:type="pct"/>
            <w:tcBorders>
              <w:top w:val="nil"/>
              <w:left w:val="nil"/>
              <w:bottom w:val="single" w:sz="4" w:space="0" w:color="auto"/>
              <w:right w:val="single" w:sz="4" w:space="0" w:color="auto"/>
            </w:tcBorders>
            <w:shd w:val="clear" w:color="auto" w:fill="BDD7EE"/>
            <w:hideMark/>
          </w:tcPr>
          <w:p w14:paraId="2DF3FDF2" w14:textId="77777777" w:rsidR="003A3D51" w:rsidRDefault="0002775A">
            <w:pPr>
              <w:pStyle w:val="P68B1DB1-Normal6"/>
              <w:spacing w:after="0" w:line="276" w:lineRule="auto"/>
              <w:jc w:val="center"/>
              <w:rPr>
                <w:noProof/>
              </w:rPr>
            </w:pPr>
            <w:r>
              <w:rPr>
                <w:noProof/>
              </w:rPr>
              <w:t>Året</w:t>
            </w:r>
          </w:p>
        </w:tc>
        <w:tc>
          <w:tcPr>
            <w:tcW w:w="1271" w:type="pct"/>
            <w:vMerge/>
            <w:tcBorders>
              <w:top w:val="single" w:sz="4" w:space="0" w:color="auto"/>
              <w:bottom w:val="single" w:sz="4" w:space="0" w:color="auto"/>
              <w:right w:val="single" w:sz="4" w:space="0" w:color="auto"/>
            </w:tcBorders>
            <w:hideMark/>
          </w:tcPr>
          <w:p w14:paraId="0461F0E1" w14:textId="77777777" w:rsidR="003A3D51" w:rsidRDefault="003A3D51">
            <w:pPr>
              <w:spacing w:after="0" w:line="276" w:lineRule="auto"/>
              <w:rPr>
                <w:rFonts w:ascii="Times New Roman" w:eastAsia="Times New Roman" w:hAnsi="Times New Roman" w:cs="Times New Roman"/>
                <w:b/>
                <w:noProof/>
              </w:rPr>
            </w:pPr>
          </w:p>
        </w:tc>
      </w:tr>
      <w:tr w:rsidR="003A3D51" w14:paraId="51339B10"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2C768F56" w14:textId="77777777" w:rsidR="003A3D51" w:rsidRDefault="0002775A">
            <w:pPr>
              <w:pStyle w:val="P68B1DB1-Normal7"/>
              <w:spacing w:after="0" w:line="276" w:lineRule="auto"/>
              <w:jc w:val="center"/>
              <w:rPr>
                <w:rFonts w:ascii="Times New Roman" w:hAnsi="Times New Roman" w:cs="Times New Roman"/>
                <w:noProof/>
              </w:rPr>
            </w:pPr>
            <w:r>
              <w:rPr>
                <w:noProof/>
              </w:rPr>
              <w:t>176</w:t>
            </w:r>
          </w:p>
        </w:tc>
        <w:tc>
          <w:tcPr>
            <w:tcW w:w="264" w:type="pct"/>
            <w:tcBorders>
              <w:top w:val="single" w:sz="4" w:space="0" w:color="auto"/>
              <w:left w:val="nil"/>
              <w:bottom w:val="single" w:sz="4" w:space="0" w:color="auto"/>
              <w:right w:val="single" w:sz="4" w:space="0" w:color="auto"/>
            </w:tcBorders>
            <w:shd w:val="clear" w:color="auto" w:fill="C6EFCE"/>
            <w:noWrap/>
          </w:tcPr>
          <w:p w14:paraId="5B65AA29" w14:textId="77777777" w:rsidR="003A3D51" w:rsidRDefault="0002775A">
            <w:pPr>
              <w:pStyle w:val="P68B1DB1-Normal7"/>
              <w:spacing w:after="200" w:line="276" w:lineRule="auto"/>
              <w:jc w:val="center"/>
              <w:rPr>
                <w:rFonts w:ascii="Times New Roman" w:hAnsi="Times New Roman" w:cs="Times New Roman"/>
                <w:noProof/>
              </w:rPr>
            </w:pPr>
            <w:r>
              <w:rPr>
                <w:noProof/>
              </w:rPr>
              <w:t>C2.3 R1</w:t>
            </w:r>
          </w:p>
        </w:tc>
        <w:tc>
          <w:tcPr>
            <w:tcW w:w="294" w:type="pct"/>
            <w:tcBorders>
              <w:top w:val="single" w:sz="4" w:space="0" w:color="auto"/>
              <w:left w:val="nil"/>
              <w:bottom w:val="single" w:sz="4" w:space="0" w:color="auto"/>
              <w:right w:val="single" w:sz="4" w:space="0" w:color="auto"/>
            </w:tcBorders>
            <w:shd w:val="clear" w:color="auto" w:fill="C6EFCE"/>
            <w:noWrap/>
          </w:tcPr>
          <w:p w14:paraId="663DD18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6C9BA0FF" w14:textId="77777777" w:rsidR="003A3D51" w:rsidRDefault="0002775A">
            <w:pPr>
              <w:pStyle w:val="P68B1DB1-Normal7"/>
              <w:spacing w:after="200" w:line="276" w:lineRule="auto"/>
              <w:rPr>
                <w:rFonts w:ascii="Times New Roman" w:hAnsi="Times New Roman" w:cs="Times New Roman"/>
                <w:noProof/>
              </w:rPr>
            </w:pPr>
            <w:r>
              <w:rPr>
                <w:noProof/>
              </w:rPr>
              <w:t xml:space="preserve"> Strategin för ett digitalt Kroatien </w:t>
            </w:r>
          </w:p>
        </w:tc>
        <w:tc>
          <w:tcPr>
            <w:tcW w:w="663" w:type="pct"/>
            <w:tcBorders>
              <w:top w:val="single" w:sz="4" w:space="0" w:color="auto"/>
              <w:left w:val="nil"/>
              <w:bottom w:val="single" w:sz="4" w:space="0" w:color="auto"/>
              <w:right w:val="single" w:sz="4" w:space="0" w:color="auto"/>
            </w:tcBorders>
            <w:shd w:val="clear" w:color="auto" w:fill="C6EFCE"/>
            <w:noWrap/>
          </w:tcPr>
          <w:p w14:paraId="297C53FE" w14:textId="77777777" w:rsidR="003A3D51" w:rsidRDefault="0002775A">
            <w:pPr>
              <w:pStyle w:val="P68B1DB1-Normal7"/>
              <w:spacing w:after="200" w:line="276" w:lineRule="auto"/>
              <w:rPr>
                <w:rFonts w:ascii="Times New Roman" w:hAnsi="Times New Roman" w:cs="Times New Roman"/>
                <w:noProof/>
              </w:rPr>
            </w:pPr>
            <w:r>
              <w:rPr>
                <w:noProof/>
              </w:rPr>
              <w:t>Ikraftträdande av strategin för ett digitalt Kroatien</w:t>
            </w:r>
          </w:p>
        </w:tc>
        <w:tc>
          <w:tcPr>
            <w:tcW w:w="340" w:type="pct"/>
            <w:tcBorders>
              <w:top w:val="nil"/>
              <w:left w:val="nil"/>
              <w:bottom w:val="single" w:sz="4" w:space="0" w:color="auto"/>
              <w:right w:val="single" w:sz="4" w:space="0" w:color="auto"/>
            </w:tcBorders>
            <w:shd w:val="clear" w:color="auto" w:fill="C6EFCE"/>
            <w:noWrap/>
          </w:tcPr>
          <w:p w14:paraId="21AF0CC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53899EB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619A67F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7B940D67"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79D326F8"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71" w:type="pct"/>
            <w:tcBorders>
              <w:top w:val="single" w:sz="4" w:space="0" w:color="auto"/>
              <w:left w:val="nil"/>
              <w:bottom w:val="single" w:sz="4" w:space="0" w:color="auto"/>
              <w:right w:val="single" w:sz="4" w:space="0" w:color="auto"/>
            </w:tcBorders>
            <w:shd w:val="clear" w:color="auto" w:fill="C6EFCE"/>
            <w:noWrap/>
          </w:tcPr>
          <w:p w14:paraId="348AF05B" w14:textId="77777777" w:rsidR="003A3D51" w:rsidRDefault="0002775A">
            <w:pPr>
              <w:pStyle w:val="P68B1DB1-Normal7"/>
              <w:spacing w:after="200" w:line="276" w:lineRule="auto"/>
              <w:rPr>
                <w:rFonts w:ascii="Times New Roman" w:hAnsi="Times New Roman" w:cs="Times New Roman"/>
                <w:noProof/>
              </w:rPr>
            </w:pPr>
            <w:r>
              <w:rPr>
                <w:noProof/>
              </w:rPr>
              <w:t>Den digitala strategin för Kroatien 2030 ska tydligt definiera strategiska mål och prioriteringar som kommer att ligga till grund för fastställandet av åtgärder på följande områden: digitalisering av den offentliga förvaltningen och rättsväsendet, utveckling av bredbandsnät för elektronisk kommunikation. utveckla digital kompetens och digitala arbetstillfällen.</w:t>
            </w:r>
          </w:p>
        </w:tc>
      </w:tr>
      <w:bookmarkEnd w:id="5"/>
      <w:tr w:rsidR="003A3D51" w14:paraId="5E607E1C"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43D0A402" w14:textId="77777777" w:rsidR="003A3D51" w:rsidRDefault="0002775A">
            <w:pPr>
              <w:pStyle w:val="P68B1DB1-Normal7"/>
              <w:spacing w:after="200" w:line="276" w:lineRule="auto"/>
              <w:jc w:val="center"/>
              <w:rPr>
                <w:rFonts w:ascii="Times New Roman" w:hAnsi="Times New Roman" w:cs="Times New Roman"/>
                <w:noProof/>
              </w:rPr>
            </w:pPr>
            <w:r>
              <w:rPr>
                <w:noProof/>
              </w:rPr>
              <w:t>177</w:t>
            </w:r>
          </w:p>
        </w:tc>
        <w:tc>
          <w:tcPr>
            <w:tcW w:w="264" w:type="pct"/>
            <w:tcBorders>
              <w:top w:val="nil"/>
              <w:left w:val="nil"/>
              <w:bottom w:val="single" w:sz="4" w:space="0" w:color="auto"/>
              <w:right w:val="single" w:sz="4" w:space="0" w:color="auto"/>
            </w:tcBorders>
            <w:shd w:val="clear" w:color="auto" w:fill="C6EFCE"/>
            <w:noWrap/>
          </w:tcPr>
          <w:p w14:paraId="3630A97C" w14:textId="5BCEEACE" w:rsidR="003A3D51" w:rsidRDefault="0002775A">
            <w:pPr>
              <w:pStyle w:val="P68B1DB1-Normal7"/>
              <w:spacing w:after="200" w:line="276" w:lineRule="auto"/>
              <w:jc w:val="center"/>
              <w:rPr>
                <w:rFonts w:ascii="Times New Roman" w:hAnsi="Times New Roman" w:cs="Times New Roman"/>
                <w:noProof/>
              </w:rPr>
            </w:pPr>
            <w:r>
              <w:rPr>
                <w:noProof/>
              </w:rPr>
              <w:t>C2.3 R2</w:t>
            </w:r>
            <w:r>
              <w:rPr>
                <w:noProof/>
              </w:rPr>
              <w:br/>
              <w:t>C2.3 R2.I2</w:t>
            </w:r>
          </w:p>
        </w:tc>
        <w:tc>
          <w:tcPr>
            <w:tcW w:w="294" w:type="pct"/>
            <w:tcBorders>
              <w:top w:val="nil"/>
              <w:left w:val="nil"/>
              <w:bottom w:val="single" w:sz="4" w:space="0" w:color="auto"/>
              <w:right w:val="single" w:sz="4" w:space="0" w:color="auto"/>
            </w:tcBorders>
            <w:shd w:val="clear" w:color="auto" w:fill="C6EFCE"/>
            <w:noWrap/>
          </w:tcPr>
          <w:p w14:paraId="03E2BBD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nil"/>
              <w:left w:val="nil"/>
              <w:bottom w:val="single" w:sz="4" w:space="0" w:color="auto"/>
              <w:right w:val="single" w:sz="4" w:space="0" w:color="auto"/>
            </w:tcBorders>
            <w:shd w:val="clear" w:color="auto" w:fill="C6EFCE"/>
            <w:noWrap/>
          </w:tcPr>
          <w:p w14:paraId="2C4CC6A7" w14:textId="77777777" w:rsidR="003A3D51" w:rsidRDefault="0002775A">
            <w:pPr>
              <w:pStyle w:val="P68B1DB1-Normal7"/>
              <w:spacing w:after="200" w:line="276" w:lineRule="auto"/>
              <w:rPr>
                <w:rFonts w:ascii="Times New Roman" w:hAnsi="Times New Roman" w:cs="Times New Roman"/>
                <w:noProof/>
              </w:rPr>
            </w:pPr>
            <w:r>
              <w:rPr>
                <w:noProof/>
              </w:rPr>
              <w:t xml:space="preserve">Inrättande av plattformar för det centrala interoperabilitetssystemet </w:t>
            </w:r>
          </w:p>
        </w:tc>
        <w:tc>
          <w:tcPr>
            <w:tcW w:w="663" w:type="pct"/>
            <w:tcBorders>
              <w:top w:val="nil"/>
              <w:left w:val="nil"/>
              <w:bottom w:val="single" w:sz="4" w:space="0" w:color="auto"/>
              <w:right w:val="single" w:sz="4" w:space="0" w:color="auto"/>
            </w:tcBorders>
            <w:shd w:val="clear" w:color="auto" w:fill="C6EFCE"/>
            <w:noWrap/>
          </w:tcPr>
          <w:p w14:paraId="186DBA34" w14:textId="2B7D93BD" w:rsidR="003A3D51" w:rsidRDefault="0002775A">
            <w:pPr>
              <w:pStyle w:val="P68B1DB1-Normal7"/>
              <w:spacing w:after="200" w:line="276" w:lineRule="auto"/>
              <w:rPr>
                <w:rFonts w:ascii="Times New Roman" w:hAnsi="Times New Roman" w:cs="Times New Roman"/>
                <w:noProof/>
              </w:rPr>
            </w:pPr>
            <w:r>
              <w:rPr>
                <w:noProof/>
              </w:rPr>
              <w:t>Rapport från centralbyrån för utveckling av det digitala samhället (SDURDD) om att plattformarna är i drift och testas för användning</w:t>
            </w:r>
          </w:p>
        </w:tc>
        <w:tc>
          <w:tcPr>
            <w:tcW w:w="340" w:type="pct"/>
            <w:tcBorders>
              <w:top w:val="nil"/>
              <w:left w:val="nil"/>
              <w:bottom w:val="single" w:sz="4" w:space="0" w:color="auto"/>
              <w:right w:val="single" w:sz="4" w:space="0" w:color="auto"/>
            </w:tcBorders>
            <w:shd w:val="clear" w:color="auto" w:fill="C6EFCE"/>
            <w:noWrap/>
          </w:tcPr>
          <w:p w14:paraId="448D25F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75F5929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6904ED3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7D0C37E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58C9A795"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71" w:type="pct"/>
            <w:tcBorders>
              <w:top w:val="nil"/>
              <w:left w:val="nil"/>
              <w:bottom w:val="single" w:sz="4" w:space="0" w:color="auto"/>
              <w:right w:val="single" w:sz="4" w:space="0" w:color="auto"/>
            </w:tcBorders>
            <w:shd w:val="clear" w:color="auto" w:fill="C6EFCE"/>
            <w:noWrap/>
          </w:tcPr>
          <w:p w14:paraId="4B2ED2F9" w14:textId="77777777" w:rsidR="003A3D51" w:rsidRDefault="0002775A">
            <w:pPr>
              <w:pStyle w:val="P68B1DB1-Normal7"/>
              <w:spacing w:after="200" w:line="276" w:lineRule="auto"/>
              <w:rPr>
                <w:rFonts w:ascii="Times New Roman" w:hAnsi="Times New Roman" w:cs="Times New Roman"/>
                <w:noProof/>
              </w:rPr>
            </w:pPr>
            <w:r>
              <w:rPr>
                <w:noProof/>
              </w:rPr>
              <w:t>Den centrala nationella interoperabilitetsportalen ska tillhandahålla en katalog över alla tillgängliga tjänster och Data Warehouse (DWH) ska vara i drift.</w:t>
            </w:r>
          </w:p>
        </w:tc>
      </w:tr>
      <w:tr w:rsidR="003A3D51" w14:paraId="366A5F55"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36D2E857" w14:textId="77777777" w:rsidR="003A3D51" w:rsidRDefault="0002775A">
            <w:pPr>
              <w:pStyle w:val="P68B1DB1-Normal7"/>
              <w:spacing w:after="200" w:line="276" w:lineRule="auto"/>
              <w:jc w:val="center"/>
              <w:rPr>
                <w:rFonts w:ascii="Times New Roman" w:hAnsi="Times New Roman" w:cs="Times New Roman"/>
                <w:noProof/>
              </w:rPr>
            </w:pPr>
            <w:r>
              <w:rPr>
                <w:noProof/>
              </w:rPr>
              <w:t>178</w:t>
            </w:r>
          </w:p>
        </w:tc>
        <w:tc>
          <w:tcPr>
            <w:tcW w:w="264" w:type="pct"/>
            <w:tcBorders>
              <w:top w:val="nil"/>
              <w:left w:val="nil"/>
              <w:bottom w:val="single" w:sz="4" w:space="0" w:color="auto"/>
              <w:right w:val="single" w:sz="4" w:space="0" w:color="auto"/>
            </w:tcBorders>
            <w:shd w:val="clear" w:color="auto" w:fill="C6EFCE"/>
            <w:noWrap/>
          </w:tcPr>
          <w:p w14:paraId="54282839" w14:textId="77777777" w:rsidR="003A3D51" w:rsidRDefault="0002775A">
            <w:pPr>
              <w:pStyle w:val="P68B1DB1-Normal7"/>
              <w:spacing w:after="200" w:line="276" w:lineRule="auto"/>
              <w:jc w:val="center"/>
              <w:rPr>
                <w:rFonts w:ascii="Times New Roman" w:hAnsi="Times New Roman" w:cs="Times New Roman"/>
                <w:noProof/>
              </w:rPr>
            </w:pPr>
            <w:r>
              <w:rPr>
                <w:noProof/>
              </w:rPr>
              <w:t>C2.3 R2-I1</w:t>
            </w:r>
          </w:p>
        </w:tc>
        <w:tc>
          <w:tcPr>
            <w:tcW w:w="294" w:type="pct"/>
            <w:tcBorders>
              <w:top w:val="nil"/>
              <w:left w:val="nil"/>
              <w:bottom w:val="single" w:sz="4" w:space="0" w:color="auto"/>
              <w:right w:val="single" w:sz="4" w:space="0" w:color="auto"/>
            </w:tcBorders>
            <w:shd w:val="clear" w:color="auto" w:fill="C6EFCE"/>
            <w:noWrap/>
          </w:tcPr>
          <w:p w14:paraId="239BEBA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nil"/>
              <w:left w:val="nil"/>
              <w:bottom w:val="single" w:sz="4" w:space="0" w:color="auto"/>
              <w:right w:val="single" w:sz="4" w:space="0" w:color="auto"/>
            </w:tcBorders>
            <w:shd w:val="clear" w:color="auto" w:fill="C6EFCE"/>
            <w:noWrap/>
          </w:tcPr>
          <w:p w14:paraId="2FAC0A16" w14:textId="77777777" w:rsidR="003A3D51" w:rsidRDefault="0002775A">
            <w:pPr>
              <w:pStyle w:val="P68B1DB1-Normal7"/>
              <w:spacing w:after="200" w:line="276" w:lineRule="auto"/>
              <w:rPr>
                <w:rFonts w:ascii="Times New Roman" w:hAnsi="Times New Roman" w:cs="Times New Roman"/>
                <w:noProof/>
              </w:rPr>
            </w:pPr>
            <w:r>
              <w:rPr>
                <w:noProof/>
              </w:rPr>
              <w:t xml:space="preserve">Inrättande av det centrala interoperabilitetssystemet </w:t>
            </w:r>
          </w:p>
        </w:tc>
        <w:tc>
          <w:tcPr>
            <w:tcW w:w="663" w:type="pct"/>
            <w:tcBorders>
              <w:top w:val="nil"/>
              <w:left w:val="nil"/>
              <w:bottom w:val="single" w:sz="4" w:space="0" w:color="auto"/>
              <w:right w:val="single" w:sz="4" w:space="0" w:color="auto"/>
            </w:tcBorders>
            <w:shd w:val="clear" w:color="auto" w:fill="C6EFCE"/>
            <w:noWrap/>
          </w:tcPr>
          <w:p w14:paraId="760BAC1B" w14:textId="77777777" w:rsidR="003A3D51" w:rsidRDefault="0002775A">
            <w:pPr>
              <w:pStyle w:val="P68B1DB1-Normal7"/>
              <w:spacing w:after="200" w:line="276" w:lineRule="auto"/>
              <w:rPr>
                <w:rFonts w:ascii="Times New Roman" w:hAnsi="Times New Roman" w:cs="Times New Roman"/>
                <w:noProof/>
              </w:rPr>
            </w:pPr>
            <w:r>
              <w:rPr>
                <w:noProof/>
              </w:rPr>
              <w:t>Rapport från centralbyrån för utveckling av det digitala samhället (SDURDD) om att systemet är i drift och har testats för användning</w:t>
            </w:r>
          </w:p>
        </w:tc>
        <w:tc>
          <w:tcPr>
            <w:tcW w:w="340" w:type="pct"/>
            <w:tcBorders>
              <w:top w:val="nil"/>
              <w:left w:val="nil"/>
              <w:bottom w:val="single" w:sz="4" w:space="0" w:color="auto"/>
              <w:right w:val="single" w:sz="4" w:space="0" w:color="auto"/>
            </w:tcBorders>
            <w:shd w:val="clear" w:color="auto" w:fill="C6EFCE"/>
            <w:noWrap/>
          </w:tcPr>
          <w:p w14:paraId="38D677E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16C2A89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44C99FB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0601E011" w14:textId="45EE7D6B"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0" w:type="pct"/>
            <w:tcBorders>
              <w:top w:val="nil"/>
              <w:left w:val="nil"/>
              <w:bottom w:val="single" w:sz="4" w:space="0" w:color="auto"/>
              <w:right w:val="single" w:sz="4" w:space="0" w:color="auto"/>
            </w:tcBorders>
            <w:shd w:val="clear" w:color="auto" w:fill="C6EFCE"/>
            <w:noWrap/>
          </w:tcPr>
          <w:p w14:paraId="10FDADD1" w14:textId="677F51BE"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nil"/>
              <w:left w:val="nil"/>
              <w:bottom w:val="single" w:sz="4" w:space="0" w:color="auto"/>
              <w:right w:val="single" w:sz="4" w:space="0" w:color="auto"/>
            </w:tcBorders>
            <w:shd w:val="clear" w:color="auto" w:fill="C6EFCE"/>
            <w:noWrap/>
          </w:tcPr>
          <w:p w14:paraId="6F01E2E5" w14:textId="77777777" w:rsidR="003A3D51" w:rsidRDefault="0002775A">
            <w:pPr>
              <w:pStyle w:val="P68B1DB1-Normal7"/>
              <w:spacing w:after="200" w:line="276" w:lineRule="auto"/>
              <w:rPr>
                <w:rFonts w:ascii="Times New Roman" w:hAnsi="Times New Roman" w:cs="Times New Roman"/>
                <w:noProof/>
              </w:rPr>
            </w:pPr>
            <w:r>
              <w:rPr>
                <w:noProof/>
              </w:rPr>
              <w:t xml:space="preserve">Det centrala driftskompatibla systemet ska vara i drift, inbegripet tillhandahållande online av de 21 administrativa förfaranden som förtecknas i bilaga II till förordningen om en gemensam digital ingång. </w:t>
            </w:r>
          </w:p>
        </w:tc>
      </w:tr>
      <w:tr w:rsidR="003A3D51" w14:paraId="1D280157"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29D80856" w14:textId="77777777" w:rsidR="003A3D51" w:rsidRDefault="0002775A">
            <w:pPr>
              <w:pStyle w:val="P68B1DB1-Normal7"/>
              <w:spacing w:after="200" w:line="276" w:lineRule="auto"/>
              <w:jc w:val="center"/>
              <w:rPr>
                <w:rFonts w:ascii="Times New Roman" w:hAnsi="Times New Roman" w:cs="Times New Roman"/>
                <w:noProof/>
              </w:rPr>
            </w:pPr>
            <w:r>
              <w:rPr>
                <w:noProof/>
              </w:rPr>
              <w:t>179</w:t>
            </w:r>
          </w:p>
        </w:tc>
        <w:tc>
          <w:tcPr>
            <w:tcW w:w="264" w:type="pct"/>
            <w:tcBorders>
              <w:top w:val="nil"/>
              <w:left w:val="nil"/>
              <w:bottom w:val="single" w:sz="4" w:space="0" w:color="auto"/>
              <w:right w:val="single" w:sz="4" w:space="0" w:color="auto"/>
            </w:tcBorders>
            <w:shd w:val="clear" w:color="auto" w:fill="C6EFCE"/>
            <w:noWrap/>
          </w:tcPr>
          <w:p w14:paraId="5FC49784" w14:textId="77777777" w:rsidR="003A3D51" w:rsidRDefault="0002775A">
            <w:pPr>
              <w:pStyle w:val="P68B1DB1-Normal7"/>
              <w:spacing w:after="200" w:line="276" w:lineRule="auto"/>
              <w:jc w:val="center"/>
              <w:rPr>
                <w:rFonts w:ascii="Times New Roman" w:hAnsi="Times New Roman" w:cs="Times New Roman"/>
                <w:noProof/>
              </w:rPr>
            </w:pPr>
            <w:r>
              <w:rPr>
                <w:noProof/>
              </w:rPr>
              <w:t>C2.3 R3-I1</w:t>
            </w:r>
          </w:p>
        </w:tc>
        <w:tc>
          <w:tcPr>
            <w:tcW w:w="294" w:type="pct"/>
            <w:tcBorders>
              <w:top w:val="nil"/>
              <w:left w:val="nil"/>
              <w:bottom w:val="single" w:sz="4" w:space="0" w:color="auto"/>
              <w:right w:val="single" w:sz="4" w:space="0" w:color="auto"/>
            </w:tcBorders>
            <w:shd w:val="clear" w:color="auto" w:fill="C6EFCE"/>
            <w:noWrap/>
          </w:tcPr>
          <w:p w14:paraId="13F59FB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nil"/>
              <w:left w:val="nil"/>
              <w:bottom w:val="single" w:sz="4" w:space="0" w:color="auto"/>
              <w:right w:val="single" w:sz="4" w:space="0" w:color="auto"/>
            </w:tcBorders>
            <w:shd w:val="clear" w:color="auto" w:fill="C6EFCE"/>
            <w:noWrap/>
          </w:tcPr>
          <w:p w14:paraId="50FCCD27" w14:textId="77777777" w:rsidR="003A3D51" w:rsidRDefault="0002775A">
            <w:pPr>
              <w:pStyle w:val="P68B1DB1-Normal7"/>
              <w:spacing w:after="200" w:line="276" w:lineRule="auto"/>
              <w:rPr>
                <w:rFonts w:ascii="Times New Roman" w:hAnsi="Times New Roman" w:cs="Times New Roman"/>
                <w:noProof/>
              </w:rPr>
            </w:pPr>
            <w:r>
              <w:rPr>
                <w:noProof/>
              </w:rPr>
              <w:t xml:space="preserve">Uppgradering av det statliga molnet </w:t>
            </w:r>
          </w:p>
        </w:tc>
        <w:tc>
          <w:tcPr>
            <w:tcW w:w="663" w:type="pct"/>
            <w:tcBorders>
              <w:top w:val="nil"/>
              <w:left w:val="nil"/>
              <w:bottom w:val="single" w:sz="4" w:space="0" w:color="auto"/>
              <w:right w:val="single" w:sz="4" w:space="0" w:color="auto"/>
            </w:tcBorders>
            <w:shd w:val="clear" w:color="auto" w:fill="C6EFCE"/>
            <w:noWrap/>
          </w:tcPr>
          <w:p w14:paraId="0D572850" w14:textId="77777777" w:rsidR="003A3D51" w:rsidRDefault="0002775A">
            <w:pPr>
              <w:pStyle w:val="P68B1DB1-Normal7"/>
              <w:spacing w:after="200" w:line="276" w:lineRule="auto"/>
              <w:rPr>
                <w:rFonts w:ascii="Times New Roman" w:hAnsi="Times New Roman" w:cs="Times New Roman"/>
                <w:noProof/>
              </w:rPr>
            </w:pPr>
            <w:r>
              <w:rPr>
                <w:noProof/>
              </w:rPr>
              <w:t xml:space="preserve">Rapport från centralbyrån för utveckling av det digitala samhället (SDURDD)  </w:t>
            </w:r>
          </w:p>
        </w:tc>
        <w:tc>
          <w:tcPr>
            <w:tcW w:w="340" w:type="pct"/>
            <w:tcBorders>
              <w:top w:val="nil"/>
              <w:left w:val="nil"/>
              <w:bottom w:val="single" w:sz="4" w:space="0" w:color="auto"/>
              <w:right w:val="single" w:sz="4" w:space="0" w:color="auto"/>
            </w:tcBorders>
            <w:shd w:val="clear" w:color="auto" w:fill="C6EFCE"/>
            <w:noWrap/>
          </w:tcPr>
          <w:p w14:paraId="63B2420D"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nil"/>
              <w:left w:val="nil"/>
              <w:bottom w:val="single" w:sz="4" w:space="0" w:color="auto"/>
              <w:right w:val="single" w:sz="4" w:space="0" w:color="auto"/>
            </w:tcBorders>
            <w:shd w:val="clear" w:color="auto" w:fill="C6EFCE"/>
            <w:noWrap/>
          </w:tcPr>
          <w:p w14:paraId="489CE76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nil"/>
              <w:left w:val="nil"/>
              <w:bottom w:val="single" w:sz="4" w:space="0" w:color="auto"/>
              <w:right w:val="single" w:sz="4" w:space="0" w:color="auto"/>
            </w:tcBorders>
            <w:shd w:val="clear" w:color="auto" w:fill="C6EFCE"/>
            <w:noWrap/>
          </w:tcPr>
          <w:p w14:paraId="46655B57" w14:textId="77777777" w:rsidR="003A3D51" w:rsidRDefault="0002775A">
            <w:pPr>
              <w:pStyle w:val="P68B1DB1-Normal7"/>
              <w:spacing w:after="200" w:line="276" w:lineRule="auto"/>
              <w:jc w:val="center"/>
              <w:rPr>
                <w:rFonts w:ascii="Times New Roman" w:hAnsi="Times New Roman" w:cs="Times New Roman"/>
                <w:noProof/>
              </w:rPr>
            </w:pPr>
            <w:r>
              <w:rPr>
                <w:noProof/>
              </w:rPr>
              <w:t>6</w:t>
            </w:r>
          </w:p>
        </w:tc>
        <w:tc>
          <w:tcPr>
            <w:tcW w:w="247" w:type="pct"/>
            <w:tcBorders>
              <w:top w:val="nil"/>
              <w:left w:val="nil"/>
              <w:bottom w:val="single" w:sz="4" w:space="0" w:color="auto"/>
              <w:right w:val="single" w:sz="4" w:space="0" w:color="auto"/>
            </w:tcBorders>
            <w:shd w:val="clear" w:color="auto" w:fill="C6EFCE"/>
            <w:noWrap/>
          </w:tcPr>
          <w:p w14:paraId="396DF00C"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499ED539"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71" w:type="pct"/>
            <w:tcBorders>
              <w:top w:val="nil"/>
              <w:left w:val="nil"/>
              <w:bottom w:val="single" w:sz="4" w:space="0" w:color="auto"/>
              <w:right w:val="single" w:sz="4" w:space="0" w:color="auto"/>
            </w:tcBorders>
            <w:shd w:val="clear" w:color="auto" w:fill="C6EFCE"/>
            <w:noWrap/>
          </w:tcPr>
          <w:p w14:paraId="6D66D5E1" w14:textId="1A90DF8C" w:rsidR="003A3D51" w:rsidRDefault="0002775A">
            <w:pPr>
              <w:pStyle w:val="P68B1DB1-Normal7"/>
              <w:spacing w:after="200" w:line="276" w:lineRule="auto"/>
              <w:rPr>
                <w:rFonts w:ascii="Times New Roman" w:hAnsi="Times New Roman" w:cs="Times New Roman"/>
                <w:noProof/>
              </w:rPr>
            </w:pPr>
            <w:r>
              <w:rPr>
                <w:noProof/>
              </w:rPr>
              <w:t>6 nya funktioner ska vara i drift för användning i det statliga molnet (CDU) och vara tillgängliga för användare:</w:t>
            </w:r>
            <w:r>
              <w:rPr>
                <w:noProof/>
              </w:rPr>
              <w:br/>
              <w:t xml:space="preserve">— En plattform för utveckling, genomförande och testning av tillämpningar för användare, </w:t>
            </w:r>
            <w:r>
              <w:rPr>
                <w:noProof/>
              </w:rPr>
              <w:br/>
              <w:t xml:space="preserve">— En plattform för IKT-stöd, </w:t>
            </w:r>
            <w:r>
              <w:rPr>
                <w:noProof/>
              </w:rPr>
              <w:br/>
              <w:t xml:space="preserve">— Ett centralt övervakningssystem för informationssäkerhet för att hantera potentiella säkerhetshändelser. </w:t>
            </w:r>
            <w:r>
              <w:rPr>
                <w:noProof/>
              </w:rPr>
              <w:br/>
              <w:t xml:space="preserve">En plattform för biometrisk autentisering, </w:t>
            </w:r>
            <w:r>
              <w:rPr>
                <w:noProof/>
              </w:rPr>
              <w:br/>
              <w:t xml:space="preserve">— En plattform för att hantera webbplatsernas digitala innehåll, </w:t>
            </w:r>
            <w:r>
              <w:rPr>
                <w:noProof/>
              </w:rPr>
              <w:br/>
              <w:t>— En plattform för utveckling av blockkedjeteknik för det statliga molnet.</w:t>
            </w:r>
          </w:p>
        </w:tc>
      </w:tr>
      <w:tr w:rsidR="003A3D51" w14:paraId="668D64FE"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22C82FF6" w14:textId="77777777" w:rsidR="003A3D51" w:rsidRDefault="0002775A">
            <w:pPr>
              <w:pStyle w:val="P68B1DB1-Normal7"/>
              <w:spacing w:after="200" w:line="276" w:lineRule="auto"/>
              <w:jc w:val="center"/>
              <w:rPr>
                <w:rFonts w:ascii="Times New Roman" w:hAnsi="Times New Roman" w:cs="Times New Roman"/>
                <w:noProof/>
              </w:rPr>
            </w:pPr>
            <w:r>
              <w:rPr>
                <w:noProof/>
              </w:rPr>
              <w:t>180</w:t>
            </w:r>
          </w:p>
        </w:tc>
        <w:tc>
          <w:tcPr>
            <w:tcW w:w="264" w:type="pct"/>
            <w:tcBorders>
              <w:top w:val="nil"/>
              <w:left w:val="nil"/>
              <w:bottom w:val="single" w:sz="4" w:space="0" w:color="auto"/>
              <w:right w:val="single" w:sz="4" w:space="0" w:color="auto"/>
            </w:tcBorders>
            <w:shd w:val="clear" w:color="auto" w:fill="C6EFCE"/>
            <w:noWrap/>
          </w:tcPr>
          <w:p w14:paraId="74E4C389" w14:textId="77777777" w:rsidR="003A3D51" w:rsidRDefault="0002775A">
            <w:pPr>
              <w:pStyle w:val="P68B1DB1-Normal7"/>
              <w:spacing w:after="200" w:line="276" w:lineRule="auto"/>
              <w:jc w:val="center"/>
              <w:rPr>
                <w:rFonts w:ascii="Times New Roman" w:hAnsi="Times New Roman" w:cs="Times New Roman"/>
                <w:noProof/>
              </w:rPr>
            </w:pPr>
            <w:r>
              <w:rPr>
                <w:noProof/>
              </w:rPr>
              <w:t>C2.3 R3-I1</w:t>
            </w:r>
          </w:p>
        </w:tc>
        <w:tc>
          <w:tcPr>
            <w:tcW w:w="294" w:type="pct"/>
            <w:tcBorders>
              <w:top w:val="nil"/>
              <w:left w:val="nil"/>
              <w:bottom w:val="single" w:sz="4" w:space="0" w:color="auto"/>
              <w:right w:val="single" w:sz="4" w:space="0" w:color="auto"/>
            </w:tcBorders>
            <w:shd w:val="clear" w:color="auto" w:fill="C6EFCE"/>
            <w:noWrap/>
          </w:tcPr>
          <w:p w14:paraId="072E507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nil"/>
              <w:left w:val="nil"/>
              <w:bottom w:val="single" w:sz="4" w:space="0" w:color="auto"/>
              <w:right w:val="single" w:sz="4" w:space="0" w:color="auto"/>
            </w:tcBorders>
            <w:shd w:val="clear" w:color="auto" w:fill="C6EFCE"/>
            <w:noWrap/>
          </w:tcPr>
          <w:p w14:paraId="16D0A14C" w14:textId="77777777" w:rsidR="003A3D51" w:rsidRDefault="0002775A">
            <w:pPr>
              <w:pStyle w:val="P68B1DB1-Normal7"/>
              <w:spacing w:after="200" w:line="276" w:lineRule="auto"/>
              <w:rPr>
                <w:rFonts w:ascii="Times New Roman" w:hAnsi="Times New Roman" w:cs="Times New Roman"/>
                <w:noProof/>
              </w:rPr>
            </w:pPr>
            <w:r>
              <w:rPr>
                <w:noProof/>
              </w:rPr>
              <w:t>Ökning av antalet användare i centrumet för gemensamma tjänster</w:t>
            </w:r>
          </w:p>
        </w:tc>
        <w:tc>
          <w:tcPr>
            <w:tcW w:w="663" w:type="pct"/>
            <w:tcBorders>
              <w:top w:val="nil"/>
              <w:left w:val="nil"/>
              <w:bottom w:val="single" w:sz="4" w:space="0" w:color="auto"/>
              <w:right w:val="single" w:sz="4" w:space="0" w:color="auto"/>
            </w:tcBorders>
            <w:shd w:val="clear" w:color="auto" w:fill="C6EFCE"/>
            <w:noWrap/>
          </w:tcPr>
          <w:p w14:paraId="5CC8947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40" w:type="pct"/>
            <w:tcBorders>
              <w:top w:val="nil"/>
              <w:left w:val="nil"/>
              <w:bottom w:val="single" w:sz="4" w:space="0" w:color="auto"/>
              <w:right w:val="single" w:sz="4" w:space="0" w:color="auto"/>
            </w:tcBorders>
            <w:shd w:val="clear" w:color="auto" w:fill="C6EFCE"/>
            <w:noWrap/>
          </w:tcPr>
          <w:p w14:paraId="15F44105"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nil"/>
              <w:left w:val="nil"/>
              <w:bottom w:val="single" w:sz="4" w:space="0" w:color="auto"/>
              <w:right w:val="single" w:sz="4" w:space="0" w:color="auto"/>
            </w:tcBorders>
            <w:shd w:val="clear" w:color="auto" w:fill="C6EFCE"/>
            <w:noWrap/>
          </w:tcPr>
          <w:p w14:paraId="566F219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nil"/>
              <w:left w:val="nil"/>
              <w:bottom w:val="single" w:sz="4" w:space="0" w:color="auto"/>
              <w:right w:val="single" w:sz="4" w:space="0" w:color="auto"/>
            </w:tcBorders>
            <w:shd w:val="clear" w:color="auto" w:fill="C6EFCE"/>
            <w:noWrap/>
          </w:tcPr>
          <w:p w14:paraId="0068E10C" w14:textId="77777777" w:rsidR="003A3D51" w:rsidRDefault="0002775A">
            <w:pPr>
              <w:pStyle w:val="P68B1DB1-Normal7"/>
              <w:spacing w:after="200" w:line="276" w:lineRule="auto"/>
              <w:jc w:val="center"/>
              <w:rPr>
                <w:rFonts w:ascii="Times New Roman" w:hAnsi="Times New Roman" w:cs="Times New Roman"/>
                <w:noProof/>
              </w:rPr>
            </w:pPr>
            <w:r>
              <w:rPr>
                <w:noProof/>
              </w:rPr>
              <w:t>450</w:t>
            </w:r>
          </w:p>
        </w:tc>
        <w:tc>
          <w:tcPr>
            <w:tcW w:w="247" w:type="pct"/>
            <w:tcBorders>
              <w:top w:val="nil"/>
              <w:left w:val="nil"/>
              <w:bottom w:val="single" w:sz="4" w:space="0" w:color="auto"/>
              <w:right w:val="single" w:sz="4" w:space="0" w:color="auto"/>
            </w:tcBorders>
            <w:shd w:val="clear" w:color="auto" w:fill="C6EFCE"/>
            <w:noWrap/>
          </w:tcPr>
          <w:p w14:paraId="528E438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nil"/>
              <w:left w:val="nil"/>
              <w:bottom w:val="single" w:sz="4" w:space="0" w:color="auto"/>
              <w:right w:val="single" w:sz="4" w:space="0" w:color="auto"/>
            </w:tcBorders>
            <w:shd w:val="clear" w:color="auto" w:fill="C6EFCE"/>
            <w:noWrap/>
          </w:tcPr>
          <w:p w14:paraId="36C083E8"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nil"/>
              <w:left w:val="nil"/>
              <w:bottom w:val="single" w:sz="4" w:space="0" w:color="auto"/>
              <w:right w:val="single" w:sz="4" w:space="0" w:color="auto"/>
            </w:tcBorders>
            <w:shd w:val="clear" w:color="auto" w:fill="C6EFCE"/>
            <w:noWrap/>
          </w:tcPr>
          <w:p w14:paraId="12912D8E" w14:textId="77777777" w:rsidR="003A3D51" w:rsidRDefault="0002775A">
            <w:pPr>
              <w:pStyle w:val="P68B1DB1-Normal7"/>
              <w:spacing w:after="200" w:line="276" w:lineRule="auto"/>
              <w:rPr>
                <w:rFonts w:ascii="Times New Roman" w:hAnsi="Times New Roman" w:cs="Times New Roman"/>
                <w:noProof/>
              </w:rPr>
            </w:pPr>
            <w:r>
              <w:rPr>
                <w:noProof/>
              </w:rPr>
              <w:t>450 nya användare ska integreras i centrumet för gemensamma tjänster</w:t>
            </w:r>
          </w:p>
        </w:tc>
      </w:tr>
      <w:tr w:rsidR="003A3D51" w14:paraId="01BCA9A8"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59685E41" w14:textId="77777777" w:rsidR="003A3D51" w:rsidRDefault="0002775A">
            <w:pPr>
              <w:pStyle w:val="P68B1DB1-Normal7"/>
              <w:spacing w:after="200" w:line="276" w:lineRule="auto"/>
              <w:jc w:val="center"/>
              <w:rPr>
                <w:rFonts w:ascii="Times New Roman" w:hAnsi="Times New Roman" w:cs="Times New Roman"/>
                <w:noProof/>
              </w:rPr>
            </w:pPr>
            <w:r>
              <w:rPr>
                <w:noProof/>
              </w:rPr>
              <w:t>181</w:t>
            </w:r>
          </w:p>
        </w:tc>
        <w:tc>
          <w:tcPr>
            <w:tcW w:w="264" w:type="pct"/>
            <w:tcBorders>
              <w:top w:val="nil"/>
              <w:left w:val="nil"/>
              <w:bottom w:val="single" w:sz="4" w:space="0" w:color="auto"/>
              <w:right w:val="single" w:sz="4" w:space="0" w:color="auto"/>
            </w:tcBorders>
            <w:shd w:val="clear" w:color="auto" w:fill="C6EFCE"/>
            <w:noWrap/>
          </w:tcPr>
          <w:p w14:paraId="13F4D8BB" w14:textId="77777777" w:rsidR="003A3D51" w:rsidRDefault="0002775A">
            <w:pPr>
              <w:pStyle w:val="P68B1DB1-Normal7"/>
              <w:spacing w:after="200" w:line="276" w:lineRule="auto"/>
              <w:jc w:val="center"/>
              <w:rPr>
                <w:rFonts w:ascii="Times New Roman" w:hAnsi="Times New Roman" w:cs="Times New Roman"/>
                <w:noProof/>
              </w:rPr>
            </w:pPr>
            <w:r>
              <w:rPr>
                <w:noProof/>
              </w:rPr>
              <w:t>C2.3 R3-I2</w:t>
            </w:r>
          </w:p>
        </w:tc>
        <w:tc>
          <w:tcPr>
            <w:tcW w:w="294" w:type="pct"/>
            <w:tcBorders>
              <w:top w:val="nil"/>
              <w:left w:val="nil"/>
              <w:bottom w:val="single" w:sz="4" w:space="0" w:color="auto"/>
              <w:right w:val="single" w:sz="4" w:space="0" w:color="auto"/>
            </w:tcBorders>
            <w:shd w:val="clear" w:color="auto" w:fill="C6EFCE"/>
            <w:noWrap/>
          </w:tcPr>
          <w:p w14:paraId="332B2DBD"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nil"/>
              <w:left w:val="nil"/>
              <w:bottom w:val="single" w:sz="4" w:space="0" w:color="auto"/>
              <w:right w:val="single" w:sz="4" w:space="0" w:color="auto"/>
            </w:tcBorders>
            <w:shd w:val="clear" w:color="auto" w:fill="C6EFCE"/>
            <w:noWrap/>
          </w:tcPr>
          <w:p w14:paraId="1A868128" w14:textId="77777777" w:rsidR="003A3D51" w:rsidRDefault="0002775A">
            <w:pPr>
              <w:pStyle w:val="P68B1DB1-Normal7"/>
              <w:spacing w:after="200" w:line="276" w:lineRule="auto"/>
              <w:rPr>
                <w:rFonts w:ascii="Times New Roman" w:hAnsi="Times New Roman" w:cs="Times New Roman"/>
                <w:noProof/>
              </w:rPr>
            </w:pPr>
            <w:r>
              <w:rPr>
                <w:noProof/>
              </w:rPr>
              <w:t>Pilotprojekt om cybersäkerhet</w:t>
            </w:r>
          </w:p>
        </w:tc>
        <w:tc>
          <w:tcPr>
            <w:tcW w:w="663" w:type="pct"/>
            <w:tcBorders>
              <w:top w:val="nil"/>
              <w:left w:val="nil"/>
              <w:bottom w:val="single" w:sz="4" w:space="0" w:color="auto"/>
              <w:right w:val="single" w:sz="4" w:space="0" w:color="auto"/>
            </w:tcBorders>
            <w:shd w:val="clear" w:color="auto" w:fill="C6EFCE"/>
            <w:noWrap/>
          </w:tcPr>
          <w:p w14:paraId="351598AC" w14:textId="77777777" w:rsidR="003A3D51" w:rsidRDefault="0002775A">
            <w:pPr>
              <w:pStyle w:val="P68B1DB1-Normal7"/>
              <w:spacing w:after="200" w:line="276" w:lineRule="auto"/>
              <w:rPr>
                <w:rFonts w:ascii="Times New Roman" w:hAnsi="Times New Roman" w:cs="Times New Roman"/>
                <w:noProof/>
              </w:rPr>
            </w:pPr>
            <w:r>
              <w:rPr>
                <w:noProof/>
              </w:rPr>
              <w:t>Rapport från inrikesministeriet</w:t>
            </w:r>
          </w:p>
        </w:tc>
        <w:tc>
          <w:tcPr>
            <w:tcW w:w="340" w:type="pct"/>
            <w:tcBorders>
              <w:top w:val="nil"/>
              <w:left w:val="nil"/>
              <w:bottom w:val="single" w:sz="4" w:space="0" w:color="auto"/>
              <w:right w:val="single" w:sz="4" w:space="0" w:color="auto"/>
            </w:tcBorders>
            <w:shd w:val="clear" w:color="auto" w:fill="C6EFCE"/>
            <w:noWrap/>
          </w:tcPr>
          <w:p w14:paraId="188EE0B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3C4FAB5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576D00C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0BC463E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083A88CA"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71" w:type="pct"/>
            <w:tcBorders>
              <w:top w:val="nil"/>
              <w:left w:val="nil"/>
              <w:bottom w:val="single" w:sz="4" w:space="0" w:color="auto"/>
              <w:right w:val="single" w:sz="4" w:space="0" w:color="auto"/>
            </w:tcBorders>
            <w:shd w:val="clear" w:color="auto" w:fill="C6EFCE"/>
            <w:noWrap/>
          </w:tcPr>
          <w:p w14:paraId="489E735E" w14:textId="77777777" w:rsidR="003A3D51" w:rsidRDefault="0002775A">
            <w:pPr>
              <w:pStyle w:val="P68B1DB1-Normal7"/>
              <w:spacing w:after="200" w:line="276" w:lineRule="auto"/>
              <w:rPr>
                <w:rFonts w:ascii="Times New Roman" w:hAnsi="Times New Roman" w:cs="Times New Roman"/>
                <w:noProof/>
              </w:rPr>
            </w:pPr>
            <w:r>
              <w:rPr>
                <w:noProof/>
              </w:rPr>
              <w:t xml:space="preserve">Pilotprojekt för systemstresstester ska genomföras – med simulering av ”it-beroende” och ”it-baserade” brott. </w:t>
            </w:r>
            <w:r>
              <w:rPr>
                <w:noProof/>
              </w:rPr>
              <w:br/>
            </w:r>
            <w:r>
              <w:rPr>
                <w:noProof/>
              </w:rPr>
              <w:br/>
              <w:t xml:space="preserve">Systemet ska vara utrustat med särskilda programvaru- och maskinvarukomponenter för utredning av it-brottslighet, sökningar med öppen källkod på internet och digital kriminalteknik samt utredningsanalysdataset för analys av digitala bevis. Genomförandet av projektet ska uppfylla de nödvändiga förutsättningarna för att uppgradera kriminaltekniska verktyg och system, samt hemliga övervakningssystem för elektroniska kommunikationsnät och kommunikationstjänster, som är nödvändiga för att höja nivån på it-säkerheten i Kroatien och EU. När utrustningen har förvärvats och tagits i full drift ska ett pilotprojekt för simulering av forskning om it-brottslighet i form av en skrivbordsövning genomföras för att bedöma utrustningens bidrag till uppnåendet av åtgärderna och målen för it-bekämpningsprojektet. </w:t>
            </w:r>
          </w:p>
        </w:tc>
      </w:tr>
      <w:tr w:rsidR="003A3D51" w14:paraId="583366E2"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3DC5309A" w14:textId="77777777" w:rsidR="003A3D51" w:rsidRDefault="0002775A">
            <w:pPr>
              <w:pStyle w:val="P68B1DB1-Normal7"/>
              <w:spacing w:after="200" w:line="276" w:lineRule="auto"/>
              <w:jc w:val="center"/>
              <w:rPr>
                <w:rFonts w:ascii="Times New Roman" w:hAnsi="Times New Roman" w:cs="Times New Roman"/>
                <w:noProof/>
              </w:rPr>
            </w:pPr>
            <w:r>
              <w:rPr>
                <w:noProof/>
              </w:rPr>
              <w:t>182</w:t>
            </w:r>
          </w:p>
        </w:tc>
        <w:tc>
          <w:tcPr>
            <w:tcW w:w="264" w:type="pct"/>
            <w:tcBorders>
              <w:top w:val="nil"/>
              <w:left w:val="nil"/>
              <w:bottom w:val="single" w:sz="4" w:space="0" w:color="auto"/>
              <w:right w:val="single" w:sz="4" w:space="0" w:color="auto"/>
            </w:tcBorders>
            <w:shd w:val="clear" w:color="auto" w:fill="C6EFCE"/>
            <w:noWrap/>
          </w:tcPr>
          <w:p w14:paraId="50E661FB" w14:textId="77777777" w:rsidR="003A3D51" w:rsidRDefault="0002775A">
            <w:pPr>
              <w:pStyle w:val="P68B1DB1-Normal7"/>
              <w:spacing w:after="200" w:line="276" w:lineRule="auto"/>
              <w:jc w:val="center"/>
              <w:rPr>
                <w:rFonts w:ascii="Times New Roman" w:hAnsi="Times New Roman" w:cs="Times New Roman"/>
                <w:noProof/>
              </w:rPr>
            </w:pPr>
            <w:r>
              <w:rPr>
                <w:noProof/>
              </w:rPr>
              <w:t>C2.3 R3-I2</w:t>
            </w:r>
          </w:p>
        </w:tc>
        <w:tc>
          <w:tcPr>
            <w:tcW w:w="294" w:type="pct"/>
            <w:tcBorders>
              <w:top w:val="nil"/>
              <w:left w:val="nil"/>
              <w:bottom w:val="single" w:sz="4" w:space="0" w:color="auto"/>
              <w:right w:val="single" w:sz="4" w:space="0" w:color="auto"/>
            </w:tcBorders>
            <w:shd w:val="clear" w:color="auto" w:fill="C6EFCE"/>
            <w:noWrap/>
          </w:tcPr>
          <w:p w14:paraId="3149C97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nil"/>
              <w:left w:val="nil"/>
              <w:bottom w:val="single" w:sz="4" w:space="0" w:color="auto"/>
              <w:right w:val="single" w:sz="4" w:space="0" w:color="auto"/>
            </w:tcBorders>
            <w:shd w:val="clear" w:color="auto" w:fill="C6EFCE"/>
            <w:noWrap/>
          </w:tcPr>
          <w:p w14:paraId="76C236DC" w14:textId="77777777" w:rsidR="003A3D51" w:rsidRDefault="0002775A">
            <w:pPr>
              <w:pStyle w:val="P68B1DB1-Normal7"/>
              <w:spacing w:after="200" w:line="276" w:lineRule="auto"/>
              <w:rPr>
                <w:rFonts w:ascii="Times New Roman" w:hAnsi="Times New Roman" w:cs="Times New Roman"/>
                <w:noProof/>
              </w:rPr>
            </w:pPr>
            <w:r>
              <w:rPr>
                <w:noProof/>
              </w:rPr>
              <w:t xml:space="preserve">Offentlig kampanj för att förebygga it-säkerhet </w:t>
            </w:r>
          </w:p>
        </w:tc>
        <w:tc>
          <w:tcPr>
            <w:tcW w:w="663" w:type="pct"/>
            <w:tcBorders>
              <w:top w:val="nil"/>
              <w:left w:val="nil"/>
              <w:bottom w:val="single" w:sz="4" w:space="0" w:color="auto"/>
              <w:right w:val="single" w:sz="4" w:space="0" w:color="auto"/>
            </w:tcBorders>
            <w:shd w:val="clear" w:color="auto" w:fill="C6EFCE"/>
            <w:noWrap/>
          </w:tcPr>
          <w:p w14:paraId="13BFA051" w14:textId="77777777" w:rsidR="003A3D51" w:rsidRDefault="0002775A">
            <w:pPr>
              <w:pStyle w:val="P68B1DB1-Normal7"/>
              <w:spacing w:after="200" w:line="276" w:lineRule="auto"/>
              <w:rPr>
                <w:rFonts w:ascii="Times New Roman" w:hAnsi="Times New Roman" w:cs="Times New Roman"/>
                <w:noProof/>
              </w:rPr>
            </w:pPr>
            <w:r>
              <w:rPr>
                <w:noProof/>
              </w:rPr>
              <w:t>Rapport från inrikesministeriet</w:t>
            </w:r>
          </w:p>
        </w:tc>
        <w:tc>
          <w:tcPr>
            <w:tcW w:w="340" w:type="pct"/>
            <w:tcBorders>
              <w:top w:val="nil"/>
              <w:left w:val="nil"/>
              <w:bottom w:val="single" w:sz="4" w:space="0" w:color="auto"/>
              <w:right w:val="single" w:sz="4" w:space="0" w:color="auto"/>
            </w:tcBorders>
            <w:shd w:val="clear" w:color="auto" w:fill="C6EFCE"/>
            <w:noWrap/>
          </w:tcPr>
          <w:p w14:paraId="397609C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00622D0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51652FB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31E37936"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0" w:type="pct"/>
            <w:tcBorders>
              <w:top w:val="nil"/>
              <w:left w:val="nil"/>
              <w:bottom w:val="single" w:sz="4" w:space="0" w:color="auto"/>
              <w:right w:val="single" w:sz="4" w:space="0" w:color="auto"/>
            </w:tcBorders>
            <w:shd w:val="clear" w:color="auto" w:fill="C6EFCE"/>
            <w:noWrap/>
          </w:tcPr>
          <w:p w14:paraId="7EADE1A8"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nil"/>
              <w:left w:val="nil"/>
              <w:bottom w:val="single" w:sz="4" w:space="0" w:color="auto"/>
              <w:right w:val="single" w:sz="4" w:space="0" w:color="auto"/>
            </w:tcBorders>
            <w:shd w:val="clear" w:color="auto" w:fill="C6EFCE"/>
            <w:noWrap/>
          </w:tcPr>
          <w:p w14:paraId="6FB6F073" w14:textId="4BBDCBBA" w:rsidR="003A3D51" w:rsidRDefault="0002775A">
            <w:pPr>
              <w:pStyle w:val="P68B1DB1-Normal7"/>
              <w:spacing w:after="200" w:line="276" w:lineRule="auto"/>
              <w:rPr>
                <w:rFonts w:ascii="Times New Roman" w:hAnsi="Times New Roman" w:cs="Times New Roman"/>
                <w:noProof/>
              </w:rPr>
            </w:pPr>
            <w:r>
              <w:rPr>
                <w:noProof/>
              </w:rPr>
              <w:t>En offentlig kampanj för att förebygga it-brottslighet ska genomföras och förebyggande åtgärder övervakas med hjälp av följande indikatorer:</w:t>
            </w:r>
            <w:r>
              <w:rPr>
                <w:noProof/>
              </w:rPr>
              <w:br/>
              <w:t xml:space="preserve">— antal förebyggande medvetandehöjande åtgärder och utbildningsinsatser som genomförs av olika målgrupper om åtgärder för självskyddande beteende i förhållande till riskerna för it-brottslighet. </w:t>
            </w:r>
            <w:r>
              <w:rPr>
                <w:noProof/>
              </w:rPr>
              <w:br/>
              <w:t xml:space="preserve">— antal deltagare i verksamheten </w:t>
            </w:r>
            <w:r>
              <w:rPr>
                <w:noProof/>
              </w:rPr>
              <w:br/>
              <w:t xml:space="preserve">— antal distribuerade förebyggande material </w:t>
            </w:r>
            <w:r>
              <w:rPr>
                <w:noProof/>
              </w:rPr>
              <w:br/>
              <w:t xml:space="preserve">antal medieinlägg (inklusive alla medier) </w:t>
            </w:r>
            <w:r>
              <w:rPr>
                <w:noProof/>
              </w:rPr>
              <w:br/>
              <w:t xml:space="preserve">— antal svar från målgrupperna på sociala medier </w:t>
            </w:r>
            <w:r>
              <w:rPr>
                <w:noProof/>
              </w:rPr>
              <w:br/>
              <w:t xml:space="preserve">— antal och bearbetade resultat av undersökningar på nätet som genomförts via sociala nätverk </w:t>
            </w:r>
            <w:r>
              <w:rPr>
                <w:noProof/>
              </w:rPr>
              <w:br/>
              <w:t>— antal utvärderingar av målgrupper som genomförts med hjälp av kvantitativa metoder</w:t>
            </w:r>
          </w:p>
        </w:tc>
      </w:tr>
      <w:tr w:rsidR="003A3D51" w14:paraId="28106941"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46FED6B9" w14:textId="77777777" w:rsidR="003A3D51" w:rsidRDefault="0002775A">
            <w:pPr>
              <w:pStyle w:val="P68B1DB1-Normal7"/>
              <w:spacing w:after="200" w:line="276" w:lineRule="auto"/>
              <w:jc w:val="center"/>
              <w:rPr>
                <w:rFonts w:ascii="Times New Roman" w:hAnsi="Times New Roman" w:cs="Times New Roman"/>
                <w:noProof/>
              </w:rPr>
            </w:pPr>
            <w:r>
              <w:rPr>
                <w:noProof/>
              </w:rPr>
              <w:t>183</w:t>
            </w:r>
          </w:p>
        </w:tc>
        <w:tc>
          <w:tcPr>
            <w:tcW w:w="264" w:type="pct"/>
            <w:tcBorders>
              <w:top w:val="nil"/>
              <w:left w:val="nil"/>
              <w:bottom w:val="single" w:sz="4" w:space="0" w:color="auto"/>
              <w:right w:val="single" w:sz="4" w:space="0" w:color="auto"/>
            </w:tcBorders>
            <w:shd w:val="clear" w:color="auto" w:fill="C6EFCE"/>
            <w:noWrap/>
          </w:tcPr>
          <w:p w14:paraId="39806341" w14:textId="77777777" w:rsidR="003A3D51" w:rsidRDefault="0002775A">
            <w:pPr>
              <w:pStyle w:val="P68B1DB1-Normal7"/>
              <w:spacing w:after="200" w:line="276" w:lineRule="auto"/>
              <w:jc w:val="center"/>
              <w:rPr>
                <w:rFonts w:ascii="Times New Roman" w:hAnsi="Times New Roman" w:cs="Times New Roman"/>
                <w:noProof/>
              </w:rPr>
            </w:pPr>
            <w:r>
              <w:rPr>
                <w:noProof/>
              </w:rPr>
              <w:t>C2.3 R3-I3</w:t>
            </w:r>
          </w:p>
        </w:tc>
        <w:tc>
          <w:tcPr>
            <w:tcW w:w="294" w:type="pct"/>
            <w:tcBorders>
              <w:top w:val="nil"/>
              <w:left w:val="nil"/>
              <w:bottom w:val="single" w:sz="4" w:space="0" w:color="auto"/>
              <w:right w:val="single" w:sz="4" w:space="0" w:color="auto"/>
            </w:tcBorders>
            <w:shd w:val="clear" w:color="auto" w:fill="C6EFCE"/>
            <w:noWrap/>
          </w:tcPr>
          <w:p w14:paraId="0D6C8B9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nil"/>
              <w:left w:val="nil"/>
              <w:bottom w:val="single" w:sz="4" w:space="0" w:color="auto"/>
              <w:right w:val="single" w:sz="4" w:space="0" w:color="auto"/>
            </w:tcBorders>
            <w:shd w:val="clear" w:color="auto" w:fill="C6EFCE"/>
            <w:noWrap/>
          </w:tcPr>
          <w:p w14:paraId="18348EBB" w14:textId="77777777" w:rsidR="003A3D51" w:rsidRDefault="0002775A">
            <w:pPr>
              <w:pStyle w:val="P68B1DB1-Normal7"/>
              <w:spacing w:after="200" w:line="276" w:lineRule="auto"/>
              <w:rPr>
                <w:rFonts w:ascii="Times New Roman" w:hAnsi="Times New Roman" w:cs="Times New Roman"/>
                <w:noProof/>
              </w:rPr>
            </w:pPr>
            <w:r>
              <w:rPr>
                <w:noProof/>
              </w:rPr>
              <w:t>Inrättande av en enda kontaktpunkt</w:t>
            </w:r>
          </w:p>
        </w:tc>
        <w:tc>
          <w:tcPr>
            <w:tcW w:w="663" w:type="pct"/>
            <w:tcBorders>
              <w:top w:val="nil"/>
              <w:left w:val="nil"/>
              <w:bottom w:val="single" w:sz="4" w:space="0" w:color="auto"/>
              <w:right w:val="single" w:sz="4" w:space="0" w:color="auto"/>
            </w:tcBorders>
            <w:shd w:val="clear" w:color="auto" w:fill="C6EFCE"/>
            <w:noWrap/>
          </w:tcPr>
          <w:p w14:paraId="3354521C" w14:textId="77777777" w:rsidR="003A3D51" w:rsidRDefault="0002775A">
            <w:pPr>
              <w:pStyle w:val="P68B1DB1-Normal7"/>
              <w:spacing w:after="200" w:line="276" w:lineRule="auto"/>
              <w:rPr>
                <w:rFonts w:ascii="Times New Roman" w:hAnsi="Times New Roman" w:cs="Times New Roman"/>
                <w:noProof/>
              </w:rPr>
            </w:pPr>
            <w:r>
              <w:rPr>
                <w:noProof/>
              </w:rPr>
              <w:t>Rapport från centralbyrån för utveckling av det digitala samhället (SDURDD) om att den enda kontaktpunkten inrättas och fungerar för användning</w:t>
            </w:r>
          </w:p>
        </w:tc>
        <w:tc>
          <w:tcPr>
            <w:tcW w:w="340" w:type="pct"/>
            <w:tcBorders>
              <w:top w:val="nil"/>
              <w:left w:val="nil"/>
              <w:bottom w:val="single" w:sz="4" w:space="0" w:color="auto"/>
              <w:right w:val="single" w:sz="4" w:space="0" w:color="auto"/>
            </w:tcBorders>
            <w:shd w:val="clear" w:color="auto" w:fill="C6EFCE"/>
            <w:noWrap/>
          </w:tcPr>
          <w:p w14:paraId="44DEBC2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2FE54F6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0B2317F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5C5AABB4"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1D79FDD9"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71" w:type="pct"/>
            <w:tcBorders>
              <w:top w:val="nil"/>
              <w:left w:val="nil"/>
              <w:bottom w:val="single" w:sz="4" w:space="0" w:color="auto"/>
              <w:right w:val="single" w:sz="4" w:space="0" w:color="auto"/>
            </w:tcBorders>
            <w:shd w:val="clear" w:color="auto" w:fill="C6EFCE"/>
            <w:noWrap/>
          </w:tcPr>
          <w:p w14:paraId="6C0C1F0F" w14:textId="77777777" w:rsidR="003A3D51" w:rsidRDefault="0002775A">
            <w:pPr>
              <w:pStyle w:val="P68B1DB1-Normal7"/>
              <w:spacing w:after="200" w:line="276" w:lineRule="auto"/>
              <w:rPr>
                <w:rFonts w:ascii="Times New Roman" w:hAnsi="Times New Roman" w:cs="Times New Roman"/>
                <w:noProof/>
              </w:rPr>
            </w:pPr>
            <w:r>
              <w:rPr>
                <w:noProof/>
              </w:rPr>
              <w:t xml:space="preserve">Plattformen med en enda central kontaktpunkt som tillhandahåller information och kundstöd till medborgare och företag på en enda centraliserad plats ska inrättas och kunna användas. </w:t>
            </w:r>
          </w:p>
        </w:tc>
      </w:tr>
      <w:tr w:rsidR="003A3D51" w14:paraId="30D4EF76"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18A29E2F" w14:textId="77777777" w:rsidR="003A3D51" w:rsidRDefault="0002775A">
            <w:pPr>
              <w:pStyle w:val="P68B1DB1-Normal7"/>
              <w:spacing w:after="200" w:line="276" w:lineRule="auto"/>
              <w:jc w:val="center"/>
              <w:rPr>
                <w:rFonts w:ascii="Times New Roman" w:hAnsi="Times New Roman" w:cs="Times New Roman"/>
                <w:noProof/>
              </w:rPr>
            </w:pPr>
            <w:r>
              <w:rPr>
                <w:noProof/>
              </w:rPr>
              <w:t>184</w:t>
            </w:r>
          </w:p>
        </w:tc>
        <w:tc>
          <w:tcPr>
            <w:tcW w:w="264" w:type="pct"/>
            <w:tcBorders>
              <w:top w:val="nil"/>
              <w:left w:val="nil"/>
              <w:bottom w:val="single" w:sz="4" w:space="0" w:color="auto"/>
              <w:right w:val="single" w:sz="4" w:space="0" w:color="auto"/>
            </w:tcBorders>
            <w:shd w:val="clear" w:color="auto" w:fill="C6EFCE"/>
            <w:noWrap/>
          </w:tcPr>
          <w:p w14:paraId="319B3410" w14:textId="77777777" w:rsidR="003A3D51" w:rsidRDefault="0002775A">
            <w:pPr>
              <w:pStyle w:val="P68B1DB1-Normal7"/>
              <w:spacing w:after="200" w:line="276" w:lineRule="auto"/>
              <w:jc w:val="center"/>
              <w:rPr>
                <w:rFonts w:ascii="Times New Roman" w:hAnsi="Times New Roman" w:cs="Times New Roman"/>
                <w:noProof/>
              </w:rPr>
            </w:pPr>
            <w:r>
              <w:rPr>
                <w:noProof/>
              </w:rPr>
              <w:t>C2.3 R3-I4</w:t>
            </w:r>
          </w:p>
        </w:tc>
        <w:tc>
          <w:tcPr>
            <w:tcW w:w="294" w:type="pct"/>
            <w:tcBorders>
              <w:top w:val="nil"/>
              <w:left w:val="nil"/>
              <w:bottom w:val="single" w:sz="4" w:space="0" w:color="auto"/>
              <w:right w:val="single" w:sz="4" w:space="0" w:color="auto"/>
            </w:tcBorders>
            <w:shd w:val="clear" w:color="auto" w:fill="C6EFCE"/>
            <w:noWrap/>
          </w:tcPr>
          <w:p w14:paraId="2A290C20"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nil"/>
              <w:left w:val="nil"/>
              <w:bottom w:val="single" w:sz="4" w:space="0" w:color="auto"/>
              <w:right w:val="single" w:sz="4" w:space="0" w:color="auto"/>
            </w:tcBorders>
            <w:shd w:val="clear" w:color="auto" w:fill="C6EFCE"/>
            <w:noWrap/>
          </w:tcPr>
          <w:p w14:paraId="03C2F7F4" w14:textId="77777777" w:rsidR="003A3D51" w:rsidRDefault="0002775A">
            <w:pPr>
              <w:pStyle w:val="P68B1DB1-Normal7"/>
              <w:spacing w:after="200" w:line="276" w:lineRule="auto"/>
              <w:rPr>
                <w:rFonts w:ascii="Times New Roman" w:hAnsi="Times New Roman" w:cs="Times New Roman"/>
                <w:noProof/>
              </w:rPr>
            </w:pPr>
            <w:r>
              <w:rPr>
                <w:noProof/>
              </w:rPr>
              <w:t>It-systemet CEZIH</w:t>
            </w:r>
          </w:p>
        </w:tc>
        <w:tc>
          <w:tcPr>
            <w:tcW w:w="663" w:type="pct"/>
            <w:tcBorders>
              <w:top w:val="nil"/>
              <w:left w:val="nil"/>
              <w:bottom w:val="single" w:sz="4" w:space="0" w:color="auto"/>
              <w:right w:val="single" w:sz="4" w:space="0" w:color="auto"/>
            </w:tcBorders>
            <w:shd w:val="clear" w:color="auto" w:fill="C6EFCE"/>
            <w:noWrap/>
          </w:tcPr>
          <w:p w14:paraId="69AEF453" w14:textId="77777777" w:rsidR="003A3D51" w:rsidRDefault="0002775A">
            <w:pPr>
              <w:pStyle w:val="P68B1DB1-Normal7"/>
              <w:spacing w:after="200" w:line="276" w:lineRule="auto"/>
              <w:rPr>
                <w:rFonts w:ascii="Times New Roman" w:hAnsi="Times New Roman" w:cs="Times New Roman"/>
                <w:noProof/>
              </w:rPr>
            </w:pPr>
            <w:r>
              <w:rPr>
                <w:noProof/>
              </w:rPr>
              <w:br/>
              <w:t>Rapport från hälsoministeriet</w:t>
            </w:r>
          </w:p>
        </w:tc>
        <w:tc>
          <w:tcPr>
            <w:tcW w:w="340" w:type="pct"/>
            <w:tcBorders>
              <w:top w:val="nil"/>
              <w:left w:val="nil"/>
              <w:bottom w:val="single" w:sz="4" w:space="0" w:color="auto"/>
              <w:right w:val="single" w:sz="4" w:space="0" w:color="auto"/>
            </w:tcBorders>
            <w:shd w:val="clear" w:color="auto" w:fill="C6EFCE"/>
            <w:noWrap/>
          </w:tcPr>
          <w:p w14:paraId="77E0063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685A712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nil"/>
              <w:left w:val="nil"/>
              <w:bottom w:val="single" w:sz="4" w:space="0" w:color="auto"/>
              <w:right w:val="single" w:sz="4" w:space="0" w:color="auto"/>
            </w:tcBorders>
            <w:shd w:val="clear" w:color="auto" w:fill="C6EFCE"/>
            <w:noWrap/>
          </w:tcPr>
          <w:p w14:paraId="70B48A0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592162ED"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nil"/>
              <w:left w:val="nil"/>
              <w:bottom w:val="single" w:sz="4" w:space="0" w:color="auto"/>
              <w:right w:val="single" w:sz="4" w:space="0" w:color="auto"/>
            </w:tcBorders>
            <w:shd w:val="clear" w:color="auto" w:fill="C6EFCE"/>
            <w:noWrap/>
          </w:tcPr>
          <w:p w14:paraId="70DCF323" w14:textId="22E1A358"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nil"/>
              <w:left w:val="nil"/>
              <w:bottom w:val="single" w:sz="4" w:space="0" w:color="auto"/>
              <w:right w:val="single" w:sz="4" w:space="0" w:color="auto"/>
            </w:tcBorders>
            <w:shd w:val="clear" w:color="auto" w:fill="C6EFCE"/>
            <w:noWrap/>
          </w:tcPr>
          <w:p w14:paraId="67688C22" w14:textId="77777777" w:rsidR="003A3D51" w:rsidRDefault="0002775A">
            <w:pPr>
              <w:pStyle w:val="P68B1DB1-Normal7"/>
              <w:spacing w:after="200" w:line="276" w:lineRule="auto"/>
              <w:rPr>
                <w:rFonts w:ascii="Times New Roman" w:hAnsi="Times New Roman" w:cs="Times New Roman"/>
                <w:noProof/>
              </w:rPr>
            </w:pPr>
            <w:r>
              <w:rPr>
                <w:noProof/>
              </w:rPr>
              <w:t>Kroatiens centrala hälsoinformationssystem ska vara i drift i det statliga molnet (CDU).</w:t>
            </w:r>
          </w:p>
        </w:tc>
      </w:tr>
      <w:tr w:rsidR="003A3D51" w14:paraId="34387CFE" w14:textId="77777777" w:rsidTr="00803C03">
        <w:trPr>
          <w:jc w:val="center"/>
        </w:trPr>
        <w:tc>
          <w:tcPr>
            <w:tcW w:w="351" w:type="pct"/>
            <w:tcBorders>
              <w:top w:val="nil"/>
              <w:left w:val="single" w:sz="4" w:space="0" w:color="auto"/>
              <w:bottom w:val="single" w:sz="4" w:space="0" w:color="auto"/>
              <w:right w:val="single" w:sz="4" w:space="0" w:color="auto"/>
            </w:tcBorders>
            <w:shd w:val="clear" w:color="auto" w:fill="C6EFCE"/>
            <w:noWrap/>
          </w:tcPr>
          <w:p w14:paraId="73F3460D" w14:textId="77777777" w:rsidR="003A3D51" w:rsidRDefault="0002775A">
            <w:pPr>
              <w:pStyle w:val="P68B1DB1-Normal7"/>
              <w:spacing w:after="200" w:line="276" w:lineRule="auto"/>
              <w:jc w:val="center"/>
              <w:rPr>
                <w:rFonts w:ascii="Times New Roman" w:hAnsi="Times New Roman" w:cs="Times New Roman"/>
                <w:noProof/>
              </w:rPr>
            </w:pPr>
            <w:r>
              <w:rPr>
                <w:noProof/>
              </w:rPr>
              <w:t>185</w:t>
            </w:r>
          </w:p>
        </w:tc>
        <w:tc>
          <w:tcPr>
            <w:tcW w:w="264" w:type="pct"/>
            <w:tcBorders>
              <w:top w:val="nil"/>
              <w:left w:val="nil"/>
              <w:bottom w:val="single" w:sz="4" w:space="0" w:color="auto"/>
              <w:right w:val="single" w:sz="4" w:space="0" w:color="auto"/>
            </w:tcBorders>
            <w:shd w:val="clear" w:color="auto" w:fill="C6EFCE"/>
            <w:noWrap/>
          </w:tcPr>
          <w:p w14:paraId="56D345CD" w14:textId="77777777" w:rsidR="003A3D51" w:rsidRDefault="0002775A">
            <w:pPr>
              <w:pStyle w:val="P68B1DB1-Normal7"/>
              <w:spacing w:after="200" w:line="276" w:lineRule="auto"/>
              <w:jc w:val="center"/>
              <w:rPr>
                <w:rFonts w:ascii="Times New Roman" w:hAnsi="Times New Roman" w:cs="Times New Roman"/>
                <w:noProof/>
              </w:rPr>
            </w:pPr>
            <w:r>
              <w:rPr>
                <w:noProof/>
              </w:rPr>
              <w:t>C2.3 R3-I5</w:t>
            </w:r>
          </w:p>
        </w:tc>
        <w:tc>
          <w:tcPr>
            <w:tcW w:w="294" w:type="pct"/>
            <w:tcBorders>
              <w:top w:val="nil"/>
              <w:left w:val="nil"/>
              <w:bottom w:val="single" w:sz="4" w:space="0" w:color="auto"/>
              <w:right w:val="single" w:sz="4" w:space="0" w:color="auto"/>
            </w:tcBorders>
            <w:shd w:val="clear" w:color="auto" w:fill="C6EFCE"/>
            <w:noWrap/>
          </w:tcPr>
          <w:p w14:paraId="0229A4A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nil"/>
              <w:left w:val="nil"/>
              <w:bottom w:val="single" w:sz="4" w:space="0" w:color="auto"/>
              <w:right w:val="single" w:sz="4" w:space="0" w:color="auto"/>
            </w:tcBorders>
            <w:shd w:val="clear" w:color="auto" w:fill="C6EFCE"/>
            <w:noWrap/>
          </w:tcPr>
          <w:p w14:paraId="129EC369" w14:textId="77777777" w:rsidR="003A3D51" w:rsidRDefault="0002775A">
            <w:pPr>
              <w:pStyle w:val="P68B1DB1-Normal7"/>
              <w:spacing w:after="200" w:line="276" w:lineRule="auto"/>
              <w:rPr>
                <w:rFonts w:ascii="Times New Roman" w:hAnsi="Times New Roman" w:cs="Times New Roman"/>
                <w:noProof/>
              </w:rPr>
            </w:pPr>
            <w:r>
              <w:rPr>
                <w:noProof/>
              </w:rPr>
              <w:t>E-signatur för digitala identitetskort</w:t>
            </w:r>
          </w:p>
        </w:tc>
        <w:tc>
          <w:tcPr>
            <w:tcW w:w="663" w:type="pct"/>
            <w:tcBorders>
              <w:top w:val="nil"/>
              <w:left w:val="nil"/>
              <w:bottom w:val="single" w:sz="4" w:space="0" w:color="auto"/>
              <w:right w:val="single" w:sz="4" w:space="0" w:color="auto"/>
            </w:tcBorders>
            <w:shd w:val="clear" w:color="auto" w:fill="C6EFCE"/>
            <w:noWrap/>
          </w:tcPr>
          <w:p w14:paraId="6FBB48B8" w14:textId="77777777" w:rsidR="003A3D51" w:rsidRDefault="0002775A">
            <w:pPr>
              <w:pStyle w:val="P68B1DB1-Normal7"/>
              <w:spacing w:after="200" w:line="276" w:lineRule="auto"/>
              <w:rPr>
                <w:rFonts w:ascii="Times New Roman" w:hAnsi="Times New Roman" w:cs="Times New Roman"/>
                <w:noProof/>
              </w:rPr>
            </w:pPr>
            <w:r>
              <w:rPr>
                <w:noProof/>
              </w:rPr>
              <w:t>Rapport från byrån för digital säkerhet (AKD)</w:t>
            </w:r>
          </w:p>
        </w:tc>
        <w:tc>
          <w:tcPr>
            <w:tcW w:w="340" w:type="pct"/>
            <w:tcBorders>
              <w:top w:val="nil"/>
              <w:left w:val="nil"/>
              <w:bottom w:val="single" w:sz="4" w:space="0" w:color="auto"/>
              <w:right w:val="single" w:sz="4" w:space="0" w:color="auto"/>
            </w:tcBorders>
            <w:shd w:val="clear" w:color="auto" w:fill="C6EFCE"/>
            <w:noWrap/>
          </w:tcPr>
          <w:p w14:paraId="7EE1A6D0"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nil"/>
              <w:left w:val="nil"/>
              <w:bottom w:val="single" w:sz="4" w:space="0" w:color="auto"/>
              <w:right w:val="single" w:sz="4" w:space="0" w:color="auto"/>
            </w:tcBorders>
            <w:shd w:val="clear" w:color="auto" w:fill="C6EFCE"/>
            <w:noWrap/>
          </w:tcPr>
          <w:p w14:paraId="31C9700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nil"/>
              <w:left w:val="nil"/>
              <w:bottom w:val="single" w:sz="4" w:space="0" w:color="auto"/>
              <w:right w:val="single" w:sz="4" w:space="0" w:color="auto"/>
            </w:tcBorders>
            <w:shd w:val="clear" w:color="auto" w:fill="C6EFCE"/>
            <w:noWrap/>
          </w:tcPr>
          <w:p w14:paraId="17DB76C4" w14:textId="77777777" w:rsidR="003A3D51" w:rsidRDefault="0002775A">
            <w:pPr>
              <w:pStyle w:val="P68B1DB1-Normal7"/>
              <w:spacing w:after="200" w:line="276" w:lineRule="auto"/>
              <w:jc w:val="center"/>
              <w:rPr>
                <w:rFonts w:ascii="Times New Roman" w:hAnsi="Times New Roman" w:cs="Times New Roman"/>
                <w:noProof/>
              </w:rPr>
            </w:pPr>
            <w:r>
              <w:rPr>
                <w:noProof/>
              </w:rPr>
              <w:t>300 000</w:t>
            </w:r>
          </w:p>
        </w:tc>
        <w:tc>
          <w:tcPr>
            <w:tcW w:w="247" w:type="pct"/>
            <w:tcBorders>
              <w:top w:val="nil"/>
              <w:left w:val="nil"/>
              <w:bottom w:val="single" w:sz="4" w:space="0" w:color="auto"/>
              <w:right w:val="single" w:sz="4" w:space="0" w:color="auto"/>
            </w:tcBorders>
            <w:shd w:val="clear" w:color="auto" w:fill="C6EFCE"/>
            <w:noWrap/>
          </w:tcPr>
          <w:p w14:paraId="5967F5D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044F6BF7" w14:textId="0E9D45EB"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nil"/>
              <w:left w:val="nil"/>
              <w:bottom w:val="single" w:sz="4" w:space="0" w:color="auto"/>
              <w:right w:val="single" w:sz="4" w:space="0" w:color="auto"/>
            </w:tcBorders>
            <w:shd w:val="clear" w:color="auto" w:fill="C6EFCE"/>
            <w:noWrap/>
          </w:tcPr>
          <w:p w14:paraId="75ED85F2" w14:textId="4D6827CA" w:rsidR="003A3D51" w:rsidRDefault="0002775A">
            <w:pPr>
              <w:pStyle w:val="P68B1DB1-Normal7"/>
              <w:spacing w:after="200" w:line="276" w:lineRule="auto"/>
              <w:rPr>
                <w:noProof/>
                <w:color w:val="000000" w:themeColor="text1"/>
              </w:rPr>
            </w:pPr>
            <w:r>
              <w:rPr>
                <w:noProof/>
              </w:rPr>
              <w:t>Mobilapplikationen Certilia ska laddas ner 300 000 gånger via Google Play Store och App Store. Dessutom ska 100 000 certifikat utfärdas för kvalificerade elektroniska signaturer på distans. Mobilapplikation Certilia och personliga mobila behörighetsuppgifter ska göra det möjligt för minst 50 000 unika användare att utföra autentiseringsprocessen minst 700 000 gånger.</w:t>
            </w:r>
          </w:p>
        </w:tc>
      </w:tr>
      <w:tr w:rsidR="003A3D51" w14:paraId="424C84F6"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761FDB49" w14:textId="77777777" w:rsidR="003A3D51" w:rsidRDefault="0002775A">
            <w:pPr>
              <w:pStyle w:val="P68B1DB1-Normal7"/>
              <w:spacing w:after="200" w:line="276" w:lineRule="auto"/>
              <w:jc w:val="center"/>
              <w:rPr>
                <w:rFonts w:ascii="Times New Roman" w:hAnsi="Times New Roman" w:cs="Times New Roman"/>
                <w:noProof/>
              </w:rPr>
            </w:pPr>
            <w:r>
              <w:rPr>
                <w:noProof/>
              </w:rPr>
              <w:t>186</w:t>
            </w:r>
          </w:p>
        </w:tc>
        <w:tc>
          <w:tcPr>
            <w:tcW w:w="264" w:type="pct"/>
            <w:tcBorders>
              <w:top w:val="single" w:sz="4" w:space="0" w:color="auto"/>
              <w:left w:val="nil"/>
              <w:bottom w:val="single" w:sz="4" w:space="0" w:color="auto"/>
              <w:right w:val="single" w:sz="4" w:space="0" w:color="auto"/>
            </w:tcBorders>
            <w:shd w:val="clear" w:color="auto" w:fill="C6EFCE"/>
            <w:noWrap/>
          </w:tcPr>
          <w:p w14:paraId="3F2C7682" w14:textId="77777777" w:rsidR="003A3D51" w:rsidRDefault="0002775A">
            <w:pPr>
              <w:pStyle w:val="P68B1DB1-Normal7"/>
              <w:spacing w:after="200" w:line="276" w:lineRule="auto"/>
              <w:jc w:val="center"/>
              <w:rPr>
                <w:rFonts w:ascii="Times New Roman" w:hAnsi="Times New Roman" w:cs="Times New Roman"/>
                <w:noProof/>
              </w:rPr>
            </w:pPr>
            <w:r>
              <w:rPr>
                <w:noProof/>
              </w:rPr>
              <w:t>C2.3 R3-I6</w:t>
            </w:r>
          </w:p>
        </w:tc>
        <w:tc>
          <w:tcPr>
            <w:tcW w:w="294" w:type="pct"/>
            <w:tcBorders>
              <w:top w:val="single" w:sz="4" w:space="0" w:color="auto"/>
              <w:left w:val="nil"/>
              <w:bottom w:val="single" w:sz="4" w:space="0" w:color="auto"/>
              <w:right w:val="single" w:sz="4" w:space="0" w:color="auto"/>
            </w:tcBorders>
            <w:shd w:val="clear" w:color="auto" w:fill="C6EFCE"/>
            <w:noWrap/>
          </w:tcPr>
          <w:p w14:paraId="27CB1DC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36428994" w14:textId="77777777" w:rsidR="003A3D51" w:rsidRDefault="0002775A">
            <w:pPr>
              <w:pStyle w:val="P68B1DB1-Normal7"/>
              <w:spacing w:after="200" w:line="276" w:lineRule="auto"/>
              <w:rPr>
                <w:rFonts w:ascii="Times New Roman" w:hAnsi="Times New Roman" w:cs="Times New Roman"/>
                <w:noProof/>
              </w:rPr>
            </w:pPr>
            <w:r>
              <w:rPr>
                <w:noProof/>
              </w:rPr>
              <w:t>Inrättande av det statliga informationsnätet (DII)</w:t>
            </w:r>
          </w:p>
        </w:tc>
        <w:tc>
          <w:tcPr>
            <w:tcW w:w="663" w:type="pct"/>
            <w:tcBorders>
              <w:top w:val="single" w:sz="4" w:space="0" w:color="auto"/>
              <w:left w:val="nil"/>
              <w:bottom w:val="single" w:sz="4" w:space="0" w:color="auto"/>
              <w:right w:val="single" w:sz="4" w:space="0" w:color="auto"/>
            </w:tcBorders>
            <w:shd w:val="clear" w:color="auto" w:fill="C6EFCE"/>
            <w:noWrap/>
          </w:tcPr>
          <w:p w14:paraId="31A4B946" w14:textId="77777777" w:rsidR="003A3D51" w:rsidRDefault="0002775A">
            <w:pPr>
              <w:pStyle w:val="P68B1DB1-Normal7"/>
              <w:spacing w:after="200" w:line="276" w:lineRule="auto"/>
              <w:rPr>
                <w:rFonts w:ascii="Times New Roman" w:hAnsi="Times New Roman" w:cs="Times New Roman"/>
                <w:noProof/>
              </w:rPr>
            </w:pPr>
            <w:r>
              <w:rPr>
                <w:noProof/>
              </w:rPr>
              <w:t>Rapport från centralbyrån för utveckling av det digitala samhället (SDURDD)</w:t>
            </w:r>
          </w:p>
        </w:tc>
        <w:tc>
          <w:tcPr>
            <w:tcW w:w="340" w:type="pct"/>
            <w:tcBorders>
              <w:top w:val="single" w:sz="4" w:space="0" w:color="auto"/>
              <w:left w:val="nil"/>
              <w:bottom w:val="single" w:sz="4" w:space="0" w:color="auto"/>
              <w:right w:val="single" w:sz="4" w:space="0" w:color="auto"/>
            </w:tcBorders>
            <w:shd w:val="clear" w:color="auto" w:fill="C6EFCE"/>
            <w:noWrap/>
          </w:tcPr>
          <w:p w14:paraId="1764895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06F5E9C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23167E5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30F8A90B"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4E79C6A3"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single" w:sz="4" w:space="0" w:color="auto"/>
              <w:left w:val="nil"/>
              <w:bottom w:val="single" w:sz="4" w:space="0" w:color="auto"/>
              <w:right w:val="single" w:sz="4" w:space="0" w:color="auto"/>
            </w:tcBorders>
            <w:shd w:val="clear" w:color="auto" w:fill="C6EFCE"/>
            <w:noWrap/>
          </w:tcPr>
          <w:p w14:paraId="30C64B89" w14:textId="77777777" w:rsidR="003A3D51" w:rsidRDefault="0002775A">
            <w:pPr>
              <w:pStyle w:val="P68B1DB1-Normal7"/>
              <w:spacing w:after="200" w:line="276" w:lineRule="auto"/>
              <w:rPr>
                <w:rFonts w:ascii="Times New Roman" w:hAnsi="Times New Roman" w:cs="Times New Roman"/>
                <w:noProof/>
              </w:rPr>
            </w:pPr>
            <w:r>
              <w:rPr>
                <w:noProof/>
              </w:rPr>
              <w:t>Det uppgraderade statliga informationsinfrastrukturnätet (DII), med förbättrade funktioner i fråga om tillgänglighet, tillförlitlighet och säkerhet, ska vara i drift.</w:t>
            </w:r>
          </w:p>
        </w:tc>
      </w:tr>
      <w:tr w:rsidR="003A3D51" w14:paraId="204CCFF7"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0C95A212" w14:textId="77777777" w:rsidR="003A3D51" w:rsidRDefault="0002775A">
            <w:pPr>
              <w:pStyle w:val="P68B1DB1-Normal7"/>
              <w:spacing w:after="200" w:line="276" w:lineRule="auto"/>
              <w:jc w:val="center"/>
              <w:rPr>
                <w:rFonts w:ascii="Times New Roman" w:hAnsi="Times New Roman" w:cs="Times New Roman"/>
                <w:noProof/>
              </w:rPr>
            </w:pPr>
            <w:r>
              <w:rPr>
                <w:noProof/>
              </w:rPr>
              <w:t>187</w:t>
            </w:r>
          </w:p>
        </w:tc>
        <w:tc>
          <w:tcPr>
            <w:tcW w:w="264" w:type="pct"/>
            <w:tcBorders>
              <w:top w:val="single" w:sz="4" w:space="0" w:color="auto"/>
              <w:left w:val="nil"/>
              <w:bottom w:val="single" w:sz="4" w:space="0" w:color="auto"/>
              <w:right w:val="single" w:sz="4" w:space="0" w:color="auto"/>
            </w:tcBorders>
            <w:shd w:val="clear" w:color="auto" w:fill="C6EFCE"/>
            <w:noWrap/>
          </w:tcPr>
          <w:p w14:paraId="637731B4" w14:textId="77777777" w:rsidR="003A3D51" w:rsidRDefault="0002775A">
            <w:pPr>
              <w:pStyle w:val="P68B1DB1-Normal7"/>
              <w:spacing w:after="200" w:line="276" w:lineRule="auto"/>
              <w:jc w:val="center"/>
              <w:rPr>
                <w:rFonts w:ascii="Times New Roman" w:hAnsi="Times New Roman" w:cs="Times New Roman"/>
                <w:noProof/>
              </w:rPr>
            </w:pPr>
            <w:r>
              <w:rPr>
                <w:noProof/>
              </w:rPr>
              <w:t>C2.3 R3-I6</w:t>
            </w:r>
          </w:p>
        </w:tc>
        <w:tc>
          <w:tcPr>
            <w:tcW w:w="294" w:type="pct"/>
            <w:tcBorders>
              <w:top w:val="single" w:sz="4" w:space="0" w:color="auto"/>
              <w:left w:val="nil"/>
              <w:bottom w:val="single" w:sz="4" w:space="0" w:color="auto"/>
              <w:right w:val="single" w:sz="4" w:space="0" w:color="auto"/>
            </w:tcBorders>
            <w:shd w:val="clear" w:color="auto" w:fill="C6EFCE"/>
            <w:noWrap/>
          </w:tcPr>
          <w:p w14:paraId="6EBAA3D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092BC2E7" w14:textId="77777777" w:rsidR="003A3D51" w:rsidRDefault="0002775A">
            <w:pPr>
              <w:pStyle w:val="P68B1DB1-Normal7"/>
              <w:spacing w:after="200" w:line="276" w:lineRule="auto"/>
              <w:rPr>
                <w:rFonts w:ascii="Times New Roman" w:hAnsi="Times New Roman" w:cs="Times New Roman"/>
                <w:noProof/>
              </w:rPr>
            </w:pPr>
            <w:r>
              <w:rPr>
                <w:noProof/>
              </w:rPr>
              <w:t>Nya användare av det statliga informationsinfrastrukturnätet (DII)</w:t>
            </w:r>
          </w:p>
        </w:tc>
        <w:tc>
          <w:tcPr>
            <w:tcW w:w="663" w:type="pct"/>
            <w:tcBorders>
              <w:top w:val="single" w:sz="4" w:space="0" w:color="auto"/>
              <w:left w:val="nil"/>
              <w:bottom w:val="single" w:sz="4" w:space="0" w:color="auto"/>
              <w:right w:val="single" w:sz="4" w:space="0" w:color="auto"/>
            </w:tcBorders>
            <w:shd w:val="clear" w:color="auto" w:fill="C6EFCE"/>
            <w:noWrap/>
          </w:tcPr>
          <w:p w14:paraId="6EE0C519" w14:textId="77777777" w:rsidR="003A3D51" w:rsidRDefault="0002775A">
            <w:pPr>
              <w:pStyle w:val="P68B1DB1-Normal7"/>
              <w:spacing w:after="200" w:line="276" w:lineRule="auto"/>
              <w:rPr>
                <w:rFonts w:ascii="Times New Roman" w:hAnsi="Times New Roman" w:cs="Times New Roman"/>
                <w:noProof/>
              </w:rPr>
            </w:pPr>
            <w:r>
              <w:rPr>
                <w:noProof/>
              </w:rPr>
              <w:t xml:space="preserve">Rapport från SDURDD </w:t>
            </w:r>
          </w:p>
        </w:tc>
        <w:tc>
          <w:tcPr>
            <w:tcW w:w="340" w:type="pct"/>
            <w:tcBorders>
              <w:top w:val="single" w:sz="4" w:space="0" w:color="auto"/>
              <w:left w:val="nil"/>
              <w:bottom w:val="single" w:sz="4" w:space="0" w:color="auto"/>
              <w:right w:val="single" w:sz="4" w:space="0" w:color="auto"/>
            </w:tcBorders>
            <w:shd w:val="clear" w:color="auto" w:fill="C6EFCE"/>
            <w:noWrap/>
          </w:tcPr>
          <w:p w14:paraId="3FF63E3A"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64BE1182" w14:textId="77777777" w:rsidR="003A3D51" w:rsidRDefault="0002775A">
            <w:pPr>
              <w:pStyle w:val="P68B1DB1-Normal7"/>
              <w:spacing w:after="200" w:line="276" w:lineRule="auto"/>
              <w:jc w:val="center"/>
              <w:rPr>
                <w:rFonts w:ascii="Times New Roman" w:hAnsi="Times New Roman" w:cs="Times New Roman"/>
                <w:noProof/>
              </w:rPr>
            </w:pPr>
            <w:r>
              <w:rPr>
                <w:noProof/>
              </w:rPr>
              <w:t>36</w:t>
            </w:r>
          </w:p>
        </w:tc>
        <w:tc>
          <w:tcPr>
            <w:tcW w:w="298" w:type="pct"/>
            <w:tcBorders>
              <w:top w:val="single" w:sz="4" w:space="0" w:color="auto"/>
              <w:left w:val="nil"/>
              <w:bottom w:val="single" w:sz="4" w:space="0" w:color="auto"/>
              <w:right w:val="single" w:sz="4" w:space="0" w:color="auto"/>
            </w:tcBorders>
            <w:shd w:val="clear" w:color="auto" w:fill="C6EFCE"/>
            <w:noWrap/>
          </w:tcPr>
          <w:p w14:paraId="6AB28B48" w14:textId="77777777" w:rsidR="003A3D51" w:rsidRDefault="0002775A">
            <w:pPr>
              <w:pStyle w:val="P68B1DB1-Normal7"/>
              <w:spacing w:after="200" w:line="276" w:lineRule="auto"/>
              <w:jc w:val="center"/>
              <w:rPr>
                <w:rFonts w:ascii="Times New Roman" w:hAnsi="Times New Roman" w:cs="Times New Roman"/>
                <w:noProof/>
              </w:rPr>
            </w:pPr>
            <w:r>
              <w:rPr>
                <w:noProof/>
              </w:rPr>
              <w:t>136</w:t>
            </w:r>
          </w:p>
        </w:tc>
        <w:tc>
          <w:tcPr>
            <w:tcW w:w="247" w:type="pct"/>
            <w:tcBorders>
              <w:top w:val="single" w:sz="4" w:space="0" w:color="auto"/>
              <w:left w:val="nil"/>
              <w:bottom w:val="single" w:sz="4" w:space="0" w:color="auto"/>
              <w:right w:val="single" w:sz="4" w:space="0" w:color="auto"/>
            </w:tcBorders>
            <w:shd w:val="clear" w:color="auto" w:fill="C6EFCE"/>
            <w:noWrap/>
          </w:tcPr>
          <w:p w14:paraId="5E9627F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418719C6"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71" w:type="pct"/>
            <w:tcBorders>
              <w:top w:val="single" w:sz="4" w:space="0" w:color="auto"/>
              <w:left w:val="nil"/>
              <w:bottom w:val="single" w:sz="4" w:space="0" w:color="auto"/>
              <w:right w:val="single" w:sz="4" w:space="0" w:color="auto"/>
            </w:tcBorders>
            <w:shd w:val="clear" w:color="auto" w:fill="C6EFCE"/>
            <w:noWrap/>
          </w:tcPr>
          <w:p w14:paraId="76F496DF" w14:textId="77777777" w:rsidR="003A3D51" w:rsidRDefault="0002775A">
            <w:pPr>
              <w:pStyle w:val="P68B1DB1-Normal7"/>
              <w:spacing w:after="200" w:line="276" w:lineRule="auto"/>
              <w:rPr>
                <w:rFonts w:ascii="Times New Roman" w:hAnsi="Times New Roman" w:cs="Times New Roman"/>
                <w:noProof/>
              </w:rPr>
            </w:pPr>
            <w:r>
              <w:rPr>
                <w:noProof/>
              </w:rPr>
              <w:t>Minst 100 nya användare ska vara anslutna till det statliga informationsinfrastrukturnätet, på varje plats där de använder nätresurser, genom att tillhandahålla fiberinfrastruktur till varje plats samt terminalutrustning.</w:t>
            </w:r>
          </w:p>
        </w:tc>
      </w:tr>
      <w:tr w:rsidR="003A3D51" w14:paraId="4F8BD7BC"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3DD30063" w14:textId="77777777" w:rsidR="003A3D51" w:rsidRDefault="0002775A">
            <w:pPr>
              <w:pStyle w:val="P68B1DB1-Normal7"/>
              <w:spacing w:after="200" w:line="276" w:lineRule="auto"/>
              <w:jc w:val="center"/>
              <w:rPr>
                <w:rFonts w:ascii="Times New Roman" w:hAnsi="Times New Roman" w:cs="Times New Roman"/>
                <w:noProof/>
              </w:rPr>
            </w:pPr>
            <w:r>
              <w:rPr>
                <w:noProof/>
              </w:rPr>
              <w:t>188</w:t>
            </w:r>
          </w:p>
        </w:tc>
        <w:tc>
          <w:tcPr>
            <w:tcW w:w="264" w:type="pct"/>
            <w:tcBorders>
              <w:top w:val="single" w:sz="4" w:space="0" w:color="auto"/>
              <w:left w:val="nil"/>
              <w:bottom w:val="single" w:sz="4" w:space="0" w:color="auto"/>
              <w:right w:val="single" w:sz="4" w:space="0" w:color="auto"/>
            </w:tcBorders>
            <w:shd w:val="clear" w:color="auto" w:fill="C6EFCE"/>
            <w:noWrap/>
          </w:tcPr>
          <w:p w14:paraId="62C29EA5" w14:textId="77777777" w:rsidR="003A3D51" w:rsidRDefault="0002775A">
            <w:pPr>
              <w:pStyle w:val="P68B1DB1-Normal7"/>
              <w:spacing w:after="200" w:line="276" w:lineRule="auto"/>
              <w:jc w:val="center"/>
              <w:rPr>
                <w:rFonts w:ascii="Times New Roman" w:hAnsi="Times New Roman" w:cs="Times New Roman"/>
                <w:noProof/>
              </w:rPr>
            </w:pPr>
            <w:r>
              <w:rPr>
                <w:noProof/>
              </w:rPr>
              <w:t>C2.3 R3-I7</w:t>
            </w:r>
          </w:p>
        </w:tc>
        <w:tc>
          <w:tcPr>
            <w:tcW w:w="294" w:type="pct"/>
            <w:tcBorders>
              <w:top w:val="single" w:sz="4" w:space="0" w:color="auto"/>
              <w:left w:val="nil"/>
              <w:bottom w:val="single" w:sz="4" w:space="0" w:color="auto"/>
              <w:right w:val="single" w:sz="4" w:space="0" w:color="auto"/>
            </w:tcBorders>
            <w:shd w:val="clear" w:color="auto" w:fill="C6EFCE"/>
            <w:noWrap/>
          </w:tcPr>
          <w:p w14:paraId="5F4D011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2830F2A8" w14:textId="77777777" w:rsidR="003A3D51" w:rsidRDefault="0002775A">
            <w:pPr>
              <w:pStyle w:val="P68B1DB1-Normal7"/>
              <w:spacing w:after="200" w:line="276" w:lineRule="auto"/>
              <w:rPr>
                <w:rFonts w:ascii="Times New Roman" w:hAnsi="Times New Roman" w:cs="Times New Roman"/>
                <w:noProof/>
              </w:rPr>
            </w:pPr>
            <w:r>
              <w:rPr>
                <w:noProof/>
              </w:rPr>
              <w:t xml:space="preserve">Digitala fysiska planer </w:t>
            </w:r>
          </w:p>
        </w:tc>
        <w:tc>
          <w:tcPr>
            <w:tcW w:w="663" w:type="pct"/>
            <w:tcBorders>
              <w:top w:val="single" w:sz="4" w:space="0" w:color="auto"/>
              <w:left w:val="nil"/>
              <w:bottom w:val="single" w:sz="4" w:space="0" w:color="auto"/>
              <w:right w:val="single" w:sz="4" w:space="0" w:color="auto"/>
            </w:tcBorders>
            <w:shd w:val="clear" w:color="auto" w:fill="C6EFCE"/>
            <w:noWrap/>
          </w:tcPr>
          <w:p w14:paraId="78D9DC30" w14:textId="77777777" w:rsidR="003A3D51" w:rsidRDefault="0002775A">
            <w:pPr>
              <w:pStyle w:val="P68B1DB1-Normal7"/>
              <w:spacing w:after="200" w:line="276" w:lineRule="auto"/>
              <w:rPr>
                <w:rFonts w:ascii="Times New Roman" w:hAnsi="Times New Roman" w:cs="Times New Roman"/>
                <w:noProof/>
              </w:rPr>
            </w:pPr>
            <w:r>
              <w:rPr>
                <w:noProof/>
              </w:rPr>
              <w:t xml:space="preserve"> Rapport från MSGB</w:t>
            </w:r>
          </w:p>
        </w:tc>
        <w:tc>
          <w:tcPr>
            <w:tcW w:w="340" w:type="pct"/>
            <w:tcBorders>
              <w:top w:val="single" w:sz="4" w:space="0" w:color="auto"/>
              <w:left w:val="nil"/>
              <w:bottom w:val="single" w:sz="4" w:space="0" w:color="auto"/>
              <w:right w:val="single" w:sz="4" w:space="0" w:color="auto"/>
            </w:tcBorders>
            <w:shd w:val="clear" w:color="auto" w:fill="C6EFCE"/>
            <w:noWrap/>
          </w:tcPr>
          <w:p w14:paraId="58E11060"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4D3E254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64296FBB" w14:textId="77777777" w:rsidR="003A3D51" w:rsidRDefault="0002775A">
            <w:pPr>
              <w:pStyle w:val="P68B1DB1-Normal7"/>
              <w:spacing w:after="200" w:line="276" w:lineRule="auto"/>
              <w:jc w:val="center"/>
              <w:rPr>
                <w:rFonts w:ascii="Times New Roman" w:hAnsi="Times New Roman" w:cs="Times New Roman"/>
                <w:noProof/>
              </w:rPr>
            </w:pPr>
            <w:r>
              <w:rPr>
                <w:noProof/>
              </w:rPr>
              <w:t>570</w:t>
            </w:r>
          </w:p>
        </w:tc>
        <w:tc>
          <w:tcPr>
            <w:tcW w:w="247" w:type="pct"/>
            <w:tcBorders>
              <w:top w:val="single" w:sz="4" w:space="0" w:color="auto"/>
              <w:left w:val="nil"/>
              <w:bottom w:val="single" w:sz="4" w:space="0" w:color="auto"/>
              <w:right w:val="single" w:sz="4" w:space="0" w:color="auto"/>
            </w:tcBorders>
            <w:shd w:val="clear" w:color="auto" w:fill="C6EFCE"/>
            <w:noWrap/>
          </w:tcPr>
          <w:p w14:paraId="24B04FB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1AEE35AF" w14:textId="67AABF66"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71" w:type="pct"/>
            <w:tcBorders>
              <w:top w:val="single" w:sz="4" w:space="0" w:color="auto"/>
              <w:left w:val="nil"/>
              <w:bottom w:val="single" w:sz="4" w:space="0" w:color="auto"/>
              <w:right w:val="single" w:sz="4" w:space="0" w:color="auto"/>
            </w:tcBorders>
            <w:shd w:val="clear" w:color="auto" w:fill="C6EFCE"/>
            <w:noWrap/>
          </w:tcPr>
          <w:p w14:paraId="3F8E4222" w14:textId="77777777" w:rsidR="003A3D51" w:rsidRDefault="0002775A">
            <w:pPr>
              <w:pStyle w:val="P68B1DB1-Normal7"/>
              <w:spacing w:after="200" w:line="276" w:lineRule="auto"/>
              <w:rPr>
                <w:rFonts w:ascii="Times New Roman" w:hAnsi="Times New Roman" w:cs="Times New Roman"/>
                <w:noProof/>
              </w:rPr>
            </w:pPr>
            <w:r>
              <w:rPr>
                <w:noProof/>
              </w:rPr>
              <w:t>Inrättande av 570 nästa generations fysiska planer (fysisk planering i digital form)</w:t>
            </w:r>
          </w:p>
        </w:tc>
      </w:tr>
      <w:tr w:rsidR="003A3D51" w14:paraId="12F0A3C9"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42E028C7" w14:textId="77777777" w:rsidR="003A3D51" w:rsidRDefault="0002775A">
            <w:pPr>
              <w:pStyle w:val="P68B1DB1-Normal7"/>
              <w:spacing w:after="200" w:line="276" w:lineRule="auto"/>
              <w:jc w:val="center"/>
              <w:rPr>
                <w:rFonts w:ascii="Times New Roman" w:hAnsi="Times New Roman" w:cs="Times New Roman"/>
                <w:noProof/>
              </w:rPr>
            </w:pPr>
            <w:r>
              <w:rPr>
                <w:noProof/>
              </w:rPr>
              <w:t>189</w:t>
            </w:r>
          </w:p>
        </w:tc>
        <w:tc>
          <w:tcPr>
            <w:tcW w:w="264" w:type="pct"/>
            <w:tcBorders>
              <w:top w:val="single" w:sz="4" w:space="0" w:color="auto"/>
              <w:left w:val="nil"/>
              <w:bottom w:val="single" w:sz="4" w:space="0" w:color="auto"/>
              <w:right w:val="single" w:sz="4" w:space="0" w:color="auto"/>
            </w:tcBorders>
            <w:shd w:val="clear" w:color="auto" w:fill="C6EFCE"/>
            <w:noWrap/>
          </w:tcPr>
          <w:p w14:paraId="2C894032" w14:textId="77777777" w:rsidR="003A3D51" w:rsidRDefault="0002775A">
            <w:pPr>
              <w:pStyle w:val="P68B1DB1-Normal7"/>
              <w:spacing w:after="200" w:line="276" w:lineRule="auto"/>
              <w:jc w:val="center"/>
              <w:rPr>
                <w:rFonts w:ascii="Times New Roman" w:hAnsi="Times New Roman" w:cs="Times New Roman"/>
                <w:noProof/>
              </w:rPr>
            </w:pPr>
            <w:r>
              <w:rPr>
                <w:noProof/>
              </w:rPr>
              <w:t>C2.3 R3-I7</w:t>
            </w:r>
          </w:p>
        </w:tc>
        <w:tc>
          <w:tcPr>
            <w:tcW w:w="294" w:type="pct"/>
            <w:tcBorders>
              <w:top w:val="single" w:sz="4" w:space="0" w:color="auto"/>
              <w:left w:val="nil"/>
              <w:bottom w:val="single" w:sz="4" w:space="0" w:color="auto"/>
              <w:right w:val="single" w:sz="4" w:space="0" w:color="auto"/>
            </w:tcBorders>
            <w:shd w:val="clear" w:color="auto" w:fill="C6EFCE"/>
            <w:noWrap/>
          </w:tcPr>
          <w:p w14:paraId="2870993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02B22DF8" w14:textId="77777777" w:rsidR="003A3D51" w:rsidRDefault="0002775A">
            <w:pPr>
              <w:pStyle w:val="P68B1DB1-Normal7"/>
              <w:spacing w:after="200" w:line="276" w:lineRule="auto"/>
              <w:rPr>
                <w:rFonts w:ascii="Times New Roman" w:hAnsi="Times New Roman" w:cs="Times New Roman"/>
                <w:noProof/>
              </w:rPr>
            </w:pPr>
            <w:r>
              <w:rPr>
                <w:noProof/>
              </w:rPr>
              <w:t>Uppgradering av informationssystemet för fysiska planer</w:t>
            </w:r>
          </w:p>
        </w:tc>
        <w:tc>
          <w:tcPr>
            <w:tcW w:w="663" w:type="pct"/>
            <w:tcBorders>
              <w:top w:val="single" w:sz="4" w:space="0" w:color="auto"/>
              <w:left w:val="nil"/>
              <w:bottom w:val="single" w:sz="4" w:space="0" w:color="auto"/>
              <w:right w:val="single" w:sz="4" w:space="0" w:color="auto"/>
            </w:tcBorders>
            <w:shd w:val="clear" w:color="auto" w:fill="C6EFCE"/>
            <w:noWrap/>
          </w:tcPr>
          <w:p w14:paraId="089A40EA" w14:textId="77777777" w:rsidR="003A3D51" w:rsidRDefault="0002775A">
            <w:pPr>
              <w:pStyle w:val="P68B1DB1-Normal7"/>
              <w:spacing w:after="200" w:line="276" w:lineRule="auto"/>
              <w:rPr>
                <w:rFonts w:ascii="Times New Roman" w:hAnsi="Times New Roman" w:cs="Times New Roman"/>
                <w:noProof/>
              </w:rPr>
            </w:pPr>
            <w:r>
              <w:rPr>
                <w:noProof/>
              </w:rPr>
              <w:br/>
              <w:t>Rapport från MSGB</w:t>
            </w:r>
          </w:p>
        </w:tc>
        <w:tc>
          <w:tcPr>
            <w:tcW w:w="340" w:type="pct"/>
            <w:tcBorders>
              <w:top w:val="single" w:sz="4" w:space="0" w:color="auto"/>
              <w:left w:val="nil"/>
              <w:bottom w:val="single" w:sz="4" w:space="0" w:color="auto"/>
              <w:right w:val="single" w:sz="4" w:space="0" w:color="auto"/>
            </w:tcBorders>
            <w:shd w:val="clear" w:color="auto" w:fill="C6EFCE"/>
            <w:noWrap/>
          </w:tcPr>
          <w:p w14:paraId="20B8FED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74165B6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18BDB4C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40CC3E0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7674A4A6"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271" w:type="pct"/>
            <w:tcBorders>
              <w:top w:val="single" w:sz="4" w:space="0" w:color="auto"/>
              <w:left w:val="nil"/>
              <w:bottom w:val="single" w:sz="4" w:space="0" w:color="auto"/>
              <w:right w:val="single" w:sz="4" w:space="0" w:color="auto"/>
            </w:tcBorders>
            <w:shd w:val="clear" w:color="auto" w:fill="C6EFCE"/>
            <w:noWrap/>
          </w:tcPr>
          <w:p w14:paraId="73DD7C26" w14:textId="77777777" w:rsidR="003A3D51" w:rsidRDefault="0002775A">
            <w:pPr>
              <w:pStyle w:val="P68B1DB1-Normal7"/>
              <w:spacing w:after="200" w:line="276" w:lineRule="auto"/>
              <w:rPr>
                <w:rFonts w:ascii="Times New Roman" w:hAnsi="Times New Roman" w:cs="Times New Roman"/>
                <w:noProof/>
              </w:rPr>
            </w:pPr>
            <w:r>
              <w:rPr>
                <w:noProof/>
              </w:rPr>
              <w:t>Elektroniska moduler ska inrättas för digitalisering av förfaranden för fysisk planering, uppförande och statliga tillgångar som en del av informationssystemet för fysisk planering.</w:t>
            </w:r>
          </w:p>
        </w:tc>
      </w:tr>
      <w:tr w:rsidR="003A3D51" w14:paraId="2C600668"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34C811BD" w14:textId="77777777" w:rsidR="003A3D51" w:rsidRDefault="0002775A">
            <w:pPr>
              <w:pStyle w:val="P68B1DB1-Normal7"/>
              <w:spacing w:after="200" w:line="276" w:lineRule="auto"/>
              <w:jc w:val="center"/>
              <w:rPr>
                <w:rFonts w:ascii="Times New Roman" w:hAnsi="Times New Roman" w:cs="Times New Roman"/>
                <w:noProof/>
              </w:rPr>
            </w:pPr>
            <w:r>
              <w:rPr>
                <w:noProof/>
              </w:rPr>
              <w:t>190</w:t>
            </w:r>
          </w:p>
        </w:tc>
        <w:tc>
          <w:tcPr>
            <w:tcW w:w="264" w:type="pct"/>
            <w:tcBorders>
              <w:top w:val="single" w:sz="4" w:space="0" w:color="auto"/>
              <w:left w:val="nil"/>
              <w:bottom w:val="single" w:sz="4" w:space="0" w:color="auto"/>
              <w:right w:val="single" w:sz="4" w:space="0" w:color="auto"/>
            </w:tcBorders>
            <w:shd w:val="clear" w:color="auto" w:fill="C6EFCE"/>
            <w:noWrap/>
          </w:tcPr>
          <w:p w14:paraId="7A5D5094" w14:textId="77777777" w:rsidR="003A3D51" w:rsidRDefault="0002775A">
            <w:pPr>
              <w:pStyle w:val="P68B1DB1-Normal7"/>
              <w:spacing w:after="200" w:line="276" w:lineRule="auto"/>
              <w:jc w:val="center"/>
              <w:rPr>
                <w:rFonts w:ascii="Times New Roman" w:hAnsi="Times New Roman" w:cs="Times New Roman"/>
                <w:noProof/>
              </w:rPr>
            </w:pPr>
            <w:r>
              <w:rPr>
                <w:noProof/>
              </w:rPr>
              <w:t>C2.3 R3-I8</w:t>
            </w:r>
          </w:p>
        </w:tc>
        <w:tc>
          <w:tcPr>
            <w:tcW w:w="294" w:type="pct"/>
            <w:tcBorders>
              <w:top w:val="single" w:sz="4" w:space="0" w:color="auto"/>
              <w:left w:val="nil"/>
              <w:bottom w:val="single" w:sz="4" w:space="0" w:color="auto"/>
              <w:right w:val="single" w:sz="4" w:space="0" w:color="auto"/>
            </w:tcBorders>
            <w:shd w:val="clear" w:color="auto" w:fill="C6EFCE"/>
            <w:noWrap/>
          </w:tcPr>
          <w:p w14:paraId="68E9448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57F81975" w14:textId="77777777" w:rsidR="003A3D51" w:rsidRDefault="0002775A">
            <w:pPr>
              <w:pStyle w:val="P68B1DB1-Normal7"/>
              <w:spacing w:after="200" w:line="276" w:lineRule="auto"/>
              <w:rPr>
                <w:rFonts w:ascii="Times New Roman" w:hAnsi="Times New Roman" w:cs="Times New Roman"/>
                <w:noProof/>
              </w:rPr>
            </w:pPr>
            <w:r>
              <w:rPr>
                <w:noProof/>
              </w:rPr>
              <w:t xml:space="preserve">Digitala e-offentliga tjänster som är integrerade i den nya mobila plattformen </w:t>
            </w:r>
          </w:p>
        </w:tc>
        <w:tc>
          <w:tcPr>
            <w:tcW w:w="663" w:type="pct"/>
            <w:tcBorders>
              <w:top w:val="single" w:sz="4" w:space="0" w:color="auto"/>
              <w:left w:val="nil"/>
              <w:bottom w:val="single" w:sz="4" w:space="0" w:color="auto"/>
              <w:right w:val="single" w:sz="4" w:space="0" w:color="auto"/>
            </w:tcBorders>
            <w:shd w:val="clear" w:color="auto" w:fill="C6EFCE"/>
            <w:noWrap/>
          </w:tcPr>
          <w:p w14:paraId="63F592D7" w14:textId="77777777" w:rsidR="003A3D51" w:rsidRDefault="0002775A">
            <w:pPr>
              <w:pStyle w:val="P68B1DB1-Normal7"/>
              <w:spacing w:after="200" w:line="276" w:lineRule="auto"/>
              <w:rPr>
                <w:rFonts w:ascii="Times New Roman" w:hAnsi="Times New Roman" w:cs="Times New Roman"/>
                <w:noProof/>
              </w:rPr>
            </w:pPr>
            <w:r>
              <w:rPr>
                <w:noProof/>
              </w:rPr>
              <w:t xml:space="preserve"> Rapport från SDURDD om att e-tjänsterna 20 är integrerade och operativa för användning</w:t>
            </w:r>
          </w:p>
        </w:tc>
        <w:tc>
          <w:tcPr>
            <w:tcW w:w="340" w:type="pct"/>
            <w:tcBorders>
              <w:top w:val="single" w:sz="4" w:space="0" w:color="auto"/>
              <w:left w:val="nil"/>
              <w:bottom w:val="single" w:sz="4" w:space="0" w:color="auto"/>
              <w:right w:val="single" w:sz="4" w:space="0" w:color="auto"/>
            </w:tcBorders>
            <w:shd w:val="clear" w:color="auto" w:fill="C6EFCE"/>
            <w:noWrap/>
          </w:tcPr>
          <w:p w14:paraId="5F0F2D2D"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644506D7"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47244ABC" w14:textId="77777777" w:rsidR="003A3D51" w:rsidRDefault="0002775A">
            <w:pPr>
              <w:pStyle w:val="P68B1DB1-Normal7"/>
              <w:spacing w:after="200" w:line="276" w:lineRule="auto"/>
              <w:jc w:val="center"/>
              <w:rPr>
                <w:rFonts w:ascii="Times New Roman" w:hAnsi="Times New Roman" w:cs="Times New Roman"/>
                <w:noProof/>
              </w:rPr>
            </w:pPr>
            <w:r>
              <w:rPr>
                <w:noProof/>
              </w:rPr>
              <w:t>20</w:t>
            </w:r>
          </w:p>
        </w:tc>
        <w:tc>
          <w:tcPr>
            <w:tcW w:w="247" w:type="pct"/>
            <w:tcBorders>
              <w:top w:val="single" w:sz="4" w:space="0" w:color="auto"/>
              <w:left w:val="nil"/>
              <w:bottom w:val="single" w:sz="4" w:space="0" w:color="auto"/>
              <w:right w:val="single" w:sz="4" w:space="0" w:color="auto"/>
            </w:tcBorders>
            <w:shd w:val="clear" w:color="auto" w:fill="C6EFCE"/>
            <w:noWrap/>
          </w:tcPr>
          <w:p w14:paraId="5653E5F6"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6BA9FC23"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single" w:sz="4" w:space="0" w:color="auto"/>
              <w:left w:val="nil"/>
              <w:bottom w:val="single" w:sz="4" w:space="0" w:color="auto"/>
              <w:right w:val="single" w:sz="4" w:space="0" w:color="auto"/>
            </w:tcBorders>
            <w:shd w:val="clear" w:color="auto" w:fill="C6EFCE"/>
            <w:noWrap/>
          </w:tcPr>
          <w:p w14:paraId="733AA886" w14:textId="77777777" w:rsidR="003A3D51" w:rsidRDefault="0002775A">
            <w:pPr>
              <w:pStyle w:val="P68B1DB1-Normal7"/>
              <w:spacing w:after="200" w:line="276" w:lineRule="auto"/>
              <w:rPr>
                <w:rFonts w:ascii="Times New Roman" w:hAnsi="Times New Roman" w:cs="Times New Roman"/>
                <w:noProof/>
              </w:rPr>
            </w:pPr>
            <w:r>
              <w:rPr>
                <w:noProof/>
              </w:rPr>
              <w:t>Minst 20 e-tjänster ska integreras i den mobila plattformen och vara i drift, inbegripet Begäran om födelseattest. Begära bevis på bosättning, Ansöka om finansiering för högre utbildning. Lämna in en första ansökan om antagning till en offentlig läroanstalt för högre utbildning. Begäran om akademiskt erkännande av examensbevis, utbildningsbevis eller andra bevis på studier eller kurser. Anmälan av förändringar i de personliga eller yrkesmässiga förhållandena för den person som uppbär sociala trygghetsförmåner som är relevanta för sådana förmåner. Begäran om ett europeiskt sjukförsäkringskort. Ingivande av inkomstskattedeklarationer. Registrering av adressändring. Registrering av ett motorfordon som har sitt ursprung i eller redan är registrerat i en medlemsstat, enligt standardförfaranden. Erhålla märkning för användning av statlig väginfrastruktur: tidsavgifter (vinjett), avståndsbaserade avgifter (vägtullar) som utfärdas av en offentlig myndighet eller institution. Erhålla utsläppsmärkning som utfärdats av en offentlig myndighet eller institution, Ansöka om pensionsförmåner och pensionsförmåner från obligatoriska system, En begäran om information om pensioner från obligatoriska system. Meddelande om affärsverksamhet, näringstillstånd, ändring av affärsverksamhet och upphörande av affärsverksamhet som inte inbegriper konkurs- eller likvidationsförfaranden, med undantag för inledande registrering av affärsverksamhet i företagsregistret och med undantag för konstitutionella förfaranden eller eventuella efterföljande ansökningar från företag eller företag. Registrering av arbetsgivare (fysisk person) i obligatoriska pensions- och försäkringssystem. Registrering av anställda i obligatoriska pensions- och försäkringssystem. Ingivande av inkomstskattedeklarationer. Ingivande av inkomstskattedeklarationer. Anmälan till socialförsäkringssystemet om uppsägning av en anställds anställningsavtal, med undantag för förfaranden för kollektiv uppsägning av en anställds avtal. Betalning av sociala avgifter för anställda. Resa med rätt till bevis.</w:t>
            </w:r>
          </w:p>
        </w:tc>
      </w:tr>
      <w:tr w:rsidR="003A3D51" w14:paraId="5F6AD336" w14:textId="77777777" w:rsidTr="00803C03">
        <w:trPr>
          <w:trHeight w:val="1560"/>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7AE282A5" w14:textId="77777777" w:rsidR="003A3D51" w:rsidRDefault="0002775A">
            <w:pPr>
              <w:pStyle w:val="P68B1DB1-Normal7"/>
              <w:spacing w:after="200" w:line="276" w:lineRule="auto"/>
              <w:jc w:val="center"/>
              <w:rPr>
                <w:rFonts w:ascii="Times New Roman" w:hAnsi="Times New Roman" w:cs="Times New Roman"/>
                <w:noProof/>
              </w:rPr>
            </w:pPr>
            <w:r>
              <w:rPr>
                <w:noProof/>
              </w:rPr>
              <w:t>191</w:t>
            </w:r>
          </w:p>
        </w:tc>
        <w:tc>
          <w:tcPr>
            <w:tcW w:w="264" w:type="pct"/>
            <w:tcBorders>
              <w:top w:val="single" w:sz="4" w:space="0" w:color="auto"/>
              <w:left w:val="nil"/>
              <w:bottom w:val="single" w:sz="4" w:space="0" w:color="auto"/>
              <w:right w:val="single" w:sz="4" w:space="0" w:color="auto"/>
            </w:tcBorders>
            <w:shd w:val="clear" w:color="auto" w:fill="C6EFCE"/>
            <w:noWrap/>
          </w:tcPr>
          <w:p w14:paraId="5EBADCFD" w14:textId="77777777" w:rsidR="003A3D51" w:rsidRDefault="0002775A">
            <w:pPr>
              <w:pStyle w:val="P68B1DB1-Normal7"/>
              <w:spacing w:after="200" w:line="276" w:lineRule="auto"/>
              <w:jc w:val="center"/>
              <w:rPr>
                <w:rFonts w:ascii="Times New Roman" w:hAnsi="Times New Roman" w:cs="Times New Roman"/>
                <w:noProof/>
              </w:rPr>
            </w:pPr>
            <w:r>
              <w:rPr>
                <w:noProof/>
              </w:rPr>
              <w:t>C2.3 R3-I9</w:t>
            </w:r>
          </w:p>
        </w:tc>
        <w:tc>
          <w:tcPr>
            <w:tcW w:w="294" w:type="pct"/>
            <w:tcBorders>
              <w:top w:val="single" w:sz="4" w:space="0" w:color="auto"/>
              <w:left w:val="nil"/>
              <w:bottom w:val="single" w:sz="4" w:space="0" w:color="auto"/>
              <w:right w:val="single" w:sz="4" w:space="0" w:color="auto"/>
            </w:tcBorders>
            <w:shd w:val="clear" w:color="auto" w:fill="C6EFCE"/>
            <w:noWrap/>
          </w:tcPr>
          <w:p w14:paraId="41BCC93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02807E75" w14:textId="77777777" w:rsidR="003A3D51" w:rsidRDefault="0002775A">
            <w:pPr>
              <w:pStyle w:val="P68B1DB1-Normal7"/>
              <w:spacing w:after="200" w:line="276" w:lineRule="auto"/>
              <w:rPr>
                <w:rFonts w:ascii="Times New Roman" w:hAnsi="Times New Roman" w:cs="Times New Roman"/>
                <w:noProof/>
              </w:rPr>
            </w:pPr>
            <w:r>
              <w:rPr>
                <w:noProof/>
              </w:rPr>
              <w:t>Inrättande av en ny plattform för offentlig upphandling och mobilapplikation</w:t>
            </w:r>
          </w:p>
        </w:tc>
        <w:tc>
          <w:tcPr>
            <w:tcW w:w="663" w:type="pct"/>
            <w:tcBorders>
              <w:top w:val="single" w:sz="4" w:space="0" w:color="auto"/>
              <w:left w:val="nil"/>
              <w:bottom w:val="single" w:sz="4" w:space="0" w:color="auto"/>
              <w:right w:val="single" w:sz="4" w:space="0" w:color="auto"/>
            </w:tcBorders>
            <w:shd w:val="clear" w:color="auto" w:fill="C6EFCE"/>
            <w:noWrap/>
          </w:tcPr>
          <w:p w14:paraId="167FED74" w14:textId="77777777" w:rsidR="003A3D51" w:rsidRDefault="0002775A">
            <w:pPr>
              <w:pStyle w:val="P68B1DB1-Normal7"/>
              <w:spacing w:after="200" w:line="276" w:lineRule="auto"/>
              <w:rPr>
                <w:rFonts w:ascii="Times New Roman" w:hAnsi="Times New Roman" w:cs="Times New Roman"/>
                <w:noProof/>
              </w:rPr>
            </w:pPr>
            <w:r>
              <w:rPr>
                <w:noProof/>
              </w:rPr>
              <w:t>Det första förfarandet för offentlig upphandling inleddes på den nya e-upphandlingsplattformen</w:t>
            </w:r>
          </w:p>
        </w:tc>
        <w:tc>
          <w:tcPr>
            <w:tcW w:w="340" w:type="pct"/>
            <w:tcBorders>
              <w:top w:val="single" w:sz="4" w:space="0" w:color="auto"/>
              <w:left w:val="nil"/>
              <w:bottom w:val="single" w:sz="4" w:space="0" w:color="auto"/>
              <w:right w:val="single" w:sz="4" w:space="0" w:color="auto"/>
            </w:tcBorders>
            <w:shd w:val="clear" w:color="auto" w:fill="C6EFCE"/>
            <w:noWrap/>
          </w:tcPr>
          <w:p w14:paraId="44C52F4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5BB42AE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29DEFE3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6ACC62F1"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0" w:type="pct"/>
            <w:tcBorders>
              <w:top w:val="single" w:sz="4" w:space="0" w:color="auto"/>
              <w:left w:val="nil"/>
              <w:bottom w:val="single" w:sz="4" w:space="0" w:color="auto"/>
              <w:right w:val="single" w:sz="4" w:space="0" w:color="auto"/>
            </w:tcBorders>
            <w:shd w:val="clear" w:color="auto" w:fill="C6EFCE"/>
            <w:noWrap/>
          </w:tcPr>
          <w:p w14:paraId="3DFCB043"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71" w:type="pct"/>
            <w:tcBorders>
              <w:top w:val="single" w:sz="4" w:space="0" w:color="auto"/>
              <w:left w:val="nil"/>
              <w:bottom w:val="single" w:sz="4" w:space="0" w:color="auto"/>
              <w:right w:val="single" w:sz="4" w:space="0" w:color="auto"/>
            </w:tcBorders>
            <w:shd w:val="clear" w:color="auto" w:fill="C6EFCE"/>
            <w:noWrap/>
          </w:tcPr>
          <w:p w14:paraId="2202C5CB" w14:textId="77777777" w:rsidR="003A3D51" w:rsidRDefault="0002775A">
            <w:pPr>
              <w:pStyle w:val="P68B1DB1-Normal7"/>
              <w:spacing w:after="200" w:line="276" w:lineRule="auto"/>
              <w:rPr>
                <w:rFonts w:ascii="Times New Roman" w:hAnsi="Times New Roman" w:cs="Times New Roman"/>
                <w:noProof/>
              </w:rPr>
            </w:pPr>
            <w:r>
              <w:rPr>
                <w:noProof/>
              </w:rPr>
              <w:t xml:space="preserve">Den nya plattformen för genomförande av förfaranden för offentlig upphandling och mobilapplikationen ska vara operativ, och förfarandet för offentlig upphandling ska inledas på den nya e-upphandlingsplattformen. </w:t>
            </w:r>
          </w:p>
        </w:tc>
      </w:tr>
      <w:tr w:rsidR="003A3D51" w14:paraId="6540E9BB"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2035AFFC" w14:textId="77777777" w:rsidR="003A3D51" w:rsidRDefault="0002775A">
            <w:pPr>
              <w:pStyle w:val="P68B1DB1-Normal7"/>
              <w:spacing w:after="200" w:line="276" w:lineRule="auto"/>
              <w:jc w:val="center"/>
              <w:rPr>
                <w:rFonts w:ascii="Times New Roman" w:hAnsi="Times New Roman" w:cs="Times New Roman"/>
                <w:noProof/>
              </w:rPr>
            </w:pPr>
            <w:r>
              <w:rPr>
                <w:noProof/>
              </w:rPr>
              <w:t>192</w:t>
            </w:r>
          </w:p>
        </w:tc>
        <w:tc>
          <w:tcPr>
            <w:tcW w:w="264" w:type="pct"/>
            <w:tcBorders>
              <w:top w:val="single" w:sz="4" w:space="0" w:color="auto"/>
              <w:left w:val="nil"/>
              <w:bottom w:val="single" w:sz="4" w:space="0" w:color="auto"/>
              <w:right w:val="single" w:sz="4" w:space="0" w:color="auto"/>
            </w:tcBorders>
            <w:shd w:val="clear" w:color="auto" w:fill="C6EFCE"/>
            <w:noWrap/>
          </w:tcPr>
          <w:p w14:paraId="46AD2991" w14:textId="77777777" w:rsidR="003A3D51" w:rsidRDefault="0002775A">
            <w:pPr>
              <w:pStyle w:val="P68B1DB1-Normal7"/>
              <w:spacing w:after="200" w:line="276" w:lineRule="auto"/>
              <w:jc w:val="center"/>
              <w:rPr>
                <w:rFonts w:ascii="Times New Roman" w:hAnsi="Times New Roman" w:cs="Times New Roman"/>
                <w:noProof/>
              </w:rPr>
            </w:pPr>
            <w:r>
              <w:rPr>
                <w:noProof/>
              </w:rPr>
              <w:t>C2.3 R3-I10</w:t>
            </w:r>
          </w:p>
        </w:tc>
        <w:tc>
          <w:tcPr>
            <w:tcW w:w="294" w:type="pct"/>
            <w:tcBorders>
              <w:top w:val="single" w:sz="4" w:space="0" w:color="auto"/>
              <w:left w:val="nil"/>
              <w:bottom w:val="single" w:sz="4" w:space="0" w:color="auto"/>
              <w:right w:val="single" w:sz="4" w:space="0" w:color="auto"/>
            </w:tcBorders>
            <w:shd w:val="clear" w:color="auto" w:fill="C6EFCE"/>
            <w:noWrap/>
          </w:tcPr>
          <w:p w14:paraId="7C20836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065DFD8F" w14:textId="77777777" w:rsidR="003A3D51" w:rsidRDefault="0002775A">
            <w:pPr>
              <w:pStyle w:val="P68B1DB1-Normal7"/>
              <w:spacing w:after="200" w:line="276" w:lineRule="auto"/>
              <w:rPr>
                <w:rFonts w:ascii="Times New Roman" w:hAnsi="Times New Roman" w:cs="Times New Roman"/>
                <w:noProof/>
              </w:rPr>
            </w:pPr>
            <w:r>
              <w:rPr>
                <w:noProof/>
              </w:rPr>
              <w:t xml:space="preserve">CES:s system för digital identitet och personalförvaltning  </w:t>
            </w:r>
          </w:p>
        </w:tc>
        <w:tc>
          <w:tcPr>
            <w:tcW w:w="663" w:type="pct"/>
            <w:tcBorders>
              <w:top w:val="single" w:sz="4" w:space="0" w:color="auto"/>
              <w:left w:val="nil"/>
              <w:bottom w:val="single" w:sz="4" w:space="0" w:color="auto"/>
              <w:right w:val="single" w:sz="4" w:space="0" w:color="auto"/>
            </w:tcBorders>
            <w:shd w:val="clear" w:color="auto" w:fill="C6EFCE"/>
            <w:noWrap/>
          </w:tcPr>
          <w:p w14:paraId="5ED5033B" w14:textId="77777777" w:rsidR="003A3D51" w:rsidRDefault="0002775A">
            <w:pPr>
              <w:pStyle w:val="P68B1DB1-Normal7"/>
              <w:spacing w:after="200" w:line="276" w:lineRule="auto"/>
              <w:rPr>
                <w:rFonts w:ascii="Times New Roman" w:hAnsi="Times New Roman" w:cs="Times New Roman"/>
                <w:noProof/>
              </w:rPr>
            </w:pPr>
            <w:r>
              <w:rPr>
                <w:noProof/>
              </w:rPr>
              <w:t>Rapport från CES/HZZ</w:t>
            </w:r>
          </w:p>
        </w:tc>
        <w:tc>
          <w:tcPr>
            <w:tcW w:w="340" w:type="pct"/>
            <w:tcBorders>
              <w:top w:val="single" w:sz="4" w:space="0" w:color="auto"/>
              <w:left w:val="nil"/>
              <w:bottom w:val="single" w:sz="4" w:space="0" w:color="auto"/>
              <w:right w:val="single" w:sz="4" w:space="0" w:color="auto"/>
            </w:tcBorders>
            <w:shd w:val="clear" w:color="auto" w:fill="C6EFCE"/>
            <w:noWrap/>
          </w:tcPr>
          <w:p w14:paraId="2CE9D5B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21B77FF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17B4844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0342E944"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38FB90E6"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71" w:type="pct"/>
            <w:tcBorders>
              <w:top w:val="single" w:sz="4" w:space="0" w:color="auto"/>
              <w:left w:val="nil"/>
              <w:bottom w:val="single" w:sz="4" w:space="0" w:color="auto"/>
              <w:right w:val="single" w:sz="4" w:space="0" w:color="auto"/>
            </w:tcBorders>
            <w:shd w:val="clear" w:color="auto" w:fill="C6EFCE"/>
            <w:noWrap/>
          </w:tcPr>
          <w:p w14:paraId="25F28E11" w14:textId="77777777" w:rsidR="003A3D51" w:rsidRDefault="0002775A">
            <w:pPr>
              <w:pStyle w:val="P68B1DB1-Normal7"/>
              <w:spacing w:after="200" w:line="276" w:lineRule="auto"/>
              <w:rPr>
                <w:rFonts w:ascii="Times New Roman" w:hAnsi="Times New Roman" w:cs="Times New Roman"/>
                <w:noProof/>
              </w:rPr>
            </w:pPr>
            <w:r>
              <w:rPr>
                <w:noProof/>
              </w:rPr>
              <w:t xml:space="preserve">CES:s system för hantering av digital identitet och digitala personalförvaltningssystem ska vara på plats och vara i drift. </w:t>
            </w:r>
          </w:p>
        </w:tc>
      </w:tr>
      <w:tr w:rsidR="003A3D51" w14:paraId="7799472F"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065396AF" w14:textId="77777777" w:rsidR="003A3D51" w:rsidRDefault="0002775A">
            <w:pPr>
              <w:pStyle w:val="P68B1DB1-Normal7"/>
              <w:spacing w:after="200" w:line="276" w:lineRule="auto"/>
              <w:jc w:val="center"/>
              <w:rPr>
                <w:rFonts w:ascii="Times New Roman" w:hAnsi="Times New Roman" w:cs="Times New Roman"/>
                <w:noProof/>
              </w:rPr>
            </w:pPr>
            <w:r>
              <w:rPr>
                <w:noProof/>
              </w:rPr>
              <w:t>193</w:t>
            </w:r>
          </w:p>
        </w:tc>
        <w:tc>
          <w:tcPr>
            <w:tcW w:w="264" w:type="pct"/>
            <w:tcBorders>
              <w:top w:val="single" w:sz="4" w:space="0" w:color="auto"/>
              <w:left w:val="nil"/>
              <w:bottom w:val="single" w:sz="4" w:space="0" w:color="auto"/>
              <w:right w:val="single" w:sz="4" w:space="0" w:color="auto"/>
            </w:tcBorders>
            <w:shd w:val="clear" w:color="auto" w:fill="C6EFCE"/>
            <w:noWrap/>
          </w:tcPr>
          <w:p w14:paraId="4FC872B1" w14:textId="77777777" w:rsidR="003A3D51" w:rsidRDefault="0002775A">
            <w:pPr>
              <w:pStyle w:val="P68B1DB1-Normal7"/>
              <w:spacing w:after="200" w:line="276" w:lineRule="auto"/>
              <w:jc w:val="center"/>
              <w:rPr>
                <w:rFonts w:ascii="Times New Roman" w:hAnsi="Times New Roman" w:cs="Times New Roman"/>
                <w:noProof/>
              </w:rPr>
            </w:pPr>
            <w:r>
              <w:rPr>
                <w:noProof/>
              </w:rPr>
              <w:t>C2.3 R3-I10</w:t>
            </w:r>
          </w:p>
        </w:tc>
        <w:tc>
          <w:tcPr>
            <w:tcW w:w="294" w:type="pct"/>
            <w:tcBorders>
              <w:top w:val="single" w:sz="4" w:space="0" w:color="auto"/>
              <w:left w:val="nil"/>
              <w:bottom w:val="single" w:sz="4" w:space="0" w:color="auto"/>
              <w:right w:val="single" w:sz="4" w:space="0" w:color="auto"/>
            </w:tcBorders>
            <w:shd w:val="clear" w:color="auto" w:fill="C6EFCE"/>
            <w:noWrap/>
          </w:tcPr>
          <w:p w14:paraId="57E4D63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00FA63EF" w14:textId="77777777" w:rsidR="003A3D51" w:rsidRDefault="0002775A">
            <w:pPr>
              <w:pStyle w:val="P68B1DB1-Normal7"/>
              <w:spacing w:after="200" w:line="276" w:lineRule="auto"/>
              <w:rPr>
                <w:rFonts w:ascii="Times New Roman" w:hAnsi="Times New Roman" w:cs="Times New Roman"/>
                <w:noProof/>
              </w:rPr>
            </w:pPr>
            <w:r>
              <w:rPr>
                <w:noProof/>
              </w:rPr>
              <w:t xml:space="preserve">Slutförande av digitaliseringen av CES </w:t>
            </w:r>
          </w:p>
        </w:tc>
        <w:tc>
          <w:tcPr>
            <w:tcW w:w="663" w:type="pct"/>
            <w:tcBorders>
              <w:top w:val="single" w:sz="4" w:space="0" w:color="auto"/>
              <w:left w:val="nil"/>
              <w:bottom w:val="single" w:sz="4" w:space="0" w:color="auto"/>
              <w:right w:val="single" w:sz="4" w:space="0" w:color="auto"/>
            </w:tcBorders>
            <w:shd w:val="clear" w:color="auto" w:fill="C6EFCE"/>
            <w:noWrap/>
          </w:tcPr>
          <w:p w14:paraId="20D86F8A" w14:textId="77777777" w:rsidR="003A3D51" w:rsidRDefault="0002775A">
            <w:pPr>
              <w:pStyle w:val="P68B1DB1-Normal7"/>
              <w:spacing w:after="200" w:line="276" w:lineRule="auto"/>
              <w:rPr>
                <w:rFonts w:ascii="Times New Roman" w:hAnsi="Times New Roman" w:cs="Times New Roman"/>
                <w:noProof/>
              </w:rPr>
            </w:pPr>
            <w:r>
              <w:rPr>
                <w:noProof/>
              </w:rPr>
              <w:t>Rapport från CES/HZZ</w:t>
            </w:r>
          </w:p>
        </w:tc>
        <w:tc>
          <w:tcPr>
            <w:tcW w:w="340" w:type="pct"/>
            <w:tcBorders>
              <w:top w:val="single" w:sz="4" w:space="0" w:color="auto"/>
              <w:left w:val="nil"/>
              <w:bottom w:val="single" w:sz="4" w:space="0" w:color="auto"/>
              <w:right w:val="single" w:sz="4" w:space="0" w:color="auto"/>
            </w:tcBorders>
            <w:shd w:val="clear" w:color="auto" w:fill="C6EFCE"/>
            <w:noWrap/>
          </w:tcPr>
          <w:p w14:paraId="2A3BBEF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51194FF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531ED86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61615CE2"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6F352609"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65012299" w14:textId="77777777" w:rsidR="003A3D51" w:rsidRDefault="0002775A">
            <w:pPr>
              <w:pStyle w:val="P68B1DB1-Normal7"/>
              <w:spacing w:after="200" w:line="276" w:lineRule="auto"/>
              <w:rPr>
                <w:rFonts w:ascii="Times New Roman" w:hAnsi="Times New Roman" w:cs="Times New Roman"/>
                <w:noProof/>
              </w:rPr>
            </w:pPr>
            <w:r>
              <w:rPr>
                <w:noProof/>
              </w:rPr>
              <w:t>Digitaliseringen av CES-systemet ska ha slutförts ett system för hantering av säkerhetsincidenter och händelser och ett stödsystem för kärnprocessen ska inrättas, e_Advisor-systemet och slutföra projektet för digitalisering av arkiv, och inrätta ett system för redovisning och slutförande av ett projekt för digital dokumenthantering ska vara i drift.</w:t>
            </w:r>
          </w:p>
        </w:tc>
      </w:tr>
      <w:tr w:rsidR="003A3D51" w14:paraId="4A748D08"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4E4CBCBA" w14:textId="77777777" w:rsidR="003A3D51" w:rsidRDefault="0002775A">
            <w:pPr>
              <w:pStyle w:val="P68B1DB1-Normal7"/>
              <w:spacing w:after="200" w:line="276" w:lineRule="auto"/>
              <w:jc w:val="center"/>
              <w:rPr>
                <w:rFonts w:ascii="Times New Roman" w:hAnsi="Times New Roman" w:cs="Times New Roman"/>
                <w:noProof/>
              </w:rPr>
            </w:pPr>
            <w:r>
              <w:rPr>
                <w:noProof/>
              </w:rPr>
              <w:t>194</w:t>
            </w:r>
          </w:p>
        </w:tc>
        <w:tc>
          <w:tcPr>
            <w:tcW w:w="264" w:type="pct"/>
            <w:tcBorders>
              <w:top w:val="single" w:sz="4" w:space="0" w:color="auto"/>
              <w:left w:val="nil"/>
              <w:bottom w:val="single" w:sz="4" w:space="0" w:color="auto"/>
              <w:right w:val="single" w:sz="4" w:space="0" w:color="auto"/>
            </w:tcBorders>
            <w:shd w:val="clear" w:color="auto" w:fill="C6EFCE"/>
            <w:noWrap/>
          </w:tcPr>
          <w:p w14:paraId="70F0FFB6" w14:textId="77777777" w:rsidR="003A3D51" w:rsidRDefault="0002775A">
            <w:pPr>
              <w:pStyle w:val="P68B1DB1-Normal7"/>
              <w:spacing w:after="200" w:line="276" w:lineRule="auto"/>
              <w:jc w:val="center"/>
              <w:rPr>
                <w:rFonts w:ascii="Times New Roman" w:hAnsi="Times New Roman" w:cs="Times New Roman"/>
                <w:noProof/>
              </w:rPr>
            </w:pPr>
            <w:r>
              <w:rPr>
                <w:noProof/>
              </w:rPr>
              <w:t>C2.3 R3-I11</w:t>
            </w:r>
          </w:p>
        </w:tc>
        <w:tc>
          <w:tcPr>
            <w:tcW w:w="294" w:type="pct"/>
            <w:tcBorders>
              <w:top w:val="single" w:sz="4" w:space="0" w:color="auto"/>
              <w:left w:val="nil"/>
              <w:bottom w:val="single" w:sz="4" w:space="0" w:color="auto"/>
              <w:right w:val="single" w:sz="4" w:space="0" w:color="auto"/>
            </w:tcBorders>
            <w:shd w:val="clear" w:color="auto" w:fill="C6EFCE"/>
            <w:noWrap/>
          </w:tcPr>
          <w:p w14:paraId="688EE8A5"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4D7FE1C6" w14:textId="77777777" w:rsidR="003A3D51" w:rsidRDefault="0002775A">
            <w:pPr>
              <w:pStyle w:val="P68B1DB1-Normal7"/>
              <w:spacing w:after="200" w:line="276" w:lineRule="auto"/>
              <w:rPr>
                <w:rFonts w:ascii="Times New Roman" w:hAnsi="Times New Roman" w:cs="Times New Roman"/>
                <w:noProof/>
              </w:rPr>
            </w:pPr>
            <w:r>
              <w:rPr>
                <w:noProof/>
              </w:rPr>
              <w:t xml:space="preserve">Uppgraderat it-system vid det kroatiska pensionsförsäkringsinstitutet (HZMO) </w:t>
            </w:r>
          </w:p>
        </w:tc>
        <w:tc>
          <w:tcPr>
            <w:tcW w:w="663" w:type="pct"/>
            <w:tcBorders>
              <w:top w:val="single" w:sz="4" w:space="0" w:color="auto"/>
              <w:left w:val="nil"/>
              <w:bottom w:val="single" w:sz="4" w:space="0" w:color="auto"/>
              <w:right w:val="single" w:sz="4" w:space="0" w:color="auto"/>
            </w:tcBorders>
            <w:shd w:val="clear" w:color="auto" w:fill="C6EFCE"/>
            <w:noWrap/>
          </w:tcPr>
          <w:p w14:paraId="3E054EFC" w14:textId="77777777" w:rsidR="003A3D51" w:rsidRDefault="0002775A">
            <w:pPr>
              <w:pStyle w:val="P68B1DB1-Normal7"/>
              <w:spacing w:after="200" w:line="276" w:lineRule="auto"/>
              <w:rPr>
                <w:rFonts w:ascii="Times New Roman" w:hAnsi="Times New Roman" w:cs="Times New Roman"/>
                <w:noProof/>
              </w:rPr>
            </w:pPr>
            <w:r>
              <w:rPr>
                <w:noProof/>
              </w:rPr>
              <w:t xml:space="preserve"> Rapport från HZMO</w:t>
            </w:r>
          </w:p>
        </w:tc>
        <w:tc>
          <w:tcPr>
            <w:tcW w:w="340" w:type="pct"/>
            <w:tcBorders>
              <w:top w:val="single" w:sz="4" w:space="0" w:color="auto"/>
              <w:left w:val="nil"/>
              <w:bottom w:val="single" w:sz="4" w:space="0" w:color="auto"/>
              <w:right w:val="single" w:sz="4" w:space="0" w:color="auto"/>
            </w:tcBorders>
            <w:shd w:val="clear" w:color="auto" w:fill="C6EFCE"/>
            <w:noWrap/>
          </w:tcPr>
          <w:p w14:paraId="6CB3DC2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4B11D6B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0667828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4C0635AD"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25460B23"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0B25F6AA" w14:textId="77777777" w:rsidR="003A3D51" w:rsidRDefault="0002775A">
            <w:pPr>
              <w:pStyle w:val="P68B1DB1-Normal7"/>
              <w:spacing w:after="200" w:line="276" w:lineRule="auto"/>
              <w:rPr>
                <w:rFonts w:ascii="Times New Roman" w:hAnsi="Times New Roman" w:cs="Times New Roman"/>
                <w:noProof/>
              </w:rPr>
            </w:pPr>
            <w:r>
              <w:rPr>
                <w:noProof/>
              </w:rPr>
              <w:t>Det kroatiska pensionsförsäkringsinstitutets (HZMO) nya it-system och centrala verksamhetsprocesser ska vara i drift.</w:t>
            </w:r>
          </w:p>
        </w:tc>
      </w:tr>
      <w:tr w:rsidR="003A3D51" w14:paraId="4BB50A0A"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74534B5D" w14:textId="77777777" w:rsidR="003A3D51" w:rsidRDefault="0002775A">
            <w:pPr>
              <w:pStyle w:val="P68B1DB1-Normal7"/>
              <w:spacing w:after="200" w:line="276" w:lineRule="auto"/>
              <w:jc w:val="center"/>
              <w:rPr>
                <w:rFonts w:ascii="Times New Roman" w:hAnsi="Times New Roman" w:cs="Times New Roman"/>
                <w:noProof/>
              </w:rPr>
            </w:pPr>
            <w:r>
              <w:rPr>
                <w:noProof/>
              </w:rPr>
              <w:t>195</w:t>
            </w:r>
          </w:p>
        </w:tc>
        <w:tc>
          <w:tcPr>
            <w:tcW w:w="264" w:type="pct"/>
            <w:tcBorders>
              <w:top w:val="single" w:sz="4" w:space="0" w:color="auto"/>
              <w:left w:val="nil"/>
              <w:bottom w:val="single" w:sz="4" w:space="0" w:color="auto"/>
              <w:right w:val="single" w:sz="4" w:space="0" w:color="auto"/>
            </w:tcBorders>
            <w:shd w:val="clear" w:color="auto" w:fill="C6EFCE"/>
            <w:noWrap/>
          </w:tcPr>
          <w:p w14:paraId="3A7F185C" w14:textId="77777777" w:rsidR="003A3D51" w:rsidRDefault="0002775A">
            <w:pPr>
              <w:pStyle w:val="P68B1DB1-Normal7"/>
              <w:spacing w:after="200" w:line="276" w:lineRule="auto"/>
              <w:jc w:val="center"/>
              <w:rPr>
                <w:rFonts w:ascii="Times New Roman" w:hAnsi="Times New Roman" w:cs="Times New Roman"/>
                <w:noProof/>
              </w:rPr>
            </w:pPr>
            <w:r>
              <w:rPr>
                <w:noProof/>
              </w:rPr>
              <w:t>C2.3 R3-I12</w:t>
            </w:r>
          </w:p>
        </w:tc>
        <w:tc>
          <w:tcPr>
            <w:tcW w:w="294" w:type="pct"/>
            <w:tcBorders>
              <w:top w:val="single" w:sz="4" w:space="0" w:color="auto"/>
              <w:left w:val="nil"/>
              <w:bottom w:val="single" w:sz="4" w:space="0" w:color="auto"/>
              <w:right w:val="single" w:sz="4" w:space="0" w:color="auto"/>
            </w:tcBorders>
            <w:shd w:val="clear" w:color="auto" w:fill="C6EFCE"/>
            <w:noWrap/>
          </w:tcPr>
          <w:p w14:paraId="38D658B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12162F69" w14:textId="77777777" w:rsidR="003A3D51" w:rsidRDefault="0002775A">
            <w:pPr>
              <w:pStyle w:val="P68B1DB1-Normal7"/>
              <w:spacing w:after="200" w:line="276" w:lineRule="auto"/>
              <w:rPr>
                <w:rFonts w:ascii="Times New Roman" w:hAnsi="Times New Roman" w:cs="Times New Roman"/>
                <w:noProof/>
              </w:rPr>
            </w:pPr>
            <w:r>
              <w:rPr>
                <w:noProof/>
              </w:rPr>
              <w:t>Det kroatiska pensionsförsäkringsinstitutets (HZMO) digitala arkiv</w:t>
            </w:r>
          </w:p>
        </w:tc>
        <w:tc>
          <w:tcPr>
            <w:tcW w:w="663" w:type="pct"/>
            <w:tcBorders>
              <w:top w:val="single" w:sz="4" w:space="0" w:color="auto"/>
              <w:left w:val="nil"/>
              <w:bottom w:val="single" w:sz="4" w:space="0" w:color="auto"/>
              <w:right w:val="single" w:sz="4" w:space="0" w:color="auto"/>
            </w:tcBorders>
            <w:shd w:val="clear" w:color="auto" w:fill="C6EFCE"/>
            <w:noWrap/>
          </w:tcPr>
          <w:p w14:paraId="78259B32" w14:textId="77777777" w:rsidR="003A3D51" w:rsidRDefault="0002775A">
            <w:pPr>
              <w:pStyle w:val="P68B1DB1-Normal7"/>
              <w:spacing w:after="200" w:line="276" w:lineRule="auto"/>
              <w:rPr>
                <w:rFonts w:ascii="Times New Roman" w:hAnsi="Times New Roman" w:cs="Times New Roman"/>
                <w:noProof/>
              </w:rPr>
            </w:pPr>
            <w:r>
              <w:rPr>
                <w:noProof/>
              </w:rPr>
              <w:t>HZMO:s överlämnande av operativsystemet för hantering av digitala arkiv</w:t>
            </w:r>
          </w:p>
        </w:tc>
        <w:tc>
          <w:tcPr>
            <w:tcW w:w="340" w:type="pct"/>
            <w:tcBorders>
              <w:top w:val="single" w:sz="4" w:space="0" w:color="auto"/>
              <w:left w:val="nil"/>
              <w:bottom w:val="single" w:sz="4" w:space="0" w:color="auto"/>
              <w:right w:val="single" w:sz="4" w:space="0" w:color="auto"/>
            </w:tcBorders>
            <w:shd w:val="clear" w:color="auto" w:fill="C6EFCE"/>
            <w:noWrap/>
          </w:tcPr>
          <w:p w14:paraId="55BFB50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36902B0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53CE82F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3482B05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14B2FFED"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71" w:type="pct"/>
            <w:tcBorders>
              <w:top w:val="single" w:sz="4" w:space="0" w:color="auto"/>
              <w:left w:val="nil"/>
              <w:bottom w:val="single" w:sz="4" w:space="0" w:color="auto"/>
              <w:right w:val="single" w:sz="4" w:space="0" w:color="auto"/>
            </w:tcBorders>
            <w:shd w:val="clear" w:color="auto" w:fill="C6EFCE"/>
            <w:noWrap/>
          </w:tcPr>
          <w:p w14:paraId="3210DB2D" w14:textId="7CF4F0BE" w:rsidR="003A3D51" w:rsidRDefault="0002775A">
            <w:pPr>
              <w:pStyle w:val="P68B1DB1-Normal7"/>
              <w:spacing w:after="200" w:line="276" w:lineRule="auto"/>
              <w:rPr>
                <w:rFonts w:ascii="Times New Roman" w:hAnsi="Times New Roman" w:cs="Times New Roman"/>
                <w:noProof/>
              </w:rPr>
            </w:pPr>
            <w:r>
              <w:rPr>
                <w:noProof/>
              </w:rPr>
              <w:t>Systemet för hantering av digitala arkiv (systemet för hantering av digitala arkiv) ska vara i drift.</w:t>
            </w:r>
          </w:p>
        </w:tc>
      </w:tr>
      <w:tr w:rsidR="003A3D51" w14:paraId="40190DC7"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7B4F006A" w14:textId="77777777" w:rsidR="003A3D51" w:rsidRDefault="0002775A">
            <w:pPr>
              <w:pStyle w:val="P68B1DB1-Normal7"/>
              <w:spacing w:after="200" w:line="276" w:lineRule="auto"/>
              <w:jc w:val="center"/>
              <w:rPr>
                <w:rFonts w:ascii="Times New Roman" w:hAnsi="Times New Roman" w:cs="Times New Roman"/>
                <w:noProof/>
              </w:rPr>
            </w:pPr>
            <w:r>
              <w:rPr>
                <w:noProof/>
              </w:rPr>
              <w:t>196</w:t>
            </w:r>
          </w:p>
        </w:tc>
        <w:tc>
          <w:tcPr>
            <w:tcW w:w="264" w:type="pct"/>
            <w:tcBorders>
              <w:top w:val="single" w:sz="4" w:space="0" w:color="auto"/>
              <w:left w:val="nil"/>
              <w:bottom w:val="single" w:sz="4" w:space="0" w:color="auto"/>
              <w:right w:val="single" w:sz="4" w:space="0" w:color="auto"/>
            </w:tcBorders>
            <w:shd w:val="clear" w:color="auto" w:fill="C6EFCE"/>
            <w:noWrap/>
          </w:tcPr>
          <w:p w14:paraId="20CFDA18" w14:textId="77777777" w:rsidR="003A3D51" w:rsidRDefault="0002775A">
            <w:pPr>
              <w:pStyle w:val="P68B1DB1-Normal7"/>
              <w:spacing w:after="200" w:line="276" w:lineRule="auto"/>
              <w:jc w:val="center"/>
              <w:rPr>
                <w:rFonts w:ascii="Times New Roman" w:hAnsi="Times New Roman" w:cs="Times New Roman"/>
                <w:noProof/>
              </w:rPr>
            </w:pPr>
            <w:r>
              <w:rPr>
                <w:noProof/>
              </w:rPr>
              <w:t>C2.3 R3-I12</w:t>
            </w:r>
          </w:p>
        </w:tc>
        <w:tc>
          <w:tcPr>
            <w:tcW w:w="294" w:type="pct"/>
            <w:tcBorders>
              <w:top w:val="single" w:sz="4" w:space="0" w:color="auto"/>
              <w:left w:val="nil"/>
              <w:bottom w:val="single" w:sz="4" w:space="0" w:color="auto"/>
              <w:right w:val="single" w:sz="4" w:space="0" w:color="auto"/>
            </w:tcBorders>
            <w:shd w:val="clear" w:color="auto" w:fill="C6EFCE"/>
            <w:noWrap/>
          </w:tcPr>
          <w:p w14:paraId="60EEA0A9"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3D965A59" w14:textId="77777777" w:rsidR="003A3D51" w:rsidRDefault="0002775A">
            <w:pPr>
              <w:pStyle w:val="P68B1DB1-Normal7"/>
              <w:spacing w:after="200" w:line="276" w:lineRule="auto"/>
              <w:rPr>
                <w:rFonts w:ascii="Times New Roman" w:hAnsi="Times New Roman" w:cs="Times New Roman"/>
                <w:noProof/>
              </w:rPr>
            </w:pPr>
            <w:r>
              <w:rPr>
                <w:noProof/>
              </w:rPr>
              <w:t>Antal sidor i de nya digitala arkiven</w:t>
            </w:r>
          </w:p>
        </w:tc>
        <w:tc>
          <w:tcPr>
            <w:tcW w:w="663" w:type="pct"/>
            <w:tcBorders>
              <w:top w:val="single" w:sz="4" w:space="0" w:color="auto"/>
              <w:left w:val="nil"/>
              <w:bottom w:val="single" w:sz="4" w:space="0" w:color="auto"/>
              <w:right w:val="single" w:sz="4" w:space="0" w:color="auto"/>
            </w:tcBorders>
            <w:shd w:val="clear" w:color="auto" w:fill="C6EFCE"/>
            <w:noWrap/>
          </w:tcPr>
          <w:p w14:paraId="4C14D1D6" w14:textId="77777777" w:rsidR="003A3D51" w:rsidRDefault="0002775A">
            <w:pPr>
              <w:pStyle w:val="P68B1DB1-Normal7"/>
              <w:spacing w:after="200" w:line="276" w:lineRule="auto"/>
              <w:rPr>
                <w:rFonts w:ascii="Times New Roman" w:hAnsi="Times New Roman" w:cs="Times New Roman"/>
                <w:noProof/>
              </w:rPr>
            </w:pPr>
            <w:r>
              <w:rPr>
                <w:noProof/>
              </w:rPr>
              <w:t xml:space="preserve"> HZMO:s överlämningsprotokoll över de sidor som skannats och indexerats digitalt </w:t>
            </w:r>
          </w:p>
        </w:tc>
        <w:tc>
          <w:tcPr>
            <w:tcW w:w="340" w:type="pct"/>
            <w:tcBorders>
              <w:top w:val="single" w:sz="4" w:space="0" w:color="auto"/>
              <w:left w:val="nil"/>
              <w:bottom w:val="single" w:sz="4" w:space="0" w:color="auto"/>
              <w:right w:val="single" w:sz="4" w:space="0" w:color="auto"/>
            </w:tcBorders>
            <w:shd w:val="clear" w:color="auto" w:fill="C6EFCE"/>
            <w:noWrap/>
          </w:tcPr>
          <w:p w14:paraId="55C2DFD9"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3012714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4E8FBA42" w14:textId="77777777" w:rsidR="003A3D51" w:rsidRDefault="0002775A">
            <w:pPr>
              <w:pStyle w:val="P68B1DB1-Normal7"/>
              <w:spacing w:after="200" w:line="276" w:lineRule="auto"/>
              <w:jc w:val="center"/>
              <w:rPr>
                <w:rFonts w:ascii="Times New Roman" w:hAnsi="Times New Roman" w:cs="Times New Roman"/>
                <w:noProof/>
              </w:rPr>
            </w:pPr>
            <w:r>
              <w:rPr>
                <w:noProof/>
              </w:rPr>
              <w:t>50 000 000</w:t>
            </w:r>
          </w:p>
        </w:tc>
        <w:tc>
          <w:tcPr>
            <w:tcW w:w="247" w:type="pct"/>
            <w:tcBorders>
              <w:top w:val="single" w:sz="4" w:space="0" w:color="auto"/>
              <w:left w:val="nil"/>
              <w:bottom w:val="single" w:sz="4" w:space="0" w:color="auto"/>
              <w:right w:val="single" w:sz="4" w:space="0" w:color="auto"/>
            </w:tcBorders>
            <w:shd w:val="clear" w:color="auto" w:fill="C6EFCE"/>
            <w:noWrap/>
          </w:tcPr>
          <w:p w14:paraId="7AE9422D"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619CAE2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52D13CDF" w14:textId="77777777" w:rsidR="003A3D51" w:rsidRDefault="0002775A">
            <w:pPr>
              <w:pStyle w:val="P68B1DB1-Normal7"/>
              <w:spacing w:after="200" w:line="276" w:lineRule="auto"/>
              <w:rPr>
                <w:rFonts w:ascii="Times New Roman" w:hAnsi="Times New Roman" w:cs="Times New Roman"/>
                <w:noProof/>
              </w:rPr>
            </w:pPr>
            <w:r>
              <w:rPr>
                <w:noProof/>
              </w:rPr>
              <w:t>50 000 000 sidor från nationella arkiv ska ha skannats och indexerats i det nya digitala arkivet.</w:t>
            </w:r>
          </w:p>
        </w:tc>
      </w:tr>
      <w:tr w:rsidR="003A3D51" w14:paraId="21445CA0"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1C32722C" w14:textId="77777777" w:rsidR="003A3D51" w:rsidRDefault="0002775A">
            <w:pPr>
              <w:pStyle w:val="P68B1DB1-Normal7"/>
              <w:spacing w:after="200" w:line="276" w:lineRule="auto"/>
              <w:jc w:val="center"/>
              <w:rPr>
                <w:rFonts w:ascii="Times New Roman" w:hAnsi="Times New Roman" w:cs="Times New Roman"/>
                <w:noProof/>
              </w:rPr>
            </w:pPr>
            <w:r>
              <w:rPr>
                <w:noProof/>
              </w:rPr>
              <w:t>197</w:t>
            </w:r>
          </w:p>
        </w:tc>
        <w:tc>
          <w:tcPr>
            <w:tcW w:w="264" w:type="pct"/>
            <w:tcBorders>
              <w:top w:val="single" w:sz="4" w:space="0" w:color="auto"/>
              <w:left w:val="nil"/>
              <w:bottom w:val="single" w:sz="4" w:space="0" w:color="auto"/>
              <w:right w:val="single" w:sz="4" w:space="0" w:color="auto"/>
            </w:tcBorders>
            <w:shd w:val="clear" w:color="auto" w:fill="C6EFCE"/>
            <w:noWrap/>
          </w:tcPr>
          <w:p w14:paraId="5652C485" w14:textId="77777777" w:rsidR="003A3D51" w:rsidRDefault="0002775A">
            <w:pPr>
              <w:pStyle w:val="P68B1DB1-Normal7"/>
              <w:spacing w:after="200" w:line="276" w:lineRule="auto"/>
              <w:jc w:val="center"/>
              <w:rPr>
                <w:rFonts w:ascii="Times New Roman" w:hAnsi="Times New Roman" w:cs="Times New Roman"/>
                <w:noProof/>
              </w:rPr>
            </w:pPr>
            <w:r>
              <w:rPr>
                <w:noProof/>
              </w:rPr>
              <w:t>C2.3 R3-I13</w:t>
            </w:r>
          </w:p>
        </w:tc>
        <w:tc>
          <w:tcPr>
            <w:tcW w:w="294" w:type="pct"/>
            <w:tcBorders>
              <w:top w:val="single" w:sz="4" w:space="0" w:color="auto"/>
              <w:left w:val="nil"/>
              <w:bottom w:val="single" w:sz="4" w:space="0" w:color="auto"/>
              <w:right w:val="single" w:sz="4" w:space="0" w:color="auto"/>
            </w:tcBorders>
            <w:shd w:val="clear" w:color="auto" w:fill="C6EFCE"/>
            <w:noWrap/>
          </w:tcPr>
          <w:p w14:paraId="404A078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7310488B" w14:textId="77777777" w:rsidR="003A3D51" w:rsidRDefault="0002775A">
            <w:pPr>
              <w:pStyle w:val="P68B1DB1-Normal7"/>
              <w:spacing w:after="200" w:line="276" w:lineRule="auto"/>
              <w:rPr>
                <w:rFonts w:ascii="Times New Roman" w:hAnsi="Times New Roman" w:cs="Times New Roman"/>
                <w:noProof/>
              </w:rPr>
            </w:pPr>
            <w:r>
              <w:rPr>
                <w:noProof/>
              </w:rPr>
              <w:t xml:space="preserve">Nytt informationssystem för skatteförvaltningen </w:t>
            </w:r>
          </w:p>
        </w:tc>
        <w:tc>
          <w:tcPr>
            <w:tcW w:w="663" w:type="pct"/>
            <w:tcBorders>
              <w:top w:val="single" w:sz="4" w:space="0" w:color="auto"/>
              <w:left w:val="nil"/>
              <w:bottom w:val="single" w:sz="4" w:space="0" w:color="auto"/>
              <w:right w:val="single" w:sz="4" w:space="0" w:color="auto"/>
            </w:tcBorders>
            <w:shd w:val="clear" w:color="auto" w:fill="C6EFCE"/>
            <w:noWrap/>
          </w:tcPr>
          <w:p w14:paraId="52BBEFA9" w14:textId="77777777" w:rsidR="003A3D51" w:rsidRDefault="0002775A">
            <w:pPr>
              <w:pStyle w:val="P68B1DB1-Normal7"/>
              <w:spacing w:after="200" w:line="276" w:lineRule="auto"/>
              <w:rPr>
                <w:rFonts w:ascii="Times New Roman" w:hAnsi="Times New Roman" w:cs="Times New Roman"/>
                <w:noProof/>
              </w:rPr>
            </w:pPr>
            <w:r>
              <w:rPr>
                <w:noProof/>
              </w:rPr>
              <w:t>Genomföranderapport från finansministeriet – skatteförvaltningen, där det anges att det nya informationssystemet för skatteförvaltningen är operativt</w:t>
            </w:r>
          </w:p>
        </w:tc>
        <w:tc>
          <w:tcPr>
            <w:tcW w:w="340" w:type="pct"/>
            <w:tcBorders>
              <w:top w:val="single" w:sz="4" w:space="0" w:color="auto"/>
              <w:left w:val="nil"/>
              <w:bottom w:val="single" w:sz="4" w:space="0" w:color="auto"/>
              <w:right w:val="single" w:sz="4" w:space="0" w:color="auto"/>
            </w:tcBorders>
            <w:shd w:val="clear" w:color="auto" w:fill="C6EFCE"/>
            <w:noWrap/>
          </w:tcPr>
          <w:p w14:paraId="0EE6074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29B2035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2D35E9B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08538FD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08C1B85F"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0ACACDC3" w14:textId="77777777" w:rsidR="003A3D51" w:rsidRDefault="0002775A">
            <w:pPr>
              <w:pStyle w:val="P68B1DB1-Normal7"/>
              <w:spacing w:after="200" w:line="276" w:lineRule="auto"/>
              <w:rPr>
                <w:rFonts w:ascii="Times New Roman" w:hAnsi="Times New Roman" w:cs="Times New Roman"/>
                <w:noProof/>
              </w:rPr>
            </w:pPr>
            <w:r>
              <w:rPr>
                <w:noProof/>
              </w:rPr>
              <w:t>Ett nytt skatteinformationssystem ska vara i drift med nya funktioner (inbegripet en ny plattform för dataanalys, en ny utformning av användarupplevelser för skattebetalare och skattetjänstemän med en uppgraderad IKT-infrastruktur, digitalisering av alla processer som rör dessa funktioner, i syfte att förenkla och påskynda processen, säker driftskontinuitet i krissituationer, ökad säkerhetsnivå för IKT-infrastruktur, konsoliderad och optimerad information-kommunikationsinfrastruktur).</w:t>
            </w:r>
          </w:p>
        </w:tc>
      </w:tr>
      <w:tr w:rsidR="003A3D51" w14:paraId="35ECA80C"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56A23519" w14:textId="77777777" w:rsidR="003A3D51" w:rsidRDefault="0002775A">
            <w:pPr>
              <w:pStyle w:val="P68B1DB1-Normal7"/>
              <w:spacing w:after="200" w:line="276" w:lineRule="auto"/>
              <w:jc w:val="center"/>
              <w:rPr>
                <w:rFonts w:ascii="Times New Roman" w:hAnsi="Times New Roman" w:cs="Times New Roman"/>
                <w:noProof/>
              </w:rPr>
            </w:pPr>
            <w:r>
              <w:rPr>
                <w:noProof/>
              </w:rPr>
              <w:t>198</w:t>
            </w:r>
          </w:p>
        </w:tc>
        <w:tc>
          <w:tcPr>
            <w:tcW w:w="264" w:type="pct"/>
            <w:tcBorders>
              <w:top w:val="single" w:sz="4" w:space="0" w:color="auto"/>
              <w:left w:val="nil"/>
              <w:bottom w:val="single" w:sz="4" w:space="0" w:color="auto"/>
              <w:right w:val="single" w:sz="4" w:space="0" w:color="auto"/>
            </w:tcBorders>
            <w:shd w:val="clear" w:color="auto" w:fill="C6EFCE"/>
            <w:noWrap/>
          </w:tcPr>
          <w:p w14:paraId="27DBEB28" w14:textId="77777777" w:rsidR="003A3D51" w:rsidRDefault="0002775A">
            <w:pPr>
              <w:pStyle w:val="P68B1DB1-Normal7"/>
              <w:spacing w:after="200" w:line="276" w:lineRule="auto"/>
              <w:jc w:val="center"/>
              <w:rPr>
                <w:rFonts w:ascii="Times New Roman" w:hAnsi="Times New Roman" w:cs="Times New Roman"/>
                <w:noProof/>
              </w:rPr>
            </w:pPr>
            <w:r>
              <w:rPr>
                <w:noProof/>
              </w:rPr>
              <w:t>C2.3 R3-I13</w:t>
            </w:r>
          </w:p>
        </w:tc>
        <w:tc>
          <w:tcPr>
            <w:tcW w:w="294" w:type="pct"/>
            <w:tcBorders>
              <w:top w:val="single" w:sz="4" w:space="0" w:color="auto"/>
              <w:left w:val="nil"/>
              <w:bottom w:val="single" w:sz="4" w:space="0" w:color="auto"/>
              <w:right w:val="single" w:sz="4" w:space="0" w:color="auto"/>
            </w:tcBorders>
            <w:shd w:val="clear" w:color="auto" w:fill="C6EFCE"/>
            <w:noWrap/>
          </w:tcPr>
          <w:p w14:paraId="3AD926A9"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37AD0606" w14:textId="77777777" w:rsidR="003A3D51" w:rsidRDefault="0002775A">
            <w:pPr>
              <w:pStyle w:val="P68B1DB1-Normal7"/>
              <w:spacing w:after="200" w:line="276" w:lineRule="auto"/>
              <w:rPr>
                <w:rFonts w:ascii="Times New Roman" w:hAnsi="Times New Roman" w:cs="Times New Roman"/>
                <w:noProof/>
              </w:rPr>
            </w:pPr>
            <w:r>
              <w:rPr>
                <w:noProof/>
              </w:rPr>
              <w:t>Procentandel förfaranden för fastställande och uppbörd av skatt som genomförs digitalt genom det nya systemet</w:t>
            </w:r>
          </w:p>
        </w:tc>
        <w:tc>
          <w:tcPr>
            <w:tcW w:w="663" w:type="pct"/>
            <w:tcBorders>
              <w:top w:val="single" w:sz="4" w:space="0" w:color="auto"/>
              <w:left w:val="nil"/>
              <w:bottom w:val="single" w:sz="4" w:space="0" w:color="auto"/>
              <w:right w:val="single" w:sz="4" w:space="0" w:color="auto"/>
            </w:tcBorders>
            <w:shd w:val="clear" w:color="auto" w:fill="C6EFCE"/>
            <w:noWrap/>
          </w:tcPr>
          <w:p w14:paraId="03CCEBDA" w14:textId="77777777" w:rsidR="003A3D51" w:rsidRDefault="0002775A">
            <w:pPr>
              <w:pStyle w:val="P68B1DB1-Normal7"/>
              <w:spacing w:after="200" w:line="276" w:lineRule="auto"/>
              <w:rPr>
                <w:rFonts w:ascii="Times New Roman" w:hAnsi="Times New Roman" w:cs="Times New Roman"/>
                <w:noProof/>
              </w:rPr>
            </w:pPr>
            <w:r>
              <w:rPr>
                <w:noProof/>
              </w:rPr>
              <w:t>Rapport från finansministeriet – skatteförvaltningen</w:t>
            </w:r>
          </w:p>
        </w:tc>
        <w:tc>
          <w:tcPr>
            <w:tcW w:w="340" w:type="pct"/>
            <w:tcBorders>
              <w:top w:val="single" w:sz="4" w:space="0" w:color="auto"/>
              <w:left w:val="nil"/>
              <w:bottom w:val="single" w:sz="4" w:space="0" w:color="auto"/>
              <w:right w:val="single" w:sz="4" w:space="0" w:color="auto"/>
            </w:tcBorders>
            <w:shd w:val="clear" w:color="auto" w:fill="C6EFCE"/>
            <w:noWrap/>
          </w:tcPr>
          <w:p w14:paraId="6780AB3D"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6" w:type="pct"/>
            <w:tcBorders>
              <w:top w:val="single" w:sz="4" w:space="0" w:color="auto"/>
              <w:left w:val="nil"/>
              <w:bottom w:val="single" w:sz="4" w:space="0" w:color="auto"/>
              <w:right w:val="single" w:sz="4" w:space="0" w:color="auto"/>
            </w:tcBorders>
            <w:shd w:val="clear" w:color="auto" w:fill="C6EFCE"/>
            <w:noWrap/>
          </w:tcPr>
          <w:p w14:paraId="4E3620F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0D9BB3D2" w14:textId="77777777" w:rsidR="003A3D51" w:rsidRDefault="0002775A">
            <w:pPr>
              <w:pStyle w:val="P68B1DB1-Normal7"/>
              <w:spacing w:after="200" w:line="276" w:lineRule="auto"/>
              <w:jc w:val="center"/>
              <w:rPr>
                <w:rFonts w:ascii="Times New Roman" w:hAnsi="Times New Roman" w:cs="Times New Roman"/>
                <w:noProof/>
              </w:rPr>
            </w:pPr>
            <w:r>
              <w:rPr>
                <w:noProof/>
              </w:rPr>
              <w:t>80</w:t>
            </w:r>
          </w:p>
        </w:tc>
        <w:tc>
          <w:tcPr>
            <w:tcW w:w="247" w:type="pct"/>
            <w:tcBorders>
              <w:top w:val="single" w:sz="4" w:space="0" w:color="auto"/>
              <w:left w:val="nil"/>
              <w:bottom w:val="single" w:sz="4" w:space="0" w:color="auto"/>
              <w:right w:val="single" w:sz="4" w:space="0" w:color="auto"/>
            </w:tcBorders>
            <w:shd w:val="clear" w:color="auto" w:fill="C6EFCE"/>
            <w:noWrap/>
          </w:tcPr>
          <w:p w14:paraId="294E3E15"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39B06759"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3F799241" w14:textId="77777777" w:rsidR="003A3D51" w:rsidRDefault="0002775A">
            <w:pPr>
              <w:pStyle w:val="P68B1DB1-Normal7"/>
              <w:spacing w:after="200" w:line="276" w:lineRule="auto"/>
              <w:rPr>
                <w:rFonts w:ascii="Times New Roman" w:hAnsi="Times New Roman" w:cs="Times New Roman"/>
                <w:noProof/>
              </w:rPr>
            </w:pPr>
            <w:r>
              <w:rPr>
                <w:noProof/>
              </w:rPr>
              <w:t>80 % av de befintliga förfarandena för fastställande och uppbörd av skatt ska genomföras digitalt genom det nya moderniserade skatteinformationssystemet.</w:t>
            </w:r>
          </w:p>
        </w:tc>
      </w:tr>
      <w:tr w:rsidR="003A3D51" w14:paraId="3BF748FE"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52F7A56E" w14:textId="77777777" w:rsidR="003A3D51" w:rsidRDefault="0002775A">
            <w:pPr>
              <w:pStyle w:val="P68B1DB1-Normal7"/>
              <w:spacing w:after="200" w:line="276" w:lineRule="auto"/>
              <w:jc w:val="center"/>
              <w:rPr>
                <w:rFonts w:ascii="Times New Roman" w:hAnsi="Times New Roman" w:cs="Times New Roman"/>
                <w:noProof/>
              </w:rPr>
            </w:pPr>
            <w:r>
              <w:rPr>
                <w:noProof/>
              </w:rPr>
              <w:t>199</w:t>
            </w:r>
          </w:p>
        </w:tc>
        <w:tc>
          <w:tcPr>
            <w:tcW w:w="264" w:type="pct"/>
            <w:tcBorders>
              <w:top w:val="single" w:sz="4" w:space="0" w:color="auto"/>
              <w:left w:val="nil"/>
              <w:bottom w:val="single" w:sz="4" w:space="0" w:color="auto"/>
              <w:right w:val="single" w:sz="4" w:space="0" w:color="auto"/>
            </w:tcBorders>
            <w:shd w:val="clear" w:color="auto" w:fill="C6EFCE"/>
            <w:noWrap/>
          </w:tcPr>
          <w:p w14:paraId="01925B56" w14:textId="77777777" w:rsidR="003A3D51" w:rsidRDefault="0002775A">
            <w:pPr>
              <w:pStyle w:val="P68B1DB1-Normal7"/>
              <w:spacing w:after="200" w:line="276" w:lineRule="auto"/>
              <w:jc w:val="center"/>
              <w:rPr>
                <w:rFonts w:ascii="Times New Roman" w:hAnsi="Times New Roman" w:cs="Times New Roman"/>
                <w:noProof/>
              </w:rPr>
            </w:pPr>
            <w:r>
              <w:rPr>
                <w:noProof/>
              </w:rPr>
              <w:t>C2.3 R3-I14</w:t>
            </w:r>
          </w:p>
        </w:tc>
        <w:tc>
          <w:tcPr>
            <w:tcW w:w="294" w:type="pct"/>
            <w:tcBorders>
              <w:top w:val="single" w:sz="4" w:space="0" w:color="auto"/>
              <w:left w:val="nil"/>
              <w:bottom w:val="single" w:sz="4" w:space="0" w:color="auto"/>
              <w:right w:val="single" w:sz="4" w:space="0" w:color="auto"/>
            </w:tcBorders>
            <w:shd w:val="clear" w:color="auto" w:fill="C6EFCE"/>
            <w:noWrap/>
          </w:tcPr>
          <w:p w14:paraId="66C694B5"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6B43D2DF" w14:textId="77777777" w:rsidR="003A3D51" w:rsidRDefault="0002775A">
            <w:pPr>
              <w:pStyle w:val="P68B1DB1-Normal7"/>
              <w:spacing w:after="200" w:line="276" w:lineRule="auto"/>
              <w:rPr>
                <w:rFonts w:ascii="Times New Roman" w:hAnsi="Times New Roman" w:cs="Times New Roman"/>
                <w:noProof/>
              </w:rPr>
            </w:pPr>
            <w:r>
              <w:rPr>
                <w:noProof/>
              </w:rPr>
              <w:t xml:space="preserve">System för e-fakturor och momsredovisning online </w:t>
            </w:r>
          </w:p>
        </w:tc>
        <w:tc>
          <w:tcPr>
            <w:tcW w:w="663" w:type="pct"/>
            <w:tcBorders>
              <w:top w:val="single" w:sz="4" w:space="0" w:color="auto"/>
              <w:left w:val="nil"/>
              <w:bottom w:val="single" w:sz="4" w:space="0" w:color="auto"/>
              <w:right w:val="single" w:sz="4" w:space="0" w:color="auto"/>
            </w:tcBorders>
            <w:shd w:val="clear" w:color="auto" w:fill="C6EFCE"/>
            <w:noWrap/>
          </w:tcPr>
          <w:p w14:paraId="23FDA8A1" w14:textId="14DE0439" w:rsidR="003A3D51" w:rsidRDefault="0002775A">
            <w:pPr>
              <w:pStyle w:val="P68B1DB1-Normal7"/>
              <w:spacing w:after="200" w:line="276" w:lineRule="auto"/>
              <w:rPr>
                <w:rFonts w:ascii="Times New Roman" w:hAnsi="Times New Roman" w:cs="Times New Roman"/>
                <w:noProof/>
              </w:rPr>
            </w:pPr>
            <w:r>
              <w:rPr>
                <w:noProof/>
              </w:rPr>
              <w:t>Rapport från finansministeriet – skatteförvaltningen</w:t>
            </w:r>
          </w:p>
        </w:tc>
        <w:tc>
          <w:tcPr>
            <w:tcW w:w="340" w:type="pct"/>
            <w:tcBorders>
              <w:top w:val="single" w:sz="4" w:space="0" w:color="auto"/>
              <w:left w:val="nil"/>
              <w:bottom w:val="single" w:sz="4" w:space="0" w:color="auto"/>
              <w:right w:val="single" w:sz="4" w:space="0" w:color="auto"/>
            </w:tcBorders>
            <w:shd w:val="clear" w:color="auto" w:fill="C6EFCE"/>
            <w:noWrap/>
          </w:tcPr>
          <w:p w14:paraId="553AE67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4FA7D24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743B857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2A7D5BD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26380C03"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271" w:type="pct"/>
            <w:tcBorders>
              <w:top w:val="single" w:sz="4" w:space="0" w:color="auto"/>
              <w:left w:val="nil"/>
              <w:bottom w:val="single" w:sz="4" w:space="0" w:color="auto"/>
              <w:right w:val="single" w:sz="4" w:space="0" w:color="auto"/>
            </w:tcBorders>
            <w:shd w:val="clear" w:color="auto" w:fill="C6EFCE"/>
            <w:noWrap/>
          </w:tcPr>
          <w:p w14:paraId="4F319393" w14:textId="50E98DE5" w:rsidR="003A3D51" w:rsidRDefault="0002775A">
            <w:pPr>
              <w:pStyle w:val="P68B1DB1-Normal7"/>
              <w:spacing w:after="200" w:line="276" w:lineRule="auto"/>
              <w:rPr>
                <w:rFonts w:ascii="Times New Roman" w:hAnsi="Times New Roman" w:cs="Times New Roman"/>
                <w:noProof/>
              </w:rPr>
            </w:pPr>
            <w:r>
              <w:rPr>
                <w:noProof/>
              </w:rPr>
              <w:t>Det nya systemet för registrering av elektroniska fakturor hos skatteförvaltningen för alla användare (B2B-modellen och beskattningsbara personer för offentlig upphandling) och avancerad online-momsredovisning ska vara operativt och redo att användas.</w:t>
            </w:r>
          </w:p>
        </w:tc>
      </w:tr>
      <w:tr w:rsidR="003A3D51" w14:paraId="3CC38D49"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18B802E8" w14:textId="77777777" w:rsidR="003A3D51" w:rsidRDefault="0002775A">
            <w:pPr>
              <w:pStyle w:val="P68B1DB1-Normal7"/>
              <w:spacing w:after="200" w:line="276" w:lineRule="auto"/>
              <w:jc w:val="center"/>
              <w:rPr>
                <w:rFonts w:ascii="Times New Roman" w:hAnsi="Times New Roman" w:cs="Times New Roman"/>
                <w:noProof/>
              </w:rPr>
            </w:pPr>
            <w:r>
              <w:rPr>
                <w:noProof/>
              </w:rPr>
              <w:t>200</w:t>
            </w:r>
          </w:p>
        </w:tc>
        <w:tc>
          <w:tcPr>
            <w:tcW w:w="264" w:type="pct"/>
            <w:tcBorders>
              <w:top w:val="single" w:sz="4" w:space="0" w:color="auto"/>
              <w:left w:val="nil"/>
              <w:bottom w:val="single" w:sz="4" w:space="0" w:color="auto"/>
              <w:right w:val="single" w:sz="4" w:space="0" w:color="auto"/>
            </w:tcBorders>
            <w:shd w:val="clear" w:color="auto" w:fill="C6EFCE"/>
            <w:noWrap/>
          </w:tcPr>
          <w:p w14:paraId="66542E75" w14:textId="77777777" w:rsidR="003A3D51" w:rsidRDefault="0002775A">
            <w:pPr>
              <w:pStyle w:val="P68B1DB1-Normal7"/>
              <w:spacing w:after="200" w:line="276" w:lineRule="auto"/>
              <w:jc w:val="center"/>
              <w:rPr>
                <w:rFonts w:ascii="Times New Roman" w:hAnsi="Times New Roman" w:cs="Times New Roman"/>
                <w:noProof/>
              </w:rPr>
            </w:pPr>
            <w:r>
              <w:rPr>
                <w:noProof/>
              </w:rPr>
              <w:t>C2.3 R3-I15</w:t>
            </w:r>
          </w:p>
        </w:tc>
        <w:tc>
          <w:tcPr>
            <w:tcW w:w="294" w:type="pct"/>
            <w:tcBorders>
              <w:top w:val="single" w:sz="4" w:space="0" w:color="auto"/>
              <w:left w:val="nil"/>
              <w:bottom w:val="single" w:sz="4" w:space="0" w:color="auto"/>
              <w:right w:val="single" w:sz="4" w:space="0" w:color="auto"/>
            </w:tcBorders>
            <w:shd w:val="clear" w:color="auto" w:fill="C6EFCE"/>
            <w:noWrap/>
          </w:tcPr>
          <w:p w14:paraId="468736D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4C4FA501" w14:textId="77777777" w:rsidR="003A3D51" w:rsidRDefault="0002775A">
            <w:pPr>
              <w:pStyle w:val="P68B1DB1-Normal7"/>
              <w:spacing w:after="200" w:line="276" w:lineRule="auto"/>
              <w:rPr>
                <w:rFonts w:ascii="Times New Roman" w:hAnsi="Times New Roman" w:cs="Times New Roman"/>
                <w:noProof/>
              </w:rPr>
            </w:pPr>
            <w:r>
              <w:rPr>
                <w:noProof/>
              </w:rPr>
              <w:t xml:space="preserve">Nya verktyg i it-systemet för turism </w:t>
            </w:r>
          </w:p>
        </w:tc>
        <w:tc>
          <w:tcPr>
            <w:tcW w:w="663" w:type="pct"/>
            <w:tcBorders>
              <w:top w:val="single" w:sz="4" w:space="0" w:color="auto"/>
              <w:left w:val="nil"/>
              <w:bottom w:val="single" w:sz="4" w:space="0" w:color="auto"/>
              <w:right w:val="single" w:sz="4" w:space="0" w:color="auto"/>
            </w:tcBorders>
            <w:shd w:val="clear" w:color="auto" w:fill="C6EFCE"/>
            <w:noWrap/>
          </w:tcPr>
          <w:p w14:paraId="2679FB78" w14:textId="77777777" w:rsidR="003A3D51" w:rsidRDefault="0002775A">
            <w:pPr>
              <w:pStyle w:val="P68B1DB1-Normal7"/>
              <w:spacing w:after="200" w:line="276" w:lineRule="auto"/>
              <w:rPr>
                <w:rFonts w:ascii="Times New Roman" w:hAnsi="Times New Roman" w:cs="Times New Roman"/>
                <w:noProof/>
              </w:rPr>
            </w:pPr>
            <w:r>
              <w:rPr>
                <w:noProof/>
              </w:rPr>
              <w:t xml:space="preserve"> Rapport från ministeriet för turism och idrott (MINTS)</w:t>
            </w:r>
          </w:p>
        </w:tc>
        <w:tc>
          <w:tcPr>
            <w:tcW w:w="340" w:type="pct"/>
            <w:tcBorders>
              <w:top w:val="single" w:sz="4" w:space="0" w:color="auto"/>
              <w:left w:val="nil"/>
              <w:bottom w:val="single" w:sz="4" w:space="0" w:color="auto"/>
              <w:right w:val="single" w:sz="4" w:space="0" w:color="auto"/>
            </w:tcBorders>
            <w:shd w:val="clear" w:color="auto" w:fill="C6EFCE"/>
            <w:noWrap/>
          </w:tcPr>
          <w:p w14:paraId="30B0F7D9"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1020FDB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5CB27D65" w14:textId="77777777" w:rsidR="003A3D51" w:rsidRDefault="0002775A">
            <w:pPr>
              <w:pStyle w:val="P68B1DB1-Normal7"/>
              <w:spacing w:after="200" w:line="276" w:lineRule="auto"/>
              <w:jc w:val="center"/>
              <w:rPr>
                <w:rFonts w:ascii="Times New Roman" w:hAnsi="Times New Roman" w:cs="Times New Roman"/>
                <w:noProof/>
              </w:rPr>
            </w:pPr>
            <w:r>
              <w:rPr>
                <w:noProof/>
              </w:rPr>
              <w:t>4</w:t>
            </w:r>
          </w:p>
        </w:tc>
        <w:tc>
          <w:tcPr>
            <w:tcW w:w="247" w:type="pct"/>
            <w:tcBorders>
              <w:top w:val="single" w:sz="4" w:space="0" w:color="auto"/>
              <w:left w:val="nil"/>
              <w:bottom w:val="single" w:sz="4" w:space="0" w:color="auto"/>
              <w:right w:val="single" w:sz="4" w:space="0" w:color="auto"/>
            </w:tcBorders>
            <w:shd w:val="clear" w:color="auto" w:fill="C6EFCE"/>
            <w:noWrap/>
          </w:tcPr>
          <w:p w14:paraId="468167B4" w14:textId="50CBDA91"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6D744053" w14:textId="5BFF9442"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1FD4AB7D" w14:textId="77777777" w:rsidR="003A3D51" w:rsidRDefault="0002775A">
            <w:pPr>
              <w:pStyle w:val="P68B1DB1-Normal7"/>
              <w:spacing w:after="200" w:line="276" w:lineRule="auto"/>
              <w:rPr>
                <w:rFonts w:ascii="Times New Roman" w:hAnsi="Times New Roman" w:cs="Times New Roman"/>
                <w:noProof/>
              </w:rPr>
            </w:pPr>
            <w:r>
              <w:rPr>
                <w:noProof/>
              </w:rPr>
              <w:t>Nya verktyg ska vara i drift</w:t>
            </w:r>
            <w:r>
              <w:rPr>
                <w:noProof/>
              </w:rPr>
              <w:br/>
              <w:t xml:space="preserve">1- för integrerade administrativa och icke-administrativa förfaranden för att underlätta affärsverksamhet och kommunikation med den offentliga förvaltningen </w:t>
            </w:r>
            <w:r>
              <w:rPr>
                <w:noProof/>
              </w:rPr>
              <w:br/>
              <w:t xml:space="preserve"> 2- för förvaltning av resmål och upprättande av värdekedjor, inbegripet en lösning för att hantera turistströmmarna </w:t>
            </w:r>
            <w:r>
              <w:rPr>
                <w:noProof/>
              </w:rPr>
              <w:br/>
              <w:t xml:space="preserve">3 – företagsinformation inom turismen för att stödja företagare i företagens beslutsfattande och beslutsfattande inom den offentliga sektorn i det offentliga beslutsfattandet </w:t>
            </w:r>
            <w:r>
              <w:rPr>
                <w:noProof/>
              </w:rPr>
              <w:br/>
              <w:t xml:space="preserve"> 4 – fortsatt digitalisering av CROSTO-systemet </w:t>
            </w:r>
          </w:p>
        </w:tc>
      </w:tr>
      <w:tr w:rsidR="003A3D51" w14:paraId="60CD74E6"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3510102C" w14:textId="77777777" w:rsidR="003A3D51" w:rsidRDefault="0002775A">
            <w:pPr>
              <w:pStyle w:val="P68B1DB1-Normal7"/>
              <w:spacing w:after="200" w:line="276" w:lineRule="auto"/>
              <w:jc w:val="center"/>
              <w:rPr>
                <w:rFonts w:ascii="Times New Roman" w:hAnsi="Times New Roman" w:cs="Times New Roman"/>
                <w:noProof/>
              </w:rPr>
            </w:pPr>
            <w:r>
              <w:rPr>
                <w:noProof/>
              </w:rPr>
              <w:t>201</w:t>
            </w:r>
          </w:p>
        </w:tc>
        <w:tc>
          <w:tcPr>
            <w:tcW w:w="264" w:type="pct"/>
            <w:tcBorders>
              <w:top w:val="single" w:sz="4" w:space="0" w:color="auto"/>
              <w:left w:val="nil"/>
              <w:bottom w:val="single" w:sz="4" w:space="0" w:color="auto"/>
              <w:right w:val="single" w:sz="4" w:space="0" w:color="auto"/>
            </w:tcBorders>
            <w:shd w:val="clear" w:color="auto" w:fill="C6EFCE"/>
            <w:noWrap/>
          </w:tcPr>
          <w:p w14:paraId="44493BFB" w14:textId="77777777" w:rsidR="003A3D51" w:rsidRDefault="0002775A">
            <w:pPr>
              <w:pStyle w:val="P68B1DB1-Normal7"/>
              <w:spacing w:after="200" w:line="276" w:lineRule="auto"/>
              <w:jc w:val="center"/>
              <w:rPr>
                <w:rFonts w:ascii="Times New Roman" w:hAnsi="Times New Roman" w:cs="Times New Roman"/>
                <w:noProof/>
              </w:rPr>
            </w:pPr>
            <w:r>
              <w:rPr>
                <w:noProof/>
              </w:rPr>
              <w:t>C2.3 R3-I16</w:t>
            </w:r>
          </w:p>
        </w:tc>
        <w:tc>
          <w:tcPr>
            <w:tcW w:w="294" w:type="pct"/>
            <w:tcBorders>
              <w:top w:val="single" w:sz="4" w:space="0" w:color="auto"/>
              <w:left w:val="nil"/>
              <w:bottom w:val="single" w:sz="4" w:space="0" w:color="auto"/>
              <w:right w:val="single" w:sz="4" w:space="0" w:color="auto"/>
            </w:tcBorders>
            <w:shd w:val="clear" w:color="auto" w:fill="C6EFCE"/>
            <w:noWrap/>
          </w:tcPr>
          <w:p w14:paraId="488ED769"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2AEABF12" w14:textId="77777777" w:rsidR="003A3D51" w:rsidRDefault="0002775A">
            <w:pPr>
              <w:pStyle w:val="P68B1DB1-Normal7"/>
              <w:spacing w:after="200" w:line="276" w:lineRule="auto"/>
              <w:rPr>
                <w:rFonts w:ascii="Times New Roman" w:hAnsi="Times New Roman" w:cs="Times New Roman"/>
                <w:noProof/>
              </w:rPr>
            </w:pPr>
            <w:r>
              <w:rPr>
                <w:noProof/>
              </w:rPr>
              <w:t xml:space="preserve">Nya tillämpningsmoduler för it-systemet för idrott </w:t>
            </w:r>
          </w:p>
        </w:tc>
        <w:tc>
          <w:tcPr>
            <w:tcW w:w="663" w:type="pct"/>
            <w:tcBorders>
              <w:top w:val="single" w:sz="4" w:space="0" w:color="auto"/>
              <w:left w:val="nil"/>
              <w:bottom w:val="single" w:sz="4" w:space="0" w:color="auto"/>
              <w:right w:val="single" w:sz="4" w:space="0" w:color="auto"/>
            </w:tcBorders>
            <w:shd w:val="clear" w:color="auto" w:fill="C6EFCE"/>
            <w:noWrap/>
          </w:tcPr>
          <w:p w14:paraId="0AB0ECE9" w14:textId="77777777" w:rsidR="003A3D51" w:rsidRDefault="0002775A">
            <w:pPr>
              <w:pStyle w:val="P68B1DB1-Normal7"/>
              <w:spacing w:after="200" w:line="276" w:lineRule="auto"/>
              <w:rPr>
                <w:rFonts w:ascii="Times New Roman" w:hAnsi="Times New Roman" w:cs="Times New Roman"/>
                <w:noProof/>
              </w:rPr>
            </w:pPr>
            <w:r>
              <w:rPr>
                <w:noProof/>
              </w:rPr>
              <w:t xml:space="preserve"> Rapport från ministeriet för turism och idrott (MINTS)</w:t>
            </w:r>
          </w:p>
        </w:tc>
        <w:tc>
          <w:tcPr>
            <w:tcW w:w="340" w:type="pct"/>
            <w:tcBorders>
              <w:top w:val="single" w:sz="4" w:space="0" w:color="auto"/>
              <w:left w:val="nil"/>
              <w:bottom w:val="single" w:sz="4" w:space="0" w:color="auto"/>
              <w:right w:val="single" w:sz="4" w:space="0" w:color="auto"/>
            </w:tcBorders>
            <w:shd w:val="clear" w:color="auto" w:fill="C6EFCE"/>
            <w:noWrap/>
          </w:tcPr>
          <w:p w14:paraId="407D522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22C676A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32C259CE" w14:textId="77777777" w:rsidR="003A3D51" w:rsidRDefault="0002775A">
            <w:pPr>
              <w:pStyle w:val="P68B1DB1-Normal7"/>
              <w:spacing w:after="200" w:line="276" w:lineRule="auto"/>
              <w:jc w:val="center"/>
              <w:rPr>
                <w:rFonts w:ascii="Times New Roman" w:hAnsi="Times New Roman" w:cs="Times New Roman"/>
                <w:noProof/>
              </w:rPr>
            </w:pPr>
            <w:r>
              <w:rPr>
                <w:noProof/>
              </w:rPr>
              <w:t>3</w:t>
            </w:r>
          </w:p>
        </w:tc>
        <w:tc>
          <w:tcPr>
            <w:tcW w:w="247" w:type="pct"/>
            <w:tcBorders>
              <w:top w:val="single" w:sz="4" w:space="0" w:color="auto"/>
              <w:left w:val="nil"/>
              <w:bottom w:val="single" w:sz="4" w:space="0" w:color="auto"/>
              <w:right w:val="single" w:sz="4" w:space="0" w:color="auto"/>
            </w:tcBorders>
            <w:shd w:val="clear" w:color="auto" w:fill="C6EFCE"/>
            <w:noWrap/>
          </w:tcPr>
          <w:p w14:paraId="64FC00B6" w14:textId="4EDFCBAC"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32B42DE5"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4551739F" w14:textId="77777777" w:rsidR="003A3D51" w:rsidRDefault="0002775A">
            <w:pPr>
              <w:pStyle w:val="P68B1DB1-Normal7"/>
              <w:spacing w:after="200" w:line="276" w:lineRule="auto"/>
              <w:rPr>
                <w:rFonts w:ascii="Times New Roman" w:hAnsi="Times New Roman" w:cs="Times New Roman"/>
                <w:noProof/>
              </w:rPr>
            </w:pPr>
            <w:r>
              <w:rPr>
                <w:noProof/>
              </w:rPr>
              <w:t xml:space="preserve">Tre nya tillämpningsmoduler ska integreras i det uppgraderade informationssystemet för idrott (ISS): </w:t>
            </w:r>
            <w:r>
              <w:rPr>
                <w:noProof/>
              </w:rPr>
              <w:br/>
              <w:t xml:space="preserve">1 – en applikationsmodul för tillhandahållande av direkt tillgång för idrottsklubbar till de grundläggande registren och registren i informationssystemet för idrott. </w:t>
            </w:r>
            <w:r>
              <w:rPr>
                <w:noProof/>
              </w:rPr>
              <w:br/>
              <w:t xml:space="preserve">2 – ansökningsmodul för finansiering av lokala och regionala myndigheters offentliga idrottsbehov. </w:t>
            </w:r>
            <w:r>
              <w:rPr>
                <w:noProof/>
              </w:rPr>
              <w:br/>
              <w:t>3 – applikationsmodul för insamling av uppgifter om idrott och hälsoinriktad fysisk aktivitet</w:t>
            </w:r>
          </w:p>
        </w:tc>
      </w:tr>
      <w:tr w:rsidR="003A3D51" w14:paraId="5F384463"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450A891A" w14:textId="77777777" w:rsidR="003A3D51" w:rsidRDefault="0002775A">
            <w:pPr>
              <w:pStyle w:val="P68B1DB1-Normal7"/>
              <w:spacing w:after="200" w:line="276" w:lineRule="auto"/>
              <w:jc w:val="center"/>
              <w:rPr>
                <w:rFonts w:ascii="Times New Roman" w:hAnsi="Times New Roman" w:cs="Times New Roman"/>
                <w:noProof/>
              </w:rPr>
            </w:pPr>
            <w:r>
              <w:rPr>
                <w:noProof/>
              </w:rPr>
              <w:t>202</w:t>
            </w:r>
          </w:p>
        </w:tc>
        <w:tc>
          <w:tcPr>
            <w:tcW w:w="264" w:type="pct"/>
            <w:tcBorders>
              <w:top w:val="single" w:sz="4" w:space="0" w:color="auto"/>
              <w:left w:val="nil"/>
              <w:bottom w:val="single" w:sz="4" w:space="0" w:color="auto"/>
              <w:right w:val="single" w:sz="4" w:space="0" w:color="auto"/>
            </w:tcBorders>
            <w:shd w:val="clear" w:color="auto" w:fill="C6EFCE"/>
            <w:noWrap/>
          </w:tcPr>
          <w:p w14:paraId="403A735A" w14:textId="77777777" w:rsidR="003A3D51" w:rsidRDefault="0002775A">
            <w:pPr>
              <w:pStyle w:val="P68B1DB1-Normal7"/>
              <w:spacing w:after="200" w:line="276" w:lineRule="auto"/>
              <w:jc w:val="center"/>
              <w:rPr>
                <w:rFonts w:ascii="Times New Roman" w:hAnsi="Times New Roman" w:cs="Times New Roman"/>
                <w:noProof/>
              </w:rPr>
            </w:pPr>
            <w:r>
              <w:rPr>
                <w:noProof/>
              </w:rPr>
              <w:t>C2.3 R4</w:t>
            </w:r>
          </w:p>
        </w:tc>
        <w:tc>
          <w:tcPr>
            <w:tcW w:w="294" w:type="pct"/>
            <w:tcBorders>
              <w:top w:val="single" w:sz="4" w:space="0" w:color="auto"/>
              <w:left w:val="nil"/>
              <w:bottom w:val="single" w:sz="4" w:space="0" w:color="auto"/>
              <w:right w:val="single" w:sz="4" w:space="0" w:color="auto"/>
            </w:tcBorders>
            <w:shd w:val="clear" w:color="auto" w:fill="C6EFCE"/>
            <w:noWrap/>
          </w:tcPr>
          <w:p w14:paraId="1D68136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3CBDD3E7" w14:textId="77777777" w:rsidR="003A3D51" w:rsidRDefault="0002775A">
            <w:pPr>
              <w:pStyle w:val="P68B1DB1-Normal7"/>
              <w:spacing w:after="200" w:line="276" w:lineRule="auto"/>
              <w:rPr>
                <w:rFonts w:ascii="Times New Roman" w:hAnsi="Times New Roman" w:cs="Times New Roman"/>
                <w:noProof/>
              </w:rPr>
            </w:pPr>
            <w:r>
              <w:rPr>
                <w:noProof/>
              </w:rPr>
              <w:t xml:space="preserve">Optimering av processen för tillståndsgivning för konnektivitetsinvesteringar </w:t>
            </w:r>
          </w:p>
        </w:tc>
        <w:tc>
          <w:tcPr>
            <w:tcW w:w="663" w:type="pct"/>
            <w:tcBorders>
              <w:top w:val="single" w:sz="4" w:space="0" w:color="auto"/>
              <w:left w:val="nil"/>
              <w:bottom w:val="single" w:sz="4" w:space="0" w:color="auto"/>
              <w:right w:val="single" w:sz="4" w:space="0" w:color="auto"/>
            </w:tcBorders>
            <w:shd w:val="clear" w:color="auto" w:fill="C6EFCE"/>
            <w:noWrap/>
          </w:tcPr>
          <w:p w14:paraId="59770B33" w14:textId="77777777" w:rsidR="003A3D51" w:rsidRDefault="0002775A">
            <w:pPr>
              <w:pStyle w:val="P68B1DB1-Normal7"/>
              <w:spacing w:after="200" w:line="276" w:lineRule="auto"/>
              <w:rPr>
                <w:rFonts w:ascii="Times New Roman" w:hAnsi="Times New Roman" w:cs="Times New Roman"/>
                <w:noProof/>
              </w:rPr>
            </w:pPr>
            <w:r>
              <w:rPr>
                <w:noProof/>
              </w:rPr>
              <w:t>Ikraftträdande av en reviderad rättslig ram</w:t>
            </w:r>
          </w:p>
        </w:tc>
        <w:tc>
          <w:tcPr>
            <w:tcW w:w="340" w:type="pct"/>
            <w:tcBorders>
              <w:top w:val="single" w:sz="4" w:space="0" w:color="auto"/>
              <w:left w:val="nil"/>
              <w:bottom w:val="single" w:sz="4" w:space="0" w:color="auto"/>
              <w:right w:val="single" w:sz="4" w:space="0" w:color="auto"/>
            </w:tcBorders>
            <w:shd w:val="clear" w:color="auto" w:fill="C6EFCE"/>
            <w:noWrap/>
          </w:tcPr>
          <w:p w14:paraId="46F58BE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5504F7B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3AA0A07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3F38E5C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04D3B007"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271" w:type="pct"/>
            <w:tcBorders>
              <w:top w:val="single" w:sz="4" w:space="0" w:color="auto"/>
              <w:left w:val="nil"/>
              <w:bottom w:val="single" w:sz="4" w:space="0" w:color="auto"/>
              <w:right w:val="single" w:sz="4" w:space="0" w:color="auto"/>
            </w:tcBorders>
            <w:shd w:val="clear" w:color="auto" w:fill="C6EFCE"/>
            <w:noWrap/>
          </w:tcPr>
          <w:p w14:paraId="4814C0E1" w14:textId="77777777" w:rsidR="003A3D51" w:rsidRDefault="0002775A">
            <w:pPr>
              <w:pStyle w:val="P68B1DB1-Normal7"/>
              <w:spacing w:after="200" w:line="276" w:lineRule="auto"/>
              <w:rPr>
                <w:rFonts w:ascii="Times New Roman" w:hAnsi="Times New Roman" w:cs="Times New Roman"/>
                <w:noProof/>
              </w:rPr>
            </w:pPr>
            <w:r>
              <w:rPr>
                <w:noProof/>
              </w:rPr>
              <w:t>En reviderad rättslig ram ska stödja optimeringen av licensieringsprocessen och göra det möjligt att presentera den elektroniska kommunikationsinfrastrukturen i fysiska planer. Den nya ramen ska ta itu med den administrativa bördan och rättsliga hinder i samband med byggandet av nät med mycket hög kapacitet, inbegripet 5G-nät.</w:t>
            </w:r>
          </w:p>
        </w:tc>
      </w:tr>
      <w:tr w:rsidR="003A3D51" w14:paraId="3B95D243"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0CA48334" w14:textId="77777777" w:rsidR="003A3D51" w:rsidRDefault="0002775A">
            <w:pPr>
              <w:pStyle w:val="P68B1DB1-Normal7"/>
              <w:spacing w:after="200" w:line="276" w:lineRule="auto"/>
              <w:jc w:val="center"/>
              <w:rPr>
                <w:rFonts w:ascii="Times New Roman" w:hAnsi="Times New Roman" w:cs="Times New Roman"/>
                <w:noProof/>
              </w:rPr>
            </w:pPr>
            <w:r>
              <w:rPr>
                <w:noProof/>
              </w:rPr>
              <w:t>203</w:t>
            </w:r>
          </w:p>
        </w:tc>
        <w:tc>
          <w:tcPr>
            <w:tcW w:w="264" w:type="pct"/>
            <w:tcBorders>
              <w:top w:val="single" w:sz="4" w:space="0" w:color="auto"/>
              <w:left w:val="nil"/>
              <w:bottom w:val="single" w:sz="4" w:space="0" w:color="auto"/>
              <w:right w:val="single" w:sz="4" w:space="0" w:color="auto"/>
            </w:tcBorders>
            <w:shd w:val="clear" w:color="auto" w:fill="C6EFCE"/>
            <w:noWrap/>
          </w:tcPr>
          <w:p w14:paraId="1E4A1153" w14:textId="77777777" w:rsidR="003A3D51" w:rsidRDefault="0002775A">
            <w:pPr>
              <w:pStyle w:val="P68B1DB1-Normal7"/>
              <w:spacing w:after="200" w:line="276" w:lineRule="auto"/>
              <w:jc w:val="center"/>
              <w:rPr>
                <w:rFonts w:ascii="Times New Roman" w:hAnsi="Times New Roman" w:cs="Times New Roman"/>
                <w:noProof/>
              </w:rPr>
            </w:pPr>
            <w:r>
              <w:rPr>
                <w:noProof/>
              </w:rPr>
              <w:t>C2.3 R4-I1</w:t>
            </w:r>
          </w:p>
        </w:tc>
        <w:tc>
          <w:tcPr>
            <w:tcW w:w="294" w:type="pct"/>
            <w:tcBorders>
              <w:top w:val="single" w:sz="4" w:space="0" w:color="auto"/>
              <w:left w:val="nil"/>
              <w:bottom w:val="single" w:sz="4" w:space="0" w:color="auto"/>
              <w:right w:val="single" w:sz="4" w:space="0" w:color="auto"/>
            </w:tcBorders>
            <w:shd w:val="clear" w:color="auto" w:fill="C6EFCE"/>
            <w:noWrap/>
          </w:tcPr>
          <w:p w14:paraId="1A874FCE"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540D6395" w14:textId="77777777" w:rsidR="003A3D51" w:rsidRDefault="0002775A">
            <w:pPr>
              <w:pStyle w:val="P68B1DB1-Normal7"/>
              <w:spacing w:after="200" w:line="276" w:lineRule="auto"/>
              <w:rPr>
                <w:rFonts w:ascii="Times New Roman" w:hAnsi="Times New Roman" w:cs="Times New Roman"/>
                <w:noProof/>
              </w:rPr>
            </w:pPr>
            <w:r>
              <w:rPr>
                <w:noProof/>
              </w:rPr>
              <w:t xml:space="preserve">Bidragsavtal som undertecknats för genomförande av projekt inom ramen för den nationella ramen för utveckling av infrastruktur för bredbandstillgång (ONP) </w:t>
            </w:r>
          </w:p>
        </w:tc>
        <w:tc>
          <w:tcPr>
            <w:tcW w:w="663" w:type="pct"/>
            <w:tcBorders>
              <w:top w:val="single" w:sz="4" w:space="0" w:color="auto"/>
              <w:left w:val="nil"/>
              <w:bottom w:val="single" w:sz="4" w:space="0" w:color="auto"/>
              <w:right w:val="single" w:sz="4" w:space="0" w:color="auto"/>
            </w:tcBorders>
            <w:shd w:val="clear" w:color="auto" w:fill="C6EFCE"/>
            <w:noWrap/>
          </w:tcPr>
          <w:p w14:paraId="20B22B7D" w14:textId="77777777" w:rsidR="003A3D51" w:rsidRDefault="0002775A">
            <w:pPr>
              <w:pStyle w:val="P68B1DB1-Normal7"/>
              <w:spacing w:after="200" w:line="276" w:lineRule="auto"/>
              <w:rPr>
                <w:rFonts w:ascii="Times New Roman" w:hAnsi="Times New Roman" w:cs="Times New Roman"/>
                <w:noProof/>
              </w:rPr>
            </w:pPr>
            <w:r>
              <w:rPr>
                <w:noProof/>
              </w:rPr>
              <w:t>Rapport från ministeriet för sjöfart, transport och infrastruktur (MSTI)</w:t>
            </w:r>
          </w:p>
        </w:tc>
        <w:tc>
          <w:tcPr>
            <w:tcW w:w="340" w:type="pct"/>
            <w:tcBorders>
              <w:top w:val="single" w:sz="4" w:space="0" w:color="auto"/>
              <w:left w:val="nil"/>
              <w:bottom w:val="single" w:sz="4" w:space="0" w:color="auto"/>
              <w:right w:val="single" w:sz="4" w:space="0" w:color="auto"/>
            </w:tcBorders>
            <w:shd w:val="clear" w:color="auto" w:fill="C6EFCE"/>
            <w:noWrap/>
          </w:tcPr>
          <w:p w14:paraId="6E3B248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6DF4A81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5DE0F61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1A4D7659"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0" w:type="pct"/>
            <w:tcBorders>
              <w:top w:val="single" w:sz="4" w:space="0" w:color="auto"/>
              <w:left w:val="nil"/>
              <w:bottom w:val="single" w:sz="4" w:space="0" w:color="auto"/>
              <w:right w:val="single" w:sz="4" w:space="0" w:color="auto"/>
            </w:tcBorders>
            <w:shd w:val="clear" w:color="auto" w:fill="C6EFCE"/>
            <w:noWrap/>
          </w:tcPr>
          <w:p w14:paraId="28C1EB55"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71" w:type="pct"/>
            <w:tcBorders>
              <w:top w:val="single" w:sz="4" w:space="0" w:color="auto"/>
              <w:left w:val="nil"/>
              <w:bottom w:val="single" w:sz="4" w:space="0" w:color="auto"/>
              <w:right w:val="single" w:sz="4" w:space="0" w:color="auto"/>
            </w:tcBorders>
            <w:shd w:val="clear" w:color="auto" w:fill="C6EFCE"/>
            <w:noWrap/>
          </w:tcPr>
          <w:p w14:paraId="326DDBCB" w14:textId="77777777" w:rsidR="003A3D51" w:rsidRDefault="0002775A">
            <w:pPr>
              <w:pStyle w:val="P68B1DB1-Normal7"/>
              <w:spacing w:after="200" w:line="276" w:lineRule="auto"/>
              <w:rPr>
                <w:rFonts w:ascii="Times New Roman" w:hAnsi="Times New Roman" w:cs="Times New Roman"/>
                <w:noProof/>
              </w:rPr>
            </w:pPr>
            <w:r>
              <w:rPr>
                <w:noProof/>
              </w:rPr>
              <w:t>Bidragsöverenskommelser för 20 projekt inom ramen för ONP ska undertecknas som ett resultat av urvalsprocessen.</w:t>
            </w:r>
          </w:p>
        </w:tc>
      </w:tr>
      <w:tr w:rsidR="003A3D51" w14:paraId="0FC9F222"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7DB0342B" w14:textId="77777777" w:rsidR="003A3D51" w:rsidRDefault="0002775A">
            <w:pPr>
              <w:pStyle w:val="P68B1DB1-Normal7"/>
              <w:spacing w:after="200" w:line="276" w:lineRule="auto"/>
              <w:jc w:val="center"/>
              <w:rPr>
                <w:rFonts w:ascii="Times New Roman" w:hAnsi="Times New Roman" w:cs="Times New Roman"/>
                <w:noProof/>
              </w:rPr>
            </w:pPr>
            <w:r>
              <w:rPr>
                <w:noProof/>
              </w:rPr>
              <w:t>204</w:t>
            </w:r>
          </w:p>
        </w:tc>
        <w:tc>
          <w:tcPr>
            <w:tcW w:w="264" w:type="pct"/>
            <w:tcBorders>
              <w:top w:val="single" w:sz="4" w:space="0" w:color="auto"/>
              <w:left w:val="nil"/>
              <w:bottom w:val="single" w:sz="4" w:space="0" w:color="auto"/>
              <w:right w:val="single" w:sz="4" w:space="0" w:color="auto"/>
            </w:tcBorders>
            <w:shd w:val="clear" w:color="auto" w:fill="C6EFCE"/>
            <w:noWrap/>
          </w:tcPr>
          <w:p w14:paraId="6BCE6209" w14:textId="77777777" w:rsidR="003A3D51" w:rsidRDefault="0002775A">
            <w:pPr>
              <w:pStyle w:val="P68B1DB1-Normal7"/>
              <w:spacing w:after="200" w:line="276" w:lineRule="auto"/>
              <w:jc w:val="center"/>
              <w:rPr>
                <w:rFonts w:ascii="Times New Roman" w:hAnsi="Times New Roman" w:cs="Times New Roman"/>
                <w:noProof/>
              </w:rPr>
            </w:pPr>
            <w:r>
              <w:rPr>
                <w:noProof/>
              </w:rPr>
              <w:t>C2.3 R4-I1</w:t>
            </w:r>
          </w:p>
        </w:tc>
        <w:tc>
          <w:tcPr>
            <w:tcW w:w="294" w:type="pct"/>
            <w:tcBorders>
              <w:top w:val="single" w:sz="4" w:space="0" w:color="auto"/>
              <w:left w:val="nil"/>
              <w:bottom w:val="single" w:sz="4" w:space="0" w:color="auto"/>
              <w:right w:val="single" w:sz="4" w:space="0" w:color="auto"/>
            </w:tcBorders>
            <w:shd w:val="clear" w:color="auto" w:fill="C6EFCE"/>
            <w:noWrap/>
          </w:tcPr>
          <w:p w14:paraId="6793DC6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2E7AE28A" w14:textId="77777777" w:rsidR="003A3D51" w:rsidRDefault="0002775A">
            <w:pPr>
              <w:pStyle w:val="P68B1DB1-Normal7"/>
              <w:spacing w:after="200" w:line="276" w:lineRule="auto"/>
              <w:rPr>
                <w:rFonts w:ascii="Times New Roman" w:hAnsi="Times New Roman" w:cs="Times New Roman"/>
                <w:noProof/>
              </w:rPr>
            </w:pPr>
            <w:r>
              <w:rPr>
                <w:noProof/>
              </w:rPr>
              <w:t xml:space="preserve">Bredbandstillgång för hushåll i vita NGA-områden </w:t>
            </w:r>
            <w:r>
              <w:rPr>
                <w:noProof/>
              </w:rPr>
              <w:br/>
              <w:t xml:space="preserve"> </w:t>
            </w:r>
          </w:p>
        </w:tc>
        <w:tc>
          <w:tcPr>
            <w:tcW w:w="663" w:type="pct"/>
            <w:tcBorders>
              <w:top w:val="single" w:sz="4" w:space="0" w:color="auto"/>
              <w:left w:val="nil"/>
              <w:bottom w:val="single" w:sz="4" w:space="0" w:color="auto"/>
              <w:right w:val="single" w:sz="4" w:space="0" w:color="auto"/>
            </w:tcBorders>
            <w:shd w:val="clear" w:color="auto" w:fill="C6EFCE"/>
            <w:noWrap/>
          </w:tcPr>
          <w:p w14:paraId="3B51856D" w14:textId="77777777" w:rsidR="003A3D51" w:rsidRDefault="0002775A">
            <w:pPr>
              <w:pStyle w:val="P68B1DB1-Normal7"/>
              <w:spacing w:after="200" w:line="276" w:lineRule="auto"/>
              <w:rPr>
                <w:rFonts w:ascii="Times New Roman" w:hAnsi="Times New Roman" w:cs="Times New Roman"/>
                <w:noProof/>
              </w:rPr>
            </w:pPr>
            <w:r>
              <w:rPr>
                <w:noProof/>
              </w:rPr>
              <w:t>Rapport från ministeriet för sjöfart, transport och infrastruktur (MSTI)</w:t>
            </w:r>
          </w:p>
        </w:tc>
        <w:tc>
          <w:tcPr>
            <w:tcW w:w="340" w:type="pct"/>
            <w:tcBorders>
              <w:top w:val="single" w:sz="4" w:space="0" w:color="auto"/>
              <w:left w:val="nil"/>
              <w:bottom w:val="single" w:sz="4" w:space="0" w:color="auto"/>
              <w:right w:val="single" w:sz="4" w:space="0" w:color="auto"/>
            </w:tcBorders>
            <w:shd w:val="clear" w:color="auto" w:fill="C6EFCE"/>
            <w:noWrap/>
          </w:tcPr>
          <w:p w14:paraId="41787067"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447CF609" w14:textId="77777777" w:rsidR="003A3D51" w:rsidRDefault="0002775A">
            <w:pPr>
              <w:pStyle w:val="P68B1DB1-Normal7"/>
              <w:spacing w:after="200" w:line="276" w:lineRule="auto"/>
              <w:jc w:val="center"/>
              <w:rPr>
                <w:rFonts w:ascii="Times New Roman" w:hAnsi="Times New Roman" w:cs="Times New Roman"/>
                <w:noProof/>
              </w:rPr>
            </w:pPr>
            <w:r>
              <w:rPr>
                <w:noProof/>
              </w:rPr>
              <w:t>386 000</w:t>
            </w:r>
          </w:p>
        </w:tc>
        <w:tc>
          <w:tcPr>
            <w:tcW w:w="298" w:type="pct"/>
            <w:tcBorders>
              <w:top w:val="single" w:sz="4" w:space="0" w:color="auto"/>
              <w:left w:val="nil"/>
              <w:bottom w:val="single" w:sz="4" w:space="0" w:color="auto"/>
              <w:right w:val="single" w:sz="4" w:space="0" w:color="auto"/>
            </w:tcBorders>
            <w:shd w:val="clear" w:color="auto" w:fill="C6EFCE"/>
            <w:noWrap/>
          </w:tcPr>
          <w:p w14:paraId="08F79037" w14:textId="77777777" w:rsidR="003A3D51" w:rsidRDefault="0002775A">
            <w:pPr>
              <w:pStyle w:val="P68B1DB1-Normal7"/>
              <w:spacing w:after="200" w:line="276" w:lineRule="auto"/>
              <w:jc w:val="center"/>
              <w:rPr>
                <w:rFonts w:ascii="Times New Roman" w:hAnsi="Times New Roman" w:cs="Times New Roman"/>
                <w:noProof/>
              </w:rPr>
            </w:pPr>
            <w:r>
              <w:rPr>
                <w:noProof/>
              </w:rPr>
              <w:t>486 000</w:t>
            </w:r>
          </w:p>
        </w:tc>
        <w:tc>
          <w:tcPr>
            <w:tcW w:w="247" w:type="pct"/>
            <w:tcBorders>
              <w:top w:val="single" w:sz="4" w:space="0" w:color="auto"/>
              <w:left w:val="nil"/>
              <w:bottom w:val="single" w:sz="4" w:space="0" w:color="auto"/>
              <w:right w:val="single" w:sz="4" w:space="0" w:color="auto"/>
            </w:tcBorders>
            <w:shd w:val="clear" w:color="auto" w:fill="C6EFCE"/>
            <w:noWrap/>
          </w:tcPr>
          <w:p w14:paraId="1C64326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4AEE312B"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2EE12EB7" w14:textId="77777777" w:rsidR="003A3D51" w:rsidRDefault="0002775A">
            <w:pPr>
              <w:pStyle w:val="P68B1DB1-Normal7"/>
              <w:spacing w:after="240" w:line="276" w:lineRule="auto"/>
              <w:rPr>
                <w:rFonts w:ascii="Times New Roman" w:hAnsi="Times New Roman" w:cs="Times New Roman"/>
                <w:noProof/>
              </w:rPr>
            </w:pPr>
            <w:r>
              <w:rPr>
                <w:noProof/>
              </w:rPr>
              <w:t xml:space="preserve">Minst 100 000 ytterligare hushåll i vita NGA-områden med bredbandsanslutning på minst 100 MBit/s (uppgraderbart till 1 giga) i riktning mot användaren (nedladdning). </w:t>
            </w:r>
          </w:p>
        </w:tc>
      </w:tr>
      <w:tr w:rsidR="003A3D51" w14:paraId="19F8CBBC"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515AB90C" w14:textId="77777777" w:rsidR="003A3D51" w:rsidRDefault="0002775A">
            <w:pPr>
              <w:pStyle w:val="P68B1DB1-Normal7"/>
              <w:spacing w:after="0" w:line="276" w:lineRule="auto"/>
              <w:jc w:val="center"/>
              <w:rPr>
                <w:rFonts w:ascii="Times New Roman" w:hAnsi="Times New Roman" w:cs="Times New Roman"/>
                <w:noProof/>
              </w:rPr>
            </w:pPr>
            <w:r>
              <w:rPr>
                <w:noProof/>
              </w:rPr>
              <w:t>205</w:t>
            </w:r>
          </w:p>
        </w:tc>
        <w:tc>
          <w:tcPr>
            <w:tcW w:w="264" w:type="pct"/>
            <w:tcBorders>
              <w:top w:val="single" w:sz="4" w:space="0" w:color="auto"/>
              <w:left w:val="nil"/>
              <w:bottom w:val="single" w:sz="4" w:space="0" w:color="auto"/>
              <w:right w:val="single" w:sz="4" w:space="0" w:color="auto"/>
            </w:tcBorders>
            <w:shd w:val="clear" w:color="auto" w:fill="C6EFCE"/>
            <w:noWrap/>
          </w:tcPr>
          <w:p w14:paraId="2079F221" w14:textId="77777777" w:rsidR="003A3D51" w:rsidRDefault="0002775A">
            <w:pPr>
              <w:pStyle w:val="P68B1DB1-Normal7"/>
              <w:spacing w:after="200" w:line="276" w:lineRule="auto"/>
              <w:jc w:val="center"/>
              <w:rPr>
                <w:rFonts w:ascii="Times New Roman" w:hAnsi="Times New Roman" w:cs="Times New Roman"/>
                <w:noProof/>
              </w:rPr>
            </w:pPr>
            <w:r>
              <w:rPr>
                <w:noProof/>
              </w:rPr>
              <w:t>C2.3 R4-I2</w:t>
            </w:r>
          </w:p>
        </w:tc>
        <w:tc>
          <w:tcPr>
            <w:tcW w:w="294" w:type="pct"/>
            <w:tcBorders>
              <w:top w:val="single" w:sz="4" w:space="0" w:color="auto"/>
              <w:left w:val="nil"/>
              <w:bottom w:val="single" w:sz="4" w:space="0" w:color="auto"/>
              <w:right w:val="single" w:sz="4" w:space="0" w:color="auto"/>
            </w:tcBorders>
            <w:shd w:val="clear" w:color="auto" w:fill="C6EFCE"/>
            <w:noWrap/>
          </w:tcPr>
          <w:p w14:paraId="014A9DA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97" w:type="pct"/>
            <w:tcBorders>
              <w:top w:val="single" w:sz="4" w:space="0" w:color="auto"/>
              <w:left w:val="nil"/>
              <w:bottom w:val="single" w:sz="4" w:space="0" w:color="auto"/>
              <w:right w:val="single" w:sz="4" w:space="0" w:color="auto"/>
            </w:tcBorders>
            <w:shd w:val="clear" w:color="auto" w:fill="C6EFCE"/>
            <w:noWrap/>
          </w:tcPr>
          <w:p w14:paraId="268DE176" w14:textId="77777777" w:rsidR="003A3D51" w:rsidRDefault="0002775A">
            <w:pPr>
              <w:pStyle w:val="P68B1DB1-Normal7"/>
              <w:spacing w:after="200" w:line="276" w:lineRule="auto"/>
              <w:rPr>
                <w:rFonts w:ascii="Times New Roman" w:hAnsi="Times New Roman" w:cs="Times New Roman"/>
                <w:noProof/>
              </w:rPr>
            </w:pPr>
            <w:r>
              <w:rPr>
                <w:noProof/>
              </w:rPr>
              <w:t>Bidragsavtal undertecknat för uppförande av passiv infrastruktur för elektronisk kommunikation</w:t>
            </w:r>
          </w:p>
        </w:tc>
        <w:tc>
          <w:tcPr>
            <w:tcW w:w="663" w:type="pct"/>
            <w:tcBorders>
              <w:top w:val="single" w:sz="4" w:space="0" w:color="auto"/>
              <w:left w:val="nil"/>
              <w:bottom w:val="single" w:sz="4" w:space="0" w:color="auto"/>
              <w:right w:val="single" w:sz="4" w:space="0" w:color="auto"/>
            </w:tcBorders>
            <w:shd w:val="clear" w:color="auto" w:fill="C6EFCE"/>
            <w:noWrap/>
          </w:tcPr>
          <w:p w14:paraId="2C0F39A5" w14:textId="77777777" w:rsidR="003A3D51" w:rsidRDefault="0002775A">
            <w:pPr>
              <w:pStyle w:val="P68B1DB1-Normal7"/>
              <w:spacing w:after="200" w:line="276" w:lineRule="auto"/>
              <w:rPr>
                <w:rFonts w:ascii="Times New Roman" w:hAnsi="Times New Roman" w:cs="Times New Roman"/>
                <w:noProof/>
              </w:rPr>
            </w:pPr>
            <w:r>
              <w:rPr>
                <w:noProof/>
              </w:rPr>
              <w:br/>
              <w:t>Rapport från ministeriet för sjöfart, transport och infrastruktur (MSTI)</w:t>
            </w:r>
          </w:p>
        </w:tc>
        <w:tc>
          <w:tcPr>
            <w:tcW w:w="340" w:type="pct"/>
            <w:tcBorders>
              <w:top w:val="single" w:sz="4" w:space="0" w:color="auto"/>
              <w:left w:val="nil"/>
              <w:bottom w:val="single" w:sz="4" w:space="0" w:color="auto"/>
              <w:right w:val="single" w:sz="4" w:space="0" w:color="auto"/>
            </w:tcBorders>
            <w:shd w:val="clear" w:color="auto" w:fill="C6EFCE"/>
            <w:noWrap/>
          </w:tcPr>
          <w:p w14:paraId="5F2342B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66C48CB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8" w:type="pct"/>
            <w:tcBorders>
              <w:top w:val="single" w:sz="4" w:space="0" w:color="auto"/>
              <w:left w:val="nil"/>
              <w:bottom w:val="single" w:sz="4" w:space="0" w:color="auto"/>
              <w:right w:val="single" w:sz="4" w:space="0" w:color="auto"/>
            </w:tcBorders>
            <w:shd w:val="clear" w:color="auto" w:fill="C6EFCE"/>
            <w:noWrap/>
          </w:tcPr>
          <w:p w14:paraId="1D580DA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56113F3F"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0" w:type="pct"/>
            <w:tcBorders>
              <w:top w:val="single" w:sz="4" w:space="0" w:color="auto"/>
              <w:left w:val="nil"/>
              <w:bottom w:val="single" w:sz="4" w:space="0" w:color="auto"/>
              <w:right w:val="single" w:sz="4" w:space="0" w:color="auto"/>
            </w:tcBorders>
            <w:shd w:val="clear" w:color="auto" w:fill="C6EFCE"/>
            <w:noWrap/>
          </w:tcPr>
          <w:p w14:paraId="6EB443D4"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271" w:type="pct"/>
            <w:tcBorders>
              <w:top w:val="single" w:sz="4" w:space="0" w:color="auto"/>
              <w:left w:val="nil"/>
              <w:bottom w:val="single" w:sz="4" w:space="0" w:color="auto"/>
              <w:right w:val="single" w:sz="4" w:space="0" w:color="auto"/>
            </w:tcBorders>
            <w:shd w:val="clear" w:color="auto" w:fill="C6EFCE"/>
            <w:noWrap/>
          </w:tcPr>
          <w:p w14:paraId="149B0418" w14:textId="77777777" w:rsidR="003A3D51" w:rsidRDefault="0002775A">
            <w:pPr>
              <w:pStyle w:val="P68B1DB1-Normal7"/>
              <w:spacing w:after="200" w:line="276" w:lineRule="auto"/>
              <w:rPr>
                <w:rFonts w:ascii="Times New Roman" w:hAnsi="Times New Roman" w:cs="Times New Roman"/>
                <w:noProof/>
              </w:rPr>
            </w:pPr>
            <w:r>
              <w:rPr>
                <w:noProof/>
              </w:rPr>
              <w:t xml:space="preserve">Undertecknande av bidragsavtalet och inledande av genomförandet av projekt för uppbyggnad av passiv infrastruktur för elektronisk kommunikation </w:t>
            </w:r>
          </w:p>
        </w:tc>
      </w:tr>
      <w:tr w:rsidR="003A3D51" w14:paraId="04E578C0" w14:textId="77777777" w:rsidTr="00803C03">
        <w:trPr>
          <w:jc w:val="center"/>
        </w:trPr>
        <w:tc>
          <w:tcPr>
            <w:tcW w:w="351" w:type="pct"/>
            <w:tcBorders>
              <w:top w:val="single" w:sz="4" w:space="0" w:color="auto"/>
              <w:left w:val="single" w:sz="4" w:space="0" w:color="auto"/>
              <w:bottom w:val="single" w:sz="4" w:space="0" w:color="auto"/>
              <w:right w:val="single" w:sz="4" w:space="0" w:color="auto"/>
            </w:tcBorders>
            <w:shd w:val="clear" w:color="auto" w:fill="C6EFCE"/>
            <w:noWrap/>
          </w:tcPr>
          <w:p w14:paraId="78ACBBEB" w14:textId="77777777" w:rsidR="003A3D51" w:rsidRDefault="0002775A">
            <w:pPr>
              <w:pStyle w:val="P68B1DB1-Normal7"/>
              <w:spacing w:after="200" w:line="276" w:lineRule="auto"/>
              <w:jc w:val="center"/>
              <w:rPr>
                <w:rFonts w:ascii="Times New Roman" w:hAnsi="Times New Roman" w:cs="Times New Roman"/>
                <w:noProof/>
              </w:rPr>
            </w:pPr>
            <w:r>
              <w:rPr>
                <w:noProof/>
              </w:rPr>
              <w:t>206</w:t>
            </w:r>
          </w:p>
        </w:tc>
        <w:tc>
          <w:tcPr>
            <w:tcW w:w="264" w:type="pct"/>
            <w:tcBorders>
              <w:top w:val="single" w:sz="4" w:space="0" w:color="auto"/>
              <w:left w:val="nil"/>
              <w:bottom w:val="single" w:sz="4" w:space="0" w:color="auto"/>
              <w:right w:val="single" w:sz="4" w:space="0" w:color="auto"/>
            </w:tcBorders>
            <w:shd w:val="clear" w:color="auto" w:fill="C6EFCE"/>
            <w:noWrap/>
          </w:tcPr>
          <w:p w14:paraId="15B2114C" w14:textId="77777777" w:rsidR="003A3D51" w:rsidRDefault="0002775A">
            <w:pPr>
              <w:pStyle w:val="P68B1DB1-Normal7"/>
              <w:spacing w:after="200" w:line="276" w:lineRule="auto"/>
              <w:jc w:val="center"/>
              <w:rPr>
                <w:rFonts w:ascii="Times New Roman" w:hAnsi="Times New Roman" w:cs="Times New Roman"/>
                <w:noProof/>
              </w:rPr>
            </w:pPr>
            <w:r>
              <w:rPr>
                <w:noProof/>
              </w:rPr>
              <w:t>C2.3 R4-I2</w:t>
            </w:r>
          </w:p>
        </w:tc>
        <w:tc>
          <w:tcPr>
            <w:tcW w:w="294" w:type="pct"/>
            <w:tcBorders>
              <w:top w:val="single" w:sz="4" w:space="0" w:color="auto"/>
              <w:left w:val="nil"/>
              <w:bottom w:val="single" w:sz="4" w:space="0" w:color="auto"/>
              <w:right w:val="single" w:sz="4" w:space="0" w:color="auto"/>
            </w:tcBorders>
            <w:shd w:val="clear" w:color="auto" w:fill="C6EFCE"/>
            <w:noWrap/>
          </w:tcPr>
          <w:p w14:paraId="6B4E4BE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97" w:type="pct"/>
            <w:tcBorders>
              <w:top w:val="single" w:sz="4" w:space="0" w:color="auto"/>
              <w:left w:val="nil"/>
              <w:bottom w:val="single" w:sz="4" w:space="0" w:color="auto"/>
              <w:right w:val="single" w:sz="4" w:space="0" w:color="auto"/>
            </w:tcBorders>
            <w:shd w:val="clear" w:color="auto" w:fill="C6EFCE"/>
            <w:noWrap/>
          </w:tcPr>
          <w:p w14:paraId="35C1C437" w14:textId="77777777" w:rsidR="003A3D51" w:rsidRDefault="0002775A">
            <w:pPr>
              <w:pStyle w:val="P68B1DB1-Normal7"/>
              <w:spacing w:after="200" w:line="276" w:lineRule="auto"/>
              <w:rPr>
                <w:rFonts w:ascii="Times New Roman" w:hAnsi="Times New Roman" w:cs="Times New Roman"/>
                <w:noProof/>
              </w:rPr>
            </w:pPr>
            <w:r>
              <w:rPr>
                <w:noProof/>
              </w:rPr>
              <w:t>Befolkning med tillgång till 5G</w:t>
            </w:r>
          </w:p>
        </w:tc>
        <w:tc>
          <w:tcPr>
            <w:tcW w:w="663" w:type="pct"/>
            <w:tcBorders>
              <w:top w:val="single" w:sz="4" w:space="0" w:color="auto"/>
              <w:left w:val="nil"/>
              <w:bottom w:val="single" w:sz="4" w:space="0" w:color="auto"/>
              <w:right w:val="single" w:sz="4" w:space="0" w:color="auto"/>
            </w:tcBorders>
            <w:shd w:val="clear" w:color="auto" w:fill="C6EFCE"/>
            <w:noWrap/>
          </w:tcPr>
          <w:p w14:paraId="659144ED" w14:textId="77777777" w:rsidR="003A3D51" w:rsidRDefault="0002775A">
            <w:pPr>
              <w:pStyle w:val="P68B1DB1-Normal7"/>
              <w:spacing w:after="200" w:line="276" w:lineRule="auto"/>
              <w:rPr>
                <w:rFonts w:ascii="Times New Roman" w:hAnsi="Times New Roman" w:cs="Times New Roman"/>
                <w:noProof/>
              </w:rPr>
            </w:pPr>
            <w:r>
              <w:rPr>
                <w:noProof/>
              </w:rPr>
              <w:t>Rapport från ministeriet för sjöfart, transport och infrastruktur (MSTI)</w:t>
            </w:r>
          </w:p>
        </w:tc>
        <w:tc>
          <w:tcPr>
            <w:tcW w:w="340" w:type="pct"/>
            <w:tcBorders>
              <w:top w:val="single" w:sz="4" w:space="0" w:color="auto"/>
              <w:left w:val="nil"/>
              <w:bottom w:val="single" w:sz="4" w:space="0" w:color="auto"/>
              <w:right w:val="single" w:sz="4" w:space="0" w:color="auto"/>
            </w:tcBorders>
            <w:shd w:val="clear" w:color="auto" w:fill="C6EFCE"/>
            <w:noWrap/>
          </w:tcPr>
          <w:p w14:paraId="110E14DD"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6" w:type="pct"/>
            <w:tcBorders>
              <w:top w:val="single" w:sz="4" w:space="0" w:color="auto"/>
              <w:left w:val="nil"/>
              <w:bottom w:val="single" w:sz="4" w:space="0" w:color="auto"/>
              <w:right w:val="single" w:sz="4" w:space="0" w:color="auto"/>
            </w:tcBorders>
            <w:shd w:val="clear" w:color="auto" w:fill="C6EFCE"/>
            <w:noWrap/>
          </w:tcPr>
          <w:p w14:paraId="644310D0"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8" w:type="pct"/>
            <w:tcBorders>
              <w:top w:val="single" w:sz="4" w:space="0" w:color="auto"/>
              <w:left w:val="nil"/>
              <w:bottom w:val="single" w:sz="4" w:space="0" w:color="auto"/>
              <w:right w:val="single" w:sz="4" w:space="0" w:color="auto"/>
            </w:tcBorders>
            <w:shd w:val="clear" w:color="auto" w:fill="C6EFCE"/>
            <w:noWrap/>
          </w:tcPr>
          <w:p w14:paraId="7BE8F40B" w14:textId="77777777" w:rsidR="003A3D51" w:rsidRDefault="0002775A">
            <w:pPr>
              <w:pStyle w:val="P68B1DB1-Normal7"/>
              <w:spacing w:after="200" w:line="276" w:lineRule="auto"/>
              <w:jc w:val="center"/>
              <w:rPr>
                <w:rFonts w:ascii="Times New Roman" w:hAnsi="Times New Roman" w:cs="Times New Roman"/>
                <w:noProof/>
              </w:rPr>
            </w:pPr>
            <w:r>
              <w:rPr>
                <w:noProof/>
              </w:rPr>
              <w:t>80</w:t>
            </w:r>
          </w:p>
        </w:tc>
        <w:tc>
          <w:tcPr>
            <w:tcW w:w="247" w:type="pct"/>
            <w:tcBorders>
              <w:top w:val="single" w:sz="4" w:space="0" w:color="auto"/>
              <w:left w:val="nil"/>
              <w:bottom w:val="single" w:sz="4" w:space="0" w:color="auto"/>
              <w:right w:val="single" w:sz="4" w:space="0" w:color="auto"/>
            </w:tcBorders>
            <w:shd w:val="clear" w:color="auto" w:fill="C6EFCE"/>
            <w:noWrap/>
          </w:tcPr>
          <w:p w14:paraId="32E74D32"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6E895319"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271" w:type="pct"/>
            <w:tcBorders>
              <w:top w:val="single" w:sz="4" w:space="0" w:color="auto"/>
              <w:left w:val="nil"/>
              <w:bottom w:val="single" w:sz="4" w:space="0" w:color="auto"/>
              <w:right w:val="single" w:sz="4" w:space="0" w:color="auto"/>
            </w:tcBorders>
            <w:shd w:val="clear" w:color="auto" w:fill="C6EFCE"/>
            <w:noWrap/>
          </w:tcPr>
          <w:p w14:paraId="2545E16A" w14:textId="77777777" w:rsidR="003A3D51" w:rsidRDefault="0002775A">
            <w:pPr>
              <w:pStyle w:val="P68B1DB1-Normal7"/>
              <w:spacing w:after="200" w:line="276" w:lineRule="auto"/>
              <w:rPr>
                <w:rFonts w:ascii="Times New Roman" w:hAnsi="Times New Roman" w:cs="Times New Roman"/>
                <w:noProof/>
              </w:rPr>
            </w:pPr>
            <w:r>
              <w:rPr>
                <w:noProof/>
              </w:rPr>
              <w:t xml:space="preserve">Minst 80 % av det landsbygds- och glesbefolkade området (där den genomsnittliga befolkningen är mindre än 20/km²) som omfattas av projektet ska omfattas av 5G-mobilsignal. </w:t>
            </w:r>
          </w:p>
        </w:tc>
      </w:tr>
    </w:tbl>
    <w:p w14:paraId="72561E09" w14:textId="77777777" w:rsidR="003A3D51" w:rsidRDefault="003A3D51">
      <w:pPr>
        <w:rPr>
          <w:noProof/>
        </w:rPr>
        <w:sectPr w:rsidR="003A3D51" w:rsidSect="0001477B">
          <w:headerReference w:type="even" r:id="rId180"/>
          <w:headerReference w:type="default" r:id="rId181"/>
          <w:footerReference w:type="even" r:id="rId182"/>
          <w:footerReference w:type="default" r:id="rId183"/>
          <w:headerReference w:type="first" r:id="rId184"/>
          <w:footerReference w:type="first" r:id="rId185"/>
          <w:pgSz w:w="15840" w:h="12240" w:orient="landscape"/>
          <w:pgMar w:top="1440" w:right="1440" w:bottom="1440" w:left="1440" w:header="708" w:footer="708" w:gutter="0"/>
          <w:cols w:space="708"/>
          <w:docGrid w:linePitch="360"/>
        </w:sectPr>
      </w:pPr>
    </w:p>
    <w:p w14:paraId="6CCB39A0" w14:textId="77777777" w:rsidR="003A3D51" w:rsidRDefault="0002775A">
      <w:pPr>
        <w:pStyle w:val="paragraph"/>
        <w:spacing w:before="0" w:beforeAutospacing="0" w:after="0" w:afterAutospacing="0"/>
        <w:ind w:left="705"/>
        <w:jc w:val="both"/>
        <w:textAlignment w:val="baseline"/>
        <w:rPr>
          <w:rFonts w:ascii="Segoe UI" w:hAnsi="Segoe UI" w:cs="Segoe UI"/>
          <w:noProof/>
          <w:sz w:val="18"/>
        </w:rPr>
      </w:pPr>
      <w:r>
        <w:rPr>
          <w:rStyle w:val="normaltextrun"/>
          <w:b/>
          <w:noProof/>
        </w:rPr>
        <w:t xml:space="preserve">I.3 </w:t>
      </w:r>
      <w:r>
        <w:rPr>
          <w:noProof/>
        </w:rPr>
        <w:tab/>
      </w:r>
      <w:r>
        <w:rPr>
          <w:rStyle w:val="normaltextrun"/>
          <w:b/>
          <w:noProof/>
        </w:rPr>
        <w:t xml:space="preserve">Beskrivning av reformerna och investeringarna för lånet </w:t>
      </w:r>
      <w:r>
        <w:rPr>
          <w:rStyle w:val="eop"/>
          <w:noProof/>
        </w:rPr>
        <w:t xml:space="preserve"> </w:t>
      </w:r>
    </w:p>
    <w:p w14:paraId="4B6EA0CA" w14:textId="77777777" w:rsidR="003A3D51" w:rsidRDefault="0002775A">
      <w:pPr>
        <w:pStyle w:val="paragraph"/>
        <w:spacing w:before="0" w:beforeAutospacing="0" w:after="0" w:afterAutospacing="0"/>
        <w:ind w:left="840"/>
        <w:jc w:val="both"/>
        <w:textAlignment w:val="baseline"/>
        <w:rPr>
          <w:rStyle w:val="eop"/>
          <w:noProof/>
        </w:rPr>
      </w:pPr>
      <w:r>
        <w:rPr>
          <w:rStyle w:val="normaltextrun"/>
          <w:noProof/>
        </w:rPr>
        <w:t>  </w:t>
      </w:r>
    </w:p>
    <w:p w14:paraId="6E1B5459" w14:textId="4CB31672" w:rsidR="003A3D51" w:rsidRDefault="0002775A">
      <w:pPr>
        <w:pStyle w:val="P68B1DB1-Normal5"/>
        <w:spacing w:before="120" w:after="120" w:line="240" w:lineRule="auto"/>
        <w:ind w:left="851"/>
        <w:jc w:val="both"/>
        <w:textAlignment w:val="baseline"/>
        <w:rPr>
          <w:noProof/>
        </w:rPr>
      </w:pPr>
      <w:r>
        <w:rPr>
          <w:noProof/>
        </w:rPr>
        <w:t>Investering C2.3.R3-I17: Upprättande av ett register över befolkning, familj och hushåll</w:t>
      </w:r>
    </w:p>
    <w:p w14:paraId="297FDAE9" w14:textId="77777777" w:rsidR="003A3D51" w:rsidRDefault="0002775A">
      <w:pPr>
        <w:pStyle w:val="P68B1DB1-Normal3"/>
        <w:spacing w:before="120" w:after="120" w:line="240" w:lineRule="auto"/>
        <w:jc w:val="both"/>
        <w:rPr>
          <w:noProof/>
        </w:rPr>
      </w:pPr>
      <w:r>
        <w:rPr>
          <w:noProof/>
        </w:rPr>
        <w:t xml:space="preserve">Syftet med denna investering är att upprätta ett register över befolkning, familj och hushåll (kroatiska: Registar stanovništva, obitelji i kućanstva; hädanefter: SOK), som ska tillhandahålla uppgifter om befolkningens, familjernas och hushållens inkomster och tillgångar genom att hämta uppgifter från olika register och informationssystem. </w:t>
      </w:r>
    </w:p>
    <w:p w14:paraId="28FDEACC" w14:textId="77777777" w:rsidR="003A3D51" w:rsidRDefault="0002775A">
      <w:pPr>
        <w:pStyle w:val="P68B1DB1-Normal3"/>
        <w:spacing w:before="120" w:after="120" w:line="240" w:lineRule="auto"/>
        <w:jc w:val="both"/>
        <w:rPr>
          <w:noProof/>
        </w:rPr>
      </w:pPr>
      <w:r>
        <w:rPr>
          <w:noProof/>
        </w:rPr>
        <w:t>Den ska, i en jämförbar tidsmässig och rumslig dimension, harmonisera de förfaranden och definitioner som används för att bedöma rättigheter och skyldigheter som är beroende av enskilda personers, familjers eller hushålls inkomster eller tillgångar. Investeringen syftar till att tillhandahålla korrekt och uppdaterad statistik som är nödvändig för arbetet i alla offentliga organ, inklusive skatteförvaltningen.</w:t>
      </w:r>
    </w:p>
    <w:p w14:paraId="302558E5" w14:textId="6D99C080" w:rsidR="003A3D51" w:rsidRDefault="0002775A">
      <w:pPr>
        <w:pStyle w:val="P68B1DB1-Normal3"/>
        <w:spacing w:before="120" w:after="120" w:line="240" w:lineRule="auto"/>
        <w:jc w:val="both"/>
        <w:rPr>
          <w:noProof/>
        </w:rPr>
      </w:pPr>
      <w:r>
        <w:rPr>
          <w:noProof/>
        </w:rPr>
        <w:t>Investeringen ska vara slutförd senast den 30 juni 2026.</w:t>
      </w:r>
    </w:p>
    <w:p w14:paraId="23D0194B"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01670C65" w14:textId="77777777" w:rsidR="003A3D51" w:rsidRDefault="003A3D51">
      <w:pPr>
        <w:pStyle w:val="paragraph"/>
        <w:spacing w:before="0" w:beforeAutospacing="0" w:after="0" w:afterAutospacing="0"/>
        <w:ind w:left="840"/>
        <w:jc w:val="both"/>
        <w:textAlignment w:val="baseline"/>
        <w:rPr>
          <w:rStyle w:val="normaltextrun"/>
          <w:b/>
          <w:noProof/>
        </w:rPr>
        <w:sectPr w:rsidR="003A3D51" w:rsidSect="0001477B">
          <w:headerReference w:type="even" r:id="rId186"/>
          <w:headerReference w:type="default" r:id="rId187"/>
          <w:footerReference w:type="even" r:id="rId188"/>
          <w:footerReference w:type="default" r:id="rId189"/>
          <w:headerReference w:type="first" r:id="rId190"/>
          <w:footerReference w:type="first" r:id="rId191"/>
          <w:pgSz w:w="12240" w:h="15840"/>
          <w:pgMar w:top="1440" w:right="1440" w:bottom="1440" w:left="1440" w:header="708" w:footer="708" w:gutter="0"/>
          <w:cols w:space="708"/>
          <w:docGrid w:linePitch="360"/>
        </w:sectPr>
      </w:pPr>
    </w:p>
    <w:p w14:paraId="6953305E"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I.4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37737066" w14:textId="77777777" w:rsidR="003A3D51" w:rsidRDefault="003A3D51">
      <w:pPr>
        <w:pStyle w:val="paragraph"/>
        <w:spacing w:before="0" w:beforeAutospacing="0" w:after="0" w:afterAutospacing="0"/>
        <w:ind w:left="840"/>
        <w:jc w:val="both"/>
        <w:rPr>
          <w:rStyle w:val="eop"/>
          <w:noProof/>
          <w:color w:val="4F81BD"/>
        </w:rPr>
      </w:pPr>
    </w:p>
    <w:tbl>
      <w:tblPr>
        <w:tblW w:w="15318" w:type="dxa"/>
        <w:jc w:val="center"/>
        <w:tblCellMar>
          <w:top w:w="28" w:type="dxa"/>
          <w:left w:w="28" w:type="dxa"/>
          <w:bottom w:w="28" w:type="dxa"/>
          <w:right w:w="28" w:type="dxa"/>
        </w:tblCellMar>
        <w:tblLook w:val="04A0" w:firstRow="1" w:lastRow="0" w:firstColumn="1" w:lastColumn="0" w:noHBand="0" w:noVBand="1"/>
      </w:tblPr>
      <w:tblGrid>
        <w:gridCol w:w="1129"/>
        <w:gridCol w:w="849"/>
        <w:gridCol w:w="946"/>
        <w:gridCol w:w="2135"/>
        <w:gridCol w:w="1954"/>
        <w:gridCol w:w="1096"/>
        <w:gridCol w:w="825"/>
        <w:gridCol w:w="958"/>
        <w:gridCol w:w="795"/>
        <w:gridCol w:w="616"/>
        <w:gridCol w:w="4430"/>
      </w:tblGrid>
      <w:tr w:rsidR="003A3D51" w14:paraId="719EAE64" w14:textId="77777777">
        <w:trPr>
          <w:trHeight w:val="300"/>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62ABCDB9" w14:textId="0EAA4A56" w:rsidR="003A3D51" w:rsidRDefault="0002775A">
            <w:pPr>
              <w:pStyle w:val="P68B1DB1-Normal6"/>
              <w:spacing w:after="0" w:line="276" w:lineRule="auto"/>
              <w:jc w:val="center"/>
              <w:rPr>
                <w:noProof/>
              </w:rPr>
            </w:pPr>
            <w:r>
              <w:rPr>
                <w:noProof/>
              </w:rPr>
              <w:t>Antal</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740015C9" w14:textId="77777777" w:rsidR="003A3D51" w:rsidRDefault="0002775A">
            <w:pPr>
              <w:pStyle w:val="P68B1DB1-Normal6"/>
              <w:spacing w:after="0" w:line="276" w:lineRule="auto"/>
              <w:jc w:val="center"/>
              <w:rPr>
                <w:noProof/>
              </w:rPr>
            </w:pPr>
            <w:r>
              <w:rPr>
                <w:noProof/>
              </w:rPr>
              <w:t>Åtgärd</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250A938" w14:textId="77777777" w:rsidR="003A3D51" w:rsidRDefault="0002775A">
            <w:pPr>
              <w:pStyle w:val="P68B1DB1-Normal6"/>
              <w:spacing w:after="0" w:line="276" w:lineRule="auto"/>
              <w:jc w:val="center"/>
              <w:rPr>
                <w:noProof/>
              </w:rPr>
            </w:pPr>
            <w:r>
              <w:rPr>
                <w:noProof/>
              </w:rPr>
              <w:t>Delmål/mål</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2B78A415" w14:textId="77777777" w:rsidR="003A3D51" w:rsidRDefault="0002775A">
            <w:pPr>
              <w:pStyle w:val="P68B1DB1-Normal6"/>
              <w:spacing w:after="0" w:line="276" w:lineRule="auto"/>
              <w:jc w:val="center"/>
              <w:rPr>
                <w:noProof/>
              </w:rPr>
            </w:pPr>
            <w:r>
              <w:rPr>
                <w:noProof/>
              </w:rPr>
              <w:t>Namn</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4E3B9232"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2879"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5E645676"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1132" w:type="dxa"/>
            <w:gridSpan w:val="2"/>
            <w:tcBorders>
              <w:top w:val="single" w:sz="4" w:space="0" w:color="auto"/>
              <w:left w:val="nil"/>
              <w:bottom w:val="single" w:sz="4" w:space="0" w:color="auto"/>
              <w:right w:val="single" w:sz="4" w:space="0" w:color="auto"/>
            </w:tcBorders>
            <w:shd w:val="clear" w:color="auto" w:fill="BDD7EE"/>
            <w:hideMark/>
          </w:tcPr>
          <w:p w14:paraId="4A55E5F3" w14:textId="77777777" w:rsidR="003A3D51" w:rsidRDefault="0002775A">
            <w:pPr>
              <w:pStyle w:val="P68B1DB1-Normal6"/>
              <w:spacing w:after="0" w:line="276" w:lineRule="auto"/>
              <w:jc w:val="center"/>
              <w:rPr>
                <w:noProof/>
              </w:rPr>
            </w:pPr>
            <w:r>
              <w:rPr>
                <w:noProof/>
              </w:rPr>
              <w:t>Tid</w:t>
            </w:r>
          </w:p>
        </w:tc>
        <w:tc>
          <w:tcPr>
            <w:tcW w:w="4430"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5C63897F" w14:textId="77777777" w:rsidR="003A3D51" w:rsidRDefault="0002775A">
            <w:pPr>
              <w:pStyle w:val="P68B1DB1-Normal6"/>
              <w:spacing w:after="0" w:line="276" w:lineRule="auto"/>
              <w:jc w:val="center"/>
              <w:rPr>
                <w:noProof/>
              </w:rPr>
            </w:pPr>
            <w:r>
              <w:rPr>
                <w:noProof/>
              </w:rPr>
              <w:t>Beskrivning av varje delmål och mål</w:t>
            </w:r>
          </w:p>
        </w:tc>
      </w:tr>
      <w:tr w:rsidR="003A3D51" w14:paraId="4A29624F" w14:textId="77777777">
        <w:trPr>
          <w:trHeight w:val="300"/>
          <w:tblHeader/>
          <w:jc w:val="center"/>
        </w:trPr>
        <w:tc>
          <w:tcPr>
            <w:tcW w:w="1129" w:type="dxa"/>
            <w:vMerge/>
            <w:hideMark/>
          </w:tcPr>
          <w:p w14:paraId="6F9529B0" w14:textId="77777777" w:rsidR="003A3D51" w:rsidRDefault="003A3D51">
            <w:pPr>
              <w:spacing w:after="0" w:line="276" w:lineRule="auto"/>
              <w:jc w:val="center"/>
              <w:rPr>
                <w:rFonts w:ascii="Times New Roman" w:eastAsia="Times New Roman" w:hAnsi="Times New Roman" w:cs="Times New Roman"/>
                <w:b/>
                <w:noProof/>
              </w:rPr>
            </w:pPr>
          </w:p>
        </w:tc>
        <w:tc>
          <w:tcPr>
            <w:tcW w:w="849" w:type="dxa"/>
            <w:vMerge/>
            <w:hideMark/>
          </w:tcPr>
          <w:p w14:paraId="486D2C6A" w14:textId="77777777" w:rsidR="003A3D51" w:rsidRDefault="003A3D51">
            <w:pPr>
              <w:spacing w:after="0" w:line="276" w:lineRule="auto"/>
              <w:jc w:val="center"/>
              <w:rPr>
                <w:rFonts w:ascii="Times New Roman" w:eastAsia="Times New Roman" w:hAnsi="Times New Roman" w:cs="Times New Roman"/>
                <w:b/>
                <w:noProof/>
              </w:rPr>
            </w:pPr>
          </w:p>
        </w:tc>
        <w:tc>
          <w:tcPr>
            <w:tcW w:w="810" w:type="dxa"/>
            <w:vMerge/>
            <w:hideMark/>
          </w:tcPr>
          <w:p w14:paraId="1F4DB281" w14:textId="77777777" w:rsidR="003A3D51" w:rsidRDefault="003A3D51">
            <w:pPr>
              <w:spacing w:after="0" w:line="276" w:lineRule="auto"/>
              <w:jc w:val="center"/>
              <w:rPr>
                <w:rFonts w:ascii="Times New Roman" w:eastAsia="Times New Roman" w:hAnsi="Times New Roman" w:cs="Times New Roman"/>
                <w:b/>
                <w:noProof/>
              </w:rPr>
            </w:pPr>
          </w:p>
        </w:tc>
        <w:tc>
          <w:tcPr>
            <w:tcW w:w="2135" w:type="dxa"/>
            <w:vMerge/>
            <w:hideMark/>
          </w:tcPr>
          <w:p w14:paraId="02C5CA18" w14:textId="77777777" w:rsidR="003A3D51" w:rsidRDefault="003A3D51">
            <w:pPr>
              <w:spacing w:after="0" w:line="276" w:lineRule="auto"/>
              <w:rPr>
                <w:rFonts w:ascii="Times New Roman" w:eastAsia="Times New Roman" w:hAnsi="Times New Roman" w:cs="Times New Roman"/>
                <w:b/>
                <w:noProof/>
              </w:rPr>
            </w:pPr>
          </w:p>
        </w:tc>
        <w:tc>
          <w:tcPr>
            <w:tcW w:w="1954" w:type="dxa"/>
            <w:vMerge/>
            <w:hideMark/>
          </w:tcPr>
          <w:p w14:paraId="78E6BC47" w14:textId="77777777" w:rsidR="003A3D51" w:rsidRDefault="003A3D51">
            <w:pPr>
              <w:spacing w:after="0" w:line="276" w:lineRule="auto"/>
              <w:rPr>
                <w:rFonts w:ascii="Times New Roman" w:eastAsia="Times New Roman" w:hAnsi="Times New Roman" w:cs="Times New Roman"/>
                <w:b/>
                <w:noProof/>
              </w:rPr>
            </w:pPr>
          </w:p>
        </w:tc>
        <w:tc>
          <w:tcPr>
            <w:tcW w:w="1096" w:type="dxa"/>
            <w:tcBorders>
              <w:top w:val="nil"/>
              <w:left w:val="single" w:sz="4" w:space="0" w:color="auto"/>
              <w:bottom w:val="single" w:sz="4" w:space="0" w:color="auto"/>
              <w:right w:val="single" w:sz="4" w:space="0" w:color="auto"/>
            </w:tcBorders>
            <w:shd w:val="clear" w:color="auto" w:fill="BDD7EE"/>
            <w:hideMark/>
          </w:tcPr>
          <w:p w14:paraId="46D1ED86" w14:textId="77777777" w:rsidR="003A3D51" w:rsidRDefault="0002775A">
            <w:pPr>
              <w:pStyle w:val="P68B1DB1-Normal6"/>
              <w:spacing w:after="0" w:line="276" w:lineRule="auto"/>
              <w:jc w:val="center"/>
              <w:rPr>
                <w:noProof/>
              </w:rPr>
            </w:pPr>
            <w:r>
              <w:rPr>
                <w:noProof/>
              </w:rPr>
              <w:t>Enhet</w:t>
            </w:r>
          </w:p>
        </w:tc>
        <w:tc>
          <w:tcPr>
            <w:tcW w:w="825" w:type="dxa"/>
            <w:tcBorders>
              <w:top w:val="nil"/>
              <w:left w:val="nil"/>
              <w:bottom w:val="single" w:sz="4" w:space="0" w:color="auto"/>
              <w:right w:val="single" w:sz="4" w:space="0" w:color="auto"/>
            </w:tcBorders>
            <w:shd w:val="clear" w:color="auto" w:fill="BDD7EE"/>
            <w:hideMark/>
          </w:tcPr>
          <w:p w14:paraId="7E9216A7" w14:textId="77777777" w:rsidR="003A3D51" w:rsidRDefault="0002775A">
            <w:pPr>
              <w:pStyle w:val="P68B1DB1-Normal6"/>
              <w:spacing w:after="0" w:line="276" w:lineRule="auto"/>
              <w:jc w:val="center"/>
              <w:rPr>
                <w:noProof/>
              </w:rPr>
            </w:pPr>
            <w:r>
              <w:rPr>
                <w:noProof/>
              </w:rPr>
              <w:t>Baslinjen</w:t>
            </w:r>
          </w:p>
        </w:tc>
        <w:tc>
          <w:tcPr>
            <w:tcW w:w="958" w:type="dxa"/>
            <w:tcBorders>
              <w:top w:val="nil"/>
              <w:left w:val="nil"/>
              <w:bottom w:val="single" w:sz="4" w:space="0" w:color="auto"/>
              <w:right w:val="single" w:sz="4" w:space="0" w:color="auto"/>
            </w:tcBorders>
            <w:shd w:val="clear" w:color="auto" w:fill="BDD7EE"/>
            <w:hideMark/>
          </w:tcPr>
          <w:p w14:paraId="457BF0DD" w14:textId="77777777" w:rsidR="003A3D51" w:rsidRDefault="0002775A">
            <w:pPr>
              <w:pStyle w:val="P68B1DB1-Normal6"/>
              <w:spacing w:after="0" w:line="276" w:lineRule="auto"/>
              <w:jc w:val="center"/>
              <w:rPr>
                <w:noProof/>
              </w:rPr>
            </w:pPr>
            <w:r>
              <w:rPr>
                <w:noProof/>
              </w:rPr>
              <w:t>Mål</w:t>
            </w:r>
          </w:p>
        </w:tc>
        <w:tc>
          <w:tcPr>
            <w:tcW w:w="516" w:type="dxa"/>
            <w:tcBorders>
              <w:top w:val="nil"/>
              <w:left w:val="nil"/>
              <w:bottom w:val="single" w:sz="4" w:space="0" w:color="auto"/>
              <w:right w:val="single" w:sz="4" w:space="0" w:color="auto"/>
            </w:tcBorders>
            <w:shd w:val="clear" w:color="auto" w:fill="BDD7EE"/>
            <w:hideMark/>
          </w:tcPr>
          <w:p w14:paraId="3ED43337" w14:textId="77777777" w:rsidR="003A3D51" w:rsidRDefault="0002775A">
            <w:pPr>
              <w:pStyle w:val="P68B1DB1-Normal6"/>
              <w:spacing w:after="0" w:line="276" w:lineRule="auto"/>
              <w:jc w:val="center"/>
              <w:rPr>
                <w:noProof/>
              </w:rPr>
            </w:pPr>
            <w:r>
              <w:rPr>
                <w:noProof/>
              </w:rPr>
              <w:t>Q</w:t>
            </w:r>
          </w:p>
        </w:tc>
        <w:tc>
          <w:tcPr>
            <w:tcW w:w="616" w:type="dxa"/>
            <w:tcBorders>
              <w:top w:val="nil"/>
              <w:left w:val="nil"/>
              <w:bottom w:val="single" w:sz="4" w:space="0" w:color="auto"/>
              <w:right w:val="single" w:sz="4" w:space="0" w:color="auto"/>
            </w:tcBorders>
            <w:shd w:val="clear" w:color="auto" w:fill="BDD7EE"/>
            <w:hideMark/>
          </w:tcPr>
          <w:p w14:paraId="6DBD9227" w14:textId="77777777" w:rsidR="003A3D51" w:rsidRDefault="0002775A">
            <w:pPr>
              <w:pStyle w:val="P68B1DB1-Normal6"/>
              <w:spacing w:after="0" w:line="276" w:lineRule="auto"/>
              <w:jc w:val="center"/>
              <w:rPr>
                <w:noProof/>
              </w:rPr>
            </w:pPr>
            <w:r>
              <w:rPr>
                <w:noProof/>
              </w:rPr>
              <w:t>Året</w:t>
            </w:r>
          </w:p>
        </w:tc>
        <w:tc>
          <w:tcPr>
            <w:tcW w:w="4430" w:type="dxa"/>
            <w:vMerge/>
            <w:hideMark/>
          </w:tcPr>
          <w:p w14:paraId="1C9CE5D2" w14:textId="77777777" w:rsidR="003A3D51" w:rsidRDefault="003A3D51">
            <w:pPr>
              <w:spacing w:after="0" w:line="276" w:lineRule="auto"/>
              <w:rPr>
                <w:rFonts w:ascii="Times New Roman" w:eastAsia="Times New Roman" w:hAnsi="Times New Roman" w:cs="Times New Roman"/>
                <w:b/>
                <w:noProof/>
              </w:rPr>
            </w:pPr>
          </w:p>
        </w:tc>
      </w:tr>
      <w:tr w:rsidR="003A3D51" w14:paraId="3B6C2416"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0AD534E" w14:textId="6D1DBCC4" w:rsidR="003A3D51" w:rsidRDefault="0002775A">
            <w:pPr>
              <w:pStyle w:val="P68B1DB1-Normal7"/>
              <w:spacing w:after="0" w:line="276" w:lineRule="auto"/>
              <w:jc w:val="center"/>
              <w:rPr>
                <w:noProof/>
              </w:rPr>
            </w:pPr>
            <w:r>
              <w:rPr>
                <w:noProof/>
              </w:rPr>
              <w:t>394</w:t>
            </w:r>
          </w:p>
        </w:tc>
        <w:tc>
          <w:tcPr>
            <w:tcW w:w="849" w:type="dxa"/>
            <w:tcBorders>
              <w:top w:val="single" w:sz="4" w:space="0" w:color="auto"/>
              <w:left w:val="nil"/>
              <w:bottom w:val="single" w:sz="4" w:space="0" w:color="auto"/>
              <w:right w:val="single" w:sz="4" w:space="0" w:color="auto"/>
            </w:tcBorders>
            <w:shd w:val="clear" w:color="auto" w:fill="C6EFCE"/>
            <w:noWrap/>
          </w:tcPr>
          <w:p w14:paraId="0461B2AD" w14:textId="77777777" w:rsidR="003A3D51" w:rsidRDefault="0002775A">
            <w:pPr>
              <w:pStyle w:val="P68B1DB1-Normal7"/>
              <w:spacing w:after="200" w:line="276" w:lineRule="auto"/>
              <w:jc w:val="center"/>
              <w:rPr>
                <w:noProof/>
              </w:rPr>
            </w:pPr>
            <w:r>
              <w:rPr>
                <w:noProof/>
              </w:rPr>
              <w:t>C2.3 R3- I17</w:t>
            </w:r>
          </w:p>
        </w:tc>
        <w:tc>
          <w:tcPr>
            <w:tcW w:w="810" w:type="dxa"/>
            <w:tcBorders>
              <w:top w:val="single" w:sz="4" w:space="0" w:color="auto"/>
              <w:left w:val="nil"/>
              <w:bottom w:val="single" w:sz="4" w:space="0" w:color="auto"/>
              <w:right w:val="single" w:sz="4" w:space="0" w:color="auto"/>
            </w:tcBorders>
            <w:shd w:val="clear" w:color="auto" w:fill="C6EFCE"/>
            <w:noWrap/>
          </w:tcPr>
          <w:p w14:paraId="33105A6F" w14:textId="77777777" w:rsidR="003A3D51" w:rsidRDefault="0002775A">
            <w:pPr>
              <w:pStyle w:val="P68B1DB1-Normal7"/>
              <w:spacing w:after="200" w:line="276" w:lineRule="auto"/>
              <w:jc w:val="center"/>
              <w:rPr>
                <w:noProof/>
              </w:rPr>
            </w:pPr>
            <w:r>
              <w:rPr>
                <w:noProof/>
              </w:rPr>
              <w:t>M</w:t>
            </w:r>
          </w:p>
        </w:tc>
        <w:tc>
          <w:tcPr>
            <w:tcW w:w="2135" w:type="dxa"/>
            <w:tcBorders>
              <w:top w:val="single" w:sz="4" w:space="0" w:color="auto"/>
              <w:left w:val="nil"/>
              <w:bottom w:val="single" w:sz="4" w:space="0" w:color="auto"/>
              <w:right w:val="single" w:sz="4" w:space="0" w:color="auto"/>
            </w:tcBorders>
            <w:shd w:val="clear" w:color="auto" w:fill="C6EFCE"/>
            <w:noWrap/>
          </w:tcPr>
          <w:p w14:paraId="156A2806" w14:textId="77777777" w:rsidR="003A3D51" w:rsidRDefault="0002775A">
            <w:pPr>
              <w:pStyle w:val="P68B1DB1-Normal7"/>
              <w:spacing w:after="200" w:line="276" w:lineRule="auto"/>
              <w:rPr>
                <w:noProof/>
              </w:rPr>
            </w:pPr>
            <w:r>
              <w:rPr>
                <w:noProof/>
              </w:rPr>
              <w:t xml:space="preserve">Folk-, familje- och hushållsregister (SOK) </w:t>
            </w:r>
          </w:p>
        </w:tc>
        <w:tc>
          <w:tcPr>
            <w:tcW w:w="1954" w:type="dxa"/>
            <w:tcBorders>
              <w:top w:val="single" w:sz="4" w:space="0" w:color="auto"/>
              <w:left w:val="nil"/>
              <w:bottom w:val="single" w:sz="4" w:space="0" w:color="auto"/>
              <w:right w:val="single" w:sz="4" w:space="0" w:color="auto"/>
            </w:tcBorders>
            <w:shd w:val="clear" w:color="auto" w:fill="C6EFCE"/>
            <w:noWrap/>
          </w:tcPr>
          <w:p w14:paraId="248E1D89" w14:textId="77777777" w:rsidR="003A3D51" w:rsidRDefault="0002775A">
            <w:pPr>
              <w:pStyle w:val="P68B1DB1-Normal7"/>
              <w:spacing w:after="200" w:line="276" w:lineRule="auto"/>
              <w:rPr>
                <w:noProof/>
              </w:rPr>
            </w:pPr>
            <w:r>
              <w:rPr>
                <w:noProof/>
              </w:rPr>
              <w:t xml:space="preserve">Rapport från finansministeriet (MFIN) </w:t>
            </w:r>
          </w:p>
        </w:tc>
        <w:tc>
          <w:tcPr>
            <w:tcW w:w="1096" w:type="dxa"/>
            <w:tcBorders>
              <w:top w:val="nil"/>
              <w:left w:val="nil"/>
              <w:bottom w:val="single" w:sz="4" w:space="0" w:color="auto"/>
              <w:right w:val="single" w:sz="4" w:space="0" w:color="auto"/>
            </w:tcBorders>
            <w:shd w:val="clear" w:color="auto" w:fill="C6EFCE"/>
            <w:noWrap/>
          </w:tcPr>
          <w:p w14:paraId="7B0FE2D0" w14:textId="77777777" w:rsidR="003A3D51" w:rsidRDefault="003A3D51">
            <w:pPr>
              <w:spacing w:after="200" w:line="276" w:lineRule="auto"/>
              <w:jc w:val="center"/>
              <w:rPr>
                <w:rFonts w:ascii="Calibri" w:eastAsia="Calibri" w:hAnsi="Calibri" w:cs="Arial"/>
                <w:noProof/>
                <w:color w:val="000000"/>
                <w:sz w:val="20"/>
              </w:rPr>
            </w:pPr>
          </w:p>
        </w:tc>
        <w:tc>
          <w:tcPr>
            <w:tcW w:w="825" w:type="dxa"/>
            <w:tcBorders>
              <w:top w:val="nil"/>
              <w:left w:val="nil"/>
              <w:bottom w:val="single" w:sz="4" w:space="0" w:color="auto"/>
              <w:right w:val="single" w:sz="4" w:space="0" w:color="auto"/>
            </w:tcBorders>
            <w:shd w:val="clear" w:color="auto" w:fill="C6EFCE"/>
            <w:noWrap/>
          </w:tcPr>
          <w:p w14:paraId="2B7D41CC" w14:textId="77777777" w:rsidR="003A3D51" w:rsidRDefault="003A3D51">
            <w:pPr>
              <w:spacing w:after="200" w:line="276" w:lineRule="auto"/>
              <w:jc w:val="center"/>
              <w:rPr>
                <w:rFonts w:ascii="Calibri" w:eastAsia="Calibri" w:hAnsi="Calibri" w:cs="Arial"/>
                <w:noProof/>
                <w:color w:val="000000"/>
                <w:sz w:val="20"/>
              </w:rPr>
            </w:pPr>
          </w:p>
        </w:tc>
        <w:tc>
          <w:tcPr>
            <w:tcW w:w="958" w:type="dxa"/>
            <w:tcBorders>
              <w:top w:val="nil"/>
              <w:left w:val="nil"/>
              <w:bottom w:val="single" w:sz="4" w:space="0" w:color="auto"/>
              <w:right w:val="single" w:sz="4" w:space="0" w:color="auto"/>
            </w:tcBorders>
            <w:shd w:val="clear" w:color="auto" w:fill="C6EFCE"/>
            <w:noWrap/>
          </w:tcPr>
          <w:p w14:paraId="7F51E8E0" w14:textId="77777777" w:rsidR="003A3D51" w:rsidRDefault="003A3D51">
            <w:pPr>
              <w:spacing w:after="200" w:line="276" w:lineRule="auto"/>
              <w:jc w:val="center"/>
              <w:rPr>
                <w:rFonts w:ascii="Calibri" w:eastAsia="Calibri" w:hAnsi="Calibri" w:cs="Arial"/>
                <w:noProof/>
                <w:color w:val="000000"/>
                <w:sz w:val="20"/>
              </w:rPr>
            </w:pPr>
          </w:p>
        </w:tc>
        <w:tc>
          <w:tcPr>
            <w:tcW w:w="516" w:type="dxa"/>
            <w:tcBorders>
              <w:top w:val="nil"/>
              <w:left w:val="nil"/>
              <w:bottom w:val="single" w:sz="4" w:space="0" w:color="auto"/>
              <w:right w:val="single" w:sz="4" w:space="0" w:color="auto"/>
            </w:tcBorders>
            <w:shd w:val="clear" w:color="auto" w:fill="C6EFCE"/>
            <w:noWrap/>
          </w:tcPr>
          <w:p w14:paraId="045FDB4E" w14:textId="670C3841" w:rsidR="003A3D51" w:rsidRDefault="0002775A">
            <w:pPr>
              <w:pStyle w:val="P68B1DB1-Normal7"/>
              <w:spacing w:after="200" w:line="276" w:lineRule="auto"/>
              <w:jc w:val="center"/>
              <w:rPr>
                <w:noProof/>
              </w:rPr>
            </w:pPr>
            <w:r>
              <w:rPr>
                <w:noProof/>
              </w:rPr>
              <w:t>KVARTAL 4</w:t>
            </w:r>
          </w:p>
        </w:tc>
        <w:tc>
          <w:tcPr>
            <w:tcW w:w="616" w:type="dxa"/>
            <w:tcBorders>
              <w:top w:val="nil"/>
              <w:left w:val="nil"/>
              <w:bottom w:val="single" w:sz="4" w:space="0" w:color="auto"/>
              <w:right w:val="single" w:sz="4" w:space="0" w:color="auto"/>
            </w:tcBorders>
            <w:shd w:val="clear" w:color="auto" w:fill="C6EFCE"/>
            <w:noWrap/>
          </w:tcPr>
          <w:p w14:paraId="6C6CF19C" w14:textId="77777777" w:rsidR="003A3D51" w:rsidRDefault="0002775A">
            <w:pPr>
              <w:pStyle w:val="P68B1DB1-Normal7"/>
              <w:spacing w:after="200" w:line="276" w:lineRule="auto"/>
              <w:jc w:val="center"/>
              <w:rPr>
                <w:noProof/>
              </w:rPr>
            </w:pPr>
            <w:r>
              <w:rPr>
                <w:noProof/>
              </w:rPr>
              <w:t>2025</w:t>
            </w:r>
          </w:p>
        </w:tc>
        <w:tc>
          <w:tcPr>
            <w:tcW w:w="4430" w:type="dxa"/>
            <w:tcBorders>
              <w:top w:val="single" w:sz="4" w:space="0" w:color="auto"/>
              <w:left w:val="nil"/>
              <w:bottom w:val="single" w:sz="4" w:space="0" w:color="auto"/>
              <w:right w:val="single" w:sz="4" w:space="0" w:color="auto"/>
            </w:tcBorders>
            <w:shd w:val="clear" w:color="auto" w:fill="C6EFCE"/>
            <w:noWrap/>
          </w:tcPr>
          <w:p w14:paraId="2A7DE94E" w14:textId="77777777" w:rsidR="003A3D51" w:rsidRDefault="0002775A">
            <w:pPr>
              <w:pStyle w:val="P68B1DB1-Normal7"/>
              <w:spacing w:after="200" w:line="276" w:lineRule="auto"/>
              <w:rPr>
                <w:noProof/>
              </w:rPr>
            </w:pPr>
            <w:r>
              <w:rPr>
                <w:noProof/>
              </w:rPr>
              <w:t xml:space="preserve">Folk-, familje- och hushållsregistret (SOK) ska vara operativt och tillgängligt för användning. </w:t>
            </w:r>
          </w:p>
        </w:tc>
      </w:tr>
      <w:tr w:rsidR="003A3D51" w14:paraId="5E8F59C3" w14:textId="77777777">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14:paraId="3EB13629" w14:textId="496C4413" w:rsidR="003A3D51" w:rsidRDefault="0002775A">
            <w:pPr>
              <w:pStyle w:val="P68B1DB1-Normal7"/>
              <w:spacing w:after="0" w:line="276" w:lineRule="auto"/>
              <w:jc w:val="center"/>
              <w:rPr>
                <w:noProof/>
              </w:rPr>
            </w:pPr>
            <w:r>
              <w:rPr>
                <w:noProof/>
              </w:rPr>
              <w:t>395</w:t>
            </w:r>
          </w:p>
        </w:tc>
        <w:tc>
          <w:tcPr>
            <w:tcW w:w="849" w:type="dxa"/>
            <w:tcBorders>
              <w:top w:val="single" w:sz="4" w:space="0" w:color="auto"/>
              <w:left w:val="nil"/>
              <w:bottom w:val="single" w:sz="4" w:space="0" w:color="auto"/>
              <w:right w:val="single" w:sz="4" w:space="0" w:color="auto"/>
            </w:tcBorders>
            <w:shd w:val="clear" w:color="auto" w:fill="C6EFCE"/>
            <w:noWrap/>
          </w:tcPr>
          <w:p w14:paraId="2F779864" w14:textId="77777777" w:rsidR="003A3D51" w:rsidRDefault="0002775A">
            <w:pPr>
              <w:pStyle w:val="P68B1DB1-Normal7"/>
              <w:spacing w:after="200" w:line="276" w:lineRule="auto"/>
              <w:jc w:val="center"/>
              <w:rPr>
                <w:noProof/>
              </w:rPr>
            </w:pPr>
            <w:r>
              <w:rPr>
                <w:noProof/>
              </w:rPr>
              <w:t>C2.3 R3- I17</w:t>
            </w:r>
          </w:p>
          <w:p w14:paraId="1A1DF179" w14:textId="77777777" w:rsidR="003A3D51" w:rsidRDefault="003A3D51">
            <w:pPr>
              <w:spacing w:after="200" w:line="276" w:lineRule="auto"/>
              <w:jc w:val="center"/>
              <w:rPr>
                <w:rFonts w:ascii="Calibri" w:eastAsia="Calibri" w:hAnsi="Calibri" w:cs="Arial"/>
                <w:noProof/>
                <w:color w:val="000000"/>
                <w:sz w:val="20"/>
              </w:rPr>
            </w:pPr>
          </w:p>
        </w:tc>
        <w:tc>
          <w:tcPr>
            <w:tcW w:w="810" w:type="dxa"/>
            <w:tcBorders>
              <w:top w:val="single" w:sz="4" w:space="0" w:color="auto"/>
              <w:left w:val="nil"/>
              <w:bottom w:val="single" w:sz="4" w:space="0" w:color="auto"/>
              <w:right w:val="single" w:sz="4" w:space="0" w:color="auto"/>
            </w:tcBorders>
            <w:shd w:val="clear" w:color="auto" w:fill="C6EFCE"/>
            <w:noWrap/>
          </w:tcPr>
          <w:p w14:paraId="09C56AD4" w14:textId="77777777" w:rsidR="003A3D51" w:rsidRDefault="0002775A">
            <w:pPr>
              <w:pStyle w:val="P68B1DB1-Normal7"/>
              <w:spacing w:after="200" w:line="276" w:lineRule="auto"/>
              <w:jc w:val="center"/>
              <w:rPr>
                <w:rFonts w:cs="Calibri"/>
                <w:noProof/>
              </w:rPr>
            </w:pPr>
            <w:r>
              <w:rPr>
                <w:noProof/>
              </w:rPr>
              <w:t>M</w:t>
            </w:r>
          </w:p>
        </w:tc>
        <w:tc>
          <w:tcPr>
            <w:tcW w:w="2135" w:type="dxa"/>
            <w:tcBorders>
              <w:top w:val="single" w:sz="4" w:space="0" w:color="auto"/>
              <w:left w:val="nil"/>
              <w:bottom w:val="single" w:sz="4" w:space="0" w:color="auto"/>
              <w:right w:val="single" w:sz="4" w:space="0" w:color="auto"/>
            </w:tcBorders>
            <w:shd w:val="clear" w:color="auto" w:fill="C6EFCE"/>
            <w:noWrap/>
          </w:tcPr>
          <w:p w14:paraId="759FFF82" w14:textId="77777777" w:rsidR="003A3D51" w:rsidRDefault="0002775A">
            <w:pPr>
              <w:pStyle w:val="P68B1DB1-Normal7"/>
              <w:spacing w:after="200" w:line="276" w:lineRule="auto"/>
              <w:rPr>
                <w:noProof/>
              </w:rPr>
            </w:pPr>
            <w:r>
              <w:rPr>
                <w:noProof/>
              </w:rPr>
              <w:t>Folk-, familje- och hushållsregister (SOK) som är kopplat till e-skattesystemet</w:t>
            </w:r>
          </w:p>
        </w:tc>
        <w:tc>
          <w:tcPr>
            <w:tcW w:w="1954" w:type="dxa"/>
            <w:tcBorders>
              <w:top w:val="single" w:sz="4" w:space="0" w:color="auto"/>
              <w:left w:val="nil"/>
              <w:bottom w:val="single" w:sz="4" w:space="0" w:color="auto"/>
              <w:right w:val="single" w:sz="4" w:space="0" w:color="auto"/>
            </w:tcBorders>
            <w:shd w:val="clear" w:color="auto" w:fill="C6EFCE"/>
            <w:noWrap/>
          </w:tcPr>
          <w:p w14:paraId="161A1CC9" w14:textId="77777777" w:rsidR="003A3D51" w:rsidRDefault="0002775A">
            <w:pPr>
              <w:pStyle w:val="P68B1DB1-Normal7"/>
              <w:spacing w:after="200" w:line="276" w:lineRule="auto"/>
              <w:rPr>
                <w:noProof/>
              </w:rPr>
            </w:pPr>
            <w:r>
              <w:rPr>
                <w:noProof/>
              </w:rPr>
              <w:t>Rapport från finansministeriet (MFIN)</w:t>
            </w:r>
          </w:p>
          <w:p w14:paraId="02CEF68F" w14:textId="77777777" w:rsidR="003A3D51" w:rsidRDefault="003A3D51">
            <w:pPr>
              <w:spacing w:after="200" w:line="276" w:lineRule="auto"/>
              <w:rPr>
                <w:rFonts w:ascii="Calibri" w:eastAsia="Calibri" w:hAnsi="Calibri" w:cs="Arial"/>
                <w:noProof/>
                <w:color w:val="000000"/>
                <w:sz w:val="20"/>
              </w:rPr>
            </w:pPr>
          </w:p>
        </w:tc>
        <w:tc>
          <w:tcPr>
            <w:tcW w:w="1096" w:type="dxa"/>
            <w:tcBorders>
              <w:top w:val="nil"/>
              <w:left w:val="nil"/>
              <w:bottom w:val="single" w:sz="4" w:space="0" w:color="auto"/>
              <w:right w:val="single" w:sz="4" w:space="0" w:color="auto"/>
            </w:tcBorders>
            <w:shd w:val="clear" w:color="auto" w:fill="C6EFCE"/>
            <w:noWrap/>
          </w:tcPr>
          <w:p w14:paraId="58D56D84" w14:textId="77777777" w:rsidR="003A3D51" w:rsidRDefault="003A3D51">
            <w:pPr>
              <w:spacing w:after="200" w:line="276" w:lineRule="auto"/>
              <w:jc w:val="center"/>
              <w:rPr>
                <w:rFonts w:ascii="Calibri" w:eastAsia="Calibri" w:hAnsi="Calibri" w:cs="Arial"/>
                <w:noProof/>
                <w:color w:val="000000"/>
                <w:sz w:val="20"/>
              </w:rPr>
            </w:pPr>
          </w:p>
        </w:tc>
        <w:tc>
          <w:tcPr>
            <w:tcW w:w="825" w:type="dxa"/>
            <w:tcBorders>
              <w:top w:val="nil"/>
              <w:left w:val="nil"/>
              <w:bottom w:val="single" w:sz="4" w:space="0" w:color="auto"/>
              <w:right w:val="single" w:sz="4" w:space="0" w:color="auto"/>
            </w:tcBorders>
            <w:shd w:val="clear" w:color="auto" w:fill="C6EFCE"/>
            <w:noWrap/>
          </w:tcPr>
          <w:p w14:paraId="0ED7492F" w14:textId="77777777" w:rsidR="003A3D51" w:rsidRDefault="003A3D51">
            <w:pPr>
              <w:spacing w:after="200" w:line="276" w:lineRule="auto"/>
              <w:jc w:val="center"/>
              <w:rPr>
                <w:rFonts w:ascii="Calibri" w:eastAsia="Calibri" w:hAnsi="Calibri" w:cs="Arial"/>
                <w:noProof/>
                <w:color w:val="000000"/>
                <w:sz w:val="20"/>
              </w:rPr>
            </w:pPr>
          </w:p>
        </w:tc>
        <w:tc>
          <w:tcPr>
            <w:tcW w:w="958" w:type="dxa"/>
            <w:tcBorders>
              <w:top w:val="nil"/>
              <w:left w:val="nil"/>
              <w:bottom w:val="single" w:sz="4" w:space="0" w:color="auto"/>
              <w:right w:val="single" w:sz="4" w:space="0" w:color="auto"/>
            </w:tcBorders>
            <w:shd w:val="clear" w:color="auto" w:fill="C6EFCE"/>
            <w:noWrap/>
          </w:tcPr>
          <w:p w14:paraId="741F4D96" w14:textId="77777777" w:rsidR="003A3D51" w:rsidRDefault="003A3D51">
            <w:pPr>
              <w:spacing w:after="200" w:line="276" w:lineRule="auto"/>
              <w:jc w:val="center"/>
              <w:rPr>
                <w:rFonts w:ascii="Calibri" w:eastAsia="Calibri" w:hAnsi="Calibri" w:cs="Arial"/>
                <w:noProof/>
                <w:color w:val="000000"/>
                <w:sz w:val="20"/>
              </w:rPr>
            </w:pPr>
          </w:p>
        </w:tc>
        <w:tc>
          <w:tcPr>
            <w:tcW w:w="516" w:type="dxa"/>
            <w:tcBorders>
              <w:top w:val="nil"/>
              <w:left w:val="nil"/>
              <w:bottom w:val="single" w:sz="4" w:space="0" w:color="auto"/>
              <w:right w:val="single" w:sz="4" w:space="0" w:color="auto"/>
            </w:tcBorders>
            <w:shd w:val="clear" w:color="auto" w:fill="C6EFCE"/>
            <w:noWrap/>
          </w:tcPr>
          <w:p w14:paraId="6FF07890" w14:textId="77777777" w:rsidR="003A3D51" w:rsidRDefault="0002775A">
            <w:pPr>
              <w:pStyle w:val="P68B1DB1-Normal7"/>
              <w:spacing w:after="200" w:line="276" w:lineRule="auto"/>
              <w:jc w:val="center"/>
              <w:rPr>
                <w:noProof/>
              </w:rPr>
            </w:pPr>
            <w:r>
              <w:rPr>
                <w:noProof/>
              </w:rPr>
              <w:t>KVARTAL 2</w:t>
            </w:r>
          </w:p>
        </w:tc>
        <w:tc>
          <w:tcPr>
            <w:tcW w:w="616" w:type="dxa"/>
            <w:tcBorders>
              <w:top w:val="nil"/>
              <w:left w:val="nil"/>
              <w:bottom w:val="single" w:sz="4" w:space="0" w:color="auto"/>
              <w:right w:val="single" w:sz="4" w:space="0" w:color="auto"/>
            </w:tcBorders>
            <w:shd w:val="clear" w:color="auto" w:fill="C6EFCE"/>
            <w:noWrap/>
          </w:tcPr>
          <w:p w14:paraId="774E1CED" w14:textId="77777777" w:rsidR="003A3D51" w:rsidRDefault="0002775A">
            <w:pPr>
              <w:pStyle w:val="P68B1DB1-Normal7"/>
              <w:spacing w:after="200" w:line="276" w:lineRule="auto"/>
              <w:jc w:val="center"/>
              <w:rPr>
                <w:noProof/>
              </w:rPr>
            </w:pPr>
            <w:r>
              <w:rPr>
                <w:noProof/>
              </w:rPr>
              <w:t>2026</w:t>
            </w:r>
          </w:p>
        </w:tc>
        <w:tc>
          <w:tcPr>
            <w:tcW w:w="4430" w:type="dxa"/>
            <w:tcBorders>
              <w:top w:val="single" w:sz="4" w:space="0" w:color="auto"/>
              <w:left w:val="nil"/>
              <w:bottom w:val="single" w:sz="4" w:space="0" w:color="auto"/>
              <w:right w:val="single" w:sz="4" w:space="0" w:color="auto"/>
            </w:tcBorders>
            <w:shd w:val="clear" w:color="auto" w:fill="C6EFCE"/>
            <w:noWrap/>
          </w:tcPr>
          <w:p w14:paraId="0AB8B09A" w14:textId="6F84D387" w:rsidR="003A3D51" w:rsidRDefault="0002775A">
            <w:pPr>
              <w:pStyle w:val="P68B1DB1-Normal7"/>
              <w:spacing w:after="200" w:line="276" w:lineRule="auto"/>
              <w:rPr>
                <w:noProof/>
              </w:rPr>
            </w:pPr>
            <w:r>
              <w:rPr>
                <w:noProof/>
              </w:rPr>
              <w:t>Folk-, familje- och hushållsregistret (SOK) är kopplat till e-skattesystemet.</w:t>
            </w:r>
          </w:p>
          <w:p w14:paraId="6A5BCB33" w14:textId="77777777" w:rsidR="003A3D51" w:rsidRDefault="003A3D51">
            <w:pPr>
              <w:spacing w:after="200" w:line="276" w:lineRule="auto"/>
              <w:rPr>
                <w:rFonts w:ascii="Calibri" w:eastAsia="Calibri" w:hAnsi="Calibri" w:cs="Arial"/>
                <w:noProof/>
                <w:color w:val="000000"/>
                <w:sz w:val="20"/>
              </w:rPr>
            </w:pPr>
          </w:p>
        </w:tc>
      </w:tr>
    </w:tbl>
    <w:p w14:paraId="3C737FCE" w14:textId="77777777" w:rsidR="003A3D51" w:rsidRDefault="003A3D51">
      <w:pPr>
        <w:pStyle w:val="paragraph"/>
        <w:spacing w:before="0" w:beforeAutospacing="0" w:after="0" w:afterAutospacing="0"/>
        <w:ind w:left="840"/>
        <w:jc w:val="both"/>
        <w:rPr>
          <w:rStyle w:val="eop"/>
          <w:noProof/>
          <w:color w:val="4F81BD"/>
        </w:rPr>
      </w:pPr>
    </w:p>
    <w:p w14:paraId="35FAE63E" w14:textId="77777777" w:rsidR="003A3D51" w:rsidRDefault="003A3D51">
      <w:pPr>
        <w:pStyle w:val="paragraph"/>
        <w:spacing w:before="0" w:beforeAutospacing="0" w:after="0" w:afterAutospacing="0"/>
        <w:ind w:left="840"/>
        <w:jc w:val="both"/>
        <w:rPr>
          <w:rStyle w:val="eop"/>
          <w:noProof/>
          <w:color w:val="4F81BD"/>
        </w:rPr>
      </w:pPr>
    </w:p>
    <w:p w14:paraId="755F9B48" w14:textId="77777777" w:rsidR="003A3D51" w:rsidRDefault="0002775A">
      <w:pPr>
        <w:pStyle w:val="paragraph"/>
        <w:spacing w:before="0" w:beforeAutospacing="0" w:after="0" w:afterAutospacing="0"/>
        <w:jc w:val="both"/>
        <w:textAlignment w:val="baseline"/>
        <w:rPr>
          <w:rFonts w:ascii="Segoe UI" w:hAnsi="Segoe UI" w:cs="Segoe UI"/>
          <w:noProof/>
          <w:sz w:val="18"/>
        </w:rPr>
      </w:pPr>
      <w:r>
        <w:rPr>
          <w:rStyle w:val="eop"/>
          <w:noProof/>
        </w:rPr>
        <w:t> </w:t>
      </w:r>
    </w:p>
    <w:p w14:paraId="7CC81FF2" w14:textId="77777777" w:rsidR="003A3D51" w:rsidRDefault="003A3D51">
      <w:pPr>
        <w:rPr>
          <w:noProof/>
        </w:rPr>
        <w:sectPr w:rsidR="003A3D51" w:rsidSect="0001477B">
          <w:headerReference w:type="even" r:id="rId192"/>
          <w:headerReference w:type="default" r:id="rId193"/>
          <w:footerReference w:type="even" r:id="rId194"/>
          <w:footerReference w:type="default" r:id="rId195"/>
          <w:headerReference w:type="first" r:id="rId196"/>
          <w:footerReference w:type="first" r:id="rId197"/>
          <w:pgSz w:w="15840" w:h="12240" w:orient="landscape"/>
          <w:pgMar w:top="1440" w:right="1440" w:bottom="1440" w:left="1440" w:header="708" w:footer="708" w:gutter="0"/>
          <w:cols w:space="708"/>
          <w:docGrid w:linePitch="360"/>
        </w:sectPr>
      </w:pPr>
    </w:p>
    <w:p w14:paraId="0483D7FB"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J. KOMPONENT 2.4: FÖRBÄTTRA FÖRVALTNINGEN AV STATLIGA TILLGÅNGAR</w:t>
      </w:r>
    </w:p>
    <w:p w14:paraId="51016F08" w14:textId="77777777" w:rsidR="003A3D51" w:rsidRDefault="0002775A">
      <w:pPr>
        <w:pStyle w:val="P68B1DB1-Normal11"/>
        <w:spacing w:before="40" w:after="120" w:line="252" w:lineRule="auto"/>
        <w:jc w:val="both"/>
        <w:rPr>
          <w:noProof/>
        </w:rPr>
      </w:pPr>
      <w:r>
        <w:rPr>
          <w:noProof/>
        </w:rPr>
        <w:t xml:space="preserve">De statligt ägda företagen står för omkring 7 % av mervärdet i ekonomin som helhet och utgör 4 % av den totala sysselsättningen. Med tanke på deras viktiga roll i den kroatiska ekonomin kan en förbättrad företagsstyrning av statsägda företag och den fortsatta minskningen av de statliga tillgångarna leda till en tydlig ökning av den totala produktiviteten. </w:t>
      </w:r>
    </w:p>
    <w:p w14:paraId="3F0D5E3F" w14:textId="77777777" w:rsidR="003A3D51" w:rsidRDefault="0002775A">
      <w:pPr>
        <w:pStyle w:val="P68B1DB1-Normal11"/>
        <w:spacing w:before="40" w:after="0"/>
        <w:jc w:val="both"/>
        <w:rPr>
          <w:noProof/>
        </w:rPr>
      </w:pPr>
      <w:r>
        <w:rPr>
          <w:noProof/>
        </w:rPr>
        <w:t>Syftet med den del som ingår i Kroatiens återhämtnings- och resiliensplan är att främja ekonomisk utveckling och öka de statsägda företagens övergripande effektivitet genom följande åtgärder:</w:t>
      </w:r>
    </w:p>
    <w:p w14:paraId="7EE576A4" w14:textId="77777777" w:rsidR="003A3D51" w:rsidRDefault="0002775A">
      <w:pPr>
        <w:pStyle w:val="P68B1DB1-Normal11"/>
        <w:numPr>
          <w:ilvl w:val="0"/>
          <w:numId w:val="35"/>
        </w:numPr>
        <w:tabs>
          <w:tab w:val="left" w:pos="426"/>
        </w:tabs>
        <w:spacing w:before="120" w:after="0" w:line="276" w:lineRule="auto"/>
        <w:ind w:left="714" w:hanging="357"/>
        <w:jc w:val="both"/>
        <w:rPr>
          <w:noProof/>
        </w:rPr>
      </w:pPr>
      <w:r>
        <w:rPr>
          <w:noProof/>
        </w:rPr>
        <w:t>Ytterligare minska antalet statsägda företag.</w:t>
      </w:r>
    </w:p>
    <w:p w14:paraId="44057707" w14:textId="77777777" w:rsidR="003A3D51" w:rsidRDefault="0002775A">
      <w:pPr>
        <w:pStyle w:val="P68B1DB1-Normal11"/>
        <w:numPr>
          <w:ilvl w:val="0"/>
          <w:numId w:val="35"/>
        </w:numPr>
        <w:tabs>
          <w:tab w:val="left" w:pos="426"/>
        </w:tabs>
        <w:spacing w:before="120" w:after="0" w:line="276" w:lineRule="auto"/>
        <w:ind w:left="714" w:hanging="357"/>
        <w:jc w:val="both"/>
        <w:rPr>
          <w:noProof/>
        </w:rPr>
      </w:pPr>
      <w:r>
        <w:rPr>
          <w:noProof/>
        </w:rPr>
        <w:t>Förbättra förvaltningen av statliga fastigheter.</w:t>
      </w:r>
    </w:p>
    <w:p w14:paraId="20B40E5A" w14:textId="77777777" w:rsidR="003A3D51" w:rsidRDefault="0002775A">
      <w:pPr>
        <w:pStyle w:val="P68B1DB1-Normal11"/>
        <w:numPr>
          <w:ilvl w:val="0"/>
          <w:numId w:val="35"/>
        </w:numPr>
        <w:tabs>
          <w:tab w:val="left" w:pos="426"/>
        </w:tabs>
        <w:spacing w:before="120" w:after="0" w:line="276" w:lineRule="auto"/>
        <w:ind w:left="714" w:hanging="357"/>
        <w:jc w:val="both"/>
        <w:rPr>
          <w:noProof/>
        </w:rPr>
      </w:pPr>
      <w:r>
        <w:rPr>
          <w:noProof/>
        </w:rPr>
        <w:t>Anpassning av det nationella regelverket för företagsstyrning till internationell bästa praxis på grundval av OECD:s rekommendationer.</w:t>
      </w:r>
    </w:p>
    <w:p w14:paraId="36975F20" w14:textId="77777777" w:rsidR="003A3D51" w:rsidRDefault="0002775A">
      <w:pPr>
        <w:pStyle w:val="NormalWeb"/>
        <w:numPr>
          <w:ilvl w:val="0"/>
          <w:numId w:val="35"/>
        </w:numPr>
        <w:tabs>
          <w:tab w:val="left" w:pos="426"/>
        </w:tabs>
        <w:spacing w:before="120" w:after="0" w:line="276" w:lineRule="auto"/>
        <w:ind w:left="714" w:hanging="357"/>
        <w:jc w:val="both"/>
        <w:rPr>
          <w:rFonts w:eastAsia="Times New Roman"/>
          <w:noProof/>
        </w:rPr>
      </w:pPr>
      <w:r>
        <w:rPr>
          <w:noProof/>
        </w:rPr>
        <w:t xml:space="preserve">Förbättra styrningen av statsägda företag av särskilt intresse för Republiken Kroatien och majoritetsägda statliga företag och förbättra samordningen mellan de behöriga nationella myndigheterna. </w:t>
      </w:r>
    </w:p>
    <w:p w14:paraId="68290C97" w14:textId="77777777" w:rsidR="003A3D51" w:rsidRDefault="0002775A">
      <w:pPr>
        <w:pStyle w:val="P68B1DB1-Normal11"/>
        <w:numPr>
          <w:ilvl w:val="0"/>
          <w:numId w:val="35"/>
        </w:numPr>
        <w:tabs>
          <w:tab w:val="left" w:pos="426"/>
        </w:tabs>
        <w:spacing w:before="120" w:after="0" w:line="276" w:lineRule="auto"/>
        <w:ind w:left="714" w:hanging="357"/>
        <w:jc w:val="both"/>
        <w:rPr>
          <w:noProof/>
        </w:rPr>
      </w:pPr>
      <w:r>
        <w:rPr>
          <w:noProof/>
        </w:rPr>
        <w:t>Stärka den mänskliga kapaciteten att övervaka företagsstyrningen i statsägda företag.</w:t>
      </w:r>
    </w:p>
    <w:p w14:paraId="09D4DF04" w14:textId="77777777" w:rsidR="003A3D51" w:rsidRDefault="0002775A">
      <w:pPr>
        <w:pStyle w:val="P68B1DB1-Normal11"/>
        <w:spacing w:before="120" w:after="0"/>
        <w:jc w:val="both"/>
        <w:rPr>
          <w:noProof/>
        </w:rPr>
      </w:pPr>
      <w:r>
        <w:rPr>
          <w:noProof/>
        </w:rPr>
        <w:t>Komponenten stöder genomförandet av de landsspecifika rekommendationerna om förbättrad företagsstyrning av statsägda företag och intensifiering av försäljningen av statsägda företag och icke-produktiva tillgångar (landsspecifika rekommendationer 4 och 2019). Komponenten bidrar också till åtagandena efter ERM II-anslutningen för att stärka förvaltningen av statsägda företag.</w:t>
      </w:r>
    </w:p>
    <w:p w14:paraId="467C4DFB" w14:textId="77777777" w:rsidR="003A3D51" w:rsidRDefault="003A3D51">
      <w:pPr>
        <w:spacing w:before="40" w:after="0"/>
        <w:jc w:val="both"/>
        <w:rPr>
          <w:rFonts w:ascii="Times New Roman" w:eastAsia="Times New Roman" w:hAnsi="Times New Roman" w:cs="Times New Roman"/>
          <w:noProof/>
          <w:sz w:val="24"/>
        </w:rPr>
      </w:pPr>
    </w:p>
    <w:p w14:paraId="29C8727F" w14:textId="77777777" w:rsidR="003A3D51" w:rsidRDefault="0002775A">
      <w:pPr>
        <w:pStyle w:val="P68B1DB1-Normal4"/>
        <w:keepNext/>
        <w:tabs>
          <w:tab w:val="num" w:pos="850"/>
        </w:tabs>
        <w:spacing w:before="40" w:after="0"/>
        <w:ind w:left="851"/>
        <w:jc w:val="both"/>
        <w:outlineLvl w:val="1"/>
        <w:rPr>
          <w:noProof/>
        </w:rPr>
      </w:pPr>
      <w:r>
        <w:rPr>
          <w:noProof/>
        </w:rPr>
        <w:t xml:space="preserve">J.1. </w:t>
      </w:r>
      <w:r>
        <w:rPr>
          <w:noProof/>
        </w:rPr>
        <w:tab/>
        <w:t>Beskrivning av reformer och investeringar avseende icke återbetalningspliktigt ekonomiskt stöd</w:t>
      </w:r>
    </w:p>
    <w:p w14:paraId="09DD4396" w14:textId="77777777" w:rsidR="003A3D51" w:rsidRDefault="0002775A">
      <w:pPr>
        <w:pStyle w:val="P68B1DB1-Normal18"/>
        <w:keepNext/>
        <w:tabs>
          <w:tab w:val="num" w:pos="850"/>
        </w:tabs>
        <w:spacing w:before="240" w:after="0"/>
        <w:ind w:left="851"/>
        <w:jc w:val="both"/>
        <w:outlineLvl w:val="2"/>
        <w:rPr>
          <w:noProof/>
        </w:rPr>
      </w:pPr>
      <w:r>
        <w:rPr>
          <w:noProof/>
        </w:rPr>
        <w:t>Reform C2.4 R1 – Revidering av förteckningen över statsägda företag av särskilt intresse för Kroatien</w:t>
      </w:r>
    </w:p>
    <w:p w14:paraId="087695FB" w14:textId="77777777" w:rsidR="003A3D51" w:rsidRDefault="0002775A">
      <w:pPr>
        <w:pStyle w:val="P68B1DB1-Normal11"/>
        <w:spacing w:before="120" w:after="0"/>
        <w:jc w:val="both"/>
        <w:rPr>
          <w:noProof/>
        </w:rPr>
      </w:pPr>
      <w:r>
        <w:rPr>
          <w:noProof/>
        </w:rPr>
        <w:t xml:space="preserve">Syftet med denna reform är att rationalisera det statliga ägandet genom att anta en ny ägarpolitik som fastställer kriterierna för strategiska tillgångar och uppdaterar förteckningen över statsägda företag som har ett särskilt intresse för Kroatien och offentliggör den förklaring som motiverar beslutet att behålla ett företag på denna förteckning. </w:t>
      </w:r>
    </w:p>
    <w:p w14:paraId="48647269" w14:textId="77777777" w:rsidR="003A3D51" w:rsidRDefault="0002775A">
      <w:pPr>
        <w:pStyle w:val="P68B1DB1-Normal11"/>
        <w:spacing w:before="40" w:after="0"/>
        <w:jc w:val="both"/>
        <w:rPr>
          <w:noProof/>
        </w:rPr>
      </w:pPr>
      <w:r>
        <w:rPr>
          <w:noProof/>
        </w:rPr>
        <w:t xml:space="preserve">Reformen ska vara genomförd senast den 31 december 2021. </w:t>
      </w:r>
    </w:p>
    <w:p w14:paraId="5085F0C6" w14:textId="77777777" w:rsidR="003A3D51" w:rsidRDefault="0002775A">
      <w:pPr>
        <w:pStyle w:val="P68B1DB1-Normal18"/>
        <w:keepNext/>
        <w:tabs>
          <w:tab w:val="num" w:pos="850"/>
        </w:tabs>
        <w:spacing w:before="240" w:after="0"/>
        <w:ind w:left="851"/>
        <w:jc w:val="both"/>
        <w:outlineLvl w:val="2"/>
        <w:rPr>
          <w:noProof/>
        </w:rPr>
      </w:pPr>
      <w:r>
        <w:rPr>
          <w:noProof/>
        </w:rPr>
        <w:t>Reform C2.4 R2 – Förbättra bolagsstyrningen i statsägda företag av särskilt intresse för Republiken Kroatien och i majoritetsägda statliga företag.</w:t>
      </w:r>
    </w:p>
    <w:p w14:paraId="3D72B279" w14:textId="77777777" w:rsidR="003A3D51" w:rsidRDefault="0002775A">
      <w:pPr>
        <w:pStyle w:val="P68B1DB1-Normal11"/>
        <w:spacing w:before="120" w:after="0"/>
        <w:jc w:val="both"/>
        <w:rPr>
          <w:noProof/>
        </w:rPr>
      </w:pPr>
      <w:r>
        <w:rPr>
          <w:noProof/>
        </w:rPr>
        <w:t>Med tanke på de statsägda företagens betydelse för den kroatiska ekonomin är syftet med denna reform att förbättra de statsägda företagens företagsstyrning.</w:t>
      </w:r>
    </w:p>
    <w:p w14:paraId="74359DED" w14:textId="77777777" w:rsidR="003A3D51" w:rsidRDefault="0002775A">
      <w:pPr>
        <w:pStyle w:val="P68B1DB1-Normal43"/>
        <w:spacing w:before="40" w:after="0"/>
        <w:jc w:val="both"/>
        <w:rPr>
          <w:rFonts w:ascii="Calibri" w:eastAsia="Times New Roman" w:hAnsi="Calibri" w:cs="Arial"/>
          <w:noProof/>
        </w:rPr>
      </w:pPr>
      <w:r>
        <w:rPr>
          <w:rFonts w:ascii="Times New Roman" w:eastAsia="Times New Roman" w:hAnsi="Times New Roman" w:cs="Times New Roman"/>
          <w:noProof/>
        </w:rPr>
        <w:t>Reformen ska omfatta antagandet av en ny enda lag om statligt ägda företag för att genomföra OECD:s rekommendationer, särskilt följande: (i) harmonisera regelverket för de statsägda företagens företagsstyrning, II) inrätta en central samordningsenhet för genomförandet av ägarpolitiken på medellång sikt. och iii) stärka de statsägda företagens styrelses självständighet och oberoende.</w:t>
      </w:r>
      <w:r>
        <w:rPr>
          <w:rFonts w:ascii="Calibri" w:eastAsia="Times New Roman" w:hAnsi="Calibri" w:cs="Arial"/>
          <w:noProof/>
        </w:rPr>
        <w:t xml:space="preserve"> </w:t>
      </w:r>
    </w:p>
    <w:p w14:paraId="47F8825C" w14:textId="77777777" w:rsidR="003A3D51" w:rsidRDefault="0002775A">
      <w:pPr>
        <w:pStyle w:val="P68B1DB1-Normal11"/>
        <w:spacing w:before="40" w:after="0"/>
        <w:jc w:val="both"/>
        <w:rPr>
          <w:noProof/>
        </w:rPr>
      </w:pPr>
      <w:r>
        <w:rPr>
          <w:noProof/>
        </w:rPr>
        <w:t>Reformen ska vara genomförd senast den 31 mars 2024.</w:t>
      </w:r>
    </w:p>
    <w:p w14:paraId="23ADE79A" w14:textId="77777777" w:rsidR="003A3D51" w:rsidRDefault="0002775A">
      <w:pPr>
        <w:pStyle w:val="P68B1DB1-Normal18"/>
        <w:keepNext/>
        <w:tabs>
          <w:tab w:val="num" w:pos="850"/>
        </w:tabs>
        <w:spacing w:before="240" w:after="0"/>
        <w:ind w:left="851"/>
        <w:jc w:val="both"/>
        <w:outlineLvl w:val="2"/>
        <w:rPr>
          <w:noProof/>
        </w:rPr>
      </w:pPr>
      <w:r>
        <w:rPr>
          <w:noProof/>
        </w:rPr>
        <w:t>Reform C2.4 R3 – Stärka den mänskliga kapaciteten att övervaka bolagsstyrningen i statsägda företag</w:t>
      </w:r>
    </w:p>
    <w:p w14:paraId="619AD32A" w14:textId="77777777" w:rsidR="003A3D51" w:rsidRDefault="0002775A">
      <w:pPr>
        <w:pStyle w:val="P68B1DB1-Normal11"/>
        <w:spacing w:before="120" w:after="0"/>
        <w:jc w:val="both"/>
        <w:rPr>
          <w:noProof/>
        </w:rPr>
      </w:pPr>
      <w:r>
        <w:rPr>
          <w:noProof/>
        </w:rPr>
        <w:t>Reformen syftar till att genom utbildning förbättra den centrala regeringens mänskliga kapacitet i syfte att fastställa de statsägda företagens finansiella och operativa mål och förbättra samordningen mellan de behöriga nationella myndigheterna.</w:t>
      </w:r>
    </w:p>
    <w:p w14:paraId="0BA3D265" w14:textId="77777777" w:rsidR="003A3D51" w:rsidRDefault="0002775A">
      <w:pPr>
        <w:pStyle w:val="P68B1DB1-Normal11"/>
        <w:spacing w:before="120" w:after="0"/>
        <w:jc w:val="both"/>
        <w:rPr>
          <w:noProof/>
        </w:rPr>
      </w:pPr>
      <w:r>
        <w:rPr>
          <w:noProof/>
        </w:rPr>
        <w:t>Reformen ska omfatta åtgärder för att stärka den institutionella kapaciteten genom att utbilda offentliga tjänstemän med särskilda befogenheter beroende på den ekonomiska sektor där de statsägda företagen är verksamma.</w:t>
      </w:r>
    </w:p>
    <w:p w14:paraId="26CB21E4" w14:textId="77777777" w:rsidR="003A3D51" w:rsidRDefault="0002775A">
      <w:pPr>
        <w:pStyle w:val="P68B1DB1-Normal11"/>
        <w:spacing w:before="40" w:after="0"/>
        <w:jc w:val="both"/>
        <w:rPr>
          <w:noProof/>
        </w:rPr>
      </w:pPr>
      <w:r>
        <w:rPr>
          <w:noProof/>
        </w:rPr>
        <w:t>Reformen ska vara genomförd senast den 30 juni 2026.</w:t>
      </w:r>
    </w:p>
    <w:p w14:paraId="59E00051" w14:textId="77777777" w:rsidR="003A3D51" w:rsidRDefault="0002775A">
      <w:pPr>
        <w:pStyle w:val="P68B1DB1-Normal18"/>
        <w:keepNext/>
        <w:tabs>
          <w:tab w:val="num" w:pos="850"/>
        </w:tabs>
        <w:spacing w:before="240" w:after="0"/>
        <w:ind w:left="851"/>
        <w:jc w:val="both"/>
        <w:outlineLvl w:val="2"/>
        <w:rPr>
          <w:noProof/>
        </w:rPr>
      </w:pPr>
      <w:r>
        <w:rPr>
          <w:noProof/>
        </w:rPr>
        <w:t>Reform C2.4 R4 – Fortsatt minskning av antalet statsägda företag som inte är av särskilt intresse för Kroatien</w:t>
      </w:r>
    </w:p>
    <w:p w14:paraId="01791120" w14:textId="77777777" w:rsidR="003A3D51" w:rsidRDefault="0002775A">
      <w:pPr>
        <w:pStyle w:val="P68B1DB1-Normal11"/>
        <w:spacing w:before="120" w:after="0"/>
        <w:jc w:val="both"/>
        <w:rPr>
          <w:noProof/>
        </w:rPr>
      </w:pPr>
      <w:r>
        <w:rPr>
          <w:noProof/>
        </w:rPr>
        <w:t>Syftet med denna reform är att fortsätta att minska antalet statsägda företag som inte är av särskilt intresse för Kroatien genom försäljning genom offentliga anbudsförfaranden, efter att vid behov undanröja befintliga hinder för avyttring av aktier i dessa företag.</w:t>
      </w:r>
    </w:p>
    <w:p w14:paraId="1C92A91B" w14:textId="77777777" w:rsidR="003A3D51" w:rsidRDefault="0002775A">
      <w:pPr>
        <w:pStyle w:val="P68B1DB1-Normal11"/>
        <w:spacing w:before="120" w:after="0"/>
        <w:jc w:val="both"/>
        <w:rPr>
          <w:noProof/>
        </w:rPr>
      </w:pPr>
      <w:r>
        <w:rPr>
          <w:noProof/>
        </w:rPr>
        <w:t xml:space="preserve">Reformen ska vara genomförd senast den 30 juni 2026. </w:t>
      </w:r>
    </w:p>
    <w:p w14:paraId="416E384B" w14:textId="77777777" w:rsidR="003A3D51" w:rsidRDefault="0002775A">
      <w:pPr>
        <w:pStyle w:val="P68B1DB1-Normal18"/>
        <w:keepNext/>
        <w:numPr>
          <w:ilvl w:val="2"/>
          <w:numId w:val="0"/>
        </w:numPr>
        <w:spacing w:before="240" w:after="0"/>
        <w:ind w:left="851"/>
        <w:jc w:val="both"/>
        <w:outlineLvl w:val="2"/>
        <w:rPr>
          <w:noProof/>
        </w:rPr>
      </w:pPr>
      <w:r>
        <w:rPr>
          <w:noProof/>
        </w:rPr>
        <w:t>Reform C2.4 R5 – Optimering av förvaltningen av statligt ägda fastigheter</w:t>
      </w:r>
    </w:p>
    <w:p w14:paraId="3C725F2A" w14:textId="77777777" w:rsidR="003A3D51" w:rsidRDefault="0002775A">
      <w:pPr>
        <w:pStyle w:val="P68B1DB1-Normal11"/>
        <w:spacing w:before="120" w:after="0"/>
        <w:jc w:val="both"/>
        <w:rPr>
          <w:noProof/>
        </w:rPr>
      </w:pPr>
      <w:r>
        <w:rPr>
          <w:noProof/>
        </w:rPr>
        <w:t>Huvudsyftet med reformen är att öka kommersialiseringen och rationaliseringen av, och avkastningen från, statligt ägd egendom genom att utveckla ett administrativt it-system för förvaltning av statsägda fastighetsportföljer. Reformen förväntas leda till snabbare aktivering och effektivare användning av outnyttjade statliga tillgångar.</w:t>
      </w:r>
    </w:p>
    <w:p w14:paraId="0AB99C30" w14:textId="77777777" w:rsidR="003A3D51" w:rsidRDefault="0002775A">
      <w:pPr>
        <w:pStyle w:val="P68B1DB1-Normal11"/>
        <w:spacing w:before="120" w:after="0"/>
        <w:jc w:val="both"/>
        <w:rPr>
          <w:noProof/>
        </w:rPr>
      </w:pPr>
      <w:r>
        <w:rPr>
          <w:noProof/>
        </w:rPr>
        <w:t>Reformen ska vara genomförd senast den 30 juni 2026.</w:t>
      </w:r>
    </w:p>
    <w:p w14:paraId="0DA98D52" w14:textId="77777777" w:rsidR="003A3D51" w:rsidRDefault="003A3D51">
      <w:pPr>
        <w:spacing w:before="120" w:after="120" w:line="240" w:lineRule="auto"/>
        <w:jc w:val="both"/>
        <w:rPr>
          <w:rFonts w:ascii="Times New Roman" w:eastAsia="Calibri" w:hAnsi="Times New Roman" w:cs="Times New Roman"/>
          <w:noProof/>
          <w:sz w:val="24"/>
          <w:u w:val="single"/>
        </w:rPr>
      </w:pPr>
    </w:p>
    <w:p w14:paraId="5B7B8E56" w14:textId="77777777" w:rsidR="003A3D51" w:rsidRDefault="003A3D51">
      <w:pPr>
        <w:rPr>
          <w:noProof/>
        </w:rPr>
        <w:sectPr w:rsidR="003A3D51" w:rsidSect="00733DCA">
          <w:headerReference w:type="even" r:id="rId198"/>
          <w:headerReference w:type="default" r:id="rId199"/>
          <w:footerReference w:type="even" r:id="rId200"/>
          <w:footerReference w:type="default" r:id="rId201"/>
          <w:headerReference w:type="first" r:id="rId202"/>
          <w:footerReference w:type="first" r:id="rId203"/>
          <w:pgSz w:w="12240" w:h="15840"/>
          <w:pgMar w:top="1440" w:right="1440" w:bottom="1440" w:left="1440" w:header="708" w:footer="708" w:gutter="0"/>
          <w:cols w:space="708"/>
          <w:docGrid w:linePitch="360"/>
        </w:sectPr>
      </w:pPr>
    </w:p>
    <w:p w14:paraId="57E82E33" w14:textId="77777777" w:rsidR="003A3D51" w:rsidRDefault="0002775A">
      <w:pPr>
        <w:pStyle w:val="P68B1DB1-Normal37"/>
        <w:keepNext/>
        <w:tabs>
          <w:tab w:val="num" w:pos="850"/>
        </w:tabs>
        <w:spacing w:before="40" w:after="240"/>
        <w:ind w:left="851"/>
        <w:jc w:val="both"/>
        <w:outlineLvl w:val="1"/>
        <w:rPr>
          <w:noProof/>
        </w:rPr>
      </w:pPr>
      <w:r>
        <w:rPr>
          <w:noProof/>
        </w:rPr>
        <w:t xml:space="preserve">J.2. </w:t>
      </w:r>
      <w:r>
        <w:rPr>
          <w:noProof/>
        </w:rPr>
        <w:tab/>
        <w:t>Delmål, mål, indikatorer och tidsplan för övervakning och genomförande avseende icke återbetalningspliktigt ekonomiskt stöd</w:t>
      </w:r>
    </w:p>
    <w:tbl>
      <w:tblPr>
        <w:tblW w:w="14885" w:type="dxa"/>
        <w:tblInd w:w="-256" w:type="dxa"/>
        <w:tblCellMar>
          <w:top w:w="28" w:type="dxa"/>
          <w:left w:w="28" w:type="dxa"/>
          <w:bottom w:w="28" w:type="dxa"/>
          <w:right w:w="28" w:type="dxa"/>
        </w:tblCellMar>
        <w:tblLook w:val="04A0" w:firstRow="1" w:lastRow="0" w:firstColumn="1" w:lastColumn="0" w:noHBand="0" w:noVBand="1"/>
      </w:tblPr>
      <w:tblGrid>
        <w:gridCol w:w="737"/>
        <w:gridCol w:w="850"/>
        <w:gridCol w:w="946"/>
        <w:gridCol w:w="2271"/>
        <w:gridCol w:w="1986"/>
        <w:gridCol w:w="851"/>
        <w:gridCol w:w="874"/>
        <w:gridCol w:w="969"/>
        <w:gridCol w:w="795"/>
        <w:gridCol w:w="992"/>
        <w:gridCol w:w="4111"/>
      </w:tblGrid>
      <w:tr w:rsidR="003A3D51" w14:paraId="2892C21A" w14:textId="77777777">
        <w:trPr>
          <w:trHeight w:val="635"/>
          <w:tblHead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1414947" w14:textId="77777777" w:rsidR="003A3D51" w:rsidRDefault="0002775A">
            <w:pPr>
              <w:pStyle w:val="P68B1DB1-Normal6"/>
              <w:spacing w:after="0"/>
              <w:jc w:val="center"/>
              <w:rPr>
                <w:noProof/>
              </w:rPr>
            </w:pPr>
            <w:r>
              <w:rPr>
                <w:noProof/>
              </w:rPr>
              <w:t>Antal</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0A4C7BD" w14:textId="77777777" w:rsidR="003A3D51" w:rsidRDefault="0002775A">
            <w:pPr>
              <w:pStyle w:val="P68B1DB1-Normal6"/>
              <w:spacing w:after="0"/>
              <w:jc w:val="center"/>
              <w:rPr>
                <w:noProof/>
              </w:rPr>
            </w:pPr>
            <w:r>
              <w:rPr>
                <w:noProof/>
              </w:rPr>
              <w:t>Åtgärd</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C8F782E" w14:textId="77777777" w:rsidR="003A3D51" w:rsidRDefault="0002775A">
            <w:pPr>
              <w:pStyle w:val="P68B1DB1-Normal6"/>
              <w:spacing w:after="0"/>
              <w:jc w:val="center"/>
              <w:rPr>
                <w:noProof/>
              </w:rPr>
            </w:pPr>
            <w:r>
              <w:rPr>
                <w:noProof/>
              </w:rPr>
              <w:t>Delmål/mål</w:t>
            </w:r>
          </w:p>
        </w:tc>
        <w:tc>
          <w:tcPr>
            <w:tcW w:w="2098"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77022578" w14:textId="77777777" w:rsidR="003A3D51" w:rsidRDefault="0002775A">
            <w:pPr>
              <w:pStyle w:val="P68B1DB1-Normal6"/>
              <w:spacing w:after="0"/>
              <w:jc w:val="center"/>
              <w:rPr>
                <w:noProof/>
              </w:rPr>
            </w:pPr>
            <w:r>
              <w:rPr>
                <w:noProof/>
              </w:rPr>
              <w:t>Namn</w:t>
            </w:r>
          </w:p>
        </w:tc>
        <w:tc>
          <w:tcPr>
            <w:tcW w:w="1986"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864659B"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hAnsi="Times New Roman" w:cs="Times New Roman"/>
                <w:noProof/>
              </w:rPr>
              <w:br/>
            </w:r>
            <w:r>
              <w:rPr>
                <w:rFonts w:ascii="Times New Roman" w:eastAsia="Times New Roman" w:hAnsi="Times New Roman" w:cs="Times New Roman"/>
                <w:b/>
                <w:noProof/>
                <w:sz w:val="18"/>
              </w:rPr>
              <w:t>(för delmål)</w:t>
            </w:r>
          </w:p>
        </w:tc>
        <w:tc>
          <w:tcPr>
            <w:tcW w:w="2694" w:type="dxa"/>
            <w:gridSpan w:val="3"/>
            <w:tcBorders>
              <w:top w:val="single" w:sz="4" w:space="0" w:color="auto"/>
              <w:left w:val="nil"/>
              <w:bottom w:val="single" w:sz="4" w:space="0" w:color="auto"/>
              <w:right w:val="single" w:sz="4" w:space="0" w:color="auto"/>
            </w:tcBorders>
            <w:shd w:val="clear" w:color="auto" w:fill="BDD7EE"/>
            <w:vAlign w:val="center"/>
            <w:hideMark/>
          </w:tcPr>
          <w:p w14:paraId="2E9AAC46"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hAnsi="Times New Roman" w:cs="Times New Roman"/>
                <w:noProof/>
              </w:rPr>
              <w:br/>
            </w:r>
            <w:r>
              <w:rPr>
                <w:rFonts w:ascii="Times New Roman" w:eastAsia="Times New Roman" w:hAnsi="Times New Roman" w:cs="Times New Roman"/>
                <w:b/>
                <w:noProof/>
                <w:sz w:val="18"/>
              </w:rPr>
              <w:t>(för mål)</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14:paraId="7ECFBF69" w14:textId="77777777" w:rsidR="003A3D51" w:rsidRDefault="0002775A">
            <w:pPr>
              <w:pStyle w:val="P68B1DB1-Normal6"/>
              <w:spacing w:after="0"/>
              <w:jc w:val="center"/>
              <w:rPr>
                <w:noProof/>
              </w:rPr>
            </w:pPr>
            <w:r>
              <w:rPr>
                <w:noProof/>
              </w:rPr>
              <w:t>Tid</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EF1203" w14:textId="77777777" w:rsidR="003A3D51" w:rsidRDefault="0002775A">
            <w:pPr>
              <w:pStyle w:val="P68B1DB1-Normal6"/>
              <w:spacing w:after="0"/>
              <w:jc w:val="center"/>
              <w:rPr>
                <w:noProof/>
              </w:rPr>
            </w:pPr>
            <w:r>
              <w:rPr>
                <w:noProof/>
              </w:rPr>
              <w:t>Beskrivning av varje delmål och mål</w:t>
            </w:r>
          </w:p>
        </w:tc>
      </w:tr>
      <w:tr w:rsidR="003A3D51" w14:paraId="11D8A49F" w14:textId="77777777">
        <w:trPr>
          <w:trHeight w:val="352"/>
          <w:tblHeader/>
        </w:trPr>
        <w:tc>
          <w:tcPr>
            <w:tcW w:w="737" w:type="dxa"/>
            <w:vMerge/>
            <w:tcBorders>
              <w:top w:val="single" w:sz="4" w:space="0" w:color="auto"/>
              <w:left w:val="single" w:sz="4" w:space="0" w:color="auto"/>
              <w:bottom w:val="single" w:sz="4" w:space="0" w:color="000000"/>
              <w:right w:val="single" w:sz="4" w:space="0" w:color="auto"/>
            </w:tcBorders>
            <w:hideMark/>
          </w:tcPr>
          <w:p w14:paraId="212D1E17" w14:textId="77777777" w:rsidR="003A3D51" w:rsidRDefault="003A3D51">
            <w:pPr>
              <w:spacing w:after="0"/>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000000"/>
              <w:right w:val="single" w:sz="4" w:space="0" w:color="auto"/>
            </w:tcBorders>
            <w:hideMark/>
          </w:tcPr>
          <w:p w14:paraId="5AE81D23" w14:textId="77777777" w:rsidR="003A3D51" w:rsidRDefault="003A3D51">
            <w:pPr>
              <w:spacing w:after="0"/>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000000"/>
              <w:right w:val="single" w:sz="4" w:space="0" w:color="auto"/>
            </w:tcBorders>
            <w:hideMark/>
          </w:tcPr>
          <w:p w14:paraId="15B2BE2E" w14:textId="77777777" w:rsidR="003A3D51" w:rsidRDefault="003A3D51">
            <w:pPr>
              <w:spacing w:after="0"/>
              <w:jc w:val="center"/>
              <w:rPr>
                <w:rFonts w:ascii="Times New Roman" w:eastAsia="Times New Roman" w:hAnsi="Times New Roman" w:cs="Times New Roman"/>
                <w:b/>
                <w:noProof/>
              </w:rPr>
            </w:pPr>
          </w:p>
        </w:tc>
        <w:tc>
          <w:tcPr>
            <w:tcW w:w="2098" w:type="dxa"/>
            <w:vMerge/>
            <w:tcBorders>
              <w:top w:val="single" w:sz="4" w:space="0" w:color="auto"/>
              <w:left w:val="nil"/>
              <w:bottom w:val="single" w:sz="4" w:space="0" w:color="000000"/>
              <w:right w:val="single" w:sz="4" w:space="0" w:color="auto"/>
            </w:tcBorders>
            <w:hideMark/>
          </w:tcPr>
          <w:p w14:paraId="0536A4DC" w14:textId="77777777" w:rsidR="003A3D51" w:rsidRDefault="003A3D51">
            <w:pPr>
              <w:spacing w:after="0"/>
              <w:rPr>
                <w:rFonts w:ascii="Times New Roman" w:eastAsia="Times New Roman" w:hAnsi="Times New Roman" w:cs="Times New Roman"/>
                <w:b/>
                <w:noProof/>
              </w:rPr>
            </w:pPr>
          </w:p>
        </w:tc>
        <w:tc>
          <w:tcPr>
            <w:tcW w:w="1986" w:type="dxa"/>
            <w:vMerge/>
            <w:tcBorders>
              <w:top w:val="single" w:sz="4" w:space="0" w:color="auto"/>
              <w:left w:val="single" w:sz="4" w:space="0" w:color="auto"/>
              <w:bottom w:val="single" w:sz="4" w:space="0" w:color="000000"/>
              <w:right w:val="single" w:sz="4" w:space="0" w:color="auto"/>
            </w:tcBorders>
            <w:hideMark/>
          </w:tcPr>
          <w:p w14:paraId="1C5F3D9A" w14:textId="77777777" w:rsidR="003A3D51" w:rsidRDefault="003A3D51">
            <w:pPr>
              <w:spacing w:after="0"/>
              <w:rPr>
                <w:rFonts w:ascii="Times New Roman" w:eastAsia="Times New Roman" w:hAnsi="Times New Roman" w:cs="Times New Roman"/>
                <w:b/>
                <w:noProof/>
              </w:rPr>
            </w:pPr>
          </w:p>
        </w:tc>
        <w:tc>
          <w:tcPr>
            <w:tcW w:w="851" w:type="dxa"/>
            <w:tcBorders>
              <w:top w:val="nil"/>
              <w:left w:val="nil"/>
              <w:bottom w:val="single" w:sz="4" w:space="0" w:color="auto"/>
              <w:right w:val="single" w:sz="4" w:space="0" w:color="auto"/>
            </w:tcBorders>
            <w:shd w:val="clear" w:color="auto" w:fill="BDD7EE"/>
            <w:vAlign w:val="center"/>
            <w:hideMark/>
          </w:tcPr>
          <w:p w14:paraId="0CCB00D5" w14:textId="77777777" w:rsidR="003A3D51" w:rsidRDefault="0002775A">
            <w:pPr>
              <w:pStyle w:val="P68B1DB1-Normal6"/>
              <w:spacing w:after="0"/>
              <w:jc w:val="center"/>
              <w:rPr>
                <w:noProof/>
              </w:rPr>
            </w:pPr>
            <w:r>
              <w:rPr>
                <w:noProof/>
              </w:rPr>
              <w:t>Enhet</w:t>
            </w:r>
          </w:p>
        </w:tc>
        <w:tc>
          <w:tcPr>
            <w:tcW w:w="874" w:type="dxa"/>
            <w:tcBorders>
              <w:top w:val="nil"/>
              <w:left w:val="nil"/>
              <w:bottom w:val="single" w:sz="4" w:space="0" w:color="auto"/>
              <w:right w:val="single" w:sz="4" w:space="0" w:color="auto"/>
            </w:tcBorders>
            <w:shd w:val="clear" w:color="auto" w:fill="BDD7EE"/>
            <w:vAlign w:val="center"/>
            <w:hideMark/>
          </w:tcPr>
          <w:p w14:paraId="62EBB495" w14:textId="77777777" w:rsidR="003A3D51" w:rsidRDefault="0002775A">
            <w:pPr>
              <w:pStyle w:val="P68B1DB1-Normal6"/>
              <w:spacing w:after="0"/>
              <w:jc w:val="center"/>
              <w:rPr>
                <w:noProof/>
              </w:rPr>
            </w:pPr>
            <w:r>
              <w:rPr>
                <w:noProof/>
              </w:rPr>
              <w:t>Baslinjen</w:t>
            </w:r>
          </w:p>
        </w:tc>
        <w:tc>
          <w:tcPr>
            <w:tcW w:w="969" w:type="dxa"/>
            <w:tcBorders>
              <w:top w:val="nil"/>
              <w:left w:val="nil"/>
              <w:bottom w:val="single" w:sz="4" w:space="0" w:color="auto"/>
              <w:right w:val="single" w:sz="4" w:space="0" w:color="auto"/>
            </w:tcBorders>
            <w:shd w:val="clear" w:color="auto" w:fill="BDD7EE"/>
            <w:vAlign w:val="center"/>
            <w:hideMark/>
          </w:tcPr>
          <w:p w14:paraId="077BA3BB" w14:textId="77777777" w:rsidR="003A3D51" w:rsidRDefault="0002775A">
            <w:pPr>
              <w:pStyle w:val="P68B1DB1-Normal6"/>
              <w:spacing w:after="0"/>
              <w:jc w:val="center"/>
              <w:rPr>
                <w:noProof/>
              </w:rPr>
            </w:pPr>
            <w:r>
              <w:rPr>
                <w:noProof/>
              </w:rPr>
              <w:t>Mål</w:t>
            </w:r>
          </w:p>
        </w:tc>
        <w:tc>
          <w:tcPr>
            <w:tcW w:w="567" w:type="dxa"/>
            <w:tcBorders>
              <w:top w:val="nil"/>
              <w:left w:val="nil"/>
              <w:bottom w:val="single" w:sz="4" w:space="0" w:color="auto"/>
              <w:right w:val="single" w:sz="4" w:space="0" w:color="auto"/>
            </w:tcBorders>
            <w:shd w:val="clear" w:color="auto" w:fill="BDD7EE"/>
            <w:vAlign w:val="center"/>
            <w:hideMark/>
          </w:tcPr>
          <w:p w14:paraId="2D44EA1E" w14:textId="77777777" w:rsidR="003A3D51" w:rsidRDefault="0002775A">
            <w:pPr>
              <w:pStyle w:val="P68B1DB1-Normal6"/>
              <w:spacing w:after="0"/>
              <w:jc w:val="center"/>
              <w:rPr>
                <w:noProof/>
              </w:rPr>
            </w:pPr>
            <w:r>
              <w:rPr>
                <w:noProof/>
              </w:rPr>
              <w:t>Q</w:t>
            </w:r>
          </w:p>
        </w:tc>
        <w:tc>
          <w:tcPr>
            <w:tcW w:w="992" w:type="dxa"/>
            <w:tcBorders>
              <w:top w:val="nil"/>
              <w:left w:val="nil"/>
              <w:bottom w:val="single" w:sz="4" w:space="0" w:color="auto"/>
              <w:right w:val="single" w:sz="4" w:space="0" w:color="auto"/>
            </w:tcBorders>
            <w:shd w:val="clear" w:color="auto" w:fill="BDD7EE"/>
            <w:vAlign w:val="center"/>
            <w:hideMark/>
          </w:tcPr>
          <w:p w14:paraId="47D648AE" w14:textId="77777777" w:rsidR="003A3D51" w:rsidRDefault="0002775A">
            <w:pPr>
              <w:pStyle w:val="P68B1DB1-Normal6"/>
              <w:spacing w:after="0"/>
              <w:jc w:val="center"/>
              <w:rPr>
                <w:noProof/>
              </w:rPr>
            </w:pPr>
            <w:r>
              <w:rPr>
                <w:noProof/>
              </w:rPr>
              <w:t>Året</w:t>
            </w:r>
          </w:p>
        </w:tc>
        <w:tc>
          <w:tcPr>
            <w:tcW w:w="4111" w:type="dxa"/>
            <w:vMerge/>
            <w:tcBorders>
              <w:top w:val="single" w:sz="4" w:space="0" w:color="auto"/>
              <w:left w:val="single" w:sz="4" w:space="0" w:color="auto"/>
              <w:bottom w:val="single" w:sz="4" w:space="0" w:color="auto"/>
              <w:right w:val="single" w:sz="4" w:space="0" w:color="auto"/>
            </w:tcBorders>
            <w:hideMark/>
          </w:tcPr>
          <w:p w14:paraId="02AF1581" w14:textId="77777777" w:rsidR="003A3D51" w:rsidRDefault="003A3D51">
            <w:pPr>
              <w:spacing w:after="0"/>
              <w:rPr>
                <w:rFonts w:ascii="Times New Roman" w:eastAsia="Times New Roman" w:hAnsi="Times New Roman" w:cs="Times New Roman"/>
                <w:b/>
                <w:noProof/>
              </w:rPr>
            </w:pPr>
          </w:p>
        </w:tc>
      </w:tr>
      <w:tr w:rsidR="003A3D51" w14:paraId="413B9F33" w14:textId="77777777">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3F30286D" w14:textId="77777777" w:rsidR="003A3D51" w:rsidRDefault="0002775A">
            <w:pPr>
              <w:pStyle w:val="P68B1DB1-Normal41"/>
              <w:spacing w:after="0"/>
              <w:jc w:val="center"/>
              <w:rPr>
                <w:rFonts w:ascii="Times New Roman" w:hAnsi="Times New Roman" w:cs="Times New Roman"/>
                <w:noProof/>
              </w:rPr>
            </w:pPr>
            <w:r>
              <w:rPr>
                <w:noProof/>
              </w:rPr>
              <w:t>207</w:t>
            </w:r>
          </w:p>
        </w:tc>
        <w:tc>
          <w:tcPr>
            <w:tcW w:w="850" w:type="dxa"/>
            <w:tcBorders>
              <w:top w:val="nil"/>
              <w:left w:val="nil"/>
              <w:bottom w:val="single" w:sz="4" w:space="0" w:color="auto"/>
              <w:right w:val="single" w:sz="4" w:space="0" w:color="auto"/>
            </w:tcBorders>
            <w:shd w:val="clear" w:color="auto" w:fill="C6EFCE"/>
            <w:noWrap/>
          </w:tcPr>
          <w:p w14:paraId="358BC513" w14:textId="77777777" w:rsidR="003A3D51" w:rsidRDefault="0002775A">
            <w:pPr>
              <w:pStyle w:val="P68B1DB1-Normal41"/>
              <w:jc w:val="center"/>
              <w:rPr>
                <w:rFonts w:ascii="Times New Roman" w:hAnsi="Times New Roman" w:cs="Times New Roman"/>
                <w:noProof/>
              </w:rPr>
            </w:pPr>
            <w:r>
              <w:rPr>
                <w:noProof/>
              </w:rPr>
              <w:t>C2.4 R1</w:t>
            </w:r>
          </w:p>
        </w:tc>
        <w:tc>
          <w:tcPr>
            <w:tcW w:w="850" w:type="dxa"/>
            <w:tcBorders>
              <w:top w:val="nil"/>
              <w:left w:val="nil"/>
              <w:bottom w:val="single" w:sz="4" w:space="0" w:color="auto"/>
              <w:right w:val="single" w:sz="4" w:space="0" w:color="auto"/>
            </w:tcBorders>
            <w:shd w:val="clear" w:color="auto" w:fill="C6EFCE"/>
            <w:noWrap/>
          </w:tcPr>
          <w:p w14:paraId="4E143DD2" w14:textId="77777777" w:rsidR="003A3D51" w:rsidRDefault="0002775A">
            <w:pPr>
              <w:pStyle w:val="P68B1DB1-Normal41"/>
              <w:jc w:val="center"/>
              <w:rPr>
                <w:rFonts w:ascii="Times New Roman" w:hAnsi="Times New Roman" w:cs="Times New Roman"/>
                <w:noProof/>
              </w:rPr>
            </w:pPr>
            <w:r>
              <w:rPr>
                <w:noProof/>
              </w:rPr>
              <w:t>M</w:t>
            </w:r>
          </w:p>
        </w:tc>
        <w:tc>
          <w:tcPr>
            <w:tcW w:w="2098" w:type="dxa"/>
            <w:tcBorders>
              <w:top w:val="nil"/>
              <w:left w:val="nil"/>
              <w:bottom w:val="single" w:sz="4" w:space="0" w:color="auto"/>
              <w:right w:val="single" w:sz="4" w:space="0" w:color="auto"/>
            </w:tcBorders>
            <w:shd w:val="clear" w:color="auto" w:fill="C6EFCE"/>
            <w:noWrap/>
          </w:tcPr>
          <w:p w14:paraId="79948BE9" w14:textId="77777777" w:rsidR="003A3D51" w:rsidRDefault="0002775A">
            <w:pPr>
              <w:pStyle w:val="P68B1DB1-Normal41"/>
              <w:rPr>
                <w:rFonts w:ascii="Times New Roman" w:hAnsi="Times New Roman" w:cs="Times New Roman"/>
                <w:noProof/>
              </w:rPr>
            </w:pPr>
            <w:r>
              <w:rPr>
                <w:noProof/>
              </w:rPr>
              <w:t xml:space="preserve">Nytt beslut från Kroatiens regering om statsägda företag av särskilt intresse för Kroatien </w:t>
            </w:r>
          </w:p>
        </w:tc>
        <w:tc>
          <w:tcPr>
            <w:tcW w:w="1986" w:type="dxa"/>
            <w:tcBorders>
              <w:top w:val="nil"/>
              <w:left w:val="nil"/>
              <w:bottom w:val="single" w:sz="4" w:space="0" w:color="auto"/>
              <w:right w:val="single" w:sz="4" w:space="0" w:color="auto"/>
            </w:tcBorders>
            <w:shd w:val="clear" w:color="auto" w:fill="C6EFCE"/>
            <w:noWrap/>
          </w:tcPr>
          <w:p w14:paraId="52C855B1" w14:textId="77777777" w:rsidR="003A3D51" w:rsidRDefault="0002775A">
            <w:pPr>
              <w:pStyle w:val="P68B1DB1-Normal41"/>
              <w:rPr>
                <w:rFonts w:ascii="Times New Roman" w:hAnsi="Times New Roman" w:cs="Times New Roman"/>
                <w:noProof/>
              </w:rPr>
            </w:pPr>
            <w:r>
              <w:rPr>
                <w:noProof/>
              </w:rPr>
              <w:t>Offentliggörande av en reviderad förteckning över statsägda företag av särskilt intresse för Kroatien i enlighet med fastställda kriterier</w:t>
            </w:r>
          </w:p>
        </w:tc>
        <w:tc>
          <w:tcPr>
            <w:tcW w:w="851" w:type="dxa"/>
            <w:tcBorders>
              <w:top w:val="nil"/>
              <w:left w:val="nil"/>
              <w:bottom w:val="single" w:sz="4" w:space="0" w:color="auto"/>
              <w:right w:val="single" w:sz="4" w:space="0" w:color="auto"/>
            </w:tcBorders>
            <w:shd w:val="clear" w:color="auto" w:fill="C6EFCE"/>
            <w:noWrap/>
          </w:tcPr>
          <w:p w14:paraId="6A8C3E71" w14:textId="77777777" w:rsidR="003A3D51" w:rsidRDefault="0002775A">
            <w:pPr>
              <w:pStyle w:val="P68B1DB1-Normal41"/>
              <w:jc w:val="center"/>
              <w:rPr>
                <w:rFonts w:ascii="Times New Roman" w:hAnsi="Times New Roman" w:cs="Times New Roman"/>
                <w:noProof/>
              </w:rPr>
            </w:pPr>
            <w:r>
              <w:rPr>
                <w:noProof/>
              </w:rPr>
              <w:t> </w:t>
            </w:r>
          </w:p>
        </w:tc>
        <w:tc>
          <w:tcPr>
            <w:tcW w:w="874" w:type="dxa"/>
            <w:tcBorders>
              <w:top w:val="nil"/>
              <w:left w:val="nil"/>
              <w:bottom w:val="single" w:sz="4" w:space="0" w:color="auto"/>
              <w:right w:val="single" w:sz="4" w:space="0" w:color="auto"/>
            </w:tcBorders>
            <w:shd w:val="clear" w:color="auto" w:fill="C6EFCE"/>
            <w:noWrap/>
          </w:tcPr>
          <w:p w14:paraId="21445868" w14:textId="77777777" w:rsidR="003A3D51" w:rsidRDefault="0002775A">
            <w:pPr>
              <w:pStyle w:val="P68B1DB1-Normal41"/>
              <w:jc w:val="center"/>
              <w:rPr>
                <w:rFonts w:ascii="Times New Roman" w:hAnsi="Times New Roman" w:cs="Times New Roman"/>
                <w:noProof/>
              </w:rPr>
            </w:pPr>
            <w:r>
              <w:rPr>
                <w:noProof/>
              </w:rPr>
              <w:t> </w:t>
            </w:r>
          </w:p>
        </w:tc>
        <w:tc>
          <w:tcPr>
            <w:tcW w:w="969" w:type="dxa"/>
            <w:tcBorders>
              <w:top w:val="nil"/>
              <w:left w:val="nil"/>
              <w:bottom w:val="single" w:sz="4" w:space="0" w:color="auto"/>
              <w:right w:val="single" w:sz="4" w:space="0" w:color="auto"/>
            </w:tcBorders>
            <w:shd w:val="clear" w:color="auto" w:fill="C6EFCE"/>
            <w:noWrap/>
          </w:tcPr>
          <w:p w14:paraId="56006213"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nil"/>
              <w:left w:val="nil"/>
              <w:bottom w:val="single" w:sz="4" w:space="0" w:color="auto"/>
              <w:right w:val="single" w:sz="4" w:space="0" w:color="auto"/>
            </w:tcBorders>
            <w:shd w:val="clear" w:color="auto" w:fill="C6EFCE"/>
            <w:noWrap/>
          </w:tcPr>
          <w:p w14:paraId="67BF5A00" w14:textId="77777777" w:rsidR="003A3D51" w:rsidRDefault="0002775A">
            <w:pPr>
              <w:pStyle w:val="P68B1DB1-Normal41"/>
              <w:jc w:val="center"/>
              <w:rPr>
                <w:rFonts w:ascii="Times New Roman" w:hAnsi="Times New Roman" w:cs="Times New Roman"/>
                <w:noProof/>
              </w:rPr>
            </w:pPr>
            <w:r>
              <w:rPr>
                <w:noProof/>
              </w:rPr>
              <w:t>KVARTAL 4</w:t>
            </w:r>
          </w:p>
        </w:tc>
        <w:tc>
          <w:tcPr>
            <w:tcW w:w="992" w:type="dxa"/>
            <w:tcBorders>
              <w:top w:val="nil"/>
              <w:left w:val="nil"/>
              <w:bottom w:val="single" w:sz="4" w:space="0" w:color="auto"/>
              <w:right w:val="single" w:sz="4" w:space="0" w:color="auto"/>
            </w:tcBorders>
            <w:shd w:val="clear" w:color="auto" w:fill="C6EFCE"/>
            <w:noWrap/>
          </w:tcPr>
          <w:p w14:paraId="32ECAFCE" w14:textId="77777777" w:rsidR="003A3D51" w:rsidRDefault="0002775A">
            <w:pPr>
              <w:pStyle w:val="P68B1DB1-Normal41"/>
              <w:jc w:val="center"/>
              <w:rPr>
                <w:rFonts w:ascii="Times New Roman" w:hAnsi="Times New Roman" w:cs="Times New Roman"/>
                <w:noProof/>
              </w:rPr>
            </w:pPr>
            <w:r>
              <w:rPr>
                <w:noProof/>
              </w:rPr>
              <w:t>2021</w:t>
            </w:r>
          </w:p>
        </w:tc>
        <w:tc>
          <w:tcPr>
            <w:tcW w:w="4111" w:type="dxa"/>
            <w:tcBorders>
              <w:top w:val="nil"/>
              <w:left w:val="nil"/>
              <w:bottom w:val="single" w:sz="4" w:space="0" w:color="auto"/>
              <w:right w:val="single" w:sz="4" w:space="0" w:color="auto"/>
            </w:tcBorders>
            <w:shd w:val="clear" w:color="auto" w:fill="C6EFCE"/>
            <w:noWrap/>
          </w:tcPr>
          <w:p w14:paraId="3D214AB4" w14:textId="77777777" w:rsidR="003A3D51" w:rsidRDefault="0002775A">
            <w:pPr>
              <w:pStyle w:val="P68B1DB1-Normal41"/>
              <w:rPr>
                <w:rFonts w:ascii="Times New Roman" w:hAnsi="Times New Roman" w:cs="Times New Roman"/>
                <w:noProof/>
              </w:rPr>
            </w:pPr>
            <w:r>
              <w:rPr>
                <w:noProof/>
              </w:rPr>
              <w:t xml:space="preserve">Regeringen ska anta och offentliggöra ett nytt beslut om fastställande av en ny förteckning över statsägda företag av särskilt intresse för Kroatien. Beslutet ska innehålla en förklaring till varför ett företag behålls i denna förteckning. Börsnoterade företag – för vilka det inte kan påvisas att det föreligger ett allmänintresse – ska överföras till portföljen för omstrukturerings- och försäljningscentrum (CERP) i syfte att monetarisera tillgångarna. . </w:t>
            </w:r>
            <w:r>
              <w:rPr>
                <w:noProof/>
              </w:rPr>
              <w:br/>
              <w:t xml:space="preserve"> På så sätt kommer portföljen av Kroatiens finansiella tillgångar att tydligt delas upp i den del som är av särskilt intresse och ska därför förbli statsägd och den del som inte är av särskilt intresse för Kroatien och som därför ska värderas i pengar.</w:t>
            </w:r>
          </w:p>
        </w:tc>
      </w:tr>
      <w:tr w:rsidR="003A3D51" w14:paraId="1ADF7423" w14:textId="77777777">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27575021" w14:textId="77777777" w:rsidR="003A3D51" w:rsidRDefault="0002775A">
            <w:pPr>
              <w:pStyle w:val="P68B1DB1-Normal41"/>
              <w:jc w:val="center"/>
              <w:rPr>
                <w:rFonts w:ascii="Times New Roman" w:hAnsi="Times New Roman" w:cs="Times New Roman"/>
                <w:noProof/>
              </w:rPr>
            </w:pPr>
            <w:r>
              <w:rPr>
                <w:noProof/>
              </w:rPr>
              <w:t>208</w:t>
            </w:r>
          </w:p>
        </w:tc>
        <w:tc>
          <w:tcPr>
            <w:tcW w:w="850" w:type="dxa"/>
            <w:tcBorders>
              <w:top w:val="nil"/>
              <w:left w:val="nil"/>
              <w:bottom w:val="single" w:sz="4" w:space="0" w:color="auto"/>
              <w:right w:val="single" w:sz="4" w:space="0" w:color="auto"/>
            </w:tcBorders>
            <w:shd w:val="clear" w:color="auto" w:fill="C6EFCE"/>
            <w:noWrap/>
          </w:tcPr>
          <w:p w14:paraId="5BA9CB57" w14:textId="77777777" w:rsidR="003A3D51" w:rsidRDefault="0002775A">
            <w:pPr>
              <w:pStyle w:val="P68B1DB1-Normal41"/>
              <w:jc w:val="center"/>
              <w:rPr>
                <w:rFonts w:ascii="Times New Roman" w:hAnsi="Times New Roman" w:cs="Times New Roman"/>
                <w:noProof/>
              </w:rPr>
            </w:pPr>
            <w:r>
              <w:rPr>
                <w:noProof/>
              </w:rPr>
              <w:t>C2.4 R2</w:t>
            </w:r>
          </w:p>
        </w:tc>
        <w:tc>
          <w:tcPr>
            <w:tcW w:w="850" w:type="dxa"/>
            <w:tcBorders>
              <w:top w:val="nil"/>
              <w:left w:val="nil"/>
              <w:bottom w:val="single" w:sz="4" w:space="0" w:color="auto"/>
              <w:right w:val="single" w:sz="4" w:space="0" w:color="auto"/>
            </w:tcBorders>
            <w:shd w:val="clear" w:color="auto" w:fill="C6EFCE"/>
            <w:noWrap/>
          </w:tcPr>
          <w:p w14:paraId="1BEAC224" w14:textId="77777777" w:rsidR="003A3D51" w:rsidRDefault="0002775A">
            <w:pPr>
              <w:pStyle w:val="P68B1DB1-Normal41"/>
              <w:jc w:val="center"/>
              <w:rPr>
                <w:rFonts w:ascii="Times New Roman" w:hAnsi="Times New Roman" w:cs="Times New Roman"/>
                <w:noProof/>
              </w:rPr>
            </w:pPr>
            <w:r>
              <w:rPr>
                <w:noProof/>
              </w:rPr>
              <w:t>M</w:t>
            </w:r>
          </w:p>
        </w:tc>
        <w:tc>
          <w:tcPr>
            <w:tcW w:w="2098" w:type="dxa"/>
            <w:tcBorders>
              <w:top w:val="nil"/>
              <w:left w:val="nil"/>
              <w:bottom w:val="single" w:sz="4" w:space="0" w:color="auto"/>
              <w:right w:val="single" w:sz="4" w:space="0" w:color="auto"/>
            </w:tcBorders>
            <w:shd w:val="clear" w:color="auto" w:fill="C6EFCE"/>
            <w:noWrap/>
          </w:tcPr>
          <w:p w14:paraId="1826AA62" w14:textId="77777777" w:rsidR="003A3D51" w:rsidRDefault="0002775A">
            <w:pPr>
              <w:pStyle w:val="P68B1DB1-Normal41"/>
              <w:rPr>
                <w:rFonts w:ascii="Times New Roman" w:hAnsi="Times New Roman" w:cs="Times New Roman"/>
                <w:noProof/>
              </w:rPr>
            </w:pPr>
            <w:r>
              <w:rPr>
                <w:noProof/>
              </w:rPr>
              <w:t xml:space="preserve"> Ny rättslig ram för statsägda företag, som införlivar OECD:s rekommendationer.</w:t>
            </w:r>
          </w:p>
        </w:tc>
        <w:tc>
          <w:tcPr>
            <w:tcW w:w="1986" w:type="dxa"/>
            <w:tcBorders>
              <w:top w:val="nil"/>
              <w:left w:val="nil"/>
              <w:bottom w:val="single" w:sz="4" w:space="0" w:color="auto"/>
              <w:right w:val="single" w:sz="4" w:space="0" w:color="auto"/>
            </w:tcBorders>
            <w:shd w:val="clear" w:color="auto" w:fill="C6EFCE"/>
            <w:noWrap/>
          </w:tcPr>
          <w:p w14:paraId="1E633A22" w14:textId="77777777" w:rsidR="003A3D51" w:rsidRDefault="0002775A">
            <w:pPr>
              <w:pStyle w:val="P68B1DB1-Normal41"/>
              <w:rPr>
                <w:rFonts w:ascii="Times New Roman" w:hAnsi="Times New Roman" w:cs="Times New Roman"/>
                <w:noProof/>
              </w:rPr>
            </w:pPr>
            <w:r>
              <w:rPr>
                <w:noProof/>
              </w:rPr>
              <w:t xml:space="preserve">Bestämmelse om ikraftträdandet av lagen om statsägda företag samt relevanta beslut och bestämmelser </w:t>
            </w:r>
          </w:p>
        </w:tc>
        <w:tc>
          <w:tcPr>
            <w:tcW w:w="851" w:type="dxa"/>
            <w:tcBorders>
              <w:top w:val="nil"/>
              <w:left w:val="nil"/>
              <w:bottom w:val="single" w:sz="4" w:space="0" w:color="auto"/>
              <w:right w:val="single" w:sz="4" w:space="0" w:color="auto"/>
            </w:tcBorders>
            <w:shd w:val="clear" w:color="auto" w:fill="C6EFCE"/>
            <w:noWrap/>
          </w:tcPr>
          <w:p w14:paraId="5FB9FD98" w14:textId="77777777" w:rsidR="003A3D51" w:rsidRDefault="0002775A">
            <w:pPr>
              <w:pStyle w:val="P68B1DB1-Normal41"/>
              <w:jc w:val="center"/>
              <w:rPr>
                <w:rFonts w:ascii="Times New Roman" w:hAnsi="Times New Roman" w:cs="Times New Roman"/>
                <w:noProof/>
              </w:rPr>
            </w:pPr>
            <w:r>
              <w:rPr>
                <w:noProof/>
              </w:rPr>
              <w:t> </w:t>
            </w:r>
          </w:p>
        </w:tc>
        <w:tc>
          <w:tcPr>
            <w:tcW w:w="874" w:type="dxa"/>
            <w:tcBorders>
              <w:top w:val="nil"/>
              <w:left w:val="nil"/>
              <w:bottom w:val="single" w:sz="4" w:space="0" w:color="auto"/>
              <w:right w:val="single" w:sz="4" w:space="0" w:color="auto"/>
            </w:tcBorders>
            <w:shd w:val="clear" w:color="auto" w:fill="C6EFCE"/>
            <w:noWrap/>
          </w:tcPr>
          <w:p w14:paraId="72654701" w14:textId="44D086D5" w:rsidR="003A3D51" w:rsidRDefault="0002775A">
            <w:pPr>
              <w:pStyle w:val="P68B1DB1-Normal41"/>
              <w:jc w:val="center"/>
              <w:rPr>
                <w:rFonts w:ascii="Times New Roman" w:hAnsi="Times New Roman" w:cs="Times New Roman"/>
                <w:noProof/>
              </w:rPr>
            </w:pPr>
            <w:r>
              <w:rPr>
                <w:noProof/>
              </w:rPr>
              <w:t> </w:t>
            </w:r>
          </w:p>
          <w:p w14:paraId="3261E08F" w14:textId="77777777" w:rsidR="003A3D51" w:rsidRDefault="003A3D51">
            <w:pPr>
              <w:rPr>
                <w:rFonts w:ascii="Times New Roman" w:hAnsi="Times New Roman" w:cs="Times New Roman"/>
                <w:noProof/>
                <w:sz w:val="20"/>
              </w:rPr>
            </w:pPr>
          </w:p>
        </w:tc>
        <w:tc>
          <w:tcPr>
            <w:tcW w:w="969" w:type="dxa"/>
            <w:tcBorders>
              <w:top w:val="nil"/>
              <w:left w:val="nil"/>
              <w:bottom w:val="single" w:sz="4" w:space="0" w:color="auto"/>
              <w:right w:val="single" w:sz="4" w:space="0" w:color="auto"/>
            </w:tcBorders>
            <w:shd w:val="clear" w:color="auto" w:fill="C6EFCE"/>
            <w:noWrap/>
          </w:tcPr>
          <w:p w14:paraId="6FF096B4"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nil"/>
              <w:left w:val="nil"/>
              <w:bottom w:val="single" w:sz="4" w:space="0" w:color="auto"/>
              <w:right w:val="single" w:sz="4" w:space="0" w:color="auto"/>
            </w:tcBorders>
            <w:shd w:val="clear" w:color="auto" w:fill="C6EFCE"/>
            <w:noWrap/>
          </w:tcPr>
          <w:p w14:paraId="7BD25F8A" w14:textId="77777777" w:rsidR="003A3D51" w:rsidRDefault="0002775A">
            <w:pPr>
              <w:pStyle w:val="P68B1DB1-Normal41"/>
              <w:jc w:val="center"/>
              <w:rPr>
                <w:rFonts w:ascii="Times New Roman" w:hAnsi="Times New Roman" w:cs="Times New Roman"/>
                <w:noProof/>
              </w:rPr>
            </w:pPr>
            <w:r>
              <w:rPr>
                <w:noProof/>
              </w:rPr>
              <w:t>KVARTAL 1</w:t>
            </w:r>
          </w:p>
        </w:tc>
        <w:tc>
          <w:tcPr>
            <w:tcW w:w="992" w:type="dxa"/>
            <w:tcBorders>
              <w:top w:val="nil"/>
              <w:left w:val="nil"/>
              <w:bottom w:val="single" w:sz="4" w:space="0" w:color="auto"/>
              <w:right w:val="single" w:sz="4" w:space="0" w:color="auto"/>
            </w:tcBorders>
            <w:shd w:val="clear" w:color="auto" w:fill="C6EFCE"/>
            <w:noWrap/>
          </w:tcPr>
          <w:p w14:paraId="50A81D8E" w14:textId="77777777" w:rsidR="003A3D51" w:rsidRDefault="0002775A">
            <w:pPr>
              <w:pStyle w:val="P68B1DB1-Normal41"/>
              <w:jc w:val="center"/>
              <w:rPr>
                <w:rFonts w:ascii="Times New Roman" w:hAnsi="Times New Roman" w:cs="Times New Roman"/>
                <w:noProof/>
              </w:rPr>
            </w:pPr>
            <w:r>
              <w:rPr>
                <w:noProof/>
              </w:rPr>
              <w:t>2024</w:t>
            </w:r>
          </w:p>
        </w:tc>
        <w:tc>
          <w:tcPr>
            <w:tcW w:w="4111" w:type="dxa"/>
            <w:tcBorders>
              <w:top w:val="nil"/>
              <w:left w:val="nil"/>
              <w:bottom w:val="single" w:sz="4" w:space="0" w:color="auto"/>
              <w:right w:val="single" w:sz="4" w:space="0" w:color="auto"/>
            </w:tcBorders>
            <w:shd w:val="clear" w:color="auto" w:fill="C6EFCE"/>
            <w:noWrap/>
          </w:tcPr>
          <w:p w14:paraId="5C82A421" w14:textId="77777777" w:rsidR="003A3D51" w:rsidRDefault="0002775A">
            <w:pPr>
              <w:pStyle w:val="P68B1DB1-Normal41"/>
              <w:rPr>
                <w:rFonts w:ascii="Times New Roman" w:hAnsi="Times New Roman" w:cs="Times New Roman"/>
                <w:noProof/>
              </w:rPr>
            </w:pPr>
            <w:r>
              <w:rPr>
                <w:noProof/>
              </w:rPr>
              <w:t>Den nya rättsliga ramen för styrningen av statsägda företag ska omfatta följande:</w:t>
            </w:r>
            <w:r>
              <w:rPr>
                <w:noProof/>
              </w:rPr>
              <w:br/>
              <w:t>En ny lag med bestämmelser för att följa OECD:s riktlinjer för bolagsstyrning i statsägda företag, dvs. OECD:s officiella rekommendationer om bolagsstyrning av statsägda företag i Kroatien, och ska inrätta ett enhetligt regelverk för bolagsstyrning av statsägda företag i Kroatien.</w:t>
            </w:r>
            <w:r>
              <w:rPr>
                <w:noProof/>
              </w:rPr>
              <w:br/>
              <w:t xml:space="preserve">Det nya regelverket ska också innehålla bestämmelser om inrättande av en central samordningsenhet i syfte att på medellång sikt effektivisera genomförandet av den egna politiken, dvs. horisontell samordning mellan de behöriga myndigheter som ansvarar för att utöva egendomsbefogenheter. </w:t>
            </w:r>
            <w:r>
              <w:rPr>
                <w:noProof/>
              </w:rPr>
              <w:br/>
              <w:t xml:space="preserve">Den nya lagen ska också innehålla rättsliga bestämmelser som stärker styrelsens självständighet och oberoende och fastställer att a) staten måste nominera/utse ledamöter till de statsägda företagens tillsynsorgan inom 3 månader efter det att tjänsten blivit vakant, och b) att linjeministeriet föreslår en kandidat till regeringen på grundval av en rekommendation från den centrala samordningsenheten. </w:t>
            </w:r>
            <w:r>
              <w:rPr>
                <w:noProof/>
              </w:rPr>
              <w:br/>
              <w:t xml:space="preserve">II) ett regeringsbeslut om inrättande av en samordnande enhet för centralt ägande med tillräckliga mandat och resurser som krävs för att effektivt fullgöra sin samordnande roll. Enheten ska utarbeta standarder för de statsägda företagens företagsstyrning och övervaka efterlevnaden av dessa standarder. övervaka de statsägda företagens resultat och ägna sig åt regelbunden offentlig rapportering. </w:t>
            </w:r>
            <w:r>
              <w:rPr>
                <w:noProof/>
              </w:rPr>
              <w:br/>
              <w:t>III) En ägarpolitik som tydligt beskriver motiven och målen för statligt ägande av alla statligt ägda företag som är helägda eller majoritetsägda på nationell nivå och icke-finansiella fastigheter, med en beskrivning av alla krav på bolagsstyrning och offentliggörande som är tillämpliga på statsägda företag samt fastställande av skyldigheten och frekvensen för översynen av förteckningen över statsägda företag av särskilt intresse för Kroatien.</w:t>
            </w:r>
          </w:p>
        </w:tc>
      </w:tr>
      <w:tr w:rsidR="003A3D51" w14:paraId="64370356" w14:textId="77777777">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097716A5" w14:textId="77777777" w:rsidR="003A3D51" w:rsidRDefault="0002775A">
            <w:pPr>
              <w:pStyle w:val="P68B1DB1-Normal41"/>
              <w:jc w:val="center"/>
              <w:rPr>
                <w:rFonts w:ascii="Times New Roman" w:hAnsi="Times New Roman" w:cs="Times New Roman"/>
                <w:noProof/>
              </w:rPr>
            </w:pPr>
            <w:r>
              <w:rPr>
                <w:noProof/>
              </w:rPr>
              <w:t>209</w:t>
            </w:r>
          </w:p>
        </w:tc>
        <w:tc>
          <w:tcPr>
            <w:tcW w:w="850" w:type="dxa"/>
            <w:tcBorders>
              <w:top w:val="nil"/>
              <w:left w:val="nil"/>
              <w:bottom w:val="single" w:sz="4" w:space="0" w:color="auto"/>
              <w:right w:val="single" w:sz="4" w:space="0" w:color="auto"/>
            </w:tcBorders>
            <w:shd w:val="clear" w:color="auto" w:fill="C6EFCE"/>
            <w:noWrap/>
          </w:tcPr>
          <w:p w14:paraId="38AC66B3" w14:textId="77777777" w:rsidR="003A3D51" w:rsidRDefault="0002775A">
            <w:pPr>
              <w:pStyle w:val="P68B1DB1-Normal41"/>
              <w:jc w:val="center"/>
              <w:rPr>
                <w:rFonts w:ascii="Times New Roman" w:hAnsi="Times New Roman" w:cs="Times New Roman"/>
                <w:noProof/>
              </w:rPr>
            </w:pPr>
            <w:r>
              <w:rPr>
                <w:noProof/>
              </w:rPr>
              <w:t>C2.4 R3</w:t>
            </w:r>
          </w:p>
        </w:tc>
        <w:tc>
          <w:tcPr>
            <w:tcW w:w="850" w:type="dxa"/>
            <w:tcBorders>
              <w:top w:val="nil"/>
              <w:left w:val="nil"/>
              <w:bottom w:val="single" w:sz="4" w:space="0" w:color="auto"/>
              <w:right w:val="single" w:sz="4" w:space="0" w:color="auto"/>
            </w:tcBorders>
            <w:shd w:val="clear" w:color="auto" w:fill="C6EFCE"/>
            <w:noWrap/>
          </w:tcPr>
          <w:p w14:paraId="48ECA1B1" w14:textId="77777777" w:rsidR="003A3D51" w:rsidRDefault="0002775A">
            <w:pPr>
              <w:pStyle w:val="P68B1DB1-Normal41"/>
              <w:jc w:val="center"/>
              <w:rPr>
                <w:rFonts w:ascii="Times New Roman" w:hAnsi="Times New Roman" w:cs="Times New Roman"/>
                <w:noProof/>
              </w:rPr>
            </w:pPr>
            <w:r>
              <w:rPr>
                <w:noProof/>
              </w:rPr>
              <w:t>T</w:t>
            </w:r>
          </w:p>
        </w:tc>
        <w:tc>
          <w:tcPr>
            <w:tcW w:w="2098" w:type="dxa"/>
            <w:tcBorders>
              <w:top w:val="nil"/>
              <w:left w:val="nil"/>
              <w:bottom w:val="single" w:sz="4" w:space="0" w:color="auto"/>
              <w:right w:val="single" w:sz="4" w:space="0" w:color="auto"/>
            </w:tcBorders>
            <w:shd w:val="clear" w:color="auto" w:fill="C6EFCE"/>
            <w:noWrap/>
          </w:tcPr>
          <w:p w14:paraId="3903D3C6" w14:textId="77777777" w:rsidR="003A3D51" w:rsidRDefault="0002775A">
            <w:pPr>
              <w:pStyle w:val="P68B1DB1-Normal41"/>
              <w:rPr>
                <w:rFonts w:ascii="Times New Roman" w:hAnsi="Times New Roman" w:cs="Times New Roman"/>
                <w:noProof/>
              </w:rPr>
            </w:pPr>
            <w:r>
              <w:rPr>
                <w:noProof/>
              </w:rPr>
              <w:t>Utbildningsplan för fackministerier och centrala samordningsenheter i bolagsstyrningsverksamhet</w:t>
            </w:r>
          </w:p>
        </w:tc>
        <w:tc>
          <w:tcPr>
            <w:tcW w:w="1986" w:type="dxa"/>
            <w:tcBorders>
              <w:top w:val="nil"/>
              <w:left w:val="nil"/>
              <w:bottom w:val="single" w:sz="4" w:space="0" w:color="auto"/>
              <w:right w:val="single" w:sz="4" w:space="0" w:color="auto"/>
            </w:tcBorders>
            <w:shd w:val="clear" w:color="auto" w:fill="C6EFCE"/>
            <w:noWrap/>
          </w:tcPr>
          <w:p w14:paraId="62E02FEA" w14:textId="77777777" w:rsidR="003A3D51" w:rsidRDefault="0002775A">
            <w:pPr>
              <w:pStyle w:val="P68B1DB1-Normal41"/>
              <w:rPr>
                <w:rFonts w:ascii="Times New Roman" w:hAnsi="Times New Roman" w:cs="Times New Roman"/>
                <w:noProof/>
              </w:rPr>
            </w:pPr>
            <w:r>
              <w:rPr>
                <w:noProof/>
              </w:rPr>
              <w:t xml:space="preserve"> </w:t>
            </w:r>
          </w:p>
        </w:tc>
        <w:tc>
          <w:tcPr>
            <w:tcW w:w="851" w:type="dxa"/>
            <w:tcBorders>
              <w:top w:val="nil"/>
              <w:left w:val="nil"/>
              <w:bottom w:val="single" w:sz="4" w:space="0" w:color="auto"/>
              <w:right w:val="single" w:sz="4" w:space="0" w:color="auto"/>
            </w:tcBorders>
            <w:shd w:val="clear" w:color="auto" w:fill="C6EFCE"/>
            <w:noWrap/>
          </w:tcPr>
          <w:p w14:paraId="4D9B0DCE" w14:textId="77777777" w:rsidR="003A3D51" w:rsidRDefault="0002775A">
            <w:pPr>
              <w:pStyle w:val="P68B1DB1-Normal41"/>
              <w:jc w:val="center"/>
              <w:rPr>
                <w:rFonts w:ascii="Times New Roman" w:hAnsi="Times New Roman" w:cs="Times New Roman"/>
                <w:noProof/>
              </w:rPr>
            </w:pPr>
            <w:r>
              <w:rPr>
                <w:noProof/>
              </w:rPr>
              <w:t>Antal</w:t>
            </w:r>
          </w:p>
        </w:tc>
        <w:tc>
          <w:tcPr>
            <w:tcW w:w="874" w:type="dxa"/>
            <w:tcBorders>
              <w:top w:val="nil"/>
              <w:left w:val="nil"/>
              <w:bottom w:val="single" w:sz="4" w:space="0" w:color="auto"/>
              <w:right w:val="single" w:sz="4" w:space="0" w:color="auto"/>
            </w:tcBorders>
            <w:shd w:val="clear" w:color="auto" w:fill="C6EFCE"/>
            <w:noWrap/>
          </w:tcPr>
          <w:p w14:paraId="506D83F5" w14:textId="77777777" w:rsidR="003A3D51" w:rsidRDefault="0002775A">
            <w:pPr>
              <w:pStyle w:val="P68B1DB1-Normal41"/>
              <w:jc w:val="center"/>
              <w:rPr>
                <w:rFonts w:ascii="Times New Roman" w:hAnsi="Times New Roman" w:cs="Times New Roman"/>
                <w:noProof/>
              </w:rPr>
            </w:pPr>
            <w:r>
              <w:rPr>
                <w:noProof/>
              </w:rPr>
              <w:t>0</w:t>
            </w:r>
          </w:p>
        </w:tc>
        <w:tc>
          <w:tcPr>
            <w:tcW w:w="969" w:type="dxa"/>
            <w:tcBorders>
              <w:top w:val="nil"/>
              <w:left w:val="nil"/>
              <w:bottom w:val="single" w:sz="4" w:space="0" w:color="auto"/>
              <w:right w:val="single" w:sz="4" w:space="0" w:color="auto"/>
            </w:tcBorders>
            <w:shd w:val="clear" w:color="auto" w:fill="C6EFCE"/>
            <w:noWrap/>
          </w:tcPr>
          <w:p w14:paraId="146C2BF8" w14:textId="77777777" w:rsidR="003A3D51" w:rsidRDefault="0002775A">
            <w:pPr>
              <w:pStyle w:val="P68B1DB1-Normal41"/>
              <w:jc w:val="center"/>
              <w:rPr>
                <w:rFonts w:ascii="Times New Roman" w:hAnsi="Times New Roman" w:cs="Times New Roman"/>
                <w:noProof/>
              </w:rPr>
            </w:pPr>
            <w:r>
              <w:rPr>
                <w:noProof/>
              </w:rPr>
              <w:t>40</w:t>
            </w:r>
          </w:p>
        </w:tc>
        <w:tc>
          <w:tcPr>
            <w:tcW w:w="567" w:type="dxa"/>
            <w:tcBorders>
              <w:top w:val="nil"/>
              <w:left w:val="nil"/>
              <w:bottom w:val="single" w:sz="4" w:space="0" w:color="auto"/>
              <w:right w:val="single" w:sz="4" w:space="0" w:color="auto"/>
            </w:tcBorders>
            <w:shd w:val="clear" w:color="auto" w:fill="C6EFCE"/>
            <w:noWrap/>
          </w:tcPr>
          <w:p w14:paraId="14DF7408" w14:textId="77777777" w:rsidR="003A3D51" w:rsidRDefault="0002775A">
            <w:pPr>
              <w:pStyle w:val="P68B1DB1-Normal41"/>
              <w:jc w:val="center"/>
              <w:rPr>
                <w:rFonts w:ascii="Times New Roman" w:hAnsi="Times New Roman" w:cs="Times New Roman"/>
                <w:noProof/>
              </w:rPr>
            </w:pPr>
            <w:r>
              <w:rPr>
                <w:noProof/>
              </w:rPr>
              <w:t>KVARTAL 2</w:t>
            </w:r>
          </w:p>
        </w:tc>
        <w:tc>
          <w:tcPr>
            <w:tcW w:w="992" w:type="dxa"/>
            <w:tcBorders>
              <w:top w:val="nil"/>
              <w:left w:val="nil"/>
              <w:bottom w:val="single" w:sz="4" w:space="0" w:color="auto"/>
              <w:right w:val="single" w:sz="4" w:space="0" w:color="auto"/>
            </w:tcBorders>
            <w:shd w:val="clear" w:color="auto" w:fill="C6EFCE"/>
            <w:noWrap/>
          </w:tcPr>
          <w:p w14:paraId="5B730D74" w14:textId="77777777" w:rsidR="003A3D51" w:rsidRDefault="0002775A">
            <w:pPr>
              <w:pStyle w:val="P68B1DB1-Normal41"/>
              <w:jc w:val="center"/>
              <w:rPr>
                <w:rFonts w:ascii="Times New Roman" w:hAnsi="Times New Roman" w:cs="Times New Roman"/>
                <w:noProof/>
              </w:rPr>
            </w:pPr>
            <w:r>
              <w:rPr>
                <w:noProof/>
              </w:rPr>
              <w:t>2026</w:t>
            </w:r>
          </w:p>
        </w:tc>
        <w:tc>
          <w:tcPr>
            <w:tcW w:w="4111" w:type="dxa"/>
            <w:tcBorders>
              <w:top w:val="nil"/>
              <w:left w:val="nil"/>
              <w:bottom w:val="single" w:sz="4" w:space="0" w:color="auto"/>
              <w:right w:val="single" w:sz="4" w:space="0" w:color="auto"/>
            </w:tcBorders>
            <w:shd w:val="clear" w:color="auto" w:fill="C6EFCE"/>
            <w:noWrap/>
          </w:tcPr>
          <w:p w14:paraId="67D7FDF8" w14:textId="77777777" w:rsidR="003A3D51" w:rsidRDefault="0002775A">
            <w:pPr>
              <w:pStyle w:val="P68B1DB1-Normal41"/>
              <w:rPr>
                <w:rFonts w:ascii="Times New Roman" w:hAnsi="Times New Roman" w:cs="Times New Roman"/>
                <w:noProof/>
              </w:rPr>
            </w:pPr>
            <w:r>
              <w:rPr>
                <w:noProof/>
              </w:rPr>
              <w:t>Utbildning ska ges till de sista 40 anställda och ska omfatta följande: det nya regelverket för företagsstyrning, utbildning i ekonomi och redovisning och förtrogenhet med det nya rapporteringssystemet. övervakning av tekniska förändringar som äger rum inom specifika sektorer och branscher samt förändringar i lagstiftningen och användningen av olika statistiska verktyg, modellering och automatisering av databasarbetet. Dessa utbildningar ska ha som övergripande mål att främja en sund ägarförvaltning.</w:t>
            </w:r>
          </w:p>
        </w:tc>
      </w:tr>
      <w:tr w:rsidR="003A3D51" w14:paraId="2A11BBA8" w14:textId="77777777">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2D87D7D4" w14:textId="77777777" w:rsidR="003A3D51" w:rsidRDefault="0002775A">
            <w:pPr>
              <w:pStyle w:val="P68B1DB1-Normal41"/>
              <w:jc w:val="center"/>
              <w:rPr>
                <w:rFonts w:ascii="Times New Roman" w:hAnsi="Times New Roman" w:cs="Times New Roman"/>
                <w:noProof/>
              </w:rPr>
            </w:pPr>
            <w:r>
              <w:rPr>
                <w:noProof/>
              </w:rPr>
              <w:t>210</w:t>
            </w:r>
          </w:p>
        </w:tc>
        <w:tc>
          <w:tcPr>
            <w:tcW w:w="850" w:type="dxa"/>
            <w:tcBorders>
              <w:top w:val="nil"/>
              <w:left w:val="nil"/>
              <w:bottom w:val="single" w:sz="4" w:space="0" w:color="auto"/>
              <w:right w:val="single" w:sz="4" w:space="0" w:color="auto"/>
            </w:tcBorders>
            <w:shd w:val="clear" w:color="auto" w:fill="C6EFCE"/>
            <w:noWrap/>
          </w:tcPr>
          <w:p w14:paraId="4F6FB4D5" w14:textId="77777777" w:rsidR="003A3D51" w:rsidRDefault="0002775A">
            <w:pPr>
              <w:pStyle w:val="P68B1DB1-Normal41"/>
              <w:jc w:val="center"/>
              <w:rPr>
                <w:rFonts w:ascii="Times New Roman" w:hAnsi="Times New Roman" w:cs="Times New Roman"/>
                <w:noProof/>
              </w:rPr>
            </w:pPr>
            <w:r>
              <w:rPr>
                <w:noProof/>
              </w:rPr>
              <w:t>C2.4 R4</w:t>
            </w:r>
          </w:p>
        </w:tc>
        <w:tc>
          <w:tcPr>
            <w:tcW w:w="850" w:type="dxa"/>
            <w:tcBorders>
              <w:top w:val="nil"/>
              <w:left w:val="nil"/>
              <w:bottom w:val="single" w:sz="4" w:space="0" w:color="auto"/>
              <w:right w:val="single" w:sz="4" w:space="0" w:color="auto"/>
            </w:tcBorders>
            <w:shd w:val="clear" w:color="auto" w:fill="C6EFCE"/>
            <w:noWrap/>
          </w:tcPr>
          <w:p w14:paraId="0B7940E6" w14:textId="77777777" w:rsidR="003A3D51" w:rsidRDefault="0002775A">
            <w:pPr>
              <w:pStyle w:val="P68B1DB1-Normal41"/>
              <w:jc w:val="center"/>
              <w:rPr>
                <w:rFonts w:ascii="Times New Roman" w:hAnsi="Times New Roman" w:cs="Times New Roman"/>
                <w:noProof/>
              </w:rPr>
            </w:pPr>
            <w:r>
              <w:rPr>
                <w:noProof/>
              </w:rPr>
              <w:t>T</w:t>
            </w:r>
          </w:p>
        </w:tc>
        <w:tc>
          <w:tcPr>
            <w:tcW w:w="2098" w:type="dxa"/>
            <w:tcBorders>
              <w:top w:val="nil"/>
              <w:left w:val="nil"/>
              <w:bottom w:val="single" w:sz="4" w:space="0" w:color="auto"/>
              <w:right w:val="single" w:sz="4" w:space="0" w:color="auto"/>
            </w:tcBorders>
            <w:shd w:val="clear" w:color="auto" w:fill="C6EFCE"/>
            <w:noWrap/>
          </w:tcPr>
          <w:p w14:paraId="45BB7226" w14:textId="77777777" w:rsidR="003A3D51" w:rsidRDefault="0002775A">
            <w:pPr>
              <w:pStyle w:val="P68B1DB1-Normal41"/>
              <w:rPr>
                <w:rFonts w:ascii="Times New Roman" w:hAnsi="Times New Roman" w:cs="Times New Roman"/>
                <w:noProof/>
              </w:rPr>
            </w:pPr>
            <w:r>
              <w:rPr>
                <w:noProof/>
              </w:rPr>
              <w:t>Genomförandet av försäljningen av 90 statsägda företag som inte är av särskilt intresse för Kroatien och som förvaltas av CERP.</w:t>
            </w:r>
          </w:p>
        </w:tc>
        <w:tc>
          <w:tcPr>
            <w:tcW w:w="1986" w:type="dxa"/>
            <w:tcBorders>
              <w:top w:val="nil"/>
              <w:left w:val="nil"/>
              <w:bottom w:val="single" w:sz="4" w:space="0" w:color="auto"/>
              <w:right w:val="single" w:sz="4" w:space="0" w:color="auto"/>
            </w:tcBorders>
            <w:shd w:val="clear" w:color="auto" w:fill="C6EFCE"/>
            <w:noWrap/>
          </w:tcPr>
          <w:p w14:paraId="4316F74B" w14:textId="77777777" w:rsidR="003A3D51" w:rsidRDefault="0002775A">
            <w:pPr>
              <w:pStyle w:val="P68B1DB1-Normal41"/>
              <w:rPr>
                <w:rFonts w:ascii="Times New Roman" w:hAnsi="Times New Roman" w:cs="Times New Roman"/>
                <w:noProof/>
              </w:rPr>
            </w:pPr>
            <w:r>
              <w:rPr>
                <w:noProof/>
              </w:rPr>
              <w:t xml:space="preserve"> </w:t>
            </w:r>
          </w:p>
        </w:tc>
        <w:tc>
          <w:tcPr>
            <w:tcW w:w="851" w:type="dxa"/>
            <w:tcBorders>
              <w:top w:val="nil"/>
              <w:left w:val="nil"/>
              <w:bottom w:val="single" w:sz="4" w:space="0" w:color="auto"/>
              <w:right w:val="single" w:sz="4" w:space="0" w:color="auto"/>
            </w:tcBorders>
            <w:shd w:val="clear" w:color="auto" w:fill="C6EFCE"/>
            <w:noWrap/>
          </w:tcPr>
          <w:p w14:paraId="6319C9C4" w14:textId="77777777" w:rsidR="003A3D51" w:rsidRDefault="0002775A">
            <w:pPr>
              <w:pStyle w:val="P68B1DB1-Normal41"/>
              <w:jc w:val="center"/>
              <w:rPr>
                <w:rFonts w:ascii="Times New Roman" w:hAnsi="Times New Roman" w:cs="Times New Roman"/>
                <w:noProof/>
              </w:rPr>
            </w:pPr>
            <w:r>
              <w:rPr>
                <w:noProof/>
              </w:rPr>
              <w:t>Antal</w:t>
            </w:r>
          </w:p>
        </w:tc>
        <w:tc>
          <w:tcPr>
            <w:tcW w:w="874" w:type="dxa"/>
            <w:tcBorders>
              <w:top w:val="nil"/>
              <w:left w:val="nil"/>
              <w:bottom w:val="single" w:sz="4" w:space="0" w:color="auto"/>
              <w:right w:val="single" w:sz="4" w:space="0" w:color="auto"/>
            </w:tcBorders>
            <w:shd w:val="clear" w:color="auto" w:fill="C6EFCE"/>
            <w:noWrap/>
          </w:tcPr>
          <w:p w14:paraId="6F5E5604" w14:textId="77777777" w:rsidR="003A3D51" w:rsidRDefault="0002775A">
            <w:pPr>
              <w:pStyle w:val="P68B1DB1-Normal41"/>
              <w:jc w:val="center"/>
              <w:rPr>
                <w:rFonts w:ascii="Times New Roman" w:hAnsi="Times New Roman" w:cs="Times New Roman"/>
                <w:noProof/>
              </w:rPr>
            </w:pPr>
            <w:r>
              <w:rPr>
                <w:noProof/>
              </w:rPr>
              <w:t>0</w:t>
            </w:r>
          </w:p>
        </w:tc>
        <w:tc>
          <w:tcPr>
            <w:tcW w:w="969" w:type="dxa"/>
            <w:tcBorders>
              <w:top w:val="nil"/>
              <w:left w:val="nil"/>
              <w:bottom w:val="single" w:sz="4" w:space="0" w:color="auto"/>
              <w:right w:val="single" w:sz="4" w:space="0" w:color="auto"/>
            </w:tcBorders>
            <w:shd w:val="clear" w:color="auto" w:fill="C6EFCE"/>
            <w:noWrap/>
          </w:tcPr>
          <w:p w14:paraId="1116D449" w14:textId="77777777" w:rsidR="003A3D51" w:rsidRDefault="0002775A">
            <w:pPr>
              <w:pStyle w:val="P68B1DB1-Normal41"/>
              <w:jc w:val="center"/>
              <w:rPr>
                <w:rFonts w:ascii="Times New Roman" w:hAnsi="Times New Roman" w:cs="Times New Roman"/>
                <w:noProof/>
              </w:rPr>
            </w:pPr>
            <w:r>
              <w:rPr>
                <w:noProof/>
              </w:rPr>
              <w:t>90</w:t>
            </w:r>
          </w:p>
        </w:tc>
        <w:tc>
          <w:tcPr>
            <w:tcW w:w="567" w:type="dxa"/>
            <w:tcBorders>
              <w:top w:val="nil"/>
              <w:left w:val="nil"/>
              <w:bottom w:val="single" w:sz="4" w:space="0" w:color="auto"/>
              <w:right w:val="single" w:sz="4" w:space="0" w:color="auto"/>
            </w:tcBorders>
            <w:shd w:val="clear" w:color="auto" w:fill="C6EFCE"/>
            <w:noWrap/>
          </w:tcPr>
          <w:p w14:paraId="33DABFAC" w14:textId="77777777" w:rsidR="003A3D51" w:rsidRDefault="0002775A">
            <w:pPr>
              <w:pStyle w:val="P68B1DB1-Normal41"/>
              <w:jc w:val="center"/>
              <w:rPr>
                <w:rFonts w:ascii="Times New Roman" w:hAnsi="Times New Roman" w:cs="Times New Roman"/>
                <w:noProof/>
              </w:rPr>
            </w:pPr>
            <w:r>
              <w:rPr>
                <w:noProof/>
              </w:rPr>
              <w:t>KVARTAL 2</w:t>
            </w:r>
          </w:p>
        </w:tc>
        <w:tc>
          <w:tcPr>
            <w:tcW w:w="992" w:type="dxa"/>
            <w:tcBorders>
              <w:top w:val="nil"/>
              <w:left w:val="nil"/>
              <w:bottom w:val="single" w:sz="4" w:space="0" w:color="auto"/>
              <w:right w:val="single" w:sz="4" w:space="0" w:color="auto"/>
            </w:tcBorders>
            <w:shd w:val="clear" w:color="auto" w:fill="C6EFCE"/>
            <w:noWrap/>
          </w:tcPr>
          <w:p w14:paraId="69F80A70" w14:textId="77777777" w:rsidR="003A3D51" w:rsidRDefault="0002775A">
            <w:pPr>
              <w:pStyle w:val="P68B1DB1-Normal41"/>
              <w:jc w:val="center"/>
              <w:rPr>
                <w:rFonts w:ascii="Times New Roman" w:hAnsi="Times New Roman" w:cs="Times New Roman"/>
                <w:noProof/>
              </w:rPr>
            </w:pPr>
            <w:r>
              <w:rPr>
                <w:noProof/>
              </w:rPr>
              <w:t>2026</w:t>
            </w:r>
          </w:p>
        </w:tc>
        <w:tc>
          <w:tcPr>
            <w:tcW w:w="4111" w:type="dxa"/>
            <w:tcBorders>
              <w:top w:val="nil"/>
              <w:left w:val="nil"/>
              <w:bottom w:val="single" w:sz="4" w:space="0" w:color="auto"/>
              <w:right w:val="single" w:sz="4" w:space="0" w:color="auto"/>
            </w:tcBorders>
            <w:shd w:val="clear" w:color="auto" w:fill="C6EFCE"/>
            <w:noWrap/>
          </w:tcPr>
          <w:p w14:paraId="6BB56C89" w14:textId="77777777" w:rsidR="003A3D51" w:rsidRDefault="0002775A">
            <w:pPr>
              <w:pStyle w:val="P68B1DB1-Normal41"/>
              <w:rPr>
                <w:rFonts w:ascii="Times New Roman" w:hAnsi="Times New Roman" w:cs="Times New Roman"/>
                <w:noProof/>
              </w:rPr>
            </w:pPr>
            <w:r>
              <w:rPr>
                <w:noProof/>
              </w:rPr>
              <w:t xml:space="preserve">För en del av de statsägda företag som inte är av särskilt intresse för Kroatien och som är berättigade att säljas och som inte förutser någon omstruktureringsprocess ska annonsering för försäljning genom offentlig budgivning, direkta bud till aktieägarna i händelse av företrädesrätt och erbjudanden av aktier på en reglerad kapitalmarknad genomföras. </w:t>
            </w:r>
            <w:r>
              <w:rPr>
                <w:noProof/>
              </w:rPr>
              <w:br/>
              <w:t>I slutet av 2Q/2026 ska tillkännagivandet om försäljning göras för minst 185 statsägda företag som förvaltas av centret för omstrukturering och försäljning (CERP) och som inte är av särskilt intresse för Kroatien, av vilka minst 90 ska ha sålts.</w:t>
            </w:r>
          </w:p>
        </w:tc>
      </w:tr>
      <w:tr w:rsidR="003A3D51" w14:paraId="7918FCAA" w14:textId="77777777">
        <w:trPr>
          <w:trHeight w:val="283"/>
        </w:trPr>
        <w:tc>
          <w:tcPr>
            <w:tcW w:w="737" w:type="dxa"/>
            <w:tcBorders>
              <w:top w:val="nil"/>
              <w:left w:val="single" w:sz="4" w:space="0" w:color="auto"/>
              <w:bottom w:val="single" w:sz="4" w:space="0" w:color="auto"/>
              <w:right w:val="single" w:sz="4" w:space="0" w:color="auto"/>
            </w:tcBorders>
            <w:shd w:val="clear" w:color="auto" w:fill="C6EFCE"/>
            <w:noWrap/>
          </w:tcPr>
          <w:p w14:paraId="0558E77D" w14:textId="77777777" w:rsidR="003A3D51" w:rsidRDefault="0002775A">
            <w:pPr>
              <w:pStyle w:val="P68B1DB1-Normal41"/>
              <w:jc w:val="center"/>
              <w:rPr>
                <w:rFonts w:ascii="Times New Roman" w:hAnsi="Times New Roman" w:cs="Times New Roman"/>
                <w:noProof/>
              </w:rPr>
            </w:pPr>
            <w:r>
              <w:rPr>
                <w:noProof/>
              </w:rPr>
              <w:t>211</w:t>
            </w:r>
          </w:p>
        </w:tc>
        <w:tc>
          <w:tcPr>
            <w:tcW w:w="850" w:type="dxa"/>
            <w:tcBorders>
              <w:top w:val="nil"/>
              <w:left w:val="nil"/>
              <w:bottom w:val="single" w:sz="4" w:space="0" w:color="auto"/>
              <w:right w:val="single" w:sz="4" w:space="0" w:color="auto"/>
            </w:tcBorders>
            <w:shd w:val="clear" w:color="auto" w:fill="C6EFCE"/>
            <w:noWrap/>
          </w:tcPr>
          <w:p w14:paraId="3EB55684" w14:textId="77777777" w:rsidR="003A3D51" w:rsidRDefault="0002775A">
            <w:pPr>
              <w:pStyle w:val="P68B1DB1-Normal41"/>
              <w:jc w:val="center"/>
              <w:rPr>
                <w:rFonts w:ascii="Times New Roman" w:hAnsi="Times New Roman" w:cs="Times New Roman"/>
                <w:noProof/>
              </w:rPr>
            </w:pPr>
            <w:r>
              <w:rPr>
                <w:noProof/>
              </w:rPr>
              <w:t>C2.4 R4</w:t>
            </w:r>
          </w:p>
        </w:tc>
        <w:tc>
          <w:tcPr>
            <w:tcW w:w="850" w:type="dxa"/>
            <w:tcBorders>
              <w:top w:val="nil"/>
              <w:left w:val="nil"/>
              <w:bottom w:val="single" w:sz="4" w:space="0" w:color="auto"/>
              <w:right w:val="single" w:sz="4" w:space="0" w:color="auto"/>
            </w:tcBorders>
            <w:shd w:val="clear" w:color="auto" w:fill="C6EFCE"/>
            <w:noWrap/>
          </w:tcPr>
          <w:p w14:paraId="4DC4D0F5" w14:textId="77777777" w:rsidR="003A3D51" w:rsidRDefault="0002775A">
            <w:pPr>
              <w:pStyle w:val="P68B1DB1-Normal41"/>
              <w:jc w:val="center"/>
              <w:rPr>
                <w:rFonts w:ascii="Times New Roman" w:hAnsi="Times New Roman" w:cs="Times New Roman"/>
                <w:noProof/>
              </w:rPr>
            </w:pPr>
            <w:r>
              <w:rPr>
                <w:noProof/>
              </w:rPr>
              <w:t>T</w:t>
            </w:r>
          </w:p>
        </w:tc>
        <w:tc>
          <w:tcPr>
            <w:tcW w:w="2098" w:type="dxa"/>
            <w:tcBorders>
              <w:top w:val="nil"/>
              <w:left w:val="nil"/>
              <w:bottom w:val="single" w:sz="4" w:space="0" w:color="auto"/>
              <w:right w:val="single" w:sz="4" w:space="0" w:color="auto"/>
            </w:tcBorders>
            <w:shd w:val="clear" w:color="auto" w:fill="C6EFCE"/>
            <w:noWrap/>
          </w:tcPr>
          <w:p w14:paraId="12911A07" w14:textId="77777777" w:rsidR="003A3D51" w:rsidRDefault="0002775A">
            <w:pPr>
              <w:pStyle w:val="P68B1DB1-Normal41"/>
              <w:rPr>
                <w:rFonts w:ascii="Times New Roman" w:hAnsi="Times New Roman" w:cs="Times New Roman"/>
                <w:noProof/>
              </w:rPr>
            </w:pPr>
            <w:r>
              <w:rPr>
                <w:noProof/>
              </w:rPr>
              <w:t>Genomförandet av försäljningen av 20 statsägda företag i CERP-portföljen som för närvarande inte är tillgängliga för försäljning.</w:t>
            </w:r>
          </w:p>
        </w:tc>
        <w:tc>
          <w:tcPr>
            <w:tcW w:w="1986" w:type="dxa"/>
            <w:tcBorders>
              <w:top w:val="nil"/>
              <w:left w:val="nil"/>
              <w:bottom w:val="single" w:sz="4" w:space="0" w:color="auto"/>
              <w:right w:val="single" w:sz="4" w:space="0" w:color="auto"/>
            </w:tcBorders>
            <w:shd w:val="clear" w:color="auto" w:fill="C6EFCE"/>
            <w:noWrap/>
          </w:tcPr>
          <w:p w14:paraId="63A03BE8" w14:textId="77777777" w:rsidR="003A3D51" w:rsidRDefault="0002775A">
            <w:pPr>
              <w:pStyle w:val="P68B1DB1-Normal41"/>
              <w:rPr>
                <w:rFonts w:ascii="Times New Roman" w:hAnsi="Times New Roman" w:cs="Times New Roman"/>
                <w:noProof/>
              </w:rPr>
            </w:pPr>
            <w:r>
              <w:rPr>
                <w:noProof/>
              </w:rPr>
              <w:t xml:space="preserve"> </w:t>
            </w:r>
          </w:p>
        </w:tc>
        <w:tc>
          <w:tcPr>
            <w:tcW w:w="851" w:type="dxa"/>
            <w:tcBorders>
              <w:top w:val="nil"/>
              <w:left w:val="nil"/>
              <w:bottom w:val="single" w:sz="4" w:space="0" w:color="auto"/>
              <w:right w:val="single" w:sz="4" w:space="0" w:color="auto"/>
            </w:tcBorders>
            <w:shd w:val="clear" w:color="auto" w:fill="C6EFCE"/>
            <w:noWrap/>
          </w:tcPr>
          <w:p w14:paraId="15272A6C" w14:textId="77777777" w:rsidR="003A3D51" w:rsidRDefault="0002775A">
            <w:pPr>
              <w:pStyle w:val="P68B1DB1-Normal41"/>
              <w:jc w:val="center"/>
              <w:rPr>
                <w:rFonts w:ascii="Times New Roman" w:hAnsi="Times New Roman" w:cs="Times New Roman"/>
                <w:noProof/>
              </w:rPr>
            </w:pPr>
            <w:r>
              <w:rPr>
                <w:noProof/>
              </w:rPr>
              <w:t>Antal</w:t>
            </w:r>
          </w:p>
        </w:tc>
        <w:tc>
          <w:tcPr>
            <w:tcW w:w="874" w:type="dxa"/>
            <w:tcBorders>
              <w:top w:val="nil"/>
              <w:left w:val="nil"/>
              <w:bottom w:val="single" w:sz="4" w:space="0" w:color="auto"/>
              <w:right w:val="single" w:sz="4" w:space="0" w:color="auto"/>
            </w:tcBorders>
            <w:shd w:val="clear" w:color="auto" w:fill="C6EFCE"/>
            <w:noWrap/>
          </w:tcPr>
          <w:p w14:paraId="1A931D5F" w14:textId="77777777" w:rsidR="003A3D51" w:rsidRDefault="0002775A">
            <w:pPr>
              <w:pStyle w:val="P68B1DB1-Normal41"/>
              <w:jc w:val="center"/>
              <w:rPr>
                <w:rFonts w:ascii="Times New Roman" w:hAnsi="Times New Roman" w:cs="Times New Roman"/>
                <w:noProof/>
              </w:rPr>
            </w:pPr>
            <w:r>
              <w:rPr>
                <w:noProof/>
              </w:rPr>
              <w:t>0</w:t>
            </w:r>
          </w:p>
        </w:tc>
        <w:tc>
          <w:tcPr>
            <w:tcW w:w="969" w:type="dxa"/>
            <w:tcBorders>
              <w:top w:val="nil"/>
              <w:left w:val="nil"/>
              <w:bottom w:val="single" w:sz="4" w:space="0" w:color="auto"/>
              <w:right w:val="single" w:sz="4" w:space="0" w:color="auto"/>
            </w:tcBorders>
            <w:shd w:val="clear" w:color="auto" w:fill="C6EFCE"/>
            <w:noWrap/>
          </w:tcPr>
          <w:p w14:paraId="18DA7877" w14:textId="77777777" w:rsidR="003A3D51" w:rsidRDefault="0002775A">
            <w:pPr>
              <w:pStyle w:val="P68B1DB1-Normal41"/>
              <w:jc w:val="center"/>
              <w:rPr>
                <w:rFonts w:ascii="Times New Roman" w:hAnsi="Times New Roman" w:cs="Times New Roman"/>
                <w:noProof/>
              </w:rPr>
            </w:pPr>
            <w:r>
              <w:rPr>
                <w:noProof/>
              </w:rPr>
              <w:t>20</w:t>
            </w:r>
          </w:p>
        </w:tc>
        <w:tc>
          <w:tcPr>
            <w:tcW w:w="567" w:type="dxa"/>
            <w:tcBorders>
              <w:top w:val="nil"/>
              <w:left w:val="nil"/>
              <w:bottom w:val="single" w:sz="4" w:space="0" w:color="auto"/>
              <w:right w:val="single" w:sz="4" w:space="0" w:color="auto"/>
            </w:tcBorders>
            <w:shd w:val="clear" w:color="auto" w:fill="C6EFCE"/>
            <w:noWrap/>
          </w:tcPr>
          <w:p w14:paraId="104C347E" w14:textId="77777777" w:rsidR="003A3D51" w:rsidRDefault="0002775A">
            <w:pPr>
              <w:pStyle w:val="P68B1DB1-Normal41"/>
              <w:jc w:val="center"/>
              <w:rPr>
                <w:rFonts w:ascii="Times New Roman" w:hAnsi="Times New Roman" w:cs="Times New Roman"/>
                <w:noProof/>
              </w:rPr>
            </w:pPr>
            <w:r>
              <w:rPr>
                <w:noProof/>
              </w:rPr>
              <w:t>KVARTAL 2</w:t>
            </w:r>
          </w:p>
        </w:tc>
        <w:tc>
          <w:tcPr>
            <w:tcW w:w="992" w:type="dxa"/>
            <w:tcBorders>
              <w:top w:val="nil"/>
              <w:left w:val="nil"/>
              <w:bottom w:val="single" w:sz="4" w:space="0" w:color="auto"/>
              <w:right w:val="single" w:sz="4" w:space="0" w:color="auto"/>
            </w:tcBorders>
            <w:shd w:val="clear" w:color="auto" w:fill="C6EFCE"/>
            <w:noWrap/>
          </w:tcPr>
          <w:p w14:paraId="56866F48" w14:textId="77777777" w:rsidR="003A3D51" w:rsidRDefault="0002775A">
            <w:pPr>
              <w:pStyle w:val="P68B1DB1-Normal41"/>
              <w:jc w:val="center"/>
              <w:rPr>
                <w:rFonts w:ascii="Times New Roman" w:hAnsi="Times New Roman" w:cs="Times New Roman"/>
                <w:noProof/>
              </w:rPr>
            </w:pPr>
            <w:r>
              <w:rPr>
                <w:noProof/>
              </w:rPr>
              <w:t>2026</w:t>
            </w:r>
          </w:p>
        </w:tc>
        <w:tc>
          <w:tcPr>
            <w:tcW w:w="4111" w:type="dxa"/>
            <w:tcBorders>
              <w:top w:val="nil"/>
              <w:left w:val="nil"/>
              <w:bottom w:val="single" w:sz="4" w:space="0" w:color="auto"/>
              <w:right w:val="single" w:sz="4" w:space="0" w:color="auto"/>
            </w:tcBorders>
            <w:shd w:val="clear" w:color="auto" w:fill="C6EFCE"/>
            <w:noWrap/>
          </w:tcPr>
          <w:p w14:paraId="7E680F1E" w14:textId="77777777" w:rsidR="003A3D51" w:rsidRDefault="0002775A">
            <w:pPr>
              <w:pStyle w:val="P68B1DB1-CommentText45"/>
              <w:rPr>
                <w:noProof/>
              </w:rPr>
            </w:pPr>
            <w:r>
              <w:rPr>
                <w:noProof/>
              </w:rPr>
              <w:t xml:space="preserve">För de återstående statsägda företag som inte är av särskilt intresse för Kroatien, vars aktier/andelar för närvarande inte är tillgängliga för försäljning, kommer alla åtgärder att vidtas för att avskaffa befintliga bestämmelser som hindrar avyttring av aktier/andelar i dessa företag. Om de aktier som omfattas av förbehållet inte har tilldelats de tidigare ägarna, ska de avyttras omedelbart i enlighet med de bestämmelser som föreskrivs i lag, efter det att reserveringen av aktierna i de berörda bolagen har upphävts.  </w:t>
            </w:r>
          </w:p>
        </w:tc>
      </w:tr>
      <w:tr w:rsidR="003A3D51" w14:paraId="58A6F510" w14:textId="77777777">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EA1EEE2" w14:textId="77777777" w:rsidR="003A3D51" w:rsidRDefault="0002775A">
            <w:pPr>
              <w:pStyle w:val="P68B1DB1-Normal41"/>
              <w:jc w:val="center"/>
              <w:rPr>
                <w:rFonts w:ascii="Times New Roman" w:hAnsi="Times New Roman" w:cs="Times New Roman"/>
                <w:noProof/>
              </w:rPr>
            </w:pPr>
            <w:r>
              <w:rPr>
                <w:noProof/>
              </w:rPr>
              <w:t>212</w:t>
            </w:r>
          </w:p>
        </w:tc>
        <w:tc>
          <w:tcPr>
            <w:tcW w:w="850" w:type="dxa"/>
            <w:tcBorders>
              <w:top w:val="single" w:sz="4" w:space="0" w:color="auto"/>
              <w:left w:val="nil"/>
              <w:bottom w:val="single" w:sz="4" w:space="0" w:color="auto"/>
              <w:right w:val="single" w:sz="4" w:space="0" w:color="auto"/>
            </w:tcBorders>
            <w:shd w:val="clear" w:color="auto" w:fill="C6EFCE"/>
            <w:noWrap/>
          </w:tcPr>
          <w:p w14:paraId="355627F3" w14:textId="77777777" w:rsidR="003A3D51" w:rsidRDefault="0002775A">
            <w:pPr>
              <w:pStyle w:val="P68B1DB1-Normal41"/>
              <w:jc w:val="center"/>
              <w:rPr>
                <w:rFonts w:ascii="Times New Roman" w:hAnsi="Times New Roman" w:cs="Times New Roman"/>
                <w:noProof/>
              </w:rPr>
            </w:pPr>
            <w:r>
              <w:rPr>
                <w:noProof/>
              </w:rPr>
              <w:t>C2.4 R5</w:t>
            </w:r>
          </w:p>
        </w:tc>
        <w:tc>
          <w:tcPr>
            <w:tcW w:w="850" w:type="dxa"/>
            <w:tcBorders>
              <w:top w:val="single" w:sz="4" w:space="0" w:color="auto"/>
              <w:left w:val="nil"/>
              <w:bottom w:val="single" w:sz="4" w:space="0" w:color="auto"/>
              <w:right w:val="single" w:sz="4" w:space="0" w:color="auto"/>
            </w:tcBorders>
            <w:shd w:val="clear" w:color="auto" w:fill="C6EFCE"/>
            <w:noWrap/>
          </w:tcPr>
          <w:p w14:paraId="45475292" w14:textId="77777777" w:rsidR="003A3D51" w:rsidRDefault="0002775A">
            <w:pPr>
              <w:pStyle w:val="P68B1DB1-Normal41"/>
              <w:jc w:val="center"/>
              <w:rPr>
                <w:rFonts w:ascii="Times New Roman" w:hAnsi="Times New Roman" w:cs="Times New Roman"/>
                <w:noProof/>
              </w:rPr>
            </w:pPr>
            <w:r>
              <w:rPr>
                <w:noProof/>
              </w:rPr>
              <w:t>M</w:t>
            </w:r>
          </w:p>
        </w:tc>
        <w:tc>
          <w:tcPr>
            <w:tcW w:w="2098" w:type="dxa"/>
            <w:tcBorders>
              <w:top w:val="single" w:sz="4" w:space="0" w:color="auto"/>
              <w:left w:val="nil"/>
              <w:bottom w:val="single" w:sz="4" w:space="0" w:color="auto"/>
              <w:right w:val="single" w:sz="4" w:space="0" w:color="auto"/>
            </w:tcBorders>
            <w:shd w:val="clear" w:color="auto" w:fill="C6EFCE"/>
            <w:noWrap/>
          </w:tcPr>
          <w:p w14:paraId="5C3774D8" w14:textId="77777777" w:rsidR="003A3D51" w:rsidRDefault="0002775A">
            <w:pPr>
              <w:pStyle w:val="P68B1DB1-Normal41"/>
              <w:rPr>
                <w:rFonts w:ascii="Times New Roman" w:hAnsi="Times New Roman" w:cs="Times New Roman"/>
                <w:noProof/>
              </w:rPr>
            </w:pPr>
            <w:r>
              <w:rPr>
                <w:noProof/>
              </w:rPr>
              <w:t xml:space="preserve">Utveckla ett it-system och en metod för minskning av statsägda fastighetsportföljer och snabbare och effektivare aktivering av outnyttjade statliga tillgångar. </w:t>
            </w:r>
          </w:p>
        </w:tc>
        <w:tc>
          <w:tcPr>
            <w:tcW w:w="1986" w:type="dxa"/>
            <w:tcBorders>
              <w:top w:val="single" w:sz="4" w:space="0" w:color="auto"/>
              <w:left w:val="nil"/>
              <w:bottom w:val="single" w:sz="4" w:space="0" w:color="auto"/>
              <w:right w:val="single" w:sz="4" w:space="0" w:color="auto"/>
            </w:tcBorders>
            <w:shd w:val="clear" w:color="auto" w:fill="C6EFCE"/>
            <w:noWrap/>
          </w:tcPr>
          <w:p w14:paraId="568A5916" w14:textId="77777777" w:rsidR="003A3D51" w:rsidRDefault="0002775A">
            <w:pPr>
              <w:pStyle w:val="P68B1DB1-Normal41"/>
              <w:rPr>
                <w:rFonts w:ascii="Times New Roman" w:hAnsi="Times New Roman" w:cs="Times New Roman"/>
                <w:noProof/>
              </w:rPr>
            </w:pPr>
            <w:r>
              <w:rPr>
                <w:noProof/>
              </w:rPr>
              <w:t>Utvecklat och genomfört it-system och en metod</w:t>
            </w:r>
          </w:p>
        </w:tc>
        <w:tc>
          <w:tcPr>
            <w:tcW w:w="851" w:type="dxa"/>
            <w:tcBorders>
              <w:top w:val="single" w:sz="4" w:space="0" w:color="auto"/>
              <w:left w:val="nil"/>
              <w:bottom w:val="single" w:sz="4" w:space="0" w:color="auto"/>
              <w:right w:val="single" w:sz="4" w:space="0" w:color="auto"/>
            </w:tcBorders>
            <w:shd w:val="clear" w:color="auto" w:fill="C6EFCE"/>
            <w:noWrap/>
          </w:tcPr>
          <w:p w14:paraId="148879EF" w14:textId="77777777" w:rsidR="003A3D51" w:rsidRDefault="0002775A">
            <w:pPr>
              <w:pStyle w:val="P68B1DB1-Normal41"/>
              <w:jc w:val="center"/>
              <w:rPr>
                <w:rFonts w:ascii="Times New Roman" w:hAnsi="Times New Roman" w:cs="Times New Roman"/>
                <w:noProof/>
              </w:rPr>
            </w:pPr>
            <w:r>
              <w:rPr>
                <w:noProof/>
              </w:rPr>
              <w:t> </w:t>
            </w:r>
          </w:p>
        </w:tc>
        <w:tc>
          <w:tcPr>
            <w:tcW w:w="874" w:type="dxa"/>
            <w:tcBorders>
              <w:top w:val="single" w:sz="4" w:space="0" w:color="auto"/>
              <w:left w:val="nil"/>
              <w:bottom w:val="single" w:sz="4" w:space="0" w:color="auto"/>
              <w:right w:val="single" w:sz="4" w:space="0" w:color="auto"/>
            </w:tcBorders>
            <w:shd w:val="clear" w:color="auto" w:fill="C6EFCE"/>
            <w:noWrap/>
          </w:tcPr>
          <w:p w14:paraId="52BA909A" w14:textId="77777777" w:rsidR="003A3D51" w:rsidRDefault="0002775A">
            <w:pPr>
              <w:pStyle w:val="P68B1DB1-Normal41"/>
              <w:jc w:val="center"/>
              <w:rPr>
                <w:rFonts w:ascii="Times New Roman" w:hAnsi="Times New Roman" w:cs="Times New Roman"/>
                <w:noProof/>
              </w:rPr>
            </w:pPr>
            <w:r>
              <w:rPr>
                <w:noProof/>
              </w:rPr>
              <w:t> </w:t>
            </w:r>
          </w:p>
        </w:tc>
        <w:tc>
          <w:tcPr>
            <w:tcW w:w="969" w:type="dxa"/>
            <w:tcBorders>
              <w:top w:val="single" w:sz="4" w:space="0" w:color="auto"/>
              <w:left w:val="nil"/>
              <w:bottom w:val="single" w:sz="4" w:space="0" w:color="auto"/>
              <w:right w:val="single" w:sz="4" w:space="0" w:color="auto"/>
            </w:tcBorders>
            <w:shd w:val="clear" w:color="auto" w:fill="C6EFCE"/>
            <w:noWrap/>
          </w:tcPr>
          <w:p w14:paraId="5A4A486C" w14:textId="77777777" w:rsidR="003A3D51" w:rsidRDefault="0002775A">
            <w:pPr>
              <w:pStyle w:val="P68B1DB1-Normal41"/>
              <w:jc w:val="center"/>
              <w:rPr>
                <w:rFonts w:ascii="Times New Roman" w:hAnsi="Times New Roman" w:cs="Times New Roman"/>
                <w:noProof/>
              </w:rPr>
            </w:pPr>
            <w:r>
              <w:rPr>
                <w:noProof/>
              </w:rPr>
              <w:t> </w:t>
            </w:r>
          </w:p>
        </w:tc>
        <w:tc>
          <w:tcPr>
            <w:tcW w:w="567" w:type="dxa"/>
            <w:tcBorders>
              <w:top w:val="single" w:sz="4" w:space="0" w:color="auto"/>
              <w:left w:val="nil"/>
              <w:bottom w:val="single" w:sz="4" w:space="0" w:color="auto"/>
              <w:right w:val="single" w:sz="4" w:space="0" w:color="auto"/>
            </w:tcBorders>
            <w:shd w:val="clear" w:color="auto" w:fill="C6EFCE"/>
            <w:noWrap/>
          </w:tcPr>
          <w:p w14:paraId="6EC94753" w14:textId="77777777" w:rsidR="003A3D51" w:rsidRDefault="0002775A">
            <w:pPr>
              <w:pStyle w:val="P68B1DB1-Normal41"/>
              <w:jc w:val="center"/>
              <w:rPr>
                <w:rFonts w:ascii="Times New Roman" w:hAnsi="Times New Roman" w:cs="Times New Roman"/>
                <w:noProof/>
              </w:rPr>
            </w:pPr>
            <w:r>
              <w:rPr>
                <w:noProof/>
              </w:rPr>
              <w:t>KVARTAL 4</w:t>
            </w:r>
          </w:p>
        </w:tc>
        <w:tc>
          <w:tcPr>
            <w:tcW w:w="992" w:type="dxa"/>
            <w:tcBorders>
              <w:top w:val="single" w:sz="4" w:space="0" w:color="auto"/>
              <w:left w:val="nil"/>
              <w:bottom w:val="single" w:sz="4" w:space="0" w:color="auto"/>
              <w:right w:val="single" w:sz="4" w:space="0" w:color="auto"/>
            </w:tcBorders>
            <w:shd w:val="clear" w:color="auto" w:fill="C6EFCE"/>
            <w:noWrap/>
          </w:tcPr>
          <w:p w14:paraId="3AC2312A" w14:textId="77777777" w:rsidR="003A3D51" w:rsidRDefault="0002775A">
            <w:pPr>
              <w:pStyle w:val="P68B1DB1-Normal41"/>
              <w:jc w:val="center"/>
              <w:rPr>
                <w:rFonts w:ascii="Times New Roman" w:hAnsi="Times New Roman" w:cs="Times New Roman"/>
                <w:noProof/>
              </w:rPr>
            </w:pPr>
            <w:r>
              <w:rPr>
                <w:noProof/>
              </w:rPr>
              <w:t>2024</w:t>
            </w:r>
          </w:p>
        </w:tc>
        <w:tc>
          <w:tcPr>
            <w:tcW w:w="4111" w:type="dxa"/>
            <w:tcBorders>
              <w:top w:val="single" w:sz="4" w:space="0" w:color="auto"/>
              <w:left w:val="nil"/>
              <w:bottom w:val="single" w:sz="4" w:space="0" w:color="auto"/>
              <w:right w:val="single" w:sz="4" w:space="0" w:color="auto"/>
            </w:tcBorders>
            <w:shd w:val="clear" w:color="auto" w:fill="C6EFCE"/>
            <w:noWrap/>
          </w:tcPr>
          <w:p w14:paraId="46E4F565" w14:textId="77777777" w:rsidR="003A3D51" w:rsidRDefault="0002775A">
            <w:pPr>
              <w:pStyle w:val="P68B1DB1-Normal41"/>
              <w:rPr>
                <w:rFonts w:ascii="Times New Roman" w:hAnsi="Times New Roman" w:cs="Times New Roman"/>
                <w:noProof/>
              </w:rPr>
            </w:pPr>
            <w:r>
              <w:rPr>
                <w:noProof/>
              </w:rPr>
              <w:t>Utvecklingen av ett it-system för förvaltning och förvaltning av den statligt ägda fastighetsportföljen ska slutföras.</w:t>
            </w:r>
            <w:r>
              <w:rPr>
                <w:noProof/>
              </w:rPr>
              <w:br/>
              <w:t>Utveckla en metod för att effektivt hantera avyttring av statligt ägd egendom för alla former av egendom som uppstår i förvaltningen av ministeriet för fysisk planering, byggnation och statlig egendom (MSGB).</w:t>
            </w:r>
            <w:r>
              <w:rPr>
                <w:noProof/>
              </w:rPr>
              <w:br/>
              <w:t>It-systemet ska tillsammans med metoden möjliggöra en minskning av den statsägda fastighetsportföljen och en snabbare och effektiv aktivering av outnyttjade statliga tillgångar. It-systemet ska upprätta en elektronisk anslutning till andra statliga förvaltningars och institutioners databaser för att förbättra befintliga interna register över den statligt ägda fastighetsportföljen i målgruppen.</w:t>
            </w:r>
          </w:p>
        </w:tc>
      </w:tr>
      <w:tr w:rsidR="003A3D51" w14:paraId="14BD3411" w14:textId="77777777">
        <w:trPr>
          <w:trHeight w:val="283"/>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8144AB2" w14:textId="77777777" w:rsidR="003A3D51" w:rsidRDefault="0002775A">
            <w:pPr>
              <w:pStyle w:val="P68B1DB1-Normal41"/>
              <w:jc w:val="center"/>
              <w:rPr>
                <w:rFonts w:ascii="Times New Roman" w:hAnsi="Times New Roman" w:cs="Times New Roman"/>
                <w:noProof/>
              </w:rPr>
            </w:pPr>
            <w:r>
              <w:rPr>
                <w:noProof/>
              </w:rPr>
              <w:t>213</w:t>
            </w:r>
          </w:p>
        </w:tc>
        <w:tc>
          <w:tcPr>
            <w:tcW w:w="850" w:type="dxa"/>
            <w:tcBorders>
              <w:top w:val="single" w:sz="4" w:space="0" w:color="auto"/>
              <w:left w:val="nil"/>
              <w:bottom w:val="single" w:sz="4" w:space="0" w:color="auto"/>
              <w:right w:val="single" w:sz="4" w:space="0" w:color="auto"/>
            </w:tcBorders>
            <w:shd w:val="clear" w:color="auto" w:fill="C6EFCE"/>
            <w:noWrap/>
          </w:tcPr>
          <w:p w14:paraId="5D824702" w14:textId="77777777" w:rsidR="003A3D51" w:rsidRDefault="0002775A">
            <w:pPr>
              <w:pStyle w:val="P68B1DB1-Normal41"/>
              <w:jc w:val="center"/>
              <w:rPr>
                <w:rFonts w:ascii="Times New Roman" w:hAnsi="Times New Roman" w:cs="Times New Roman"/>
                <w:noProof/>
              </w:rPr>
            </w:pPr>
            <w:r>
              <w:rPr>
                <w:noProof/>
              </w:rPr>
              <w:t>C2.4 R5</w:t>
            </w:r>
          </w:p>
        </w:tc>
        <w:tc>
          <w:tcPr>
            <w:tcW w:w="850" w:type="dxa"/>
            <w:tcBorders>
              <w:top w:val="single" w:sz="4" w:space="0" w:color="auto"/>
              <w:left w:val="nil"/>
              <w:bottom w:val="single" w:sz="4" w:space="0" w:color="auto"/>
              <w:right w:val="single" w:sz="4" w:space="0" w:color="auto"/>
            </w:tcBorders>
            <w:shd w:val="clear" w:color="auto" w:fill="C6EFCE"/>
            <w:noWrap/>
          </w:tcPr>
          <w:p w14:paraId="69EB0857" w14:textId="77777777" w:rsidR="003A3D51" w:rsidRDefault="0002775A">
            <w:pPr>
              <w:pStyle w:val="P68B1DB1-Normal41"/>
              <w:jc w:val="center"/>
              <w:rPr>
                <w:rFonts w:ascii="Times New Roman" w:hAnsi="Times New Roman" w:cs="Times New Roman"/>
                <w:noProof/>
              </w:rPr>
            </w:pPr>
            <w:r>
              <w:rPr>
                <w:noProof/>
              </w:rPr>
              <w:t>T</w:t>
            </w:r>
          </w:p>
        </w:tc>
        <w:tc>
          <w:tcPr>
            <w:tcW w:w="2098" w:type="dxa"/>
            <w:tcBorders>
              <w:top w:val="single" w:sz="4" w:space="0" w:color="auto"/>
              <w:left w:val="nil"/>
              <w:bottom w:val="single" w:sz="4" w:space="0" w:color="auto"/>
              <w:right w:val="single" w:sz="4" w:space="0" w:color="auto"/>
            </w:tcBorders>
            <w:shd w:val="clear" w:color="auto" w:fill="C6EFCE"/>
            <w:noWrap/>
          </w:tcPr>
          <w:p w14:paraId="78ABF208" w14:textId="77777777" w:rsidR="003A3D51" w:rsidRDefault="0002775A">
            <w:pPr>
              <w:pStyle w:val="P68B1DB1-Normal41"/>
              <w:rPr>
                <w:rFonts w:ascii="Times New Roman" w:hAnsi="Times New Roman" w:cs="Times New Roman"/>
                <w:noProof/>
              </w:rPr>
            </w:pPr>
            <w:r>
              <w:rPr>
                <w:noProof/>
              </w:rPr>
              <w:t>Öka kommersialiseringen, rationaliseringen och aktiveringen av statligt ägd egendom</w:t>
            </w:r>
          </w:p>
        </w:tc>
        <w:tc>
          <w:tcPr>
            <w:tcW w:w="1986" w:type="dxa"/>
            <w:tcBorders>
              <w:top w:val="single" w:sz="4" w:space="0" w:color="auto"/>
              <w:left w:val="nil"/>
              <w:bottom w:val="single" w:sz="4" w:space="0" w:color="auto"/>
              <w:right w:val="single" w:sz="4" w:space="0" w:color="auto"/>
            </w:tcBorders>
            <w:shd w:val="clear" w:color="auto" w:fill="C6EFCE"/>
            <w:noWrap/>
          </w:tcPr>
          <w:p w14:paraId="7771037B" w14:textId="77777777" w:rsidR="003A3D51" w:rsidRDefault="0002775A">
            <w:pPr>
              <w:pStyle w:val="P68B1DB1-Normal41"/>
              <w:rPr>
                <w:rFonts w:ascii="Times New Roman" w:hAnsi="Times New Roman" w:cs="Times New Roman"/>
                <w:noProof/>
              </w:rPr>
            </w:pPr>
            <w:r>
              <w:rPr>
                <w:noProof/>
              </w:rPr>
              <w:t xml:space="preserve"> </w:t>
            </w:r>
          </w:p>
        </w:tc>
        <w:tc>
          <w:tcPr>
            <w:tcW w:w="851" w:type="dxa"/>
            <w:tcBorders>
              <w:top w:val="single" w:sz="4" w:space="0" w:color="auto"/>
              <w:left w:val="nil"/>
              <w:bottom w:val="single" w:sz="4" w:space="0" w:color="auto"/>
              <w:right w:val="single" w:sz="4" w:space="0" w:color="auto"/>
            </w:tcBorders>
            <w:shd w:val="clear" w:color="auto" w:fill="C6EFCE"/>
            <w:noWrap/>
          </w:tcPr>
          <w:p w14:paraId="459F7926" w14:textId="77777777" w:rsidR="003A3D51" w:rsidRDefault="0002775A">
            <w:pPr>
              <w:pStyle w:val="P68B1DB1-Normal41"/>
              <w:jc w:val="center"/>
              <w:rPr>
                <w:rFonts w:ascii="Times New Roman" w:hAnsi="Times New Roman" w:cs="Times New Roman"/>
                <w:noProof/>
              </w:rPr>
            </w:pPr>
            <w:r>
              <w:rPr>
                <w:noProof/>
              </w:rPr>
              <w:t>Antal</w:t>
            </w:r>
          </w:p>
        </w:tc>
        <w:tc>
          <w:tcPr>
            <w:tcW w:w="874" w:type="dxa"/>
            <w:tcBorders>
              <w:top w:val="single" w:sz="4" w:space="0" w:color="auto"/>
              <w:left w:val="nil"/>
              <w:bottom w:val="single" w:sz="4" w:space="0" w:color="auto"/>
              <w:right w:val="single" w:sz="4" w:space="0" w:color="auto"/>
            </w:tcBorders>
            <w:shd w:val="clear" w:color="auto" w:fill="C6EFCE"/>
            <w:noWrap/>
          </w:tcPr>
          <w:p w14:paraId="11F77D33" w14:textId="77777777" w:rsidR="003A3D51" w:rsidRDefault="0002775A">
            <w:pPr>
              <w:pStyle w:val="P68B1DB1-Normal41"/>
              <w:jc w:val="center"/>
              <w:rPr>
                <w:rFonts w:ascii="Times New Roman" w:hAnsi="Times New Roman" w:cs="Times New Roman"/>
                <w:noProof/>
              </w:rPr>
            </w:pPr>
            <w:r>
              <w:rPr>
                <w:noProof/>
              </w:rPr>
              <w:t>0</w:t>
            </w:r>
          </w:p>
        </w:tc>
        <w:tc>
          <w:tcPr>
            <w:tcW w:w="969" w:type="dxa"/>
            <w:tcBorders>
              <w:top w:val="single" w:sz="4" w:space="0" w:color="auto"/>
              <w:left w:val="nil"/>
              <w:bottom w:val="single" w:sz="4" w:space="0" w:color="auto"/>
              <w:right w:val="single" w:sz="4" w:space="0" w:color="auto"/>
            </w:tcBorders>
            <w:shd w:val="clear" w:color="auto" w:fill="C6EFCE"/>
            <w:noWrap/>
          </w:tcPr>
          <w:p w14:paraId="5E8AD190" w14:textId="77777777" w:rsidR="003A3D51" w:rsidRDefault="0002775A">
            <w:pPr>
              <w:pStyle w:val="P68B1DB1-Normal41"/>
              <w:jc w:val="center"/>
              <w:rPr>
                <w:rFonts w:ascii="Times New Roman" w:hAnsi="Times New Roman" w:cs="Times New Roman"/>
                <w:noProof/>
              </w:rPr>
            </w:pPr>
            <w:r>
              <w:rPr>
                <w:noProof/>
              </w:rPr>
              <w:t>4 500</w:t>
            </w:r>
          </w:p>
        </w:tc>
        <w:tc>
          <w:tcPr>
            <w:tcW w:w="567" w:type="dxa"/>
            <w:tcBorders>
              <w:top w:val="single" w:sz="4" w:space="0" w:color="auto"/>
              <w:left w:val="nil"/>
              <w:bottom w:val="single" w:sz="4" w:space="0" w:color="auto"/>
              <w:right w:val="single" w:sz="4" w:space="0" w:color="auto"/>
            </w:tcBorders>
            <w:shd w:val="clear" w:color="auto" w:fill="C6EFCE"/>
            <w:noWrap/>
          </w:tcPr>
          <w:p w14:paraId="0E965875" w14:textId="77777777" w:rsidR="003A3D51" w:rsidRDefault="0002775A">
            <w:pPr>
              <w:pStyle w:val="P68B1DB1-Normal41"/>
              <w:jc w:val="center"/>
              <w:rPr>
                <w:rFonts w:ascii="Times New Roman" w:hAnsi="Times New Roman" w:cs="Times New Roman"/>
                <w:noProof/>
              </w:rPr>
            </w:pPr>
            <w:r>
              <w:rPr>
                <w:noProof/>
              </w:rPr>
              <w:t>KVARTAL 2</w:t>
            </w:r>
          </w:p>
        </w:tc>
        <w:tc>
          <w:tcPr>
            <w:tcW w:w="992" w:type="dxa"/>
            <w:tcBorders>
              <w:top w:val="single" w:sz="4" w:space="0" w:color="auto"/>
              <w:left w:val="nil"/>
              <w:bottom w:val="single" w:sz="4" w:space="0" w:color="auto"/>
              <w:right w:val="single" w:sz="4" w:space="0" w:color="auto"/>
            </w:tcBorders>
            <w:shd w:val="clear" w:color="auto" w:fill="C6EFCE"/>
            <w:noWrap/>
          </w:tcPr>
          <w:p w14:paraId="38CC3D7F" w14:textId="77777777" w:rsidR="003A3D51" w:rsidRDefault="0002775A">
            <w:pPr>
              <w:pStyle w:val="P68B1DB1-Normal41"/>
              <w:jc w:val="center"/>
              <w:rPr>
                <w:rFonts w:ascii="Times New Roman" w:hAnsi="Times New Roman" w:cs="Times New Roman"/>
                <w:noProof/>
              </w:rPr>
            </w:pPr>
            <w:r>
              <w:rPr>
                <w:noProof/>
              </w:rPr>
              <w:t>2026</w:t>
            </w:r>
          </w:p>
        </w:tc>
        <w:tc>
          <w:tcPr>
            <w:tcW w:w="4111" w:type="dxa"/>
            <w:tcBorders>
              <w:top w:val="single" w:sz="4" w:space="0" w:color="auto"/>
              <w:left w:val="nil"/>
              <w:bottom w:val="single" w:sz="4" w:space="0" w:color="auto"/>
              <w:right w:val="single" w:sz="4" w:space="0" w:color="auto"/>
            </w:tcBorders>
            <w:shd w:val="clear" w:color="auto" w:fill="C6EFCE"/>
            <w:noWrap/>
          </w:tcPr>
          <w:p w14:paraId="0E60056F" w14:textId="77777777" w:rsidR="003A3D51" w:rsidRDefault="0002775A">
            <w:pPr>
              <w:pStyle w:val="P68B1DB1-Normal41"/>
              <w:rPr>
                <w:rFonts w:ascii="Times New Roman" w:hAnsi="Times New Roman" w:cs="Times New Roman"/>
                <w:noProof/>
              </w:rPr>
            </w:pPr>
            <w:r>
              <w:rPr>
                <w:noProof/>
              </w:rPr>
              <w:t>Förvaltningen av statligt ägd egendom ska genomföras för att stödja minskningen av icke-strategiska statsägda fastighetsportföljer i Kroatien och för att snabbare och effektivare mobilisera outnyttjade statliga tillgångar och öka deras kommersiella eller sociala resultat/avkastning.</w:t>
            </w:r>
            <w:r>
              <w:rPr>
                <w:noProof/>
              </w:rPr>
              <w:br/>
              <w:t>I slutet av andra kvartalet 2026 ska 4 500 avtal om fastighetsposter (avtal med ersättning till förmån för statsbudgeten och kostnadsfria avtal) ingås för att öka skatteintäkterna, minska statsskulden och aktivera den statligt ägda fastighetsportföljen. Detta kommer att uppnås genom att öka antalet offentliga upphandlingar för avyttring av icke-strategisk statligt ägd egendom i Kroatien, skapa förutsättningar för att utfärda internationella offentliga ansökningsomgångar för investeringsprojekt och ytterligare förbättra förbindelserna med lokala och regionala förvaltningsenheter (JLPRS) för att aktivera den befintliga portföljen för statligt ägd egendom och genomföra utvecklingsprojekt (infrastruktur, kulturella, sociala, ekonomiska och demografiska) till förmån för samhället.</w:t>
            </w:r>
          </w:p>
        </w:tc>
      </w:tr>
    </w:tbl>
    <w:p w14:paraId="24FED2B3" w14:textId="77777777" w:rsidR="003A3D51" w:rsidRDefault="003A3D51">
      <w:pPr>
        <w:rPr>
          <w:noProof/>
        </w:rPr>
      </w:pPr>
    </w:p>
    <w:p w14:paraId="5EE5D2E6"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40C7E5CD" w14:textId="77777777" w:rsidR="003A3D51" w:rsidRDefault="003A3D51">
      <w:pPr>
        <w:rPr>
          <w:noProof/>
        </w:rPr>
        <w:sectPr w:rsidR="003A3D51" w:rsidSect="00733DCA">
          <w:headerReference w:type="even" r:id="rId204"/>
          <w:headerReference w:type="default" r:id="rId205"/>
          <w:footerReference w:type="even" r:id="rId206"/>
          <w:footerReference w:type="default" r:id="rId207"/>
          <w:headerReference w:type="first" r:id="rId208"/>
          <w:footerReference w:type="first" r:id="rId209"/>
          <w:pgSz w:w="15840" w:h="12240" w:orient="landscape"/>
          <w:pgMar w:top="1440" w:right="1440" w:bottom="1440" w:left="709" w:header="708" w:footer="708" w:gutter="0"/>
          <w:cols w:space="708"/>
          <w:docGrid w:linePitch="360"/>
        </w:sectPr>
      </w:pPr>
    </w:p>
    <w:p w14:paraId="31D8B266" w14:textId="77777777" w:rsidR="003A3D51" w:rsidRDefault="003A3D51">
      <w:pPr>
        <w:rPr>
          <w:noProof/>
        </w:rPr>
      </w:pPr>
    </w:p>
    <w:p w14:paraId="41068D5C" w14:textId="77777777" w:rsidR="003A3D51" w:rsidRDefault="0002775A">
      <w:pPr>
        <w:pStyle w:val="P68B1DB1-Normal2"/>
        <w:spacing w:before="120" w:after="120" w:line="240" w:lineRule="auto"/>
        <w:ind w:left="709"/>
        <w:jc w:val="both"/>
        <w:rPr>
          <w:noProof/>
        </w:rPr>
      </w:pPr>
      <w:r>
        <w:rPr>
          <w:noProof/>
        </w:rPr>
        <w:tab/>
        <w:t>K. KOMPONENT 2.5: MODERN RÄTTVISA RUSTAD FÖR FRAMTIDA UTMANINGAR</w:t>
      </w:r>
    </w:p>
    <w:p w14:paraId="3369CEC6" w14:textId="77777777" w:rsidR="003A3D51" w:rsidRDefault="0002775A">
      <w:pPr>
        <w:pStyle w:val="P68B1DB1-Normal3"/>
        <w:spacing w:before="120" w:after="120" w:line="240" w:lineRule="auto"/>
        <w:jc w:val="both"/>
        <w:rPr>
          <w:noProof/>
        </w:rPr>
      </w:pPr>
      <w:r>
        <w:rPr>
          <w:noProof/>
        </w:rPr>
        <w:t xml:space="preserve">Ett av de viktigaste strategiska mål som beskrivs i Kroatiens återhämtnings- och resiliensplan är att uppnå ett effektivt och ändamålsenligt rättssystem som ska bidra till ekonomins utveckling och uppfylla medborgarnas förväntningar på att ytterligare stärka rättsstatsprincipen. Komponenten omfattar en huvudreform som ska bidra till att minska eftersläpningen och förkorta domstolsförfarandena. </w:t>
      </w:r>
    </w:p>
    <w:p w14:paraId="7D2E5F49" w14:textId="77777777" w:rsidR="003A3D51" w:rsidRDefault="0002775A">
      <w:pPr>
        <w:pStyle w:val="P68B1DB1-Normal3"/>
        <w:spacing w:before="120" w:after="120" w:line="240" w:lineRule="auto"/>
        <w:jc w:val="both"/>
        <w:rPr>
          <w:noProof/>
        </w:rPr>
      </w:pPr>
      <w:r>
        <w:rPr>
          <w:noProof/>
        </w:rPr>
        <w:t>Komponenten stöder genomförandet av den landsspecifika rekommendationen om behovet av att ytterligare förkorta domstolsförfarandenas längd och förbättra den elektroniska kommunikationen i domstolarna (de landsspecifika rekommendationerna 4 och 2019 och de landsspecifika rekommendationerna 4 och 2020).</w:t>
      </w:r>
    </w:p>
    <w:p w14:paraId="770A8028" w14:textId="77777777" w:rsidR="003A3D51" w:rsidRDefault="0002775A">
      <w:pPr>
        <w:pStyle w:val="P68B1DB1-Normal3"/>
        <w:spacing w:before="120" w:after="120" w:line="240" w:lineRule="auto"/>
        <w:jc w:val="both"/>
        <w:rPr>
          <w:noProof/>
        </w:rPr>
      </w:pPr>
      <w:r>
        <w:rPr>
          <w:noProof/>
        </w:rPr>
        <w:t>Komponenten omfattar en reform och sex investeringar.</w:t>
      </w:r>
    </w:p>
    <w:p w14:paraId="68E37C7C" w14:textId="77777777" w:rsidR="003A3D51" w:rsidRDefault="0002775A">
      <w:pPr>
        <w:pStyle w:val="P68B1DB1-Normal4"/>
        <w:keepNext/>
        <w:tabs>
          <w:tab w:val="num" w:pos="850"/>
        </w:tabs>
        <w:spacing w:before="40" w:after="0"/>
        <w:ind w:left="851"/>
        <w:jc w:val="both"/>
        <w:outlineLvl w:val="1"/>
        <w:rPr>
          <w:noProof/>
        </w:rPr>
      </w:pPr>
      <w:r>
        <w:rPr>
          <w:noProof/>
        </w:rPr>
        <w:t xml:space="preserve">K.1. </w:t>
      </w:r>
      <w:r>
        <w:rPr>
          <w:noProof/>
        </w:rPr>
        <w:tab/>
        <w:t>Beskrivning av reformer och investeringar avseende icke återbetalningspliktigt ekonomiskt stöd</w:t>
      </w:r>
    </w:p>
    <w:p w14:paraId="7A2B87EC" w14:textId="77777777" w:rsidR="003A3D51" w:rsidRDefault="0002775A">
      <w:pPr>
        <w:pStyle w:val="P68B1DB1-Normal5"/>
        <w:spacing w:before="120" w:after="120" w:line="240" w:lineRule="auto"/>
        <w:ind w:left="850"/>
        <w:jc w:val="both"/>
        <w:rPr>
          <w:noProof/>
        </w:rPr>
      </w:pPr>
      <w:r>
        <w:rPr>
          <w:noProof/>
        </w:rPr>
        <w:t>Reform: C2.5.R1: Öka rättssystemets effektivitet för att öka medborgarnas förtroende.</w:t>
      </w:r>
    </w:p>
    <w:p w14:paraId="730A51A2" w14:textId="77777777" w:rsidR="003A3D51" w:rsidRDefault="0002775A">
      <w:pPr>
        <w:pStyle w:val="P68B1DB1-Normal3"/>
        <w:spacing w:before="120" w:after="120" w:line="240" w:lineRule="auto"/>
        <w:jc w:val="both"/>
        <w:rPr>
          <w:noProof/>
        </w:rPr>
      </w:pPr>
      <w:r>
        <w:rPr>
          <w:noProof/>
        </w:rPr>
        <w:t xml:space="preserve">Syftet med reformen är att inrätta en rättslig, organisatorisk och teknisk ram som ska bidra till att minska eftersläpningen och förkorta domstolsförfarandena och fokusera på en öppen och effektiv förvaltning av rättsväsendet. </w:t>
      </w:r>
    </w:p>
    <w:p w14:paraId="6DEA9914" w14:textId="77777777" w:rsidR="003A3D51" w:rsidRDefault="0002775A">
      <w:pPr>
        <w:pStyle w:val="P68B1DB1-Normal3"/>
        <w:spacing w:before="120" w:after="120" w:line="240" w:lineRule="auto"/>
        <w:jc w:val="both"/>
        <w:rPr>
          <w:noProof/>
        </w:rPr>
      </w:pPr>
      <w:r>
        <w:rPr>
          <w:noProof/>
        </w:rPr>
        <w:t>Reformen ska omfatta följande ändringar av lagstiftning och förfaranden:</w:t>
      </w:r>
    </w:p>
    <w:p w14:paraId="737A392C" w14:textId="77777777" w:rsidR="003A3D51" w:rsidRDefault="0002775A">
      <w:pPr>
        <w:pStyle w:val="NormalWeb"/>
        <w:numPr>
          <w:ilvl w:val="0"/>
          <w:numId w:val="21"/>
        </w:numPr>
        <w:spacing w:before="120" w:after="120" w:line="240" w:lineRule="auto"/>
        <w:jc w:val="both"/>
        <w:rPr>
          <w:rFonts w:eastAsia="Calibri"/>
          <w:noProof/>
        </w:rPr>
      </w:pPr>
      <w:r>
        <w:rPr>
          <w:noProof/>
        </w:rPr>
        <w:t>Ändring av konkurslagen och lagen om konsumentinsolvens i syfte att effektivisera insolvensförfarandena, förbättra systemet för utnämning av förvaltare och övervakningen av utförandet av tjänsten, genomföra direktiv (EU) 2019/1023 och ändra artikel 212 i konkurslagen om återvinningsförfaranden.</w:t>
      </w:r>
    </w:p>
    <w:p w14:paraId="32F030A4" w14:textId="77777777" w:rsidR="003A3D51" w:rsidRDefault="0002775A">
      <w:pPr>
        <w:pStyle w:val="P68B1DB1-Normal3"/>
        <w:numPr>
          <w:ilvl w:val="0"/>
          <w:numId w:val="21"/>
        </w:numPr>
        <w:spacing w:before="120" w:after="120" w:line="240" w:lineRule="auto"/>
        <w:jc w:val="both"/>
        <w:rPr>
          <w:noProof/>
        </w:rPr>
      </w:pPr>
      <w:r>
        <w:rPr>
          <w:noProof/>
        </w:rPr>
        <w:t>Ändring av den rättsliga ramen på det rättsliga området med fokus på</w:t>
      </w:r>
    </w:p>
    <w:p w14:paraId="4386CD88" w14:textId="77777777" w:rsidR="003A3D51" w:rsidRDefault="0002775A">
      <w:pPr>
        <w:pStyle w:val="P68B1DB1-Normal3"/>
        <w:numPr>
          <w:ilvl w:val="1"/>
          <w:numId w:val="21"/>
        </w:numPr>
        <w:spacing w:before="120" w:after="120" w:line="240" w:lineRule="auto"/>
        <w:jc w:val="both"/>
        <w:rPr>
          <w:noProof/>
        </w:rPr>
      </w:pPr>
      <w:r>
        <w:rPr>
          <w:noProof/>
        </w:rPr>
        <w:t xml:space="preserve">Ändringar av civilprocesslagen och lagen om förvaltningstvister för att bidra till att förkorta domstolsförfarandena, påskynda lösningen av administrativa tvister, minska flödet av mål och minska kostnaderna. </w:t>
      </w:r>
    </w:p>
    <w:p w14:paraId="2587BEF6" w14:textId="77777777" w:rsidR="003A3D51" w:rsidRDefault="0002775A">
      <w:pPr>
        <w:pStyle w:val="P68B1DB1-Normal3"/>
        <w:numPr>
          <w:ilvl w:val="1"/>
          <w:numId w:val="21"/>
        </w:numPr>
        <w:spacing w:before="120" w:after="120" w:line="240" w:lineRule="auto"/>
        <w:jc w:val="both"/>
        <w:rPr>
          <w:noProof/>
        </w:rPr>
      </w:pPr>
      <w:r>
        <w:rPr>
          <w:noProof/>
        </w:rPr>
        <w:t>Godkänna den nya lagen om rättsvårdsärenden, i syfte att underlätta medborgarnas tillgång till domstolar, säkerställa högkvalitativ och öppen prövning och undanröja rättsosäkerhet.</w:t>
      </w:r>
    </w:p>
    <w:p w14:paraId="63B5B410" w14:textId="77777777" w:rsidR="003A3D51" w:rsidRDefault="0002775A">
      <w:pPr>
        <w:pStyle w:val="P68B1DB1-Normal3"/>
        <w:numPr>
          <w:ilvl w:val="1"/>
          <w:numId w:val="21"/>
        </w:numPr>
        <w:spacing w:before="120" w:after="120" w:line="240" w:lineRule="auto"/>
        <w:jc w:val="both"/>
        <w:rPr>
          <w:noProof/>
        </w:rPr>
      </w:pPr>
      <w:r>
        <w:rPr>
          <w:noProof/>
        </w:rPr>
        <w:t>Ändring av lagen om notarier i syfte att modernisera notariernas verksamhet genom IKT-lösningar.</w:t>
      </w:r>
    </w:p>
    <w:p w14:paraId="4CC9BBB4" w14:textId="77777777" w:rsidR="003A3D51" w:rsidRDefault="0002775A">
      <w:pPr>
        <w:pStyle w:val="P68B1DB1-Normal3"/>
        <w:numPr>
          <w:ilvl w:val="1"/>
          <w:numId w:val="21"/>
        </w:numPr>
        <w:spacing w:before="120" w:after="120" w:line="240" w:lineRule="auto"/>
        <w:jc w:val="both"/>
        <w:rPr>
          <w:noProof/>
        </w:rPr>
      </w:pPr>
      <w:r>
        <w:rPr>
          <w:noProof/>
        </w:rPr>
        <w:t>Ändring av lagen om fastighetsregister för elektronisk handläggning av mål i syfte att möjliggöra en effektivare omfördelning av mål inom domstolarna.</w:t>
      </w:r>
    </w:p>
    <w:p w14:paraId="7232C5D3" w14:textId="77777777" w:rsidR="003A3D51" w:rsidRDefault="0002775A">
      <w:pPr>
        <w:pStyle w:val="P68B1DB1-Normal3"/>
        <w:numPr>
          <w:ilvl w:val="1"/>
          <w:numId w:val="21"/>
        </w:numPr>
        <w:spacing w:before="120" w:after="120" w:line="240" w:lineRule="auto"/>
        <w:jc w:val="both"/>
        <w:rPr>
          <w:noProof/>
        </w:rPr>
      </w:pPr>
      <w:r>
        <w:rPr>
          <w:noProof/>
        </w:rPr>
        <w:t>Ändring av domstolslagen och lagen om domstolarnas områden och säten, som ska göra det möjligt att specialisera domare och inrätta specialiserade familjeenheter i kommunala domstolar, i syfte att säkerställa en effektivare rättslig skyddsnivå för de mest utsatta samhällsgrupperna och barnen, och som ska se över villkoren för tillhandahållande av sakkunskap och tolkning, varav systemet med obligatorisk yrkesutbildning kommer att vara ett viktigt inslag. Behörigheten att besluta om statusfrågor ska överföras från domstolarna till justitieministeriet och den offentliga förvaltningen, och systemet för tillsyn och ansvarsskyldighet ska stärkas.</w:t>
      </w:r>
    </w:p>
    <w:p w14:paraId="20DC1CE6" w14:textId="77777777" w:rsidR="003A3D51" w:rsidRDefault="0002775A">
      <w:pPr>
        <w:pStyle w:val="P68B1DB1-Normal3"/>
        <w:numPr>
          <w:ilvl w:val="0"/>
          <w:numId w:val="21"/>
        </w:numPr>
        <w:spacing w:before="120" w:after="120" w:line="240" w:lineRule="auto"/>
        <w:jc w:val="both"/>
        <w:rPr>
          <w:noProof/>
        </w:rPr>
      </w:pPr>
      <w:r>
        <w:rPr>
          <w:noProof/>
        </w:rPr>
        <w:t>Antagande av nya ramriktmärken för domares arbete, som ska föreskriva ett större antal mål som ska avgöras i syfte att uppmuntra handläggningen av fler mål, särskilt gamla mål. Dessutom införs användningen av det aktiva verktyget för ärendehantering i utvalda domstolar, däribland distriktsdomstolen i Zagreb, i syfte att uppnå större effektivitet. Den ska upprätta checklistor, inbegripet verktyg för märkning och självbedömning på grundval av den internationella ramen för spetskompetens inom rättsväsendet.</w:t>
      </w:r>
    </w:p>
    <w:p w14:paraId="374D771A" w14:textId="77777777" w:rsidR="003A3D51" w:rsidRDefault="0002775A">
      <w:pPr>
        <w:pStyle w:val="P68B1DB1-Normal3"/>
        <w:spacing w:before="120" w:after="120" w:line="240" w:lineRule="auto"/>
        <w:jc w:val="both"/>
        <w:rPr>
          <w:noProof/>
        </w:rPr>
      </w:pPr>
      <w:r>
        <w:rPr>
          <w:noProof/>
        </w:rPr>
        <w:t>Reformen ska omfatta följande organisatoriska förändringar:</w:t>
      </w:r>
    </w:p>
    <w:p w14:paraId="31DEE83A" w14:textId="77777777" w:rsidR="003A3D51" w:rsidRDefault="0002775A">
      <w:pPr>
        <w:pStyle w:val="P68B1DB1-Normal3"/>
        <w:numPr>
          <w:ilvl w:val="0"/>
          <w:numId w:val="21"/>
        </w:numPr>
        <w:spacing w:before="120" w:after="120" w:line="240" w:lineRule="auto"/>
        <w:jc w:val="both"/>
        <w:rPr>
          <w:noProof/>
        </w:rPr>
      </w:pPr>
      <w:r>
        <w:rPr>
          <w:noProof/>
        </w:rPr>
        <w:t xml:space="preserve">Inrättandet av fyra medlingscentrum vid handelsdomstolarna i Zagreb, Split, Osijek och Rijeka och ändringen av medlingslagen i syfte att bidra till ytterligare främjande av frivillig medling i tvistemål och administrativa tvister, vilket minskar handläggningstiden och kostnaderna för mål. </w:t>
      </w:r>
    </w:p>
    <w:p w14:paraId="4F7FD35C" w14:textId="77777777" w:rsidR="003A3D51" w:rsidRDefault="0002775A">
      <w:pPr>
        <w:pStyle w:val="P68B1DB1-Normal3"/>
        <w:numPr>
          <w:ilvl w:val="0"/>
          <w:numId w:val="21"/>
        </w:numPr>
        <w:spacing w:before="120" w:after="120" w:line="240" w:lineRule="auto"/>
        <w:jc w:val="both"/>
        <w:rPr>
          <w:noProof/>
        </w:rPr>
      </w:pPr>
      <w:r>
        <w:rPr>
          <w:noProof/>
        </w:rPr>
        <w:t>Införande av nya utbildningsprogram som en del av det rättsliga utbildningsprogrammet för tjänstemän inom rättsväsendet och tjänstemän vid rättsliga myndigheter vid rättsakademin med inriktning på</w:t>
      </w:r>
    </w:p>
    <w:p w14:paraId="75DC458A" w14:textId="77777777" w:rsidR="003A3D51" w:rsidRDefault="0002775A">
      <w:pPr>
        <w:pStyle w:val="P68B1DB1-Normal3"/>
        <w:numPr>
          <w:ilvl w:val="1"/>
          <w:numId w:val="21"/>
        </w:numPr>
        <w:spacing w:before="120" w:after="120" w:line="240" w:lineRule="auto"/>
        <w:jc w:val="both"/>
        <w:rPr>
          <w:noProof/>
        </w:rPr>
      </w:pPr>
      <w:r>
        <w:rPr>
          <w:noProof/>
        </w:rPr>
        <w:t>Utveckla olika färdigheter (lednings- och ledningskompetens för domstolsordförande, domstolsledning för domstolschefer och kommunikationsförmåga för domstolspersonal – tre program).</w:t>
      </w:r>
    </w:p>
    <w:p w14:paraId="1E64A629" w14:textId="77777777" w:rsidR="003A3D51" w:rsidRDefault="0002775A">
      <w:pPr>
        <w:pStyle w:val="P68B1DB1-Normal3"/>
        <w:numPr>
          <w:ilvl w:val="1"/>
          <w:numId w:val="21"/>
        </w:numPr>
        <w:spacing w:before="120" w:after="120" w:line="240" w:lineRule="auto"/>
        <w:jc w:val="both"/>
        <w:rPr>
          <w:noProof/>
        </w:rPr>
      </w:pPr>
      <w:r>
        <w:rPr>
          <w:noProof/>
        </w:rPr>
        <w:t>Främja rättsstatsprincipen och de grundläggande rättigheterna genom utbildning av hög kvalitet i det kroatiska rättsväsendet.</w:t>
      </w:r>
    </w:p>
    <w:p w14:paraId="16474372" w14:textId="77777777" w:rsidR="003A3D51" w:rsidRDefault="0002775A">
      <w:pPr>
        <w:pStyle w:val="P68B1DB1-Normal3"/>
        <w:numPr>
          <w:ilvl w:val="1"/>
          <w:numId w:val="21"/>
        </w:numPr>
        <w:spacing w:before="120" w:after="120" w:line="240" w:lineRule="auto"/>
        <w:jc w:val="both"/>
        <w:rPr>
          <w:noProof/>
        </w:rPr>
      </w:pPr>
      <w:r>
        <w:rPr>
          <w:noProof/>
        </w:rPr>
        <w:t>Specialiserade utbildningsprogram för insolvensdomare och utbildningskurser för domare i familjerätt.</w:t>
      </w:r>
    </w:p>
    <w:p w14:paraId="46F32A01" w14:textId="77777777" w:rsidR="003A3D51" w:rsidRDefault="0002775A">
      <w:pPr>
        <w:pStyle w:val="P68B1DB1-Normal3"/>
        <w:spacing w:before="120" w:after="120" w:line="240" w:lineRule="auto"/>
        <w:jc w:val="both"/>
        <w:rPr>
          <w:noProof/>
        </w:rPr>
      </w:pPr>
      <w:r>
        <w:rPr>
          <w:noProof/>
        </w:rPr>
        <w:t>Reformen ska omfatta följande tekniska förändringar som ska stödjas av investeringarna C2.5 R1-I1, C2.5 R1-I2 och C2.5 R1-I3.</w:t>
      </w:r>
    </w:p>
    <w:p w14:paraId="799F4E0A" w14:textId="77777777" w:rsidR="003A3D51" w:rsidRDefault="0002775A">
      <w:pPr>
        <w:pStyle w:val="P68B1DB1-Normal3"/>
        <w:numPr>
          <w:ilvl w:val="0"/>
          <w:numId w:val="21"/>
        </w:numPr>
        <w:spacing w:before="120" w:after="120" w:line="240" w:lineRule="auto"/>
        <w:jc w:val="both"/>
        <w:rPr>
          <w:noProof/>
        </w:rPr>
      </w:pPr>
      <w:r>
        <w:rPr>
          <w:noProof/>
        </w:rPr>
        <w:t>Ändring av straffprocesslagen för att tillåta användning av IKT i straffrättsliga förfaranden, inbegripet införande av förhandlingar på distans, utvidgning av möjligheten att lämna vittnesmål online för brottsoffer, möjlighet att kommunicera med advokater via en säker videolänk och förberedelse av förhör för tilltalade i häkte samt införande av e-kommunikation.</w:t>
      </w:r>
    </w:p>
    <w:p w14:paraId="6F81C220" w14:textId="77777777" w:rsidR="003A3D51" w:rsidRDefault="0002775A">
      <w:pPr>
        <w:pStyle w:val="P68B1DB1-Normal3"/>
        <w:numPr>
          <w:ilvl w:val="0"/>
          <w:numId w:val="21"/>
        </w:numPr>
        <w:spacing w:before="120" w:after="120" w:line="240" w:lineRule="auto"/>
        <w:jc w:val="both"/>
        <w:rPr>
          <w:noProof/>
        </w:rPr>
      </w:pPr>
      <w:r>
        <w:rPr>
          <w:noProof/>
        </w:rPr>
        <w:t>Tillhandahållande av elektroniska verktyg och tillräcklig administrativ kapacitet för statens rättsliga råd (Državno sudbeno vijeće, DSV) och det statliga åklagarrådet (Državnoodvjetničko vijeće, DOV) för att förbättra kvaliteten på båda rådens arbete. En ökning av deras personalresurser med 50 % (genom rekrytering av minst 4 personer) och kopplingen mellan DSV och DOV till det gemensamma fastighetsregistret och fastighetsregistret (ZIS) och skatteförvaltningens informationssystem ska införas för att inrätta en effektiv mekanism för kontroll av statstjänstemännens redovisningar av tillgångar.</w:t>
      </w:r>
    </w:p>
    <w:p w14:paraId="6001466D" w14:textId="77777777" w:rsidR="003A3D51" w:rsidRDefault="0002775A">
      <w:pPr>
        <w:pStyle w:val="P68B1DB1-Normal3"/>
        <w:spacing w:before="120" w:after="120" w:line="240" w:lineRule="auto"/>
        <w:jc w:val="both"/>
        <w:rPr>
          <w:noProof/>
        </w:rPr>
      </w:pPr>
      <w:r>
        <w:rPr>
          <w:noProof/>
        </w:rPr>
        <w:t>Denna reform ska vara slutförd senast den 30 juni 2026.</w:t>
      </w:r>
    </w:p>
    <w:p w14:paraId="2BF7A6BB" w14:textId="77777777" w:rsidR="003A3D51" w:rsidRDefault="0002775A">
      <w:pPr>
        <w:pStyle w:val="P68B1DB1-Normal5"/>
        <w:pageBreakBefore/>
        <w:spacing w:before="120" w:after="120" w:line="240" w:lineRule="auto"/>
        <w:ind w:left="851"/>
        <w:jc w:val="both"/>
        <w:rPr>
          <w:noProof/>
        </w:rPr>
      </w:pPr>
      <w:r>
        <w:rPr>
          <w:noProof/>
        </w:rPr>
        <w:t>Investering C2.5.R1-I1 – Förbättring av domstolens ärendehanteringssystem (eSpis).</w:t>
      </w:r>
    </w:p>
    <w:p w14:paraId="56C41352" w14:textId="77777777" w:rsidR="003A3D51" w:rsidRDefault="0002775A">
      <w:pPr>
        <w:pStyle w:val="P68B1DB1-Normal3"/>
        <w:spacing w:before="120" w:after="120" w:line="240" w:lineRule="auto"/>
        <w:jc w:val="both"/>
        <w:rPr>
          <w:noProof/>
        </w:rPr>
      </w:pPr>
      <w:r>
        <w:rPr>
          <w:noProof/>
        </w:rPr>
        <w:t xml:space="preserve">Syftet med investeringen är att ytterligare uppgradera eSpis-systemet (tillsammans med alla moduler, särskilt e-kommunikation för att möjliggöra elektronisk kommunikation för alla parter som deltar i domstolsförfaranden) och gå mot en centraliserad maskinvaru- och programvarulösning för att möjliggöra bättre och billigare framtida uppgraderingar och utvecklingshållbarhet, men även stabilitet, funktionsduglighet och säkerhet i eSpis-systemet. </w:t>
      </w:r>
    </w:p>
    <w:p w14:paraId="3B262441" w14:textId="77777777" w:rsidR="003A3D51" w:rsidRDefault="0002775A">
      <w:pPr>
        <w:pStyle w:val="P68B1DB1-Normal3"/>
        <w:spacing w:before="120" w:after="120" w:line="240" w:lineRule="auto"/>
        <w:jc w:val="both"/>
        <w:rPr>
          <w:noProof/>
        </w:rPr>
      </w:pPr>
      <w:r>
        <w:rPr>
          <w:noProof/>
        </w:rPr>
        <w:t>Investeringen ska omfatta tillägg av nya funktioner till eSpis-systemet i syfte att förbättra digitaliseringen av rättssystemet:</w:t>
      </w:r>
    </w:p>
    <w:p w14:paraId="4149A7EE" w14:textId="77777777" w:rsidR="003A3D51" w:rsidRDefault="0002775A">
      <w:pPr>
        <w:pStyle w:val="P68B1DB1-Normal3"/>
        <w:numPr>
          <w:ilvl w:val="0"/>
          <w:numId w:val="21"/>
        </w:numPr>
        <w:spacing w:before="120" w:after="120" w:line="240" w:lineRule="auto"/>
        <w:jc w:val="both"/>
        <w:rPr>
          <w:noProof/>
        </w:rPr>
      </w:pPr>
      <w:r>
        <w:rPr>
          <w:noProof/>
        </w:rPr>
        <w:t xml:space="preserve">Fullständig elektronisk leverans av dokument till e-medborgare med användarbrevlåda och information om elektronisk leverans vid överföring av handlingar genom fysisk leverans. </w:t>
      </w:r>
    </w:p>
    <w:p w14:paraId="41BC38E4" w14:textId="77777777" w:rsidR="003A3D51" w:rsidRDefault="0002775A">
      <w:pPr>
        <w:pStyle w:val="P68B1DB1-Normal3"/>
        <w:numPr>
          <w:ilvl w:val="0"/>
          <w:numId w:val="21"/>
        </w:numPr>
        <w:spacing w:before="120" w:after="120" w:line="240" w:lineRule="auto"/>
        <w:jc w:val="both"/>
        <w:rPr>
          <w:noProof/>
        </w:rPr>
      </w:pPr>
      <w:r>
        <w:rPr>
          <w:noProof/>
        </w:rPr>
        <w:t xml:space="preserve">Förbättrad användarerfarenhet genom genomförandet av en handlingsplan med rekommendationer om tekniska aspekter och it-förvaltningsaspekter (rekommendationer om förvaltnings- och affärsprocesser och tekniska rekommendationer). </w:t>
      </w:r>
    </w:p>
    <w:p w14:paraId="6CDF5E17" w14:textId="77777777" w:rsidR="003A3D51" w:rsidRDefault="0002775A">
      <w:pPr>
        <w:pStyle w:val="P68B1DB1-Normal3"/>
        <w:numPr>
          <w:ilvl w:val="0"/>
          <w:numId w:val="21"/>
        </w:numPr>
        <w:spacing w:before="120" w:after="120" w:line="240" w:lineRule="auto"/>
        <w:jc w:val="both"/>
        <w:rPr>
          <w:noProof/>
        </w:rPr>
      </w:pPr>
      <w:r>
        <w:rPr>
          <w:noProof/>
        </w:rPr>
        <w:t>En ny integrerad arkitektur i det gemensamma servicecentret (statligt moln) för att minska flaskhalsar i systemet, öka stabiliteten och möjliggöra driftskompatibilitet med andra system.</w:t>
      </w:r>
    </w:p>
    <w:p w14:paraId="50297B56" w14:textId="77777777" w:rsidR="003A3D51" w:rsidRDefault="0002775A">
      <w:pPr>
        <w:pStyle w:val="P68B1DB1-Normal3"/>
        <w:spacing w:before="120" w:after="120" w:line="240" w:lineRule="auto"/>
        <w:jc w:val="both"/>
        <w:rPr>
          <w:noProof/>
        </w:rPr>
      </w:pPr>
      <w:r>
        <w:rPr>
          <w:noProof/>
        </w:rPr>
        <w:t>Denna investering ska vara slutförd senast den 31 december 2024.</w:t>
      </w:r>
    </w:p>
    <w:p w14:paraId="626D6A22" w14:textId="77777777" w:rsidR="003A3D51" w:rsidRDefault="0002775A">
      <w:pPr>
        <w:pStyle w:val="P68B1DB1-Normal5"/>
        <w:spacing w:before="120" w:after="120" w:line="240" w:lineRule="auto"/>
        <w:ind w:left="850"/>
        <w:jc w:val="both"/>
        <w:rPr>
          <w:noProof/>
        </w:rPr>
      </w:pPr>
      <w:r>
        <w:rPr>
          <w:noProof/>
        </w:rPr>
        <w:t>Investering C2.5.R1-I2 – Förbättring av informationssystemet för fastighetsregistret och fastighetsregistret.</w:t>
      </w:r>
    </w:p>
    <w:p w14:paraId="1A8D76AA" w14:textId="77777777" w:rsidR="003A3D51" w:rsidRDefault="0002775A">
      <w:pPr>
        <w:pStyle w:val="P68B1DB1-Normal3"/>
        <w:spacing w:before="120" w:after="120" w:line="240" w:lineRule="auto"/>
        <w:jc w:val="both"/>
        <w:rPr>
          <w:noProof/>
        </w:rPr>
      </w:pPr>
      <w:r>
        <w:rPr>
          <w:noProof/>
        </w:rPr>
        <w:t>Syftet är att öka mängden och kvaliteten på länkade data mellan fastighetsregistret och fastighetsregisterdata i fastighetsdatabasen (BZP) från nuvarande 3,86 % till 60 % och att öka effektiviteten i arbetet med fastighetsregistreringsförfaranden genom att införa en programvarumodul (virtuell assistent) baserad på artificiell intelligens, och att ge medborgare och företag användarstöd och incitament för att reglera fastighetsregister och fastighetsregisterstatus.  Investeringen kommer att äga rum med det övergripande målet att uppnå en genomförandegrad på upp till 100 % (60 % senast 2026).</w:t>
      </w:r>
    </w:p>
    <w:p w14:paraId="400E2935"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7A4F9ABC" w14:textId="77777777" w:rsidR="003A3D51" w:rsidRDefault="0002775A">
      <w:pPr>
        <w:pStyle w:val="P68B1DB1-Normal5"/>
        <w:spacing w:before="120" w:after="120" w:line="240" w:lineRule="auto"/>
        <w:ind w:left="850"/>
        <w:jc w:val="both"/>
        <w:rPr>
          <w:noProof/>
        </w:rPr>
      </w:pPr>
      <w:r>
        <w:rPr>
          <w:noProof/>
        </w:rPr>
        <w:t>Investering C2.5.R1-I3 – Utveckla en verktygslåda för offentlig publicering och sökning efter domstolsbeslut.</w:t>
      </w:r>
    </w:p>
    <w:p w14:paraId="5AF01F3F" w14:textId="77777777" w:rsidR="003A3D51" w:rsidRDefault="0002775A">
      <w:pPr>
        <w:pStyle w:val="P68B1DB1-Normal3"/>
        <w:spacing w:before="120" w:after="120" w:line="240" w:lineRule="auto"/>
        <w:jc w:val="both"/>
        <w:rPr>
          <w:noProof/>
        </w:rPr>
      </w:pPr>
      <w:r>
        <w:rPr>
          <w:noProof/>
        </w:rPr>
        <w:t xml:space="preserve">Syftet med investeringen är att inrätta ett system för att offentliggöra alla domstolsbeslut med automatisk föranonymisering med särskild programvara och offentliggöra dem på en enda allmänt tillgänglig portal med utförliga sökalternativ, i enlighet med reglerna om skydd av personuppgifter. </w:t>
      </w:r>
    </w:p>
    <w:p w14:paraId="48EBA4F4" w14:textId="77777777" w:rsidR="003A3D51" w:rsidRDefault="0002775A">
      <w:pPr>
        <w:pStyle w:val="P68B1DB1-Normal3"/>
        <w:spacing w:before="120" w:after="120" w:line="240" w:lineRule="auto"/>
        <w:jc w:val="both"/>
        <w:rPr>
          <w:noProof/>
        </w:rPr>
      </w:pPr>
      <w:r>
        <w:rPr>
          <w:noProof/>
        </w:rPr>
        <w:t>Denna investering ska vara slutförd senast den 31 december 2024.</w:t>
      </w:r>
    </w:p>
    <w:p w14:paraId="13240227" w14:textId="77777777" w:rsidR="003A3D51" w:rsidRDefault="0002775A">
      <w:pPr>
        <w:pStyle w:val="P68B1DB1-Normal5"/>
        <w:spacing w:before="120" w:after="120" w:line="240" w:lineRule="auto"/>
        <w:ind w:left="850"/>
        <w:jc w:val="both"/>
        <w:rPr>
          <w:noProof/>
        </w:rPr>
      </w:pPr>
      <w:r>
        <w:rPr>
          <w:noProof/>
        </w:rPr>
        <w:t>Investering C2.5.R1-I4 – Utformning och genomförande av projektet Zagreb Justice Square för att förbättra tillgången till rättslig prövning och effektivisera handelsförfaranden och administrativa tvister.</w:t>
      </w:r>
    </w:p>
    <w:p w14:paraId="67736004" w14:textId="77777777" w:rsidR="003A3D51" w:rsidRDefault="0002775A">
      <w:pPr>
        <w:pStyle w:val="P68B1DB1-Normal3"/>
        <w:spacing w:before="120" w:after="120" w:line="240" w:lineRule="auto"/>
        <w:jc w:val="both"/>
        <w:rPr>
          <w:noProof/>
        </w:rPr>
      </w:pPr>
      <w:r>
        <w:rPr>
          <w:noProof/>
        </w:rPr>
        <w:t>Syftet med investeringen är att modernisera den fysiska infrastrukturen och säkerställa lämpliga arbetsvillkor för handels- och förvaltningsdomstolar baserade i Zagreb genom att flytta förvaltnings- och handelsdomstolar med säte i Zagreb till en central plats. För att genomföra reformåtgärden för att stärka medlingen är det dessutom nödvändigt att tillhandahålla lämpliga infrastrukturkrav för att medlingscentrumet ska fungera, vilket också är tänkt att placeras på Justice Square.</w:t>
      </w:r>
    </w:p>
    <w:p w14:paraId="50376F17" w14:textId="77777777" w:rsidR="003A3D51" w:rsidRDefault="0002775A">
      <w:pPr>
        <w:pStyle w:val="P68B1DB1-Normal3"/>
        <w:spacing w:before="120" w:after="120" w:line="240" w:lineRule="auto"/>
        <w:jc w:val="both"/>
        <w:rPr>
          <w:noProof/>
        </w:rPr>
      </w:pPr>
      <w:r>
        <w:rPr>
          <w:noProof/>
        </w:rPr>
        <w:t>Investeringen ska omfatta uppförandet av ett 50 000 m² underjordiskt garage och en byggnad på 24 000 m².</w:t>
      </w:r>
    </w:p>
    <w:p w14:paraId="79ADA5EF" w14:textId="77777777" w:rsidR="003A3D51" w:rsidRDefault="0002775A">
      <w:pPr>
        <w:pStyle w:val="P68B1DB1-Normal3"/>
        <w:spacing w:before="120" w:after="120" w:line="240" w:lineRule="auto"/>
        <w:jc w:val="both"/>
        <w:rPr>
          <w:noProof/>
        </w:rPr>
      </w:pPr>
      <w:r>
        <w:rPr>
          <w:noProof/>
        </w:rPr>
        <w:t>Denna investering ska vara slutförd senast den 30 juni 2026.</w:t>
      </w:r>
    </w:p>
    <w:p w14:paraId="15C3C733" w14:textId="77777777" w:rsidR="003A3D51" w:rsidRDefault="0002775A">
      <w:pPr>
        <w:pStyle w:val="P68B1DB1-Normal5"/>
        <w:spacing w:before="120" w:after="120" w:line="240" w:lineRule="auto"/>
        <w:ind w:left="850"/>
        <w:jc w:val="both"/>
        <w:rPr>
          <w:noProof/>
        </w:rPr>
      </w:pPr>
      <w:r>
        <w:rPr>
          <w:noProof/>
        </w:rPr>
        <w:t>Investeringarna: C2.5.R1-I5: Genomförande av energieffektivitetsåtgärder för att renovera föråldrade anläggningar hos rättsliga myndigheter.</w:t>
      </w:r>
    </w:p>
    <w:p w14:paraId="12BDAF4B" w14:textId="77777777" w:rsidR="003A3D51" w:rsidRDefault="0002775A">
      <w:pPr>
        <w:pStyle w:val="P68B1DB1-Normal3"/>
        <w:spacing w:before="120" w:after="120" w:line="240" w:lineRule="auto"/>
        <w:jc w:val="both"/>
        <w:rPr>
          <w:noProof/>
        </w:rPr>
      </w:pPr>
      <w:r>
        <w:rPr>
          <w:noProof/>
        </w:rPr>
        <w:t>Syftet med investeringen är att modernisera och effektivisera det arbete som utförs av vissa rättsliga och straffrättsliga myndigheter på Kroatiens territorium genom att genomföra energieffektivitetsåtgärder som ska bidra till den gröna omställningen. 20 byggnader i rättssystemet ska uppfylla normerna för rationell energianvändning och värmeskydd. Investeringen avser i genomsnitt en renovering av minst medelstor omfattning enligt definitionen i kommissionens rekommendation om byggnadsrenovering (EU) 2019/786, vilket leder till att efterfrågan på primärenergi minskar med minst 30 %.  eller kommer att leda till en minskning på i genomsnitt minst 30 % av de direkta och indirekta växthusgasutsläppen jämfört med de på förhand fastställda utsläppen. Dessutom ska tillträdet till byggnader anpassas till personer med funktionsnedsättning. För denna investering ska prioritet ges åt platser för rättsliga myndigheter i ekonomiskt mindre utvecklade delar av Kroatien.</w:t>
      </w:r>
    </w:p>
    <w:p w14:paraId="11FA99D4" w14:textId="77777777" w:rsidR="003A3D51" w:rsidRDefault="0002775A">
      <w:pPr>
        <w:pStyle w:val="P68B1DB1-Normal3"/>
        <w:spacing w:before="120" w:after="120" w:line="240" w:lineRule="auto"/>
        <w:jc w:val="both"/>
        <w:rPr>
          <w:noProof/>
        </w:rPr>
      </w:pPr>
      <w:r>
        <w:rPr>
          <w:noProof/>
        </w:rPr>
        <w:t>Denna investering ska vara slutförd senast den 30 juni 2024.</w:t>
      </w:r>
    </w:p>
    <w:p w14:paraId="55EC1BBA" w14:textId="77777777" w:rsidR="003A3D51" w:rsidRDefault="0002775A">
      <w:pPr>
        <w:pStyle w:val="P68B1DB1-Normal5"/>
        <w:spacing w:before="120" w:after="120" w:line="240" w:lineRule="auto"/>
        <w:ind w:left="850"/>
        <w:jc w:val="both"/>
        <w:rPr>
          <w:noProof/>
        </w:rPr>
      </w:pPr>
      <w:r>
        <w:rPr>
          <w:noProof/>
        </w:rPr>
        <w:t>Investeringarna: C2.5.R1-I6: Stabil och motståndskraftig it-infrastruktur för informationssystemet för rättsliga frågor.</w:t>
      </w:r>
    </w:p>
    <w:p w14:paraId="5DF093DF" w14:textId="77777777" w:rsidR="003A3D51" w:rsidRDefault="0002775A">
      <w:pPr>
        <w:pStyle w:val="P68B1DB1-Normal3"/>
        <w:spacing w:before="120" w:after="120" w:line="240" w:lineRule="auto"/>
        <w:jc w:val="both"/>
        <w:rPr>
          <w:noProof/>
        </w:rPr>
      </w:pPr>
      <w:r>
        <w:rPr>
          <w:noProof/>
        </w:rPr>
        <w:t>Syftet med denna investering är att ytterligare uppdatera och konsolidera befintliga tillämpningar på det statliga molnet (det gemensamma servicecentrumet) och att vidareutveckla infrastrukturen för informationssystem inom rättsväsendet för att säkerställa ett fullständigt genomförande av handlingsplanerna på nationell nivå och EU-nivå. En ny nätverksarkitektur ska inrättas och ny nätverksutrustning kommer att installeras för att förbättra informationssystemens säkerhet och stödja nödvändig nätverkskapacitet (särskilt på grund av övergången av it-system till det statliga molnet och ökad stabilitet för tillämpningar).  Alla förstainstansdomstolar ska vara utrustade och uppfylla villkoren för förhandlingar på distans.</w:t>
      </w:r>
    </w:p>
    <w:p w14:paraId="7165C207" w14:textId="77777777" w:rsidR="003A3D51" w:rsidRDefault="0002775A">
      <w:pPr>
        <w:pStyle w:val="P68B1DB1-Normal3"/>
        <w:spacing w:before="120" w:after="120" w:line="240" w:lineRule="auto"/>
        <w:jc w:val="both"/>
        <w:rPr>
          <w:noProof/>
        </w:rPr>
      </w:pPr>
      <w:r>
        <w:rPr>
          <w:noProof/>
        </w:rPr>
        <w:t>Denna investering ska vara slutförd senast den 31 december 2025.</w:t>
      </w:r>
    </w:p>
    <w:p w14:paraId="67D17596" w14:textId="77777777" w:rsidR="003A3D51" w:rsidRDefault="003A3D51">
      <w:pPr>
        <w:rPr>
          <w:noProof/>
        </w:rPr>
        <w:sectPr w:rsidR="003A3D51" w:rsidSect="00733DCA">
          <w:headerReference w:type="even" r:id="rId210"/>
          <w:headerReference w:type="default" r:id="rId211"/>
          <w:footerReference w:type="even" r:id="rId212"/>
          <w:footerReference w:type="default" r:id="rId213"/>
          <w:headerReference w:type="first" r:id="rId214"/>
          <w:footerReference w:type="first" r:id="rId215"/>
          <w:pgSz w:w="12240" w:h="15840"/>
          <w:pgMar w:top="1440" w:right="1440" w:bottom="709" w:left="1440" w:header="708" w:footer="708" w:gutter="0"/>
          <w:cols w:space="708"/>
          <w:docGrid w:linePitch="360"/>
        </w:sectPr>
      </w:pPr>
    </w:p>
    <w:p w14:paraId="6998DCD2" w14:textId="77777777" w:rsidR="003A3D51" w:rsidRDefault="0002775A">
      <w:pPr>
        <w:pStyle w:val="P68B1DB1-Normal4"/>
        <w:keepNext/>
        <w:tabs>
          <w:tab w:val="num" w:pos="850"/>
        </w:tabs>
        <w:spacing w:before="40" w:after="0"/>
        <w:ind w:left="851"/>
        <w:jc w:val="both"/>
        <w:outlineLvl w:val="1"/>
        <w:rPr>
          <w:noProof/>
        </w:rPr>
      </w:pPr>
      <w:r>
        <w:rPr>
          <w:noProof/>
        </w:rPr>
        <w:t xml:space="preserve">K.2. </w:t>
      </w:r>
      <w:r>
        <w:rPr>
          <w:noProof/>
        </w:rPr>
        <w:tab/>
        <w:t>Delmål, mål, indikatorer och tidsplan för övervakning och genomförande avseende icke återbetalningspliktigt ekonomiskt stöd</w:t>
      </w:r>
    </w:p>
    <w:tbl>
      <w:tblPr>
        <w:tblW w:w="5000" w:type="pct"/>
        <w:tblCellMar>
          <w:top w:w="28" w:type="dxa"/>
          <w:left w:w="28" w:type="dxa"/>
          <w:bottom w:w="28" w:type="dxa"/>
          <w:right w:w="28" w:type="dxa"/>
        </w:tblCellMar>
        <w:tblLook w:val="04A0" w:firstRow="1" w:lastRow="0" w:firstColumn="1" w:lastColumn="0" w:noHBand="0" w:noVBand="1"/>
      </w:tblPr>
      <w:tblGrid>
        <w:gridCol w:w="130"/>
        <w:gridCol w:w="199"/>
        <w:gridCol w:w="210"/>
        <w:gridCol w:w="2838"/>
        <w:gridCol w:w="3200"/>
        <w:gridCol w:w="235"/>
        <w:gridCol w:w="181"/>
        <w:gridCol w:w="169"/>
        <w:gridCol w:w="209"/>
        <w:gridCol w:w="126"/>
        <w:gridCol w:w="5519"/>
      </w:tblGrid>
      <w:tr w:rsidR="003A3D51" w14:paraId="15ABD6B9" w14:textId="77777777" w:rsidTr="005A3E0A">
        <w:trPr>
          <w:trHeight w:val="636"/>
          <w:tblHeader/>
        </w:trPr>
        <w:tc>
          <w:tcPr>
            <w:tcW w:w="36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5C629F" w14:textId="77777777" w:rsidR="003A3D51" w:rsidRDefault="0002775A">
            <w:pPr>
              <w:pStyle w:val="P68B1DB1-Normal6"/>
              <w:spacing w:after="0" w:line="276" w:lineRule="auto"/>
              <w:jc w:val="center"/>
              <w:rPr>
                <w:noProof/>
              </w:rPr>
            </w:pPr>
            <w:r>
              <w:rPr>
                <w:noProof/>
              </w:rPr>
              <w:t>Antal</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B402AAD" w14:textId="77777777" w:rsidR="003A3D51" w:rsidRDefault="0002775A">
            <w:pPr>
              <w:pStyle w:val="P68B1DB1-Normal6"/>
              <w:spacing w:after="0" w:line="276" w:lineRule="auto"/>
              <w:jc w:val="center"/>
              <w:rPr>
                <w:noProof/>
              </w:rPr>
            </w:pPr>
            <w:r>
              <w:rPr>
                <w:noProof/>
              </w:rPr>
              <w:t>Åtgärd</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7B22289" w14:textId="77777777" w:rsidR="003A3D51" w:rsidRDefault="0002775A">
            <w:pPr>
              <w:pStyle w:val="P68B1DB1-Normal6"/>
              <w:spacing w:after="0" w:line="276" w:lineRule="auto"/>
              <w:jc w:val="center"/>
              <w:rPr>
                <w:noProof/>
              </w:rPr>
            </w:pPr>
            <w:r>
              <w:rPr>
                <w:noProof/>
              </w:rPr>
              <w:t>Delmål/mål</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E3CCFE" w14:textId="77777777" w:rsidR="003A3D51" w:rsidRDefault="0002775A">
            <w:pPr>
              <w:pStyle w:val="P68B1DB1-Normal6"/>
              <w:spacing w:after="0" w:line="276" w:lineRule="auto"/>
              <w:jc w:val="center"/>
              <w:rPr>
                <w:noProof/>
              </w:rPr>
            </w:pPr>
            <w:r>
              <w:rPr>
                <w:noProof/>
              </w:rPr>
              <w:t>Namn</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93C0357"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920"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E58FCFE"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487" w:type="pct"/>
            <w:gridSpan w:val="2"/>
            <w:tcBorders>
              <w:top w:val="single" w:sz="4" w:space="0" w:color="auto"/>
              <w:left w:val="nil"/>
              <w:bottom w:val="single" w:sz="4" w:space="0" w:color="auto"/>
              <w:right w:val="single" w:sz="4" w:space="0" w:color="auto"/>
            </w:tcBorders>
            <w:shd w:val="clear" w:color="auto" w:fill="BDD7EE"/>
            <w:vAlign w:val="center"/>
            <w:hideMark/>
          </w:tcPr>
          <w:p w14:paraId="46EE74B0" w14:textId="77777777" w:rsidR="003A3D51" w:rsidRDefault="0002775A">
            <w:pPr>
              <w:pStyle w:val="P68B1DB1-Normal6"/>
              <w:spacing w:after="0" w:line="276" w:lineRule="auto"/>
              <w:jc w:val="center"/>
              <w:rPr>
                <w:noProof/>
              </w:rPr>
            </w:pPr>
            <w:r>
              <w:rPr>
                <w:noProof/>
              </w:rPr>
              <w:t>Tid</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4FF6AAA" w14:textId="77777777" w:rsidR="003A3D51" w:rsidRDefault="0002775A">
            <w:pPr>
              <w:pStyle w:val="P68B1DB1-Normal6"/>
              <w:spacing w:after="0" w:line="276" w:lineRule="auto"/>
              <w:jc w:val="center"/>
              <w:rPr>
                <w:noProof/>
              </w:rPr>
            </w:pPr>
            <w:r>
              <w:rPr>
                <w:noProof/>
              </w:rPr>
              <w:t>Beskrivning av varje delmål och mål</w:t>
            </w:r>
          </w:p>
        </w:tc>
      </w:tr>
      <w:tr w:rsidR="003A3D51" w14:paraId="00F24CDE" w14:textId="77777777" w:rsidTr="005A3E0A">
        <w:trPr>
          <w:trHeight w:val="503"/>
          <w:tblHeader/>
        </w:trPr>
        <w:tc>
          <w:tcPr>
            <w:tcW w:w="367" w:type="pct"/>
            <w:vMerge/>
            <w:tcBorders>
              <w:top w:val="single" w:sz="4" w:space="0" w:color="auto"/>
              <w:left w:val="single" w:sz="4" w:space="0" w:color="auto"/>
              <w:bottom w:val="single" w:sz="4" w:space="0" w:color="auto"/>
              <w:right w:val="single" w:sz="4" w:space="0" w:color="auto"/>
            </w:tcBorders>
            <w:hideMark/>
          </w:tcPr>
          <w:p w14:paraId="7C593E50" w14:textId="77777777" w:rsidR="003A3D51" w:rsidRDefault="003A3D51">
            <w:pPr>
              <w:spacing w:after="0" w:line="276" w:lineRule="auto"/>
              <w:jc w:val="center"/>
              <w:rPr>
                <w:rFonts w:ascii="Times New Roman" w:eastAsia="Times New Roman" w:hAnsi="Times New Roman" w:cs="Times New Roman"/>
                <w:b/>
                <w:noProof/>
              </w:rPr>
            </w:pPr>
          </w:p>
        </w:tc>
        <w:tc>
          <w:tcPr>
            <w:tcW w:w="367" w:type="pct"/>
            <w:vMerge/>
            <w:tcBorders>
              <w:top w:val="single" w:sz="4" w:space="0" w:color="auto"/>
              <w:left w:val="single" w:sz="4" w:space="0" w:color="auto"/>
              <w:bottom w:val="single" w:sz="4" w:space="0" w:color="auto"/>
              <w:right w:val="single" w:sz="4" w:space="0" w:color="auto"/>
            </w:tcBorders>
            <w:hideMark/>
          </w:tcPr>
          <w:p w14:paraId="06B86B5E" w14:textId="77777777" w:rsidR="003A3D51" w:rsidRDefault="003A3D51">
            <w:pPr>
              <w:spacing w:after="0" w:line="276" w:lineRule="auto"/>
              <w:jc w:val="center"/>
              <w:rPr>
                <w:rFonts w:ascii="Times New Roman" w:eastAsia="Times New Roman" w:hAnsi="Times New Roman" w:cs="Times New Roman"/>
                <w:b/>
                <w:noProof/>
              </w:rPr>
            </w:pPr>
          </w:p>
        </w:tc>
        <w:tc>
          <w:tcPr>
            <w:tcW w:w="321" w:type="pct"/>
            <w:vMerge/>
            <w:tcBorders>
              <w:top w:val="single" w:sz="4" w:space="0" w:color="auto"/>
              <w:left w:val="single" w:sz="4" w:space="0" w:color="auto"/>
              <w:bottom w:val="single" w:sz="4" w:space="0" w:color="auto"/>
              <w:right w:val="single" w:sz="4" w:space="0" w:color="auto"/>
            </w:tcBorders>
            <w:hideMark/>
          </w:tcPr>
          <w:p w14:paraId="6BFBA2A1" w14:textId="77777777" w:rsidR="003A3D51" w:rsidRDefault="003A3D51">
            <w:pPr>
              <w:spacing w:after="0" w:line="276" w:lineRule="auto"/>
              <w:jc w:val="center"/>
              <w:rPr>
                <w:rFonts w:ascii="Times New Roman" w:eastAsia="Times New Roman" w:hAnsi="Times New Roman" w:cs="Times New Roman"/>
                <w:b/>
                <w:noProof/>
              </w:rPr>
            </w:pPr>
          </w:p>
        </w:tc>
        <w:tc>
          <w:tcPr>
            <w:tcW w:w="615" w:type="pct"/>
            <w:vMerge/>
            <w:tcBorders>
              <w:top w:val="single" w:sz="4" w:space="0" w:color="auto"/>
              <w:left w:val="single" w:sz="4" w:space="0" w:color="auto"/>
              <w:bottom w:val="single" w:sz="4" w:space="0" w:color="auto"/>
              <w:right w:val="single" w:sz="4" w:space="0" w:color="auto"/>
            </w:tcBorders>
            <w:hideMark/>
          </w:tcPr>
          <w:p w14:paraId="2F9ADE25" w14:textId="77777777" w:rsidR="003A3D51" w:rsidRDefault="003A3D51">
            <w:pPr>
              <w:spacing w:after="0" w:line="276" w:lineRule="auto"/>
              <w:rPr>
                <w:rFonts w:ascii="Times New Roman" w:eastAsia="Times New Roman" w:hAnsi="Times New Roman" w:cs="Times New Roman"/>
                <w:b/>
                <w:noProof/>
              </w:rPr>
            </w:pPr>
          </w:p>
        </w:tc>
        <w:tc>
          <w:tcPr>
            <w:tcW w:w="733" w:type="pct"/>
            <w:vMerge/>
            <w:tcBorders>
              <w:top w:val="single" w:sz="4" w:space="0" w:color="auto"/>
              <w:left w:val="single" w:sz="4" w:space="0" w:color="auto"/>
              <w:bottom w:val="single" w:sz="4" w:space="0" w:color="auto"/>
              <w:right w:val="single" w:sz="4" w:space="0" w:color="auto"/>
            </w:tcBorders>
            <w:hideMark/>
          </w:tcPr>
          <w:p w14:paraId="6348FB65" w14:textId="77777777" w:rsidR="003A3D51" w:rsidRDefault="003A3D51">
            <w:pPr>
              <w:spacing w:after="0" w:line="276" w:lineRule="auto"/>
              <w:rPr>
                <w:rFonts w:ascii="Times New Roman" w:eastAsia="Times New Roman" w:hAnsi="Times New Roman" w:cs="Times New Roman"/>
                <w:b/>
                <w:noProof/>
              </w:rPr>
            </w:pPr>
          </w:p>
        </w:tc>
        <w:tc>
          <w:tcPr>
            <w:tcW w:w="378" w:type="pct"/>
            <w:tcBorders>
              <w:top w:val="nil"/>
              <w:left w:val="single" w:sz="4" w:space="0" w:color="auto"/>
              <w:bottom w:val="single" w:sz="4" w:space="0" w:color="auto"/>
              <w:right w:val="single" w:sz="4" w:space="0" w:color="auto"/>
            </w:tcBorders>
            <w:shd w:val="clear" w:color="auto" w:fill="BDD7EE"/>
            <w:vAlign w:val="center"/>
            <w:hideMark/>
          </w:tcPr>
          <w:p w14:paraId="01E13640" w14:textId="77777777" w:rsidR="003A3D51" w:rsidRDefault="0002775A">
            <w:pPr>
              <w:pStyle w:val="P68B1DB1-Normal6"/>
              <w:spacing w:after="0" w:line="276" w:lineRule="auto"/>
              <w:jc w:val="center"/>
              <w:rPr>
                <w:noProof/>
              </w:rPr>
            </w:pPr>
            <w:r>
              <w:rPr>
                <w:noProof/>
              </w:rPr>
              <w:t>Enhet</w:t>
            </w:r>
          </w:p>
        </w:tc>
        <w:tc>
          <w:tcPr>
            <w:tcW w:w="267" w:type="pct"/>
            <w:tcBorders>
              <w:top w:val="nil"/>
              <w:left w:val="nil"/>
              <w:bottom w:val="single" w:sz="4" w:space="0" w:color="auto"/>
              <w:right w:val="single" w:sz="4" w:space="0" w:color="auto"/>
            </w:tcBorders>
            <w:shd w:val="clear" w:color="auto" w:fill="BDD7EE"/>
            <w:vAlign w:val="center"/>
            <w:hideMark/>
          </w:tcPr>
          <w:p w14:paraId="37EADF96" w14:textId="77777777" w:rsidR="003A3D51" w:rsidRDefault="0002775A">
            <w:pPr>
              <w:pStyle w:val="P68B1DB1-Normal6"/>
              <w:spacing w:after="0" w:line="276" w:lineRule="auto"/>
              <w:jc w:val="center"/>
              <w:rPr>
                <w:noProof/>
              </w:rPr>
            </w:pPr>
            <w:r>
              <w:rPr>
                <w:noProof/>
              </w:rPr>
              <w:t>Baslinjen</w:t>
            </w:r>
          </w:p>
        </w:tc>
        <w:tc>
          <w:tcPr>
            <w:tcW w:w="275" w:type="pct"/>
            <w:tcBorders>
              <w:top w:val="nil"/>
              <w:left w:val="nil"/>
              <w:bottom w:val="single" w:sz="4" w:space="0" w:color="auto"/>
              <w:right w:val="single" w:sz="4" w:space="0" w:color="auto"/>
            </w:tcBorders>
            <w:shd w:val="clear" w:color="auto" w:fill="BDD7EE"/>
            <w:vAlign w:val="center"/>
            <w:hideMark/>
          </w:tcPr>
          <w:p w14:paraId="48904906" w14:textId="77777777" w:rsidR="003A3D51" w:rsidRDefault="0002775A">
            <w:pPr>
              <w:pStyle w:val="P68B1DB1-Normal6"/>
              <w:spacing w:after="0" w:line="276" w:lineRule="auto"/>
              <w:jc w:val="center"/>
              <w:rPr>
                <w:noProof/>
              </w:rPr>
            </w:pPr>
            <w:r>
              <w:rPr>
                <w:noProof/>
              </w:rPr>
              <w:t>Mål</w:t>
            </w:r>
          </w:p>
        </w:tc>
        <w:tc>
          <w:tcPr>
            <w:tcW w:w="257" w:type="pct"/>
            <w:tcBorders>
              <w:top w:val="nil"/>
              <w:left w:val="nil"/>
              <w:bottom w:val="single" w:sz="4" w:space="0" w:color="auto"/>
              <w:right w:val="single" w:sz="4" w:space="0" w:color="auto"/>
            </w:tcBorders>
            <w:shd w:val="clear" w:color="auto" w:fill="BDD7EE"/>
            <w:vAlign w:val="center"/>
            <w:hideMark/>
          </w:tcPr>
          <w:p w14:paraId="624E3941" w14:textId="77777777" w:rsidR="003A3D51" w:rsidRDefault="0002775A">
            <w:pPr>
              <w:pStyle w:val="P68B1DB1-Normal6"/>
              <w:spacing w:after="0" w:line="276" w:lineRule="auto"/>
              <w:jc w:val="center"/>
              <w:rPr>
                <w:noProof/>
              </w:rPr>
            </w:pPr>
            <w:r>
              <w:rPr>
                <w:noProof/>
              </w:rPr>
              <w:t>Q</w:t>
            </w:r>
          </w:p>
        </w:tc>
        <w:tc>
          <w:tcPr>
            <w:tcW w:w="229" w:type="pct"/>
            <w:tcBorders>
              <w:top w:val="nil"/>
              <w:left w:val="nil"/>
              <w:bottom w:val="single" w:sz="4" w:space="0" w:color="auto"/>
              <w:right w:val="single" w:sz="4" w:space="0" w:color="auto"/>
            </w:tcBorders>
            <w:shd w:val="clear" w:color="auto" w:fill="BDD7EE"/>
            <w:vAlign w:val="center"/>
            <w:hideMark/>
          </w:tcPr>
          <w:p w14:paraId="6DF756CA" w14:textId="77777777" w:rsidR="003A3D51" w:rsidRDefault="0002775A">
            <w:pPr>
              <w:pStyle w:val="P68B1DB1-Normal6"/>
              <w:spacing w:after="0" w:line="276" w:lineRule="auto"/>
              <w:jc w:val="center"/>
              <w:rPr>
                <w:noProof/>
              </w:rPr>
            </w:pPr>
            <w:r>
              <w:rPr>
                <w:noProof/>
              </w:rPr>
              <w:t>Året</w:t>
            </w:r>
          </w:p>
        </w:tc>
        <w:tc>
          <w:tcPr>
            <w:tcW w:w="1190" w:type="pct"/>
            <w:vMerge/>
            <w:tcBorders>
              <w:top w:val="single" w:sz="4" w:space="0" w:color="auto"/>
              <w:bottom w:val="single" w:sz="4" w:space="0" w:color="auto"/>
              <w:right w:val="single" w:sz="4" w:space="0" w:color="auto"/>
            </w:tcBorders>
            <w:hideMark/>
          </w:tcPr>
          <w:p w14:paraId="44C97DF7" w14:textId="77777777" w:rsidR="003A3D51" w:rsidRDefault="003A3D51">
            <w:pPr>
              <w:spacing w:after="0" w:line="276" w:lineRule="auto"/>
              <w:rPr>
                <w:rFonts w:ascii="Times New Roman" w:eastAsia="Times New Roman" w:hAnsi="Times New Roman" w:cs="Times New Roman"/>
                <w:b/>
                <w:noProof/>
              </w:rPr>
            </w:pPr>
          </w:p>
        </w:tc>
      </w:tr>
      <w:tr w:rsidR="003A3D51" w14:paraId="52CC7079"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6A7B95D8" w14:textId="77777777" w:rsidR="003A3D51" w:rsidRDefault="0002775A">
            <w:pPr>
              <w:pStyle w:val="P68B1DB1-Normal7"/>
              <w:spacing w:after="200" w:line="276" w:lineRule="auto"/>
              <w:jc w:val="center"/>
              <w:rPr>
                <w:rFonts w:ascii="Times New Roman" w:hAnsi="Times New Roman" w:cs="Times New Roman"/>
                <w:noProof/>
              </w:rPr>
            </w:pPr>
            <w:r>
              <w:rPr>
                <w:noProof/>
              </w:rPr>
              <w:t>214</w:t>
            </w:r>
          </w:p>
        </w:tc>
        <w:tc>
          <w:tcPr>
            <w:tcW w:w="367" w:type="pct"/>
            <w:tcBorders>
              <w:top w:val="single" w:sz="4" w:space="0" w:color="auto"/>
              <w:left w:val="nil"/>
              <w:bottom w:val="single" w:sz="4" w:space="0" w:color="auto"/>
              <w:right w:val="single" w:sz="4" w:space="0" w:color="auto"/>
            </w:tcBorders>
            <w:shd w:val="clear" w:color="auto" w:fill="C6EFCE"/>
            <w:noWrap/>
          </w:tcPr>
          <w:p w14:paraId="22307E53"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single" w:sz="4" w:space="0" w:color="auto"/>
              <w:left w:val="nil"/>
              <w:bottom w:val="single" w:sz="4" w:space="0" w:color="auto"/>
              <w:right w:val="single" w:sz="4" w:space="0" w:color="auto"/>
            </w:tcBorders>
            <w:shd w:val="clear" w:color="auto" w:fill="C6EFCE"/>
            <w:noWrap/>
          </w:tcPr>
          <w:p w14:paraId="396B08F3"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single" w:sz="4" w:space="0" w:color="auto"/>
              <w:left w:val="nil"/>
              <w:bottom w:val="single" w:sz="4" w:space="0" w:color="auto"/>
              <w:right w:val="single" w:sz="4" w:space="0" w:color="auto"/>
            </w:tcBorders>
            <w:shd w:val="clear" w:color="auto" w:fill="C6EFCE"/>
            <w:noWrap/>
          </w:tcPr>
          <w:p w14:paraId="5A43211A" w14:textId="77777777" w:rsidR="003A3D51" w:rsidRDefault="0002775A">
            <w:pPr>
              <w:pStyle w:val="P68B1DB1-Normal7"/>
              <w:spacing w:after="200" w:line="276" w:lineRule="auto"/>
              <w:rPr>
                <w:rFonts w:ascii="Times New Roman" w:hAnsi="Times New Roman" w:cs="Times New Roman"/>
                <w:noProof/>
              </w:rPr>
            </w:pPr>
            <w:r>
              <w:rPr>
                <w:noProof/>
              </w:rPr>
              <w:t>Elektroniska verktyg och tillräcklig administrativ kapacitet för statens rättsliga råd (Državno sudbeno vijeće, DSV) och åklagarrådet (Državnoodvjetničko vijeće, DOV).</w:t>
            </w:r>
          </w:p>
        </w:tc>
        <w:tc>
          <w:tcPr>
            <w:tcW w:w="733" w:type="pct"/>
            <w:tcBorders>
              <w:top w:val="single" w:sz="4" w:space="0" w:color="auto"/>
              <w:left w:val="nil"/>
              <w:bottom w:val="single" w:sz="4" w:space="0" w:color="auto"/>
              <w:right w:val="single" w:sz="4" w:space="0" w:color="auto"/>
            </w:tcBorders>
            <w:shd w:val="clear" w:color="auto" w:fill="C6EFCE"/>
            <w:noWrap/>
          </w:tcPr>
          <w:p w14:paraId="5C59BF94" w14:textId="77777777" w:rsidR="003A3D51" w:rsidRDefault="0002775A">
            <w:pPr>
              <w:pStyle w:val="P68B1DB1-Normal7"/>
              <w:spacing w:after="200" w:line="276" w:lineRule="auto"/>
              <w:rPr>
                <w:rFonts w:ascii="Times New Roman" w:hAnsi="Times New Roman" w:cs="Times New Roman"/>
                <w:noProof/>
              </w:rPr>
            </w:pPr>
            <w:r>
              <w:rPr>
                <w:noProof/>
              </w:rPr>
              <w:t>Elektroniska verktyg och tillräcklig administrativ kapacitet tillhandahålls för statens rättsliga råd (Državno sudbeno vijeće, DSV) och åklagarrådet (Državnoodvjetničko vijeće, DOV).</w:t>
            </w:r>
          </w:p>
        </w:tc>
        <w:tc>
          <w:tcPr>
            <w:tcW w:w="378" w:type="pct"/>
            <w:tcBorders>
              <w:top w:val="single" w:sz="4" w:space="0" w:color="auto"/>
              <w:left w:val="nil"/>
              <w:bottom w:val="single" w:sz="4" w:space="0" w:color="auto"/>
              <w:right w:val="single" w:sz="4" w:space="0" w:color="auto"/>
            </w:tcBorders>
            <w:shd w:val="clear" w:color="auto" w:fill="C6EFCE"/>
            <w:noWrap/>
          </w:tcPr>
          <w:p w14:paraId="7A17887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single" w:sz="4" w:space="0" w:color="auto"/>
              <w:left w:val="nil"/>
              <w:bottom w:val="single" w:sz="4" w:space="0" w:color="auto"/>
              <w:right w:val="single" w:sz="4" w:space="0" w:color="auto"/>
            </w:tcBorders>
            <w:shd w:val="clear" w:color="auto" w:fill="C6EFCE"/>
            <w:noWrap/>
          </w:tcPr>
          <w:p w14:paraId="73DC7A6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single" w:sz="4" w:space="0" w:color="auto"/>
              <w:left w:val="nil"/>
              <w:bottom w:val="single" w:sz="4" w:space="0" w:color="auto"/>
              <w:right w:val="single" w:sz="4" w:space="0" w:color="auto"/>
            </w:tcBorders>
            <w:shd w:val="clear" w:color="auto" w:fill="C6EFCE"/>
            <w:noWrap/>
          </w:tcPr>
          <w:p w14:paraId="6C4FBA0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49A0497A"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9" w:type="pct"/>
            <w:tcBorders>
              <w:top w:val="single" w:sz="4" w:space="0" w:color="auto"/>
              <w:left w:val="nil"/>
              <w:bottom w:val="single" w:sz="4" w:space="0" w:color="auto"/>
              <w:right w:val="single" w:sz="4" w:space="0" w:color="auto"/>
            </w:tcBorders>
            <w:shd w:val="clear" w:color="auto" w:fill="C6EFCE"/>
            <w:noWrap/>
          </w:tcPr>
          <w:p w14:paraId="252FAA4F"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90" w:type="pct"/>
            <w:tcBorders>
              <w:top w:val="single" w:sz="4" w:space="0" w:color="auto"/>
              <w:left w:val="nil"/>
              <w:bottom w:val="single" w:sz="4" w:space="0" w:color="auto"/>
              <w:right w:val="single" w:sz="4" w:space="0" w:color="auto"/>
            </w:tcBorders>
            <w:shd w:val="clear" w:color="auto" w:fill="C6EFCE"/>
            <w:noWrap/>
          </w:tcPr>
          <w:p w14:paraId="30A55C23" w14:textId="77777777" w:rsidR="003A3D51" w:rsidRDefault="0002775A">
            <w:pPr>
              <w:pStyle w:val="P68B1DB1-Normal7"/>
              <w:spacing w:after="200" w:line="276" w:lineRule="auto"/>
              <w:rPr>
                <w:rFonts w:ascii="Times New Roman" w:hAnsi="Times New Roman" w:cs="Times New Roman"/>
                <w:noProof/>
              </w:rPr>
            </w:pPr>
            <w:r>
              <w:rPr>
                <w:noProof/>
              </w:rPr>
              <w:t>Elektroniska verktyg och tillräcklig administrativ kapacitet ska vara i drift för statens rättsliga råd (Državno sudbeno vijeće, DSV) och det statliga åklagarrådet (Državnoodvjetničko vijeće, DOV) för att förbättra kvaliteten på båda rådens arbete. Deras personalresurser ska ökas med 50 % jämfört med referensscenariot 2021 (genom att minst 4 personer rekryteras) och kopplingen mellan DSV och DOV till det gemensamma fastighetsregistret och fastighetsregistret (ZIS) och skatteförvaltningens informationssystem ska införas för att inrätta en effektiv mekanism för kontroll av statstjänstemännens redovisningar av tillgångar.</w:t>
            </w:r>
          </w:p>
        </w:tc>
      </w:tr>
      <w:tr w:rsidR="003A3D51" w14:paraId="62784448" w14:textId="77777777" w:rsidTr="005A3E0A">
        <w:trPr>
          <w:trHeight w:val="283"/>
        </w:trPr>
        <w:tc>
          <w:tcPr>
            <w:tcW w:w="367" w:type="pct"/>
            <w:tcBorders>
              <w:top w:val="nil"/>
              <w:left w:val="single" w:sz="4" w:space="0" w:color="auto"/>
              <w:bottom w:val="single" w:sz="4" w:space="0" w:color="auto"/>
              <w:right w:val="single" w:sz="4" w:space="0" w:color="auto"/>
            </w:tcBorders>
            <w:shd w:val="clear" w:color="auto" w:fill="C6EFCE"/>
            <w:noWrap/>
          </w:tcPr>
          <w:p w14:paraId="0803AFEC" w14:textId="77777777" w:rsidR="003A3D51" w:rsidRDefault="0002775A">
            <w:pPr>
              <w:pStyle w:val="P68B1DB1-Normal7"/>
              <w:spacing w:after="200" w:line="276" w:lineRule="auto"/>
              <w:jc w:val="center"/>
              <w:rPr>
                <w:rFonts w:ascii="Times New Roman" w:hAnsi="Times New Roman" w:cs="Times New Roman"/>
                <w:noProof/>
              </w:rPr>
            </w:pPr>
            <w:r>
              <w:rPr>
                <w:noProof/>
              </w:rPr>
              <w:t>215</w:t>
            </w:r>
          </w:p>
        </w:tc>
        <w:tc>
          <w:tcPr>
            <w:tcW w:w="367" w:type="pct"/>
            <w:tcBorders>
              <w:top w:val="nil"/>
              <w:left w:val="nil"/>
              <w:bottom w:val="single" w:sz="4" w:space="0" w:color="auto"/>
              <w:right w:val="single" w:sz="4" w:space="0" w:color="auto"/>
            </w:tcBorders>
            <w:shd w:val="clear" w:color="auto" w:fill="C6EFCE"/>
            <w:noWrap/>
          </w:tcPr>
          <w:p w14:paraId="10809BAC"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nil"/>
              <w:left w:val="nil"/>
              <w:bottom w:val="single" w:sz="4" w:space="0" w:color="auto"/>
              <w:right w:val="single" w:sz="4" w:space="0" w:color="auto"/>
            </w:tcBorders>
            <w:shd w:val="clear" w:color="auto" w:fill="C6EFCE"/>
            <w:noWrap/>
          </w:tcPr>
          <w:p w14:paraId="30E0CC09"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nil"/>
              <w:left w:val="nil"/>
              <w:bottom w:val="single" w:sz="4" w:space="0" w:color="auto"/>
              <w:right w:val="single" w:sz="4" w:space="0" w:color="auto"/>
            </w:tcBorders>
            <w:shd w:val="clear" w:color="auto" w:fill="C6EFCE"/>
            <w:noWrap/>
          </w:tcPr>
          <w:p w14:paraId="3B0031BD" w14:textId="77777777" w:rsidR="003A3D51" w:rsidRDefault="0002775A">
            <w:pPr>
              <w:pStyle w:val="P68B1DB1-Normal7"/>
              <w:spacing w:after="200" w:line="276" w:lineRule="auto"/>
              <w:rPr>
                <w:rFonts w:ascii="Times New Roman" w:hAnsi="Times New Roman" w:cs="Times New Roman"/>
                <w:noProof/>
              </w:rPr>
            </w:pPr>
            <w:r>
              <w:rPr>
                <w:noProof/>
              </w:rPr>
              <w:t>Antagna ändringar av konkurslagen och lagen om konsumentinsolvens</w:t>
            </w:r>
          </w:p>
        </w:tc>
        <w:tc>
          <w:tcPr>
            <w:tcW w:w="733" w:type="pct"/>
            <w:tcBorders>
              <w:top w:val="nil"/>
              <w:left w:val="nil"/>
              <w:bottom w:val="single" w:sz="4" w:space="0" w:color="auto"/>
              <w:right w:val="single" w:sz="4" w:space="0" w:color="auto"/>
            </w:tcBorders>
            <w:shd w:val="clear" w:color="auto" w:fill="C6EFCE"/>
            <w:noWrap/>
          </w:tcPr>
          <w:p w14:paraId="1180E98B" w14:textId="77777777" w:rsidR="003A3D51" w:rsidRDefault="0002775A">
            <w:pPr>
              <w:pStyle w:val="P68B1DB1-Normal7"/>
              <w:spacing w:after="200" w:line="276" w:lineRule="auto"/>
              <w:rPr>
                <w:rFonts w:ascii="Times New Roman" w:hAnsi="Times New Roman" w:cs="Times New Roman"/>
                <w:noProof/>
              </w:rPr>
            </w:pPr>
            <w:r>
              <w:rPr>
                <w:noProof/>
              </w:rPr>
              <w:t xml:space="preserve">Konkurslagen och konsumentkonkurslagen träder i kraft </w:t>
            </w:r>
          </w:p>
        </w:tc>
        <w:tc>
          <w:tcPr>
            <w:tcW w:w="378" w:type="pct"/>
            <w:tcBorders>
              <w:top w:val="nil"/>
              <w:left w:val="nil"/>
              <w:bottom w:val="single" w:sz="4" w:space="0" w:color="auto"/>
              <w:right w:val="single" w:sz="4" w:space="0" w:color="auto"/>
            </w:tcBorders>
            <w:shd w:val="clear" w:color="auto" w:fill="C6EFCE"/>
            <w:noWrap/>
          </w:tcPr>
          <w:p w14:paraId="198C30B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nil"/>
              <w:left w:val="nil"/>
              <w:bottom w:val="single" w:sz="4" w:space="0" w:color="auto"/>
              <w:right w:val="single" w:sz="4" w:space="0" w:color="auto"/>
            </w:tcBorders>
            <w:shd w:val="clear" w:color="auto" w:fill="C6EFCE"/>
            <w:noWrap/>
          </w:tcPr>
          <w:p w14:paraId="3235D7A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nil"/>
              <w:left w:val="nil"/>
              <w:bottom w:val="single" w:sz="4" w:space="0" w:color="auto"/>
              <w:right w:val="single" w:sz="4" w:space="0" w:color="auto"/>
            </w:tcBorders>
            <w:shd w:val="clear" w:color="auto" w:fill="C6EFCE"/>
            <w:noWrap/>
          </w:tcPr>
          <w:p w14:paraId="569F5FE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3B2F4E9A"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nil"/>
              <w:left w:val="nil"/>
              <w:bottom w:val="single" w:sz="4" w:space="0" w:color="auto"/>
              <w:right w:val="single" w:sz="4" w:space="0" w:color="auto"/>
            </w:tcBorders>
            <w:shd w:val="clear" w:color="auto" w:fill="C6EFCE"/>
            <w:noWrap/>
          </w:tcPr>
          <w:p w14:paraId="20E7456F"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90" w:type="pct"/>
            <w:tcBorders>
              <w:top w:val="nil"/>
              <w:left w:val="nil"/>
              <w:bottom w:val="single" w:sz="4" w:space="0" w:color="auto"/>
              <w:right w:val="single" w:sz="4" w:space="0" w:color="auto"/>
            </w:tcBorders>
            <w:shd w:val="clear" w:color="auto" w:fill="C6EFCE"/>
            <w:noWrap/>
          </w:tcPr>
          <w:p w14:paraId="635F84D8" w14:textId="77777777" w:rsidR="003A3D51" w:rsidRDefault="0002775A">
            <w:pPr>
              <w:pStyle w:val="P68B1DB1-Normal7"/>
              <w:spacing w:after="200" w:line="276" w:lineRule="auto"/>
              <w:rPr>
                <w:rFonts w:ascii="Times New Roman" w:hAnsi="Times New Roman" w:cs="Times New Roman"/>
                <w:noProof/>
              </w:rPr>
            </w:pPr>
            <w:r>
              <w:rPr>
                <w:noProof/>
              </w:rPr>
              <w:t>Ändringar av konkurslagen och lagen om konsumentinsolvens (offentliggörande i den officiella tidningen) som ska säkerställa att insolvensförfarandena blir effektivare, förbättra systemet för organisation och utnämning av förvaltare och övervakningen av utförandet av tjänsten, avskräcka från en eventuell ökning av antalet ärenden på grund av covid-19-pandemin och ändringen av artikel 212 i konkurslagen om återvinningsförfaranden.</w:t>
            </w:r>
          </w:p>
        </w:tc>
      </w:tr>
      <w:tr w:rsidR="003A3D51" w14:paraId="3049D21C" w14:textId="77777777" w:rsidTr="005A3E0A">
        <w:trPr>
          <w:trHeight w:val="283"/>
        </w:trPr>
        <w:tc>
          <w:tcPr>
            <w:tcW w:w="367" w:type="pct"/>
            <w:tcBorders>
              <w:top w:val="nil"/>
              <w:left w:val="single" w:sz="4" w:space="0" w:color="auto"/>
              <w:bottom w:val="single" w:sz="4" w:space="0" w:color="auto"/>
              <w:right w:val="single" w:sz="4" w:space="0" w:color="auto"/>
            </w:tcBorders>
            <w:shd w:val="clear" w:color="auto" w:fill="C6EFCE"/>
            <w:noWrap/>
          </w:tcPr>
          <w:p w14:paraId="3AE07AFD" w14:textId="77777777" w:rsidR="003A3D51" w:rsidRDefault="0002775A">
            <w:pPr>
              <w:pStyle w:val="P68B1DB1-Normal7"/>
              <w:spacing w:after="200" w:line="276" w:lineRule="auto"/>
              <w:jc w:val="center"/>
              <w:rPr>
                <w:rFonts w:ascii="Times New Roman" w:hAnsi="Times New Roman" w:cs="Times New Roman"/>
                <w:noProof/>
              </w:rPr>
            </w:pPr>
            <w:r>
              <w:rPr>
                <w:noProof/>
              </w:rPr>
              <w:t>216</w:t>
            </w:r>
          </w:p>
        </w:tc>
        <w:tc>
          <w:tcPr>
            <w:tcW w:w="367" w:type="pct"/>
            <w:tcBorders>
              <w:top w:val="nil"/>
              <w:left w:val="nil"/>
              <w:bottom w:val="single" w:sz="4" w:space="0" w:color="auto"/>
              <w:right w:val="single" w:sz="4" w:space="0" w:color="auto"/>
            </w:tcBorders>
            <w:shd w:val="clear" w:color="auto" w:fill="C6EFCE"/>
            <w:noWrap/>
          </w:tcPr>
          <w:p w14:paraId="50DB06EA"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nil"/>
              <w:left w:val="nil"/>
              <w:bottom w:val="single" w:sz="4" w:space="0" w:color="auto"/>
              <w:right w:val="single" w:sz="4" w:space="0" w:color="auto"/>
            </w:tcBorders>
            <w:shd w:val="clear" w:color="auto" w:fill="C6EFCE"/>
            <w:noWrap/>
          </w:tcPr>
          <w:p w14:paraId="7DA5120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nil"/>
              <w:left w:val="nil"/>
              <w:bottom w:val="single" w:sz="4" w:space="0" w:color="auto"/>
              <w:right w:val="single" w:sz="4" w:space="0" w:color="auto"/>
            </w:tcBorders>
            <w:shd w:val="clear" w:color="auto" w:fill="C6EFCE"/>
            <w:noWrap/>
          </w:tcPr>
          <w:p w14:paraId="40B17A46" w14:textId="77777777" w:rsidR="003A3D51" w:rsidRDefault="0002775A">
            <w:pPr>
              <w:pStyle w:val="P68B1DB1-Normal7"/>
              <w:spacing w:after="200" w:line="276" w:lineRule="auto"/>
              <w:rPr>
                <w:rFonts w:ascii="Times New Roman" w:hAnsi="Times New Roman" w:cs="Times New Roman"/>
                <w:noProof/>
              </w:rPr>
            </w:pPr>
            <w:r>
              <w:rPr>
                <w:noProof/>
              </w:rPr>
              <w:t>Antagna ändringar av straffprocesslagen</w:t>
            </w:r>
          </w:p>
        </w:tc>
        <w:tc>
          <w:tcPr>
            <w:tcW w:w="733" w:type="pct"/>
            <w:tcBorders>
              <w:top w:val="nil"/>
              <w:left w:val="nil"/>
              <w:bottom w:val="single" w:sz="4" w:space="0" w:color="auto"/>
              <w:right w:val="single" w:sz="4" w:space="0" w:color="auto"/>
            </w:tcBorders>
            <w:shd w:val="clear" w:color="auto" w:fill="C6EFCE"/>
            <w:noWrap/>
          </w:tcPr>
          <w:p w14:paraId="73ACA046" w14:textId="77777777" w:rsidR="003A3D51" w:rsidRDefault="0002775A">
            <w:pPr>
              <w:pStyle w:val="P68B1DB1-Normal7"/>
              <w:spacing w:after="200" w:line="276" w:lineRule="auto"/>
              <w:rPr>
                <w:rFonts w:ascii="Times New Roman" w:hAnsi="Times New Roman" w:cs="Times New Roman"/>
                <w:noProof/>
              </w:rPr>
            </w:pPr>
            <w:r>
              <w:rPr>
                <w:noProof/>
              </w:rPr>
              <w:t>Ikraftträdande av ändringar av straffprocesslagen</w:t>
            </w:r>
          </w:p>
        </w:tc>
        <w:tc>
          <w:tcPr>
            <w:tcW w:w="378" w:type="pct"/>
            <w:tcBorders>
              <w:top w:val="nil"/>
              <w:left w:val="nil"/>
              <w:bottom w:val="single" w:sz="4" w:space="0" w:color="auto"/>
              <w:right w:val="single" w:sz="4" w:space="0" w:color="auto"/>
            </w:tcBorders>
            <w:shd w:val="clear" w:color="auto" w:fill="C6EFCE"/>
            <w:noWrap/>
          </w:tcPr>
          <w:p w14:paraId="408D9D4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nil"/>
              <w:left w:val="nil"/>
              <w:bottom w:val="single" w:sz="4" w:space="0" w:color="auto"/>
              <w:right w:val="single" w:sz="4" w:space="0" w:color="auto"/>
            </w:tcBorders>
            <w:shd w:val="clear" w:color="auto" w:fill="C6EFCE"/>
            <w:noWrap/>
          </w:tcPr>
          <w:p w14:paraId="13D6C25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nil"/>
              <w:left w:val="nil"/>
              <w:bottom w:val="single" w:sz="4" w:space="0" w:color="auto"/>
              <w:right w:val="single" w:sz="4" w:space="0" w:color="auto"/>
            </w:tcBorders>
            <w:shd w:val="clear" w:color="auto" w:fill="C6EFCE"/>
            <w:noWrap/>
          </w:tcPr>
          <w:p w14:paraId="30E9995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0CAD2289"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nil"/>
              <w:left w:val="nil"/>
              <w:bottom w:val="single" w:sz="4" w:space="0" w:color="auto"/>
              <w:right w:val="single" w:sz="4" w:space="0" w:color="auto"/>
            </w:tcBorders>
            <w:shd w:val="clear" w:color="auto" w:fill="C6EFCE"/>
            <w:noWrap/>
          </w:tcPr>
          <w:p w14:paraId="69129984"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90" w:type="pct"/>
            <w:tcBorders>
              <w:top w:val="nil"/>
              <w:left w:val="nil"/>
              <w:bottom w:val="single" w:sz="4" w:space="0" w:color="auto"/>
              <w:right w:val="single" w:sz="4" w:space="0" w:color="auto"/>
            </w:tcBorders>
            <w:shd w:val="clear" w:color="auto" w:fill="C6EFCE"/>
            <w:noWrap/>
          </w:tcPr>
          <w:p w14:paraId="09983C31" w14:textId="77777777" w:rsidR="003A3D51" w:rsidRDefault="0002775A">
            <w:pPr>
              <w:pStyle w:val="P68B1DB1-Normal7"/>
              <w:spacing w:after="200" w:line="276" w:lineRule="auto"/>
              <w:rPr>
                <w:rFonts w:ascii="Times New Roman" w:hAnsi="Times New Roman" w:cs="Times New Roman"/>
                <w:noProof/>
              </w:rPr>
            </w:pPr>
            <w:r>
              <w:rPr>
                <w:noProof/>
              </w:rPr>
              <w:t>Ändringar av straffprocesslagen som gör det möjligt att använda IKT i straffrättsliga förfaranden, inbegripet införande av förhandlingar på distans, utvidgning av möjligheten att lämna vittnesmål online för brottsoffer, möjlighet att kommunicera med advokater via en säker videolänk och förberedelse av förhör för tilltalade i häkte samt införande av e-kommunikation.</w:t>
            </w:r>
          </w:p>
        </w:tc>
      </w:tr>
      <w:tr w:rsidR="003A3D51" w14:paraId="6F4FBD59" w14:textId="77777777" w:rsidTr="005A3E0A">
        <w:trPr>
          <w:trHeight w:val="283"/>
        </w:trPr>
        <w:tc>
          <w:tcPr>
            <w:tcW w:w="367" w:type="pct"/>
            <w:tcBorders>
              <w:top w:val="nil"/>
              <w:left w:val="single" w:sz="4" w:space="0" w:color="auto"/>
              <w:bottom w:val="single" w:sz="4" w:space="0" w:color="auto"/>
              <w:right w:val="single" w:sz="4" w:space="0" w:color="auto"/>
            </w:tcBorders>
            <w:shd w:val="clear" w:color="auto" w:fill="C6EFCE"/>
            <w:noWrap/>
          </w:tcPr>
          <w:p w14:paraId="1B0E3964" w14:textId="77777777" w:rsidR="003A3D51" w:rsidRDefault="0002775A">
            <w:pPr>
              <w:pStyle w:val="P68B1DB1-Normal7"/>
              <w:spacing w:after="200" w:line="276" w:lineRule="auto"/>
              <w:jc w:val="center"/>
              <w:rPr>
                <w:rFonts w:ascii="Times New Roman" w:hAnsi="Times New Roman" w:cs="Times New Roman"/>
                <w:noProof/>
              </w:rPr>
            </w:pPr>
            <w:r>
              <w:rPr>
                <w:noProof/>
              </w:rPr>
              <w:t>217</w:t>
            </w:r>
          </w:p>
        </w:tc>
        <w:tc>
          <w:tcPr>
            <w:tcW w:w="367" w:type="pct"/>
            <w:tcBorders>
              <w:top w:val="single" w:sz="4" w:space="0" w:color="auto"/>
              <w:left w:val="nil"/>
              <w:bottom w:val="single" w:sz="4" w:space="0" w:color="auto"/>
              <w:right w:val="single" w:sz="4" w:space="0" w:color="auto"/>
            </w:tcBorders>
            <w:shd w:val="clear" w:color="auto" w:fill="C6EFCE"/>
            <w:noWrap/>
          </w:tcPr>
          <w:p w14:paraId="0BBC742B"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single" w:sz="4" w:space="0" w:color="auto"/>
              <w:left w:val="nil"/>
              <w:bottom w:val="single" w:sz="4" w:space="0" w:color="auto"/>
              <w:right w:val="single" w:sz="4" w:space="0" w:color="auto"/>
            </w:tcBorders>
            <w:shd w:val="clear" w:color="auto" w:fill="C6EFCE"/>
            <w:noWrap/>
          </w:tcPr>
          <w:p w14:paraId="57C149F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2D409434" w14:textId="77777777" w:rsidR="003A3D51" w:rsidRDefault="0002775A">
            <w:pPr>
              <w:pStyle w:val="P68B1DB1-Normal7"/>
              <w:spacing w:after="200" w:line="276" w:lineRule="auto"/>
              <w:rPr>
                <w:rFonts w:ascii="Times New Roman" w:hAnsi="Times New Roman" w:cs="Times New Roman"/>
                <w:noProof/>
              </w:rPr>
            </w:pPr>
            <w:r>
              <w:rPr>
                <w:noProof/>
              </w:rPr>
              <w:t xml:space="preserve">Nya utbildningsprogram som införts inom ramen för programmet för rättslig utbildning </w:t>
            </w:r>
          </w:p>
        </w:tc>
        <w:tc>
          <w:tcPr>
            <w:tcW w:w="733" w:type="pct"/>
            <w:tcBorders>
              <w:top w:val="single" w:sz="4" w:space="0" w:color="auto"/>
              <w:left w:val="nil"/>
              <w:bottom w:val="single" w:sz="4" w:space="0" w:color="auto"/>
              <w:right w:val="single" w:sz="4" w:space="0" w:color="auto"/>
            </w:tcBorders>
            <w:shd w:val="clear" w:color="auto" w:fill="C6EFCE"/>
            <w:noWrap/>
          </w:tcPr>
          <w:p w14:paraId="21825D3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213DF386"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7" w:type="pct"/>
            <w:tcBorders>
              <w:top w:val="single" w:sz="4" w:space="0" w:color="auto"/>
              <w:left w:val="nil"/>
              <w:bottom w:val="single" w:sz="4" w:space="0" w:color="auto"/>
              <w:right w:val="single" w:sz="4" w:space="0" w:color="auto"/>
            </w:tcBorders>
            <w:shd w:val="clear" w:color="auto" w:fill="C6EFCE"/>
            <w:noWrap/>
          </w:tcPr>
          <w:p w14:paraId="60B4238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75" w:type="pct"/>
            <w:tcBorders>
              <w:top w:val="single" w:sz="4" w:space="0" w:color="auto"/>
              <w:left w:val="nil"/>
              <w:bottom w:val="single" w:sz="4" w:space="0" w:color="auto"/>
              <w:right w:val="single" w:sz="4" w:space="0" w:color="auto"/>
            </w:tcBorders>
            <w:shd w:val="clear" w:color="auto" w:fill="C6EFCE"/>
            <w:noWrap/>
          </w:tcPr>
          <w:p w14:paraId="79C42006" w14:textId="77777777" w:rsidR="003A3D51" w:rsidRDefault="0002775A">
            <w:pPr>
              <w:pStyle w:val="P68B1DB1-Normal7"/>
              <w:spacing w:after="200" w:line="276" w:lineRule="auto"/>
              <w:jc w:val="center"/>
              <w:rPr>
                <w:rFonts w:ascii="Times New Roman" w:hAnsi="Times New Roman" w:cs="Times New Roman"/>
                <w:noProof/>
              </w:rPr>
            </w:pPr>
            <w:r>
              <w:rPr>
                <w:noProof/>
              </w:rPr>
              <w:t>6</w:t>
            </w:r>
          </w:p>
        </w:tc>
        <w:tc>
          <w:tcPr>
            <w:tcW w:w="257" w:type="pct"/>
            <w:tcBorders>
              <w:top w:val="single" w:sz="4" w:space="0" w:color="auto"/>
              <w:left w:val="nil"/>
              <w:bottom w:val="single" w:sz="4" w:space="0" w:color="auto"/>
              <w:right w:val="single" w:sz="4" w:space="0" w:color="auto"/>
            </w:tcBorders>
            <w:shd w:val="clear" w:color="auto" w:fill="C6EFCE"/>
            <w:noWrap/>
          </w:tcPr>
          <w:p w14:paraId="740D7D8A"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29" w:type="pct"/>
            <w:tcBorders>
              <w:top w:val="single" w:sz="4" w:space="0" w:color="auto"/>
              <w:left w:val="nil"/>
              <w:bottom w:val="single" w:sz="4" w:space="0" w:color="auto"/>
              <w:right w:val="single" w:sz="4" w:space="0" w:color="auto"/>
            </w:tcBorders>
            <w:shd w:val="clear" w:color="auto" w:fill="C6EFCE"/>
            <w:noWrap/>
          </w:tcPr>
          <w:p w14:paraId="4495FE9C"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90" w:type="pct"/>
            <w:tcBorders>
              <w:top w:val="single" w:sz="4" w:space="0" w:color="auto"/>
              <w:left w:val="nil"/>
              <w:bottom w:val="single" w:sz="4" w:space="0" w:color="auto"/>
              <w:right w:val="single" w:sz="4" w:space="0" w:color="auto"/>
            </w:tcBorders>
            <w:shd w:val="clear" w:color="auto" w:fill="C6EFCE"/>
            <w:noWrap/>
          </w:tcPr>
          <w:p w14:paraId="49557AAB" w14:textId="77777777" w:rsidR="003A3D51" w:rsidRDefault="0002775A">
            <w:pPr>
              <w:pStyle w:val="P68B1DB1-Normal7"/>
              <w:spacing w:after="200" w:line="276" w:lineRule="auto"/>
              <w:rPr>
                <w:rFonts w:ascii="Times New Roman" w:hAnsi="Times New Roman" w:cs="Times New Roman"/>
                <w:noProof/>
              </w:rPr>
            </w:pPr>
            <w:r>
              <w:rPr>
                <w:noProof/>
              </w:rPr>
              <w:t>Sex nya utbildningsprogram ska genomföras som en del av utbildningsprogrammet för tjänstemän inom rättsväsendet och tjänstemän vid rättsliga myndigheter vid rättsakademin:</w:t>
            </w:r>
            <w:r>
              <w:rPr>
                <w:noProof/>
              </w:rPr>
              <w:br/>
              <w:t>— Utveckla olika färdigheter (lednings- och ledningskompetens för domstolsordförande, domstolsledning för chefer för domstolsförvaltning och kommunikationsförmåga för domstolspersonal – tre program).</w:t>
            </w:r>
            <w:r>
              <w:rPr>
                <w:noProof/>
              </w:rPr>
              <w:br/>
              <w:t>— Främja rättsstatsprincipen och de grundläggande rättigheterna genom utbildning av hög kvalitet inom det kroatiska rättsväsendet.</w:t>
            </w:r>
            <w:r>
              <w:rPr>
                <w:noProof/>
              </w:rPr>
              <w:br/>
              <w:t>— Specialiserade utbildningsprogram för konkursdomare och utbildningskurser för domare inom familjerätten.</w:t>
            </w:r>
          </w:p>
        </w:tc>
      </w:tr>
      <w:tr w:rsidR="003A3D51" w14:paraId="1632784A" w14:textId="77777777" w:rsidTr="005A3E0A">
        <w:trPr>
          <w:trHeight w:val="283"/>
        </w:trPr>
        <w:tc>
          <w:tcPr>
            <w:tcW w:w="367" w:type="pct"/>
            <w:tcBorders>
              <w:top w:val="nil"/>
              <w:left w:val="single" w:sz="4" w:space="0" w:color="auto"/>
              <w:bottom w:val="single" w:sz="4" w:space="0" w:color="auto"/>
              <w:right w:val="single" w:sz="4" w:space="0" w:color="auto"/>
            </w:tcBorders>
            <w:shd w:val="clear" w:color="auto" w:fill="C6EFCE"/>
            <w:noWrap/>
          </w:tcPr>
          <w:p w14:paraId="611FE742" w14:textId="77777777" w:rsidR="003A3D51" w:rsidRDefault="0002775A">
            <w:pPr>
              <w:pStyle w:val="P68B1DB1-Normal7"/>
              <w:spacing w:after="200" w:line="276" w:lineRule="auto"/>
              <w:jc w:val="center"/>
              <w:rPr>
                <w:rFonts w:ascii="Times New Roman" w:hAnsi="Times New Roman" w:cs="Times New Roman"/>
                <w:noProof/>
              </w:rPr>
            </w:pPr>
            <w:r>
              <w:rPr>
                <w:noProof/>
              </w:rPr>
              <w:t>218</w:t>
            </w:r>
          </w:p>
        </w:tc>
        <w:tc>
          <w:tcPr>
            <w:tcW w:w="367" w:type="pct"/>
            <w:tcBorders>
              <w:top w:val="nil"/>
              <w:left w:val="nil"/>
              <w:bottom w:val="single" w:sz="4" w:space="0" w:color="auto"/>
              <w:right w:val="single" w:sz="4" w:space="0" w:color="auto"/>
            </w:tcBorders>
            <w:shd w:val="clear" w:color="auto" w:fill="C6EFCE"/>
            <w:noWrap/>
          </w:tcPr>
          <w:p w14:paraId="1FF7A66C"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nil"/>
              <w:left w:val="nil"/>
              <w:bottom w:val="single" w:sz="4" w:space="0" w:color="auto"/>
              <w:right w:val="single" w:sz="4" w:space="0" w:color="auto"/>
            </w:tcBorders>
            <w:shd w:val="clear" w:color="auto" w:fill="C6EFCE"/>
            <w:noWrap/>
          </w:tcPr>
          <w:p w14:paraId="7AB82FB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nil"/>
              <w:left w:val="nil"/>
              <w:bottom w:val="single" w:sz="4" w:space="0" w:color="auto"/>
              <w:right w:val="single" w:sz="4" w:space="0" w:color="auto"/>
            </w:tcBorders>
            <w:shd w:val="clear" w:color="auto" w:fill="C6EFCE"/>
            <w:noWrap/>
          </w:tcPr>
          <w:p w14:paraId="070C2979" w14:textId="77777777" w:rsidR="003A3D51" w:rsidRDefault="0002775A">
            <w:pPr>
              <w:pStyle w:val="P68B1DB1-Normal7"/>
              <w:spacing w:after="200" w:line="276" w:lineRule="auto"/>
              <w:rPr>
                <w:rFonts w:ascii="Times New Roman" w:hAnsi="Times New Roman" w:cs="Times New Roman"/>
                <w:noProof/>
              </w:rPr>
            </w:pPr>
            <w:r>
              <w:rPr>
                <w:noProof/>
              </w:rPr>
              <w:t>Antagande av ändringar av den rättsliga ramen på det rättsliga området genom den nya lagen om rättsvårdsärenden.</w:t>
            </w:r>
          </w:p>
        </w:tc>
        <w:tc>
          <w:tcPr>
            <w:tcW w:w="733" w:type="pct"/>
            <w:tcBorders>
              <w:top w:val="nil"/>
              <w:left w:val="nil"/>
              <w:bottom w:val="single" w:sz="4" w:space="0" w:color="auto"/>
              <w:right w:val="single" w:sz="4" w:space="0" w:color="auto"/>
            </w:tcBorders>
            <w:shd w:val="clear" w:color="auto" w:fill="C6EFCE"/>
            <w:noWrap/>
          </w:tcPr>
          <w:p w14:paraId="789FC944" w14:textId="77777777" w:rsidR="003A3D51" w:rsidRDefault="0002775A">
            <w:pPr>
              <w:pStyle w:val="P68B1DB1-Normal7"/>
              <w:spacing w:after="200" w:line="276" w:lineRule="auto"/>
              <w:rPr>
                <w:rFonts w:ascii="Times New Roman" w:hAnsi="Times New Roman" w:cs="Times New Roman"/>
                <w:noProof/>
              </w:rPr>
            </w:pPr>
            <w:r>
              <w:rPr>
                <w:noProof/>
              </w:rPr>
              <w:t>Ikraftträdande av ändringar av civilprocesslagen, lagen om administrativa tvister, lagen om fastighetsregister, domstolslagen, lagen om domkrets och säte, lagen om notarius publicus och den nya lagen om rättsvårdsärenden.</w:t>
            </w:r>
          </w:p>
        </w:tc>
        <w:tc>
          <w:tcPr>
            <w:tcW w:w="378" w:type="pct"/>
            <w:tcBorders>
              <w:top w:val="nil"/>
              <w:left w:val="nil"/>
              <w:bottom w:val="single" w:sz="4" w:space="0" w:color="auto"/>
              <w:right w:val="single" w:sz="4" w:space="0" w:color="auto"/>
            </w:tcBorders>
            <w:shd w:val="clear" w:color="auto" w:fill="C6EFCE"/>
            <w:noWrap/>
          </w:tcPr>
          <w:p w14:paraId="24F92C6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nil"/>
              <w:left w:val="nil"/>
              <w:bottom w:val="single" w:sz="4" w:space="0" w:color="auto"/>
              <w:right w:val="single" w:sz="4" w:space="0" w:color="auto"/>
            </w:tcBorders>
            <w:shd w:val="clear" w:color="auto" w:fill="C6EFCE"/>
            <w:noWrap/>
          </w:tcPr>
          <w:p w14:paraId="0628C76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nil"/>
              <w:left w:val="nil"/>
              <w:bottom w:val="single" w:sz="4" w:space="0" w:color="auto"/>
              <w:right w:val="single" w:sz="4" w:space="0" w:color="auto"/>
            </w:tcBorders>
            <w:shd w:val="clear" w:color="auto" w:fill="C6EFCE"/>
            <w:noWrap/>
          </w:tcPr>
          <w:p w14:paraId="65759FE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6C84BF6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nil"/>
              <w:left w:val="nil"/>
              <w:bottom w:val="single" w:sz="4" w:space="0" w:color="auto"/>
              <w:right w:val="single" w:sz="4" w:space="0" w:color="auto"/>
            </w:tcBorders>
            <w:shd w:val="clear" w:color="auto" w:fill="C6EFCE"/>
            <w:noWrap/>
          </w:tcPr>
          <w:p w14:paraId="3BAED13E"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90" w:type="pct"/>
            <w:tcBorders>
              <w:top w:val="nil"/>
              <w:left w:val="nil"/>
              <w:bottom w:val="single" w:sz="4" w:space="0" w:color="auto"/>
              <w:right w:val="single" w:sz="4" w:space="0" w:color="auto"/>
            </w:tcBorders>
            <w:shd w:val="clear" w:color="auto" w:fill="C6EFCE"/>
            <w:noWrap/>
          </w:tcPr>
          <w:p w14:paraId="3C9E0BAB" w14:textId="77777777" w:rsidR="003A3D51" w:rsidRDefault="0002775A">
            <w:pPr>
              <w:pStyle w:val="P68B1DB1-Normal7"/>
              <w:spacing w:after="200" w:line="276" w:lineRule="auto"/>
              <w:rPr>
                <w:rFonts w:ascii="Times New Roman" w:hAnsi="Times New Roman" w:cs="Times New Roman"/>
                <w:noProof/>
              </w:rPr>
            </w:pPr>
            <w:r>
              <w:rPr>
                <w:noProof/>
              </w:rPr>
              <w:t xml:space="preserve">I) Ändringar av civilprocesslagen och lagen om administrativa tvister, som ska bidra till att förkorta domstolsförfarandena, påskynda lösningen av administrativa tvister, minska flödet av mål och minska kostnaderna. </w:t>
            </w:r>
            <w:r>
              <w:rPr>
                <w:noProof/>
              </w:rPr>
              <w:br/>
              <w:t>II) Den nya lagen om rättsvårdsärenden, som underlättar medborgarnas tillgång till domstolar, säkerställer högkvalitativ och öppen prövning och undanröjer rättsosäkerhet.</w:t>
            </w:r>
            <w:r>
              <w:rPr>
                <w:noProof/>
              </w:rPr>
              <w:br/>
              <w:t>III) Ändringar av lagen om notarier för att modernisera notariernas verksamhet genom IKT-lösningar.</w:t>
            </w:r>
            <w:r>
              <w:rPr>
                <w:noProof/>
              </w:rPr>
              <w:br/>
              <w:t>IV) Lagen om ändring av lagen om fastighetsregister för elektronisk handläggning av mål och en effektivare omfördelning av mål inom domstolarna.</w:t>
            </w:r>
            <w:r>
              <w:rPr>
                <w:noProof/>
              </w:rPr>
              <w:br/>
              <w:t>V) Lagen om ändring av domstolslagen och lagen om domstolarnas områden och säten, som ska göra det möjligt att specialisera domare och inrätta specialiserade familjeenheter i kommunala domstolar, i syfte att säkerställa en effektivare nivå av rättsligt skydd för de mest utsatta samhällsgrupperna och barnen, och som ska se över villkoren för tillhandahållande av sakkunskap och tolkning, varav systemet med obligatorisk yrkesutbildning kommer att vara ett viktigt inslag. Behörigheten att besluta om statusfrågor ska överföras från domstolarna till justitieministeriet och den offentliga förvaltningen, och systemet för tillsyn och ansvarsskyldighet ska stärkas.</w:t>
            </w:r>
          </w:p>
        </w:tc>
      </w:tr>
      <w:tr w:rsidR="003A3D51" w14:paraId="0362357F" w14:textId="77777777" w:rsidTr="005A3E0A">
        <w:trPr>
          <w:trHeight w:val="283"/>
        </w:trPr>
        <w:tc>
          <w:tcPr>
            <w:tcW w:w="367" w:type="pct"/>
            <w:tcBorders>
              <w:top w:val="nil"/>
              <w:left w:val="single" w:sz="4" w:space="0" w:color="auto"/>
              <w:bottom w:val="single" w:sz="4" w:space="0" w:color="auto"/>
              <w:right w:val="single" w:sz="4" w:space="0" w:color="auto"/>
            </w:tcBorders>
            <w:shd w:val="clear" w:color="auto" w:fill="C6EFCE"/>
            <w:noWrap/>
          </w:tcPr>
          <w:p w14:paraId="293D6834" w14:textId="77777777" w:rsidR="003A3D51" w:rsidRDefault="0002775A">
            <w:pPr>
              <w:pStyle w:val="P68B1DB1-Normal7"/>
              <w:spacing w:after="200" w:line="276" w:lineRule="auto"/>
              <w:jc w:val="center"/>
              <w:rPr>
                <w:rFonts w:ascii="Times New Roman" w:hAnsi="Times New Roman" w:cs="Times New Roman"/>
                <w:noProof/>
              </w:rPr>
            </w:pPr>
            <w:r>
              <w:rPr>
                <w:noProof/>
              </w:rPr>
              <w:t>219</w:t>
            </w:r>
          </w:p>
        </w:tc>
        <w:tc>
          <w:tcPr>
            <w:tcW w:w="367" w:type="pct"/>
            <w:tcBorders>
              <w:top w:val="nil"/>
              <w:left w:val="nil"/>
              <w:bottom w:val="single" w:sz="4" w:space="0" w:color="auto"/>
              <w:right w:val="single" w:sz="4" w:space="0" w:color="auto"/>
            </w:tcBorders>
            <w:shd w:val="clear" w:color="auto" w:fill="C6EFCE"/>
            <w:noWrap/>
          </w:tcPr>
          <w:p w14:paraId="33D36B02"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nil"/>
              <w:left w:val="nil"/>
              <w:bottom w:val="single" w:sz="4" w:space="0" w:color="auto"/>
              <w:right w:val="single" w:sz="4" w:space="0" w:color="auto"/>
            </w:tcBorders>
            <w:shd w:val="clear" w:color="auto" w:fill="C6EFCE"/>
            <w:noWrap/>
          </w:tcPr>
          <w:p w14:paraId="50BCF69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nil"/>
              <w:left w:val="nil"/>
              <w:bottom w:val="single" w:sz="4" w:space="0" w:color="auto"/>
              <w:right w:val="single" w:sz="4" w:space="0" w:color="auto"/>
            </w:tcBorders>
            <w:shd w:val="clear" w:color="auto" w:fill="C6EFCE"/>
            <w:noWrap/>
          </w:tcPr>
          <w:p w14:paraId="7C4C7736" w14:textId="77777777" w:rsidR="003A3D51" w:rsidRDefault="0002775A">
            <w:pPr>
              <w:pStyle w:val="P68B1DB1-Normal7"/>
              <w:spacing w:after="200" w:line="276" w:lineRule="auto"/>
              <w:rPr>
                <w:rFonts w:ascii="Times New Roman" w:hAnsi="Times New Roman" w:cs="Times New Roman"/>
                <w:noProof/>
              </w:rPr>
            </w:pPr>
            <w:r>
              <w:rPr>
                <w:noProof/>
              </w:rPr>
              <w:t xml:space="preserve">Inrätta fyra medlingscentrum vid handelsdomstolarna i Zagreb, Split, Osijek och Rijeka och antog ändringar av medlingslagen. </w:t>
            </w:r>
          </w:p>
        </w:tc>
        <w:tc>
          <w:tcPr>
            <w:tcW w:w="733" w:type="pct"/>
            <w:tcBorders>
              <w:top w:val="nil"/>
              <w:left w:val="nil"/>
              <w:bottom w:val="single" w:sz="4" w:space="0" w:color="auto"/>
              <w:right w:val="single" w:sz="4" w:space="0" w:color="auto"/>
            </w:tcBorders>
            <w:shd w:val="clear" w:color="auto" w:fill="C6EFCE"/>
            <w:noWrap/>
          </w:tcPr>
          <w:p w14:paraId="1C863E9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nil"/>
              <w:left w:val="nil"/>
              <w:bottom w:val="single" w:sz="4" w:space="0" w:color="auto"/>
              <w:right w:val="single" w:sz="4" w:space="0" w:color="auto"/>
            </w:tcBorders>
            <w:shd w:val="clear" w:color="auto" w:fill="C6EFCE"/>
            <w:noWrap/>
          </w:tcPr>
          <w:p w14:paraId="651BF6F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7" w:type="pct"/>
            <w:tcBorders>
              <w:top w:val="nil"/>
              <w:left w:val="nil"/>
              <w:bottom w:val="single" w:sz="4" w:space="0" w:color="auto"/>
              <w:right w:val="single" w:sz="4" w:space="0" w:color="auto"/>
            </w:tcBorders>
            <w:shd w:val="clear" w:color="auto" w:fill="C6EFCE"/>
            <w:noWrap/>
          </w:tcPr>
          <w:p w14:paraId="7CDDCF2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75" w:type="pct"/>
            <w:tcBorders>
              <w:top w:val="nil"/>
              <w:left w:val="nil"/>
              <w:bottom w:val="single" w:sz="4" w:space="0" w:color="auto"/>
              <w:right w:val="single" w:sz="4" w:space="0" w:color="auto"/>
            </w:tcBorders>
            <w:shd w:val="clear" w:color="auto" w:fill="C6EFCE"/>
            <w:noWrap/>
          </w:tcPr>
          <w:p w14:paraId="6460BCD8" w14:textId="77777777" w:rsidR="003A3D51" w:rsidRDefault="0002775A">
            <w:pPr>
              <w:pStyle w:val="P68B1DB1-Normal7"/>
              <w:spacing w:after="200" w:line="276" w:lineRule="auto"/>
              <w:jc w:val="center"/>
              <w:rPr>
                <w:rFonts w:ascii="Times New Roman" w:hAnsi="Times New Roman" w:cs="Times New Roman"/>
                <w:noProof/>
              </w:rPr>
            </w:pPr>
            <w:r>
              <w:rPr>
                <w:noProof/>
              </w:rPr>
              <w:t>4</w:t>
            </w:r>
          </w:p>
        </w:tc>
        <w:tc>
          <w:tcPr>
            <w:tcW w:w="257" w:type="pct"/>
            <w:tcBorders>
              <w:top w:val="nil"/>
              <w:left w:val="nil"/>
              <w:bottom w:val="single" w:sz="4" w:space="0" w:color="auto"/>
              <w:right w:val="single" w:sz="4" w:space="0" w:color="auto"/>
            </w:tcBorders>
            <w:shd w:val="clear" w:color="auto" w:fill="C6EFCE"/>
            <w:noWrap/>
          </w:tcPr>
          <w:p w14:paraId="6E3994CA"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nil"/>
              <w:left w:val="nil"/>
              <w:bottom w:val="single" w:sz="4" w:space="0" w:color="auto"/>
              <w:right w:val="single" w:sz="4" w:space="0" w:color="auto"/>
            </w:tcBorders>
            <w:shd w:val="clear" w:color="auto" w:fill="C6EFCE"/>
            <w:noWrap/>
          </w:tcPr>
          <w:p w14:paraId="320DFFEC"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90" w:type="pct"/>
            <w:tcBorders>
              <w:top w:val="nil"/>
              <w:left w:val="nil"/>
              <w:bottom w:val="single" w:sz="4" w:space="0" w:color="auto"/>
              <w:right w:val="single" w:sz="4" w:space="0" w:color="auto"/>
            </w:tcBorders>
            <w:shd w:val="clear" w:color="auto" w:fill="C6EFCE"/>
            <w:noWrap/>
          </w:tcPr>
          <w:p w14:paraId="5E1FC1FF" w14:textId="77777777" w:rsidR="003A3D51" w:rsidRDefault="0002775A">
            <w:pPr>
              <w:pStyle w:val="P68B1DB1-Normal7"/>
              <w:spacing w:after="200" w:line="276" w:lineRule="auto"/>
              <w:rPr>
                <w:rFonts w:ascii="Times New Roman" w:hAnsi="Times New Roman" w:cs="Times New Roman"/>
                <w:noProof/>
              </w:rPr>
            </w:pPr>
            <w:r>
              <w:rPr>
                <w:noProof/>
              </w:rPr>
              <w:t>Ändringar i medlingslagen som ytterligare ska främja frivillig medling i tvistemål och administrativa tvister, vilket minskar handläggningstiden och kostnaderna. Fyra medlingscentrum ska inrättas och tas i drift i Zagreb, Split, Osijek och Rijeka, där medlare ska utbildas och medlingsförfaranden genomföras. Centralcentrumet i Zagreb och de regionala centrumen i Split, Osijek och Rijeka ska vara beläget på samma plats som handelsdomstolarna, Republiken Kroatiens handelsöverdomstol, och det ska vara möjligt att tillhandahålla nödvändigt professionellt stöd till parterna.</w:t>
            </w:r>
          </w:p>
        </w:tc>
      </w:tr>
      <w:tr w:rsidR="003A3D51" w14:paraId="127F1275" w14:textId="77777777" w:rsidTr="005A3E0A">
        <w:trPr>
          <w:trHeight w:val="283"/>
        </w:trPr>
        <w:tc>
          <w:tcPr>
            <w:tcW w:w="367" w:type="pct"/>
            <w:tcBorders>
              <w:top w:val="nil"/>
              <w:left w:val="single" w:sz="4" w:space="0" w:color="auto"/>
              <w:bottom w:val="single" w:sz="4" w:space="0" w:color="auto"/>
              <w:right w:val="single" w:sz="4" w:space="0" w:color="auto"/>
            </w:tcBorders>
            <w:shd w:val="clear" w:color="auto" w:fill="C6EFCE"/>
            <w:noWrap/>
          </w:tcPr>
          <w:p w14:paraId="69AB0527" w14:textId="77777777" w:rsidR="003A3D51" w:rsidRDefault="0002775A">
            <w:pPr>
              <w:pStyle w:val="P68B1DB1-Normal7"/>
              <w:spacing w:after="200" w:line="276" w:lineRule="auto"/>
              <w:jc w:val="center"/>
              <w:rPr>
                <w:rFonts w:ascii="Times New Roman" w:hAnsi="Times New Roman" w:cs="Times New Roman"/>
                <w:noProof/>
              </w:rPr>
            </w:pPr>
            <w:r>
              <w:rPr>
                <w:noProof/>
              </w:rPr>
              <w:t>220</w:t>
            </w:r>
          </w:p>
        </w:tc>
        <w:tc>
          <w:tcPr>
            <w:tcW w:w="367" w:type="pct"/>
            <w:tcBorders>
              <w:top w:val="single" w:sz="4" w:space="0" w:color="auto"/>
              <w:left w:val="nil"/>
              <w:bottom w:val="single" w:sz="4" w:space="0" w:color="auto"/>
              <w:right w:val="single" w:sz="4" w:space="0" w:color="auto"/>
            </w:tcBorders>
            <w:shd w:val="clear" w:color="auto" w:fill="C6EFCE"/>
            <w:noWrap/>
          </w:tcPr>
          <w:p w14:paraId="60F195F6"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single" w:sz="4" w:space="0" w:color="auto"/>
              <w:left w:val="nil"/>
              <w:bottom w:val="single" w:sz="4" w:space="0" w:color="auto"/>
              <w:right w:val="single" w:sz="4" w:space="0" w:color="auto"/>
            </w:tcBorders>
            <w:shd w:val="clear" w:color="auto" w:fill="C6EFCE"/>
            <w:noWrap/>
          </w:tcPr>
          <w:p w14:paraId="2F12F4AE"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single" w:sz="4" w:space="0" w:color="auto"/>
              <w:left w:val="nil"/>
              <w:bottom w:val="single" w:sz="4" w:space="0" w:color="auto"/>
              <w:right w:val="single" w:sz="4" w:space="0" w:color="auto"/>
            </w:tcBorders>
            <w:shd w:val="clear" w:color="auto" w:fill="C6EFCE"/>
            <w:noWrap/>
          </w:tcPr>
          <w:p w14:paraId="054189C9" w14:textId="77777777" w:rsidR="003A3D51" w:rsidRDefault="0002775A">
            <w:pPr>
              <w:pStyle w:val="P68B1DB1-Normal7"/>
              <w:spacing w:after="200" w:line="276" w:lineRule="auto"/>
              <w:rPr>
                <w:rFonts w:ascii="Times New Roman" w:hAnsi="Times New Roman" w:cs="Times New Roman"/>
                <w:noProof/>
              </w:rPr>
            </w:pPr>
            <w:r>
              <w:rPr>
                <w:noProof/>
              </w:rPr>
              <w:t>Nya referensramar för domarnas arbete har antagits och ett aktivt verktyg för hantering av rättsliga mål har införts</w:t>
            </w:r>
          </w:p>
        </w:tc>
        <w:tc>
          <w:tcPr>
            <w:tcW w:w="733" w:type="pct"/>
            <w:tcBorders>
              <w:top w:val="single" w:sz="4" w:space="0" w:color="auto"/>
              <w:left w:val="nil"/>
              <w:bottom w:val="single" w:sz="4" w:space="0" w:color="auto"/>
              <w:right w:val="single" w:sz="4" w:space="0" w:color="auto"/>
            </w:tcBorders>
            <w:shd w:val="clear" w:color="auto" w:fill="C6EFCE"/>
            <w:noWrap/>
          </w:tcPr>
          <w:p w14:paraId="3E4F9DF1" w14:textId="77777777" w:rsidR="003A3D51" w:rsidRDefault="0002775A">
            <w:pPr>
              <w:pStyle w:val="P68B1DB1-Normal7"/>
              <w:spacing w:after="200" w:line="276" w:lineRule="auto"/>
              <w:rPr>
                <w:rFonts w:ascii="Times New Roman" w:hAnsi="Times New Roman" w:cs="Times New Roman"/>
                <w:noProof/>
              </w:rPr>
            </w:pPr>
            <w:r>
              <w:rPr>
                <w:noProof/>
              </w:rPr>
              <w:t>Vägledande riktmärken för domarnas arbete, införande av ett verktyg för aktiv ärendehantering</w:t>
            </w:r>
          </w:p>
        </w:tc>
        <w:tc>
          <w:tcPr>
            <w:tcW w:w="378" w:type="pct"/>
            <w:tcBorders>
              <w:top w:val="single" w:sz="4" w:space="0" w:color="auto"/>
              <w:left w:val="nil"/>
              <w:bottom w:val="single" w:sz="4" w:space="0" w:color="auto"/>
              <w:right w:val="single" w:sz="4" w:space="0" w:color="auto"/>
            </w:tcBorders>
            <w:shd w:val="clear" w:color="auto" w:fill="C6EFCE"/>
            <w:noWrap/>
          </w:tcPr>
          <w:p w14:paraId="0F6AE9B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single" w:sz="4" w:space="0" w:color="auto"/>
              <w:left w:val="nil"/>
              <w:bottom w:val="single" w:sz="4" w:space="0" w:color="auto"/>
              <w:right w:val="single" w:sz="4" w:space="0" w:color="auto"/>
            </w:tcBorders>
            <w:shd w:val="clear" w:color="auto" w:fill="C6EFCE"/>
            <w:noWrap/>
          </w:tcPr>
          <w:p w14:paraId="1393D530" w14:textId="77777777" w:rsidR="003A3D51" w:rsidRDefault="0002775A">
            <w:pPr>
              <w:pStyle w:val="P68B1DB1-Normal7"/>
              <w:spacing w:after="200" w:line="276" w:lineRule="auto"/>
              <w:jc w:val="center"/>
              <w:rPr>
                <w:rFonts w:ascii="Times New Roman" w:hAnsi="Times New Roman" w:cs="Times New Roman"/>
                <w:noProof/>
              </w:rPr>
            </w:pPr>
            <w:r>
              <w:rPr>
                <w:noProof/>
              </w:rPr>
              <w:t> </w:t>
            </w:r>
          </w:p>
          <w:p w14:paraId="29665A85" w14:textId="77777777" w:rsidR="003A3D51" w:rsidRDefault="003A3D51">
            <w:pPr>
              <w:spacing w:after="200" w:line="276" w:lineRule="auto"/>
              <w:rPr>
                <w:rFonts w:ascii="Times New Roman" w:eastAsia="Calibri" w:hAnsi="Times New Roman" w:cs="Times New Roman"/>
                <w:noProof/>
                <w:sz w:val="20"/>
              </w:rPr>
            </w:pPr>
          </w:p>
          <w:p w14:paraId="56AB701D" w14:textId="77777777" w:rsidR="003A3D51" w:rsidRDefault="003A3D51">
            <w:pPr>
              <w:spacing w:after="200" w:line="276" w:lineRule="auto"/>
              <w:rPr>
                <w:rFonts w:ascii="Times New Roman" w:eastAsia="Calibri" w:hAnsi="Times New Roman" w:cs="Times New Roman"/>
                <w:noProof/>
                <w:sz w:val="20"/>
              </w:rPr>
            </w:pPr>
          </w:p>
          <w:p w14:paraId="09F8F389" w14:textId="77777777" w:rsidR="003A3D51" w:rsidRDefault="003A3D51">
            <w:pPr>
              <w:spacing w:after="200" w:line="276" w:lineRule="auto"/>
              <w:rPr>
                <w:rFonts w:ascii="Times New Roman" w:eastAsia="Calibri" w:hAnsi="Times New Roman" w:cs="Times New Roman"/>
                <w:noProof/>
                <w:sz w:val="20"/>
              </w:rPr>
            </w:pPr>
          </w:p>
          <w:p w14:paraId="2EA390EF" w14:textId="77777777" w:rsidR="003A3D51" w:rsidRDefault="003A3D51">
            <w:pPr>
              <w:spacing w:after="200" w:line="276" w:lineRule="auto"/>
              <w:rPr>
                <w:rFonts w:ascii="Times New Roman" w:eastAsia="Calibri" w:hAnsi="Times New Roman" w:cs="Times New Roman"/>
                <w:noProof/>
                <w:sz w:val="20"/>
              </w:rPr>
            </w:pPr>
          </w:p>
        </w:tc>
        <w:tc>
          <w:tcPr>
            <w:tcW w:w="275" w:type="pct"/>
            <w:tcBorders>
              <w:top w:val="single" w:sz="4" w:space="0" w:color="auto"/>
              <w:left w:val="nil"/>
              <w:bottom w:val="single" w:sz="4" w:space="0" w:color="auto"/>
              <w:right w:val="single" w:sz="4" w:space="0" w:color="auto"/>
            </w:tcBorders>
            <w:shd w:val="clear" w:color="auto" w:fill="C6EFCE"/>
            <w:noWrap/>
          </w:tcPr>
          <w:p w14:paraId="53FBE33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014865EA"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9" w:type="pct"/>
            <w:tcBorders>
              <w:top w:val="single" w:sz="4" w:space="0" w:color="auto"/>
              <w:left w:val="nil"/>
              <w:bottom w:val="single" w:sz="4" w:space="0" w:color="auto"/>
              <w:right w:val="single" w:sz="4" w:space="0" w:color="auto"/>
            </w:tcBorders>
            <w:shd w:val="clear" w:color="auto" w:fill="C6EFCE"/>
            <w:noWrap/>
          </w:tcPr>
          <w:p w14:paraId="517A6692"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90" w:type="pct"/>
            <w:tcBorders>
              <w:top w:val="single" w:sz="4" w:space="0" w:color="auto"/>
              <w:left w:val="nil"/>
              <w:bottom w:val="single" w:sz="4" w:space="0" w:color="auto"/>
              <w:right w:val="single" w:sz="4" w:space="0" w:color="auto"/>
            </w:tcBorders>
            <w:shd w:val="clear" w:color="auto" w:fill="C6EFCE"/>
            <w:noWrap/>
          </w:tcPr>
          <w:p w14:paraId="5FBDE174" w14:textId="77777777" w:rsidR="003A3D51" w:rsidRDefault="0002775A">
            <w:pPr>
              <w:pStyle w:val="P68B1DB1-Normal7"/>
              <w:spacing w:after="200" w:line="276" w:lineRule="auto"/>
              <w:rPr>
                <w:rFonts w:ascii="Times New Roman" w:hAnsi="Times New Roman" w:cs="Times New Roman"/>
                <w:noProof/>
              </w:rPr>
            </w:pPr>
            <w:r>
              <w:rPr>
                <w:noProof/>
              </w:rPr>
              <w:t>Vägledande riktmärken för domarnas arbete, som föreskriver ett ökat antal mål som ska avgöras i syfte att uppmuntra till behandling av fler mål, särskilt gamla mål. Användningen av verktyget för aktiv handläggning av domstolsärenden i utvalda domstolar, inklusive den kommunala tvistemålsdomstolen i Zagreb, ska leda till större effektivitet (upprättande av checklistor, i synnerhet märkning, självbedömningsverktyg baserade på den internationella ramen för domstolars spetskompetens).</w:t>
            </w:r>
          </w:p>
        </w:tc>
      </w:tr>
      <w:tr w:rsidR="003A3D51" w14:paraId="2E0D4D89"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2FF3DAE3" w14:textId="77777777" w:rsidR="003A3D51" w:rsidRDefault="0002775A">
            <w:pPr>
              <w:pStyle w:val="P68B1DB1-Normal7"/>
              <w:spacing w:after="200" w:line="276" w:lineRule="auto"/>
              <w:jc w:val="center"/>
              <w:rPr>
                <w:rFonts w:ascii="Times New Roman" w:hAnsi="Times New Roman" w:cs="Times New Roman"/>
                <w:noProof/>
              </w:rPr>
            </w:pPr>
            <w:r>
              <w:rPr>
                <w:noProof/>
              </w:rPr>
              <w:t>221</w:t>
            </w:r>
          </w:p>
        </w:tc>
        <w:tc>
          <w:tcPr>
            <w:tcW w:w="367" w:type="pct"/>
            <w:tcBorders>
              <w:top w:val="single" w:sz="4" w:space="0" w:color="auto"/>
              <w:left w:val="nil"/>
              <w:bottom w:val="single" w:sz="4" w:space="0" w:color="auto"/>
              <w:right w:val="single" w:sz="4" w:space="0" w:color="auto"/>
            </w:tcBorders>
            <w:shd w:val="clear" w:color="auto" w:fill="C6EFCE"/>
            <w:noWrap/>
          </w:tcPr>
          <w:p w14:paraId="3920FBC6"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single" w:sz="4" w:space="0" w:color="auto"/>
              <w:left w:val="nil"/>
              <w:bottom w:val="single" w:sz="4" w:space="0" w:color="auto"/>
              <w:right w:val="single" w:sz="4" w:space="0" w:color="auto"/>
            </w:tcBorders>
            <w:shd w:val="clear" w:color="auto" w:fill="C6EFCE"/>
            <w:noWrap/>
          </w:tcPr>
          <w:p w14:paraId="4167B57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42A89A13" w14:textId="77777777" w:rsidR="003A3D51" w:rsidRDefault="0002775A">
            <w:pPr>
              <w:pStyle w:val="P68B1DB1-Normal7"/>
              <w:spacing w:after="200" w:line="276" w:lineRule="auto"/>
              <w:rPr>
                <w:rFonts w:ascii="Times New Roman" w:hAnsi="Times New Roman" w:cs="Times New Roman"/>
                <w:noProof/>
              </w:rPr>
            </w:pPr>
            <w:r>
              <w:rPr>
                <w:noProof/>
              </w:rPr>
              <w:t>Kortare handläggningstid för rättstvister och handelsmål</w:t>
            </w:r>
          </w:p>
        </w:tc>
        <w:tc>
          <w:tcPr>
            <w:tcW w:w="733" w:type="pct"/>
            <w:tcBorders>
              <w:top w:val="single" w:sz="4" w:space="0" w:color="auto"/>
              <w:left w:val="nil"/>
              <w:bottom w:val="single" w:sz="4" w:space="0" w:color="auto"/>
              <w:right w:val="single" w:sz="4" w:space="0" w:color="auto"/>
            </w:tcBorders>
            <w:shd w:val="clear" w:color="auto" w:fill="C6EFCE"/>
            <w:noWrap/>
          </w:tcPr>
          <w:p w14:paraId="592BA590"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7A7B7D45"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7" w:type="pct"/>
            <w:tcBorders>
              <w:top w:val="single" w:sz="4" w:space="0" w:color="auto"/>
              <w:left w:val="nil"/>
              <w:bottom w:val="single" w:sz="4" w:space="0" w:color="auto"/>
              <w:right w:val="single" w:sz="4" w:space="0" w:color="auto"/>
            </w:tcBorders>
            <w:shd w:val="clear" w:color="auto" w:fill="C6EFCE"/>
            <w:noWrap/>
          </w:tcPr>
          <w:p w14:paraId="6E81B8D9" w14:textId="77777777" w:rsidR="003A3D51" w:rsidRDefault="0002775A">
            <w:pPr>
              <w:pStyle w:val="P68B1DB1-Normal7"/>
              <w:spacing w:after="200" w:line="276" w:lineRule="auto"/>
              <w:jc w:val="center"/>
              <w:rPr>
                <w:rFonts w:ascii="Times New Roman" w:hAnsi="Times New Roman" w:cs="Times New Roman"/>
                <w:noProof/>
              </w:rPr>
            </w:pPr>
            <w:r>
              <w:rPr>
                <w:noProof/>
              </w:rPr>
              <w:t>655</w:t>
            </w:r>
          </w:p>
        </w:tc>
        <w:tc>
          <w:tcPr>
            <w:tcW w:w="275" w:type="pct"/>
            <w:tcBorders>
              <w:top w:val="single" w:sz="4" w:space="0" w:color="auto"/>
              <w:left w:val="nil"/>
              <w:bottom w:val="single" w:sz="4" w:space="0" w:color="auto"/>
              <w:right w:val="single" w:sz="4" w:space="0" w:color="auto"/>
            </w:tcBorders>
            <w:shd w:val="clear" w:color="auto" w:fill="C6EFCE"/>
            <w:noWrap/>
          </w:tcPr>
          <w:p w14:paraId="019D558C" w14:textId="77777777" w:rsidR="003A3D51" w:rsidRDefault="0002775A">
            <w:pPr>
              <w:pStyle w:val="P68B1DB1-Normal7"/>
              <w:spacing w:after="200" w:line="276" w:lineRule="auto"/>
              <w:jc w:val="center"/>
              <w:rPr>
                <w:rFonts w:ascii="Times New Roman" w:hAnsi="Times New Roman" w:cs="Times New Roman"/>
                <w:noProof/>
              </w:rPr>
            </w:pPr>
            <w:r>
              <w:rPr>
                <w:noProof/>
              </w:rPr>
              <w:t>455</w:t>
            </w:r>
          </w:p>
        </w:tc>
        <w:tc>
          <w:tcPr>
            <w:tcW w:w="257" w:type="pct"/>
            <w:tcBorders>
              <w:top w:val="single" w:sz="4" w:space="0" w:color="auto"/>
              <w:left w:val="nil"/>
              <w:bottom w:val="single" w:sz="4" w:space="0" w:color="auto"/>
              <w:right w:val="single" w:sz="4" w:space="0" w:color="auto"/>
            </w:tcBorders>
            <w:shd w:val="clear" w:color="auto" w:fill="C6EFCE"/>
            <w:noWrap/>
          </w:tcPr>
          <w:p w14:paraId="0BE780F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single" w:sz="4" w:space="0" w:color="auto"/>
              <w:left w:val="nil"/>
              <w:bottom w:val="single" w:sz="4" w:space="0" w:color="auto"/>
              <w:right w:val="single" w:sz="4" w:space="0" w:color="auto"/>
            </w:tcBorders>
            <w:shd w:val="clear" w:color="auto" w:fill="C6EFCE"/>
            <w:noWrap/>
          </w:tcPr>
          <w:p w14:paraId="4B4AC0BF"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90" w:type="pct"/>
            <w:tcBorders>
              <w:top w:val="single" w:sz="4" w:space="0" w:color="auto"/>
              <w:left w:val="nil"/>
              <w:bottom w:val="single" w:sz="4" w:space="0" w:color="auto"/>
              <w:right w:val="single" w:sz="4" w:space="0" w:color="auto"/>
            </w:tcBorders>
            <w:shd w:val="clear" w:color="auto" w:fill="C6EFCE"/>
            <w:noWrap/>
          </w:tcPr>
          <w:p w14:paraId="0DD135E5" w14:textId="77777777" w:rsidR="003A3D51" w:rsidRDefault="0002775A">
            <w:pPr>
              <w:pStyle w:val="P68B1DB1-Normal7"/>
              <w:spacing w:after="200" w:line="276" w:lineRule="auto"/>
              <w:rPr>
                <w:rFonts w:ascii="Times New Roman" w:hAnsi="Times New Roman" w:cs="Times New Roman"/>
                <w:noProof/>
              </w:rPr>
            </w:pPr>
            <w:r>
              <w:rPr>
                <w:noProof/>
              </w:rPr>
              <w:t>Jämfört med 2020: Kortare handläggningstid för rättstvister och handelsmål, enligt definitionen i resultattavlan för rättskipningen i EU, med minst 200 dagar.</w:t>
            </w:r>
          </w:p>
        </w:tc>
      </w:tr>
      <w:tr w:rsidR="003A3D51" w14:paraId="33A5595A"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4F645537" w14:textId="77777777" w:rsidR="003A3D51" w:rsidRDefault="0002775A">
            <w:pPr>
              <w:pStyle w:val="P68B1DB1-Normal7"/>
              <w:spacing w:after="200" w:line="276" w:lineRule="auto"/>
              <w:jc w:val="center"/>
              <w:rPr>
                <w:rFonts w:ascii="Times New Roman" w:hAnsi="Times New Roman" w:cs="Times New Roman"/>
                <w:noProof/>
              </w:rPr>
            </w:pPr>
            <w:r>
              <w:rPr>
                <w:noProof/>
              </w:rPr>
              <w:t>222</w:t>
            </w:r>
          </w:p>
        </w:tc>
        <w:tc>
          <w:tcPr>
            <w:tcW w:w="367" w:type="pct"/>
            <w:tcBorders>
              <w:top w:val="single" w:sz="4" w:space="0" w:color="auto"/>
              <w:left w:val="nil"/>
              <w:bottom w:val="single" w:sz="4" w:space="0" w:color="auto"/>
              <w:right w:val="single" w:sz="4" w:space="0" w:color="auto"/>
            </w:tcBorders>
            <w:shd w:val="clear" w:color="auto" w:fill="C6EFCE"/>
            <w:noWrap/>
          </w:tcPr>
          <w:p w14:paraId="5725EDA7"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single" w:sz="4" w:space="0" w:color="auto"/>
              <w:left w:val="nil"/>
              <w:bottom w:val="single" w:sz="4" w:space="0" w:color="auto"/>
              <w:right w:val="single" w:sz="4" w:space="0" w:color="auto"/>
            </w:tcBorders>
            <w:shd w:val="clear" w:color="auto" w:fill="C6EFCE"/>
            <w:noWrap/>
          </w:tcPr>
          <w:p w14:paraId="651B153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5B0A520C" w14:textId="77777777" w:rsidR="003A3D51" w:rsidRDefault="0002775A">
            <w:pPr>
              <w:pStyle w:val="P68B1DB1-Normal7"/>
              <w:spacing w:after="200" w:line="276" w:lineRule="auto"/>
              <w:rPr>
                <w:rFonts w:ascii="Times New Roman" w:hAnsi="Times New Roman" w:cs="Times New Roman"/>
                <w:noProof/>
              </w:rPr>
            </w:pPr>
            <w:r>
              <w:rPr>
                <w:noProof/>
              </w:rPr>
              <w:t>Minskning av det totala antalet pågående mål</w:t>
            </w:r>
          </w:p>
        </w:tc>
        <w:tc>
          <w:tcPr>
            <w:tcW w:w="733" w:type="pct"/>
            <w:tcBorders>
              <w:top w:val="single" w:sz="4" w:space="0" w:color="auto"/>
              <w:left w:val="nil"/>
              <w:bottom w:val="single" w:sz="4" w:space="0" w:color="auto"/>
              <w:right w:val="single" w:sz="4" w:space="0" w:color="auto"/>
            </w:tcBorders>
            <w:shd w:val="clear" w:color="auto" w:fill="C6EFCE"/>
            <w:noWrap/>
          </w:tcPr>
          <w:p w14:paraId="35FA797E"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65139629"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7" w:type="pct"/>
            <w:tcBorders>
              <w:top w:val="single" w:sz="4" w:space="0" w:color="auto"/>
              <w:left w:val="nil"/>
              <w:bottom w:val="single" w:sz="4" w:space="0" w:color="auto"/>
              <w:right w:val="single" w:sz="4" w:space="0" w:color="auto"/>
            </w:tcBorders>
            <w:shd w:val="clear" w:color="auto" w:fill="C6EFCE"/>
            <w:noWrap/>
          </w:tcPr>
          <w:p w14:paraId="3B74965C" w14:textId="77777777" w:rsidR="003A3D51" w:rsidRDefault="0002775A">
            <w:pPr>
              <w:pStyle w:val="P68B1DB1-Normal7"/>
              <w:spacing w:after="200" w:line="276" w:lineRule="auto"/>
              <w:jc w:val="center"/>
              <w:rPr>
                <w:rFonts w:ascii="Times New Roman" w:hAnsi="Times New Roman" w:cs="Times New Roman"/>
                <w:noProof/>
              </w:rPr>
            </w:pPr>
            <w:r>
              <w:rPr>
                <w:noProof/>
              </w:rPr>
              <w:t>464 770</w:t>
            </w:r>
          </w:p>
        </w:tc>
        <w:tc>
          <w:tcPr>
            <w:tcW w:w="275" w:type="pct"/>
            <w:tcBorders>
              <w:top w:val="single" w:sz="4" w:space="0" w:color="auto"/>
              <w:left w:val="nil"/>
              <w:bottom w:val="single" w:sz="4" w:space="0" w:color="auto"/>
              <w:right w:val="single" w:sz="4" w:space="0" w:color="auto"/>
            </w:tcBorders>
            <w:shd w:val="clear" w:color="auto" w:fill="C6EFCE"/>
            <w:noWrap/>
          </w:tcPr>
          <w:p w14:paraId="02B91DBE" w14:textId="77777777" w:rsidR="003A3D51" w:rsidRDefault="0002775A">
            <w:pPr>
              <w:pStyle w:val="P68B1DB1-Normal7"/>
              <w:spacing w:after="200" w:line="276" w:lineRule="auto"/>
              <w:jc w:val="center"/>
              <w:rPr>
                <w:rFonts w:ascii="Times New Roman" w:hAnsi="Times New Roman" w:cs="Times New Roman"/>
                <w:noProof/>
              </w:rPr>
            </w:pPr>
            <w:r>
              <w:rPr>
                <w:noProof/>
              </w:rPr>
              <w:t>302 100</w:t>
            </w:r>
          </w:p>
        </w:tc>
        <w:tc>
          <w:tcPr>
            <w:tcW w:w="257" w:type="pct"/>
            <w:tcBorders>
              <w:top w:val="single" w:sz="4" w:space="0" w:color="auto"/>
              <w:left w:val="nil"/>
              <w:bottom w:val="single" w:sz="4" w:space="0" w:color="auto"/>
              <w:right w:val="single" w:sz="4" w:space="0" w:color="auto"/>
            </w:tcBorders>
            <w:shd w:val="clear" w:color="auto" w:fill="C6EFCE"/>
            <w:noWrap/>
          </w:tcPr>
          <w:p w14:paraId="12B6BF18"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single" w:sz="4" w:space="0" w:color="auto"/>
              <w:left w:val="nil"/>
              <w:bottom w:val="single" w:sz="4" w:space="0" w:color="auto"/>
              <w:right w:val="single" w:sz="4" w:space="0" w:color="auto"/>
            </w:tcBorders>
            <w:shd w:val="clear" w:color="auto" w:fill="C6EFCE"/>
            <w:noWrap/>
          </w:tcPr>
          <w:p w14:paraId="07CDB0A0"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90" w:type="pct"/>
            <w:tcBorders>
              <w:top w:val="single" w:sz="4" w:space="0" w:color="auto"/>
              <w:left w:val="nil"/>
              <w:bottom w:val="single" w:sz="4" w:space="0" w:color="auto"/>
              <w:right w:val="single" w:sz="4" w:space="0" w:color="auto"/>
            </w:tcBorders>
            <w:shd w:val="clear" w:color="auto" w:fill="C6EFCE"/>
            <w:noWrap/>
          </w:tcPr>
          <w:p w14:paraId="78FD9761" w14:textId="77777777" w:rsidR="003A3D51" w:rsidRDefault="0002775A">
            <w:pPr>
              <w:pStyle w:val="P68B1DB1-Normal7"/>
              <w:spacing w:after="200" w:line="276" w:lineRule="auto"/>
              <w:rPr>
                <w:rFonts w:ascii="Times New Roman" w:hAnsi="Times New Roman" w:cs="Times New Roman"/>
                <w:noProof/>
              </w:rPr>
            </w:pPr>
            <w:r>
              <w:rPr>
                <w:noProof/>
              </w:rPr>
              <w:t>Jämfört med 2020: En minskning med minst 35 % av det totala antalet pågående mål.</w:t>
            </w:r>
          </w:p>
        </w:tc>
      </w:tr>
      <w:tr w:rsidR="003A3D51" w14:paraId="57F2D14A"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6961A7F0" w14:textId="77777777" w:rsidR="003A3D51" w:rsidRDefault="0002775A">
            <w:pPr>
              <w:pStyle w:val="P68B1DB1-Normal7"/>
              <w:spacing w:after="200" w:line="276" w:lineRule="auto"/>
              <w:jc w:val="center"/>
              <w:rPr>
                <w:rFonts w:ascii="Times New Roman" w:hAnsi="Times New Roman" w:cs="Times New Roman"/>
                <w:noProof/>
              </w:rPr>
            </w:pPr>
            <w:r>
              <w:rPr>
                <w:noProof/>
              </w:rPr>
              <w:t>223</w:t>
            </w:r>
          </w:p>
        </w:tc>
        <w:tc>
          <w:tcPr>
            <w:tcW w:w="367" w:type="pct"/>
            <w:tcBorders>
              <w:top w:val="single" w:sz="4" w:space="0" w:color="auto"/>
              <w:left w:val="nil"/>
              <w:bottom w:val="single" w:sz="4" w:space="0" w:color="auto"/>
              <w:right w:val="single" w:sz="4" w:space="0" w:color="auto"/>
            </w:tcBorders>
            <w:shd w:val="clear" w:color="auto" w:fill="C6EFCE"/>
            <w:noWrap/>
          </w:tcPr>
          <w:p w14:paraId="62747EA6" w14:textId="77777777" w:rsidR="003A3D51" w:rsidRDefault="0002775A">
            <w:pPr>
              <w:pStyle w:val="P68B1DB1-Normal7"/>
              <w:spacing w:after="200" w:line="276" w:lineRule="auto"/>
              <w:jc w:val="center"/>
              <w:rPr>
                <w:rFonts w:ascii="Times New Roman" w:hAnsi="Times New Roman" w:cs="Times New Roman"/>
                <w:noProof/>
              </w:rPr>
            </w:pPr>
            <w:r>
              <w:rPr>
                <w:noProof/>
              </w:rPr>
              <w:t>C2.5 R1</w:t>
            </w:r>
          </w:p>
        </w:tc>
        <w:tc>
          <w:tcPr>
            <w:tcW w:w="321" w:type="pct"/>
            <w:tcBorders>
              <w:top w:val="single" w:sz="4" w:space="0" w:color="auto"/>
              <w:left w:val="nil"/>
              <w:bottom w:val="single" w:sz="4" w:space="0" w:color="auto"/>
              <w:right w:val="single" w:sz="4" w:space="0" w:color="auto"/>
            </w:tcBorders>
            <w:shd w:val="clear" w:color="auto" w:fill="C6EFCE"/>
            <w:noWrap/>
          </w:tcPr>
          <w:p w14:paraId="2A2B85B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62B4938B" w14:textId="77777777" w:rsidR="003A3D51" w:rsidRDefault="0002775A">
            <w:pPr>
              <w:pStyle w:val="P68B1DB1-Normal7"/>
              <w:spacing w:after="200" w:line="276" w:lineRule="auto"/>
              <w:rPr>
                <w:rFonts w:ascii="Times New Roman" w:hAnsi="Times New Roman" w:cs="Times New Roman"/>
                <w:noProof/>
              </w:rPr>
            </w:pPr>
            <w:r>
              <w:rPr>
                <w:noProof/>
              </w:rPr>
              <w:t>Minskning av andelen ärenden över 3 år i den totala eftersläpningen</w:t>
            </w:r>
          </w:p>
        </w:tc>
        <w:tc>
          <w:tcPr>
            <w:tcW w:w="733" w:type="pct"/>
            <w:tcBorders>
              <w:top w:val="single" w:sz="4" w:space="0" w:color="auto"/>
              <w:left w:val="nil"/>
              <w:bottom w:val="single" w:sz="4" w:space="0" w:color="auto"/>
              <w:right w:val="single" w:sz="4" w:space="0" w:color="auto"/>
            </w:tcBorders>
            <w:shd w:val="clear" w:color="auto" w:fill="C6EFCE"/>
            <w:noWrap/>
          </w:tcPr>
          <w:p w14:paraId="448D16D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73B1D353"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67" w:type="pct"/>
            <w:tcBorders>
              <w:top w:val="single" w:sz="4" w:space="0" w:color="auto"/>
              <w:left w:val="nil"/>
              <w:bottom w:val="single" w:sz="4" w:space="0" w:color="auto"/>
              <w:right w:val="single" w:sz="4" w:space="0" w:color="auto"/>
            </w:tcBorders>
            <w:shd w:val="clear" w:color="auto" w:fill="C6EFCE"/>
            <w:noWrap/>
          </w:tcPr>
          <w:p w14:paraId="08051137" w14:textId="77777777" w:rsidR="003A3D51" w:rsidRDefault="0002775A">
            <w:pPr>
              <w:pStyle w:val="P68B1DB1-Normal7"/>
              <w:spacing w:after="200" w:line="276" w:lineRule="auto"/>
              <w:jc w:val="center"/>
              <w:rPr>
                <w:rFonts w:ascii="Times New Roman" w:hAnsi="Times New Roman" w:cs="Times New Roman"/>
                <w:noProof/>
              </w:rPr>
            </w:pPr>
            <w:r>
              <w:rPr>
                <w:noProof/>
              </w:rPr>
              <w:t>16</w:t>
            </w:r>
          </w:p>
        </w:tc>
        <w:tc>
          <w:tcPr>
            <w:tcW w:w="275" w:type="pct"/>
            <w:tcBorders>
              <w:top w:val="single" w:sz="4" w:space="0" w:color="auto"/>
              <w:left w:val="nil"/>
              <w:bottom w:val="single" w:sz="4" w:space="0" w:color="auto"/>
              <w:right w:val="single" w:sz="4" w:space="0" w:color="auto"/>
            </w:tcBorders>
            <w:shd w:val="clear" w:color="auto" w:fill="C6EFCE"/>
            <w:noWrap/>
          </w:tcPr>
          <w:p w14:paraId="45721A69" w14:textId="77777777" w:rsidR="003A3D51" w:rsidRDefault="0002775A">
            <w:pPr>
              <w:pStyle w:val="P68B1DB1-Normal7"/>
              <w:spacing w:after="200" w:line="276" w:lineRule="auto"/>
              <w:jc w:val="center"/>
              <w:rPr>
                <w:rFonts w:ascii="Times New Roman" w:hAnsi="Times New Roman" w:cs="Times New Roman"/>
                <w:noProof/>
              </w:rPr>
            </w:pPr>
            <w:r>
              <w:rPr>
                <w:noProof/>
              </w:rPr>
              <w:t>8</w:t>
            </w:r>
          </w:p>
        </w:tc>
        <w:tc>
          <w:tcPr>
            <w:tcW w:w="257" w:type="pct"/>
            <w:tcBorders>
              <w:top w:val="single" w:sz="4" w:space="0" w:color="auto"/>
              <w:left w:val="nil"/>
              <w:bottom w:val="single" w:sz="4" w:space="0" w:color="auto"/>
              <w:right w:val="single" w:sz="4" w:space="0" w:color="auto"/>
            </w:tcBorders>
            <w:shd w:val="clear" w:color="auto" w:fill="C6EFCE"/>
            <w:noWrap/>
          </w:tcPr>
          <w:p w14:paraId="456C0729"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single" w:sz="4" w:space="0" w:color="auto"/>
              <w:left w:val="nil"/>
              <w:bottom w:val="single" w:sz="4" w:space="0" w:color="auto"/>
              <w:right w:val="single" w:sz="4" w:space="0" w:color="auto"/>
            </w:tcBorders>
            <w:shd w:val="clear" w:color="auto" w:fill="C6EFCE"/>
            <w:noWrap/>
          </w:tcPr>
          <w:p w14:paraId="5C5B81A4"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90" w:type="pct"/>
            <w:tcBorders>
              <w:top w:val="single" w:sz="4" w:space="0" w:color="auto"/>
              <w:left w:val="nil"/>
              <w:bottom w:val="single" w:sz="4" w:space="0" w:color="auto"/>
              <w:right w:val="single" w:sz="4" w:space="0" w:color="auto"/>
            </w:tcBorders>
            <w:shd w:val="clear" w:color="auto" w:fill="C6EFCE"/>
            <w:noWrap/>
          </w:tcPr>
          <w:p w14:paraId="3D8950F0" w14:textId="77777777" w:rsidR="003A3D51" w:rsidRDefault="0002775A">
            <w:pPr>
              <w:pStyle w:val="P68B1DB1-Normal7"/>
              <w:spacing w:after="200" w:line="276" w:lineRule="auto"/>
              <w:rPr>
                <w:rFonts w:ascii="Times New Roman" w:hAnsi="Times New Roman" w:cs="Times New Roman"/>
                <w:noProof/>
              </w:rPr>
            </w:pPr>
            <w:r>
              <w:rPr>
                <w:noProof/>
              </w:rPr>
              <w:t xml:space="preserve">Jämfört med 2020: Minska andelen ärenden under 3 år av den totala eftersläpningen till högst 8 %.  </w:t>
            </w:r>
          </w:p>
        </w:tc>
      </w:tr>
      <w:tr w:rsidR="003A3D51" w14:paraId="303707C0"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1953F660" w14:textId="77777777" w:rsidR="003A3D51" w:rsidRDefault="0002775A">
            <w:pPr>
              <w:pStyle w:val="P68B1DB1-Normal7"/>
              <w:spacing w:after="200" w:line="276" w:lineRule="auto"/>
              <w:jc w:val="center"/>
              <w:rPr>
                <w:rFonts w:ascii="Times New Roman" w:hAnsi="Times New Roman" w:cs="Times New Roman"/>
                <w:noProof/>
              </w:rPr>
            </w:pPr>
            <w:r>
              <w:rPr>
                <w:noProof/>
              </w:rPr>
              <w:t>224</w:t>
            </w:r>
          </w:p>
        </w:tc>
        <w:tc>
          <w:tcPr>
            <w:tcW w:w="367" w:type="pct"/>
            <w:tcBorders>
              <w:top w:val="single" w:sz="4" w:space="0" w:color="auto"/>
              <w:left w:val="nil"/>
              <w:bottom w:val="single" w:sz="4" w:space="0" w:color="auto"/>
              <w:right w:val="single" w:sz="4" w:space="0" w:color="auto"/>
            </w:tcBorders>
            <w:shd w:val="clear" w:color="auto" w:fill="C6EFCE"/>
            <w:noWrap/>
          </w:tcPr>
          <w:p w14:paraId="451F8955" w14:textId="77777777" w:rsidR="003A3D51" w:rsidRDefault="0002775A">
            <w:pPr>
              <w:pStyle w:val="P68B1DB1-Normal7"/>
              <w:spacing w:after="200" w:line="276" w:lineRule="auto"/>
              <w:jc w:val="center"/>
              <w:rPr>
                <w:rFonts w:ascii="Times New Roman" w:hAnsi="Times New Roman" w:cs="Times New Roman"/>
                <w:noProof/>
              </w:rPr>
            </w:pPr>
            <w:r>
              <w:rPr>
                <w:noProof/>
              </w:rPr>
              <w:t>C2.5 R1-I1</w:t>
            </w:r>
          </w:p>
        </w:tc>
        <w:tc>
          <w:tcPr>
            <w:tcW w:w="321" w:type="pct"/>
            <w:tcBorders>
              <w:top w:val="single" w:sz="4" w:space="0" w:color="auto"/>
              <w:left w:val="nil"/>
              <w:bottom w:val="single" w:sz="4" w:space="0" w:color="auto"/>
              <w:right w:val="single" w:sz="4" w:space="0" w:color="auto"/>
            </w:tcBorders>
            <w:shd w:val="clear" w:color="auto" w:fill="C6EFCE"/>
            <w:noWrap/>
          </w:tcPr>
          <w:p w14:paraId="65E44E2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single" w:sz="4" w:space="0" w:color="auto"/>
              <w:left w:val="nil"/>
              <w:bottom w:val="single" w:sz="4" w:space="0" w:color="auto"/>
              <w:right w:val="single" w:sz="4" w:space="0" w:color="auto"/>
            </w:tcBorders>
            <w:shd w:val="clear" w:color="auto" w:fill="C6EFCE"/>
            <w:noWrap/>
          </w:tcPr>
          <w:p w14:paraId="02972AED" w14:textId="77777777" w:rsidR="003A3D51" w:rsidRDefault="0002775A">
            <w:pPr>
              <w:pStyle w:val="P68B1DB1-Normal7"/>
              <w:spacing w:after="200" w:line="276" w:lineRule="auto"/>
              <w:rPr>
                <w:rFonts w:ascii="Times New Roman" w:hAnsi="Times New Roman" w:cs="Times New Roman"/>
                <w:noProof/>
              </w:rPr>
            </w:pPr>
            <w:r>
              <w:rPr>
                <w:noProof/>
              </w:rPr>
              <w:t>Uppgraderat eSpis-system med nya funktioner och ny arkitektur som är integrerad i det delade servicecentret (CDU)</w:t>
            </w:r>
          </w:p>
        </w:tc>
        <w:tc>
          <w:tcPr>
            <w:tcW w:w="733" w:type="pct"/>
            <w:tcBorders>
              <w:top w:val="single" w:sz="4" w:space="0" w:color="auto"/>
              <w:left w:val="nil"/>
              <w:bottom w:val="single" w:sz="4" w:space="0" w:color="auto"/>
              <w:right w:val="single" w:sz="4" w:space="0" w:color="auto"/>
            </w:tcBorders>
            <w:shd w:val="clear" w:color="auto" w:fill="C6EFCE"/>
            <w:noWrap/>
          </w:tcPr>
          <w:p w14:paraId="7C568A21" w14:textId="77777777" w:rsidR="003A3D51" w:rsidRDefault="0002775A">
            <w:pPr>
              <w:pStyle w:val="P68B1DB1-Normal7"/>
              <w:spacing w:after="200" w:line="276" w:lineRule="auto"/>
              <w:rPr>
                <w:rFonts w:ascii="Times New Roman" w:hAnsi="Times New Roman" w:cs="Times New Roman"/>
                <w:noProof/>
              </w:rPr>
            </w:pPr>
            <w:r>
              <w:rPr>
                <w:noProof/>
              </w:rPr>
              <w:t>Nya digitala lösningar införs för att främja digitaliseringen av rättssystemet, inbegripet ett uppgraderat eSpis-system och med en ny arkitektur som är integrerad i CDU.</w:t>
            </w:r>
          </w:p>
        </w:tc>
        <w:tc>
          <w:tcPr>
            <w:tcW w:w="378" w:type="pct"/>
            <w:tcBorders>
              <w:top w:val="single" w:sz="4" w:space="0" w:color="auto"/>
              <w:left w:val="nil"/>
              <w:bottom w:val="single" w:sz="4" w:space="0" w:color="auto"/>
              <w:right w:val="single" w:sz="4" w:space="0" w:color="auto"/>
            </w:tcBorders>
            <w:shd w:val="clear" w:color="auto" w:fill="C6EFCE"/>
            <w:noWrap/>
          </w:tcPr>
          <w:p w14:paraId="1EFE117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single" w:sz="4" w:space="0" w:color="auto"/>
              <w:left w:val="nil"/>
              <w:bottom w:val="single" w:sz="4" w:space="0" w:color="auto"/>
              <w:right w:val="single" w:sz="4" w:space="0" w:color="auto"/>
            </w:tcBorders>
            <w:shd w:val="clear" w:color="auto" w:fill="C6EFCE"/>
            <w:noWrap/>
          </w:tcPr>
          <w:p w14:paraId="13F2092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single" w:sz="4" w:space="0" w:color="auto"/>
              <w:left w:val="nil"/>
              <w:bottom w:val="single" w:sz="4" w:space="0" w:color="auto"/>
              <w:right w:val="single" w:sz="4" w:space="0" w:color="auto"/>
            </w:tcBorders>
            <w:shd w:val="clear" w:color="auto" w:fill="C6EFCE"/>
            <w:noWrap/>
          </w:tcPr>
          <w:p w14:paraId="4755289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29029DB1"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9" w:type="pct"/>
            <w:tcBorders>
              <w:top w:val="single" w:sz="4" w:space="0" w:color="auto"/>
              <w:left w:val="nil"/>
              <w:bottom w:val="single" w:sz="4" w:space="0" w:color="auto"/>
              <w:right w:val="single" w:sz="4" w:space="0" w:color="auto"/>
            </w:tcBorders>
            <w:shd w:val="clear" w:color="auto" w:fill="C6EFCE"/>
            <w:noWrap/>
          </w:tcPr>
          <w:p w14:paraId="646866AA"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90" w:type="pct"/>
            <w:tcBorders>
              <w:top w:val="single" w:sz="4" w:space="0" w:color="auto"/>
              <w:left w:val="nil"/>
              <w:bottom w:val="single" w:sz="4" w:space="0" w:color="auto"/>
              <w:right w:val="single" w:sz="4" w:space="0" w:color="auto"/>
            </w:tcBorders>
            <w:shd w:val="clear" w:color="auto" w:fill="C6EFCE"/>
            <w:noWrap/>
          </w:tcPr>
          <w:p w14:paraId="14378005" w14:textId="77777777" w:rsidR="003A3D51" w:rsidRDefault="0002775A">
            <w:pPr>
              <w:pStyle w:val="P68B1DB1-Normal7"/>
              <w:spacing w:after="200" w:line="276" w:lineRule="auto"/>
              <w:rPr>
                <w:rFonts w:ascii="Times New Roman" w:hAnsi="Times New Roman" w:cs="Times New Roman"/>
                <w:noProof/>
              </w:rPr>
            </w:pPr>
            <w:r>
              <w:rPr>
                <w:noProof/>
              </w:rPr>
              <w:t>Nya funktioner ska införas för att förbättra digitaliseringen av rättssystemet:</w:t>
            </w:r>
            <w:r>
              <w:rPr>
                <w:noProof/>
              </w:rPr>
              <w:br/>
              <w:t xml:space="preserve">Fullständig elektronisk leverans av dokument till e-medborgare med en elektronisk brevlåda och information om elektronisk leverans vid överföring av handlingar genom fysisk leverans. </w:t>
            </w:r>
            <w:r>
              <w:rPr>
                <w:noProof/>
              </w:rPr>
              <w:br/>
              <w:t xml:space="preserve">— Förbättrad användarerfarenhet genom att genomföra en handlingsplan med rekommendationer om tekniska aspekter och it-förvaltning (rekommendationer om administrativa processer och verksamhetsprocesser samt tekniska rekommendationer).     </w:t>
            </w:r>
            <w:r>
              <w:rPr>
                <w:noProof/>
              </w:rPr>
              <w:br/>
              <w:t>— En ny integrerad arkitektur i det gemensamma servicecentret för att minska flaskhalsar i systemet, öka stabiliteten och möjliggöra driftskompatibilitet med andra system.</w:t>
            </w:r>
          </w:p>
        </w:tc>
      </w:tr>
      <w:tr w:rsidR="003A3D51" w14:paraId="18D7C809"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4A31129D" w14:textId="77777777" w:rsidR="003A3D51" w:rsidRDefault="0002775A">
            <w:pPr>
              <w:pStyle w:val="P68B1DB1-Normal7"/>
              <w:spacing w:after="200" w:line="276" w:lineRule="auto"/>
              <w:jc w:val="center"/>
              <w:rPr>
                <w:rFonts w:ascii="Times New Roman" w:hAnsi="Times New Roman" w:cs="Times New Roman"/>
                <w:noProof/>
              </w:rPr>
            </w:pPr>
            <w:r>
              <w:rPr>
                <w:noProof/>
              </w:rPr>
              <w:t>225</w:t>
            </w:r>
          </w:p>
        </w:tc>
        <w:tc>
          <w:tcPr>
            <w:tcW w:w="367" w:type="pct"/>
            <w:tcBorders>
              <w:top w:val="single" w:sz="4" w:space="0" w:color="auto"/>
              <w:left w:val="nil"/>
              <w:bottom w:val="single" w:sz="4" w:space="0" w:color="auto"/>
              <w:right w:val="single" w:sz="4" w:space="0" w:color="auto"/>
            </w:tcBorders>
            <w:shd w:val="clear" w:color="auto" w:fill="C6EFCE"/>
            <w:noWrap/>
          </w:tcPr>
          <w:p w14:paraId="57A3DDE9" w14:textId="77777777" w:rsidR="003A3D51" w:rsidRDefault="0002775A">
            <w:pPr>
              <w:pStyle w:val="P68B1DB1-Normal7"/>
              <w:spacing w:after="200" w:line="276" w:lineRule="auto"/>
              <w:jc w:val="center"/>
              <w:rPr>
                <w:rFonts w:ascii="Times New Roman" w:hAnsi="Times New Roman" w:cs="Times New Roman"/>
                <w:noProof/>
              </w:rPr>
            </w:pPr>
            <w:r>
              <w:rPr>
                <w:noProof/>
              </w:rPr>
              <w:t>C2.5 R1-I2</w:t>
            </w:r>
          </w:p>
        </w:tc>
        <w:tc>
          <w:tcPr>
            <w:tcW w:w="321" w:type="pct"/>
            <w:tcBorders>
              <w:top w:val="single" w:sz="4" w:space="0" w:color="auto"/>
              <w:left w:val="nil"/>
              <w:bottom w:val="single" w:sz="4" w:space="0" w:color="auto"/>
              <w:right w:val="single" w:sz="4" w:space="0" w:color="auto"/>
            </w:tcBorders>
            <w:shd w:val="clear" w:color="auto" w:fill="C6EFCE"/>
            <w:noWrap/>
          </w:tcPr>
          <w:p w14:paraId="44851B6C"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4179C7AA" w14:textId="77777777" w:rsidR="003A3D51" w:rsidRDefault="0002775A">
            <w:pPr>
              <w:pStyle w:val="P68B1DB1-Normal7"/>
              <w:spacing w:after="200" w:line="276" w:lineRule="auto"/>
              <w:rPr>
                <w:rFonts w:ascii="Times New Roman" w:hAnsi="Times New Roman" w:cs="Times New Roman"/>
                <w:noProof/>
              </w:rPr>
            </w:pPr>
            <w:r>
              <w:rPr>
                <w:noProof/>
              </w:rPr>
              <w:t xml:space="preserve">60 % av uppgifterna om fastighetsregistrering och fastighetsregistrering har slutförts, med det slutliga målet att slutföra upp till 100 %. </w:t>
            </w:r>
          </w:p>
        </w:tc>
        <w:tc>
          <w:tcPr>
            <w:tcW w:w="733" w:type="pct"/>
            <w:tcBorders>
              <w:top w:val="single" w:sz="4" w:space="0" w:color="auto"/>
              <w:left w:val="nil"/>
              <w:bottom w:val="single" w:sz="4" w:space="0" w:color="auto"/>
              <w:right w:val="single" w:sz="4" w:space="0" w:color="auto"/>
            </w:tcBorders>
            <w:shd w:val="clear" w:color="auto" w:fill="C6EFCE"/>
            <w:noWrap/>
          </w:tcPr>
          <w:p w14:paraId="77ED9EE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71F5A4BC"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67" w:type="pct"/>
            <w:tcBorders>
              <w:top w:val="single" w:sz="4" w:space="0" w:color="auto"/>
              <w:left w:val="nil"/>
              <w:bottom w:val="single" w:sz="4" w:space="0" w:color="auto"/>
              <w:right w:val="single" w:sz="4" w:space="0" w:color="auto"/>
            </w:tcBorders>
            <w:shd w:val="clear" w:color="auto" w:fill="C6EFCE"/>
            <w:noWrap/>
          </w:tcPr>
          <w:p w14:paraId="77BDAFB6" w14:textId="77777777" w:rsidR="003A3D51" w:rsidRDefault="0002775A">
            <w:pPr>
              <w:pStyle w:val="P68B1DB1-Normal7"/>
              <w:spacing w:after="200" w:line="276" w:lineRule="auto"/>
              <w:jc w:val="center"/>
              <w:rPr>
                <w:rFonts w:ascii="Times New Roman" w:hAnsi="Times New Roman" w:cs="Times New Roman"/>
                <w:noProof/>
              </w:rPr>
            </w:pPr>
            <w:r>
              <w:rPr>
                <w:noProof/>
              </w:rPr>
              <w:t>3,86</w:t>
            </w:r>
          </w:p>
        </w:tc>
        <w:tc>
          <w:tcPr>
            <w:tcW w:w="275" w:type="pct"/>
            <w:tcBorders>
              <w:top w:val="single" w:sz="4" w:space="0" w:color="auto"/>
              <w:left w:val="nil"/>
              <w:bottom w:val="single" w:sz="4" w:space="0" w:color="auto"/>
              <w:right w:val="single" w:sz="4" w:space="0" w:color="auto"/>
            </w:tcBorders>
            <w:shd w:val="clear" w:color="auto" w:fill="C6EFCE"/>
            <w:noWrap/>
          </w:tcPr>
          <w:p w14:paraId="430ADD37" w14:textId="77777777" w:rsidR="003A3D51" w:rsidRDefault="0002775A">
            <w:pPr>
              <w:pStyle w:val="P68B1DB1-Normal7"/>
              <w:spacing w:after="200" w:line="276" w:lineRule="auto"/>
              <w:jc w:val="center"/>
              <w:rPr>
                <w:rFonts w:ascii="Times New Roman" w:hAnsi="Times New Roman" w:cs="Times New Roman"/>
                <w:noProof/>
              </w:rPr>
            </w:pPr>
            <w:r>
              <w:rPr>
                <w:noProof/>
              </w:rPr>
              <w:t>60</w:t>
            </w:r>
          </w:p>
        </w:tc>
        <w:tc>
          <w:tcPr>
            <w:tcW w:w="257" w:type="pct"/>
            <w:tcBorders>
              <w:top w:val="single" w:sz="4" w:space="0" w:color="auto"/>
              <w:left w:val="nil"/>
              <w:bottom w:val="single" w:sz="4" w:space="0" w:color="auto"/>
              <w:right w:val="single" w:sz="4" w:space="0" w:color="auto"/>
            </w:tcBorders>
            <w:shd w:val="clear" w:color="auto" w:fill="C6EFCE"/>
            <w:noWrap/>
          </w:tcPr>
          <w:p w14:paraId="12D569D0"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single" w:sz="4" w:space="0" w:color="auto"/>
              <w:left w:val="nil"/>
              <w:bottom w:val="single" w:sz="4" w:space="0" w:color="auto"/>
              <w:right w:val="single" w:sz="4" w:space="0" w:color="auto"/>
            </w:tcBorders>
            <w:shd w:val="clear" w:color="auto" w:fill="C6EFCE"/>
            <w:noWrap/>
          </w:tcPr>
          <w:p w14:paraId="20491A7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90" w:type="pct"/>
            <w:tcBorders>
              <w:top w:val="single" w:sz="4" w:space="0" w:color="auto"/>
              <w:left w:val="nil"/>
              <w:bottom w:val="single" w:sz="4" w:space="0" w:color="auto"/>
              <w:right w:val="single" w:sz="4" w:space="0" w:color="auto"/>
            </w:tcBorders>
            <w:shd w:val="clear" w:color="auto" w:fill="C6EFCE"/>
            <w:noWrap/>
          </w:tcPr>
          <w:p w14:paraId="2F883EA3" w14:textId="77777777" w:rsidR="003A3D51" w:rsidRDefault="0002775A">
            <w:pPr>
              <w:pStyle w:val="P68B1DB1-Normal7"/>
              <w:spacing w:after="200" w:line="276" w:lineRule="auto"/>
              <w:rPr>
                <w:rFonts w:ascii="Times New Roman" w:hAnsi="Times New Roman" w:cs="Times New Roman"/>
                <w:noProof/>
              </w:rPr>
            </w:pPr>
            <w:r>
              <w:rPr>
                <w:noProof/>
              </w:rPr>
              <w:t>60 % av uppgifterna om fastighetsregistrering och fastighetsregistrering slutförda senast 2026, med slutmålet att uppnå upp till 100 %.</w:t>
            </w:r>
          </w:p>
        </w:tc>
      </w:tr>
      <w:tr w:rsidR="003A3D51" w14:paraId="39DA5085"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2921CC6D" w14:textId="77777777" w:rsidR="003A3D51" w:rsidRDefault="0002775A">
            <w:pPr>
              <w:pStyle w:val="P68B1DB1-Normal7"/>
              <w:spacing w:after="200" w:line="276" w:lineRule="auto"/>
              <w:jc w:val="center"/>
              <w:rPr>
                <w:rFonts w:ascii="Times New Roman" w:hAnsi="Times New Roman" w:cs="Times New Roman"/>
                <w:noProof/>
              </w:rPr>
            </w:pPr>
            <w:r>
              <w:rPr>
                <w:noProof/>
              </w:rPr>
              <w:t>226</w:t>
            </w:r>
          </w:p>
        </w:tc>
        <w:tc>
          <w:tcPr>
            <w:tcW w:w="367" w:type="pct"/>
            <w:tcBorders>
              <w:top w:val="single" w:sz="4" w:space="0" w:color="auto"/>
              <w:left w:val="nil"/>
              <w:bottom w:val="single" w:sz="4" w:space="0" w:color="auto"/>
              <w:right w:val="single" w:sz="4" w:space="0" w:color="auto"/>
            </w:tcBorders>
            <w:shd w:val="clear" w:color="auto" w:fill="C6EFCE"/>
            <w:noWrap/>
          </w:tcPr>
          <w:p w14:paraId="10AC2C32" w14:textId="77777777" w:rsidR="003A3D51" w:rsidRDefault="0002775A">
            <w:pPr>
              <w:pStyle w:val="P68B1DB1-Normal7"/>
              <w:spacing w:after="200" w:line="276" w:lineRule="auto"/>
              <w:jc w:val="center"/>
              <w:rPr>
                <w:rFonts w:ascii="Times New Roman" w:hAnsi="Times New Roman" w:cs="Times New Roman"/>
                <w:noProof/>
              </w:rPr>
            </w:pPr>
            <w:r>
              <w:rPr>
                <w:noProof/>
              </w:rPr>
              <w:t>C2.5 R1-I3</w:t>
            </w:r>
          </w:p>
        </w:tc>
        <w:tc>
          <w:tcPr>
            <w:tcW w:w="321" w:type="pct"/>
            <w:tcBorders>
              <w:top w:val="single" w:sz="4" w:space="0" w:color="auto"/>
              <w:left w:val="nil"/>
              <w:bottom w:val="single" w:sz="4" w:space="0" w:color="auto"/>
              <w:right w:val="single" w:sz="4" w:space="0" w:color="auto"/>
            </w:tcBorders>
            <w:shd w:val="clear" w:color="auto" w:fill="C6EFCE"/>
            <w:noWrap/>
          </w:tcPr>
          <w:p w14:paraId="38282F4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single" w:sz="4" w:space="0" w:color="auto"/>
              <w:left w:val="nil"/>
              <w:bottom w:val="single" w:sz="4" w:space="0" w:color="auto"/>
              <w:right w:val="single" w:sz="4" w:space="0" w:color="auto"/>
            </w:tcBorders>
            <w:shd w:val="clear" w:color="auto" w:fill="C6EFCE"/>
            <w:noWrap/>
          </w:tcPr>
          <w:p w14:paraId="78AAFB67" w14:textId="207CD26B" w:rsidR="003A3D51" w:rsidRDefault="0002775A">
            <w:pPr>
              <w:pStyle w:val="P68B1DB1-Normal7"/>
              <w:spacing w:after="200" w:line="276" w:lineRule="auto"/>
              <w:rPr>
                <w:rFonts w:ascii="Times New Roman" w:hAnsi="Times New Roman" w:cs="Times New Roman"/>
                <w:noProof/>
              </w:rPr>
            </w:pPr>
            <w:r>
              <w:rPr>
                <w:noProof/>
              </w:rPr>
              <w:t xml:space="preserve"> Alla nya domstolsbeslut i första och andra instans som avslutar förfaranden anonymiseras och offentliggörs på portalen.</w:t>
            </w:r>
          </w:p>
        </w:tc>
        <w:tc>
          <w:tcPr>
            <w:tcW w:w="733" w:type="pct"/>
            <w:tcBorders>
              <w:top w:val="single" w:sz="4" w:space="0" w:color="auto"/>
              <w:left w:val="nil"/>
              <w:bottom w:val="single" w:sz="4" w:space="0" w:color="auto"/>
              <w:right w:val="single" w:sz="4" w:space="0" w:color="auto"/>
            </w:tcBorders>
            <w:shd w:val="clear" w:color="auto" w:fill="C6EFCE"/>
            <w:noWrap/>
          </w:tcPr>
          <w:p w14:paraId="527B903C" w14:textId="7757DEE5" w:rsidR="003A3D51" w:rsidRDefault="0002775A">
            <w:pPr>
              <w:pStyle w:val="P68B1DB1-Normal7"/>
              <w:spacing w:after="200" w:line="276" w:lineRule="auto"/>
              <w:rPr>
                <w:rFonts w:ascii="Times New Roman" w:hAnsi="Times New Roman" w:cs="Times New Roman"/>
                <w:noProof/>
              </w:rPr>
            </w:pPr>
            <w:r>
              <w:rPr>
                <w:noProof/>
              </w:rPr>
              <w:t xml:space="preserve"> Ett system för offentlig publicering och sökning av domstolsbeslut är i drift.</w:t>
            </w:r>
          </w:p>
        </w:tc>
        <w:tc>
          <w:tcPr>
            <w:tcW w:w="378" w:type="pct"/>
            <w:tcBorders>
              <w:top w:val="single" w:sz="4" w:space="0" w:color="auto"/>
              <w:left w:val="nil"/>
              <w:bottom w:val="single" w:sz="4" w:space="0" w:color="auto"/>
              <w:right w:val="single" w:sz="4" w:space="0" w:color="auto"/>
            </w:tcBorders>
            <w:shd w:val="clear" w:color="auto" w:fill="C6EFCE"/>
            <w:noWrap/>
          </w:tcPr>
          <w:p w14:paraId="6959245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single" w:sz="4" w:space="0" w:color="auto"/>
              <w:left w:val="nil"/>
              <w:bottom w:val="single" w:sz="4" w:space="0" w:color="auto"/>
              <w:right w:val="single" w:sz="4" w:space="0" w:color="auto"/>
            </w:tcBorders>
            <w:shd w:val="clear" w:color="auto" w:fill="C6EFCE"/>
            <w:noWrap/>
          </w:tcPr>
          <w:p w14:paraId="1BD3EF9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single" w:sz="4" w:space="0" w:color="auto"/>
              <w:left w:val="nil"/>
              <w:bottom w:val="single" w:sz="4" w:space="0" w:color="auto"/>
              <w:right w:val="single" w:sz="4" w:space="0" w:color="auto"/>
            </w:tcBorders>
            <w:shd w:val="clear" w:color="auto" w:fill="C6EFCE"/>
            <w:noWrap/>
          </w:tcPr>
          <w:p w14:paraId="2C9ACFA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4A1D90D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9" w:type="pct"/>
            <w:tcBorders>
              <w:top w:val="single" w:sz="4" w:space="0" w:color="auto"/>
              <w:left w:val="nil"/>
              <w:bottom w:val="single" w:sz="4" w:space="0" w:color="auto"/>
              <w:right w:val="single" w:sz="4" w:space="0" w:color="auto"/>
            </w:tcBorders>
            <w:shd w:val="clear" w:color="auto" w:fill="C6EFCE"/>
            <w:noWrap/>
          </w:tcPr>
          <w:p w14:paraId="6B4B3B89"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90" w:type="pct"/>
            <w:tcBorders>
              <w:top w:val="single" w:sz="4" w:space="0" w:color="auto"/>
              <w:left w:val="nil"/>
              <w:bottom w:val="single" w:sz="4" w:space="0" w:color="auto"/>
              <w:right w:val="single" w:sz="4" w:space="0" w:color="auto"/>
            </w:tcBorders>
            <w:shd w:val="clear" w:color="auto" w:fill="C6EFCE"/>
            <w:noWrap/>
          </w:tcPr>
          <w:p w14:paraId="4037DB06" w14:textId="77777777" w:rsidR="003A3D51" w:rsidRDefault="0002775A">
            <w:pPr>
              <w:spacing w:after="200" w:line="276" w:lineRule="auto"/>
              <w:rPr>
                <w:rFonts w:ascii="Times New Roman" w:eastAsia="Calibri" w:hAnsi="Times New Roman" w:cs="Times New Roman"/>
                <w:noProof/>
                <w:sz w:val="20"/>
              </w:rPr>
            </w:pPr>
            <w:r>
              <w:rPr>
                <w:noProof/>
              </w:rPr>
              <w:br/>
            </w:r>
            <w:r>
              <w:rPr>
                <w:rFonts w:ascii="Calibri" w:eastAsia="Calibri" w:hAnsi="Calibri" w:cs="Arial"/>
                <w:noProof/>
                <w:color w:val="000000" w:themeColor="text1"/>
                <w:sz w:val="20"/>
              </w:rPr>
              <w:t>De nya funktionerna omfattar offentliggörande av alla domar i första och andra instans på internet med utförliga sökalternativ och automatiserade anonymiseringsmetoder som respekterar reglerna för skydd av personuppgifter.</w:t>
            </w:r>
          </w:p>
        </w:tc>
      </w:tr>
      <w:tr w:rsidR="003A3D51" w14:paraId="58DCC5AF"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074FC1E8" w14:textId="77777777" w:rsidR="003A3D51" w:rsidRDefault="0002775A">
            <w:pPr>
              <w:pStyle w:val="P68B1DB1-Normal7"/>
              <w:spacing w:after="200" w:line="276" w:lineRule="auto"/>
              <w:jc w:val="center"/>
              <w:rPr>
                <w:rFonts w:ascii="Times New Roman" w:hAnsi="Times New Roman" w:cs="Times New Roman"/>
                <w:noProof/>
              </w:rPr>
            </w:pPr>
            <w:r>
              <w:rPr>
                <w:noProof/>
              </w:rPr>
              <w:t>227</w:t>
            </w:r>
          </w:p>
        </w:tc>
        <w:tc>
          <w:tcPr>
            <w:tcW w:w="367" w:type="pct"/>
            <w:tcBorders>
              <w:top w:val="single" w:sz="4" w:space="0" w:color="auto"/>
              <w:left w:val="nil"/>
              <w:bottom w:val="single" w:sz="4" w:space="0" w:color="auto"/>
              <w:right w:val="single" w:sz="4" w:space="0" w:color="auto"/>
            </w:tcBorders>
            <w:shd w:val="clear" w:color="auto" w:fill="C6EFCE"/>
            <w:noWrap/>
          </w:tcPr>
          <w:p w14:paraId="19CE8E9E" w14:textId="77777777" w:rsidR="003A3D51" w:rsidRDefault="0002775A">
            <w:pPr>
              <w:pStyle w:val="P68B1DB1-Normal7"/>
              <w:spacing w:after="200" w:line="276" w:lineRule="auto"/>
              <w:jc w:val="center"/>
              <w:rPr>
                <w:rFonts w:ascii="Times New Roman" w:hAnsi="Times New Roman" w:cs="Times New Roman"/>
                <w:noProof/>
              </w:rPr>
            </w:pPr>
            <w:r>
              <w:rPr>
                <w:noProof/>
              </w:rPr>
              <w:t>C2.5 R1-I4</w:t>
            </w:r>
          </w:p>
        </w:tc>
        <w:tc>
          <w:tcPr>
            <w:tcW w:w="321" w:type="pct"/>
            <w:tcBorders>
              <w:top w:val="single" w:sz="4" w:space="0" w:color="auto"/>
              <w:left w:val="nil"/>
              <w:bottom w:val="single" w:sz="4" w:space="0" w:color="auto"/>
              <w:right w:val="single" w:sz="4" w:space="0" w:color="auto"/>
            </w:tcBorders>
            <w:shd w:val="clear" w:color="auto" w:fill="C6EFCE"/>
            <w:noWrap/>
          </w:tcPr>
          <w:p w14:paraId="2441F2C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110AA82A" w14:textId="77777777" w:rsidR="003A3D51" w:rsidRDefault="0002775A">
            <w:pPr>
              <w:pStyle w:val="P68B1DB1-Normal7"/>
              <w:spacing w:after="200" w:line="276" w:lineRule="auto"/>
              <w:rPr>
                <w:rFonts w:ascii="Times New Roman" w:hAnsi="Times New Roman" w:cs="Times New Roman"/>
                <w:noProof/>
              </w:rPr>
            </w:pPr>
            <w:r>
              <w:rPr>
                <w:noProof/>
              </w:rPr>
              <w:t>Beviljades tillstånd att använda en nybyggd byggnad på Justice Square i Zagreb som en förutsättning för omlokalisering av handels- och förvaltningsdomstolar, medlingscentrumet och rättsakademin.</w:t>
            </w:r>
          </w:p>
        </w:tc>
        <w:tc>
          <w:tcPr>
            <w:tcW w:w="733" w:type="pct"/>
            <w:tcBorders>
              <w:top w:val="single" w:sz="4" w:space="0" w:color="auto"/>
              <w:left w:val="nil"/>
              <w:bottom w:val="single" w:sz="4" w:space="0" w:color="auto"/>
              <w:right w:val="single" w:sz="4" w:space="0" w:color="auto"/>
            </w:tcBorders>
            <w:shd w:val="clear" w:color="auto" w:fill="C6EFCE"/>
            <w:noWrap/>
          </w:tcPr>
          <w:p w14:paraId="60E202C3"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5990D2D2"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7" w:type="pct"/>
            <w:tcBorders>
              <w:top w:val="single" w:sz="4" w:space="0" w:color="auto"/>
              <w:left w:val="nil"/>
              <w:bottom w:val="single" w:sz="4" w:space="0" w:color="auto"/>
              <w:right w:val="single" w:sz="4" w:space="0" w:color="auto"/>
            </w:tcBorders>
            <w:shd w:val="clear" w:color="auto" w:fill="C6EFCE"/>
            <w:noWrap/>
          </w:tcPr>
          <w:p w14:paraId="23F4B64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75" w:type="pct"/>
            <w:tcBorders>
              <w:top w:val="single" w:sz="4" w:space="0" w:color="auto"/>
              <w:left w:val="nil"/>
              <w:bottom w:val="single" w:sz="4" w:space="0" w:color="auto"/>
              <w:right w:val="single" w:sz="4" w:space="0" w:color="auto"/>
            </w:tcBorders>
            <w:shd w:val="clear" w:color="auto" w:fill="C6EFCE"/>
            <w:noWrap/>
          </w:tcPr>
          <w:p w14:paraId="7E01A286"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257" w:type="pct"/>
            <w:tcBorders>
              <w:top w:val="single" w:sz="4" w:space="0" w:color="auto"/>
              <w:left w:val="nil"/>
              <w:bottom w:val="single" w:sz="4" w:space="0" w:color="auto"/>
              <w:right w:val="single" w:sz="4" w:space="0" w:color="auto"/>
            </w:tcBorders>
            <w:shd w:val="clear" w:color="auto" w:fill="C6EFCE"/>
            <w:noWrap/>
          </w:tcPr>
          <w:p w14:paraId="1FC4DBA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single" w:sz="4" w:space="0" w:color="auto"/>
              <w:left w:val="nil"/>
              <w:bottom w:val="single" w:sz="4" w:space="0" w:color="auto"/>
              <w:right w:val="single" w:sz="4" w:space="0" w:color="auto"/>
            </w:tcBorders>
            <w:shd w:val="clear" w:color="auto" w:fill="C6EFCE"/>
            <w:noWrap/>
          </w:tcPr>
          <w:p w14:paraId="5E2A6729"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90" w:type="pct"/>
            <w:tcBorders>
              <w:top w:val="single" w:sz="4" w:space="0" w:color="auto"/>
              <w:left w:val="nil"/>
              <w:bottom w:val="single" w:sz="4" w:space="0" w:color="auto"/>
              <w:right w:val="single" w:sz="4" w:space="0" w:color="auto"/>
            </w:tcBorders>
            <w:shd w:val="clear" w:color="auto" w:fill="C6EFCE"/>
            <w:noWrap/>
          </w:tcPr>
          <w:p w14:paraId="1BC4682A" w14:textId="77777777" w:rsidR="003A3D51" w:rsidRDefault="0002775A">
            <w:pPr>
              <w:pStyle w:val="P68B1DB1-Normal7"/>
              <w:spacing w:after="200" w:line="276" w:lineRule="auto"/>
              <w:rPr>
                <w:rFonts w:ascii="Times New Roman" w:hAnsi="Times New Roman" w:cs="Times New Roman"/>
                <w:noProof/>
              </w:rPr>
            </w:pPr>
            <w:r>
              <w:rPr>
                <w:noProof/>
              </w:rPr>
              <w:t>Konceptuella projekt, huvudprojekt och genomförandeprojekt samt därav följande tillstånd för uppförandet av Justice Square i Zagreb ska erhållas, på grundval av vilka offentliga anbud kommer att utfärdas för utförande av byggnadsarbeten, professionell tillsyn och projektledare. När byggnationen har färdigställts har ett användartillstånd erhållits för en nybyggd byggnad på Justice Square. Investeringen gäller uppförandet av en ny byggnad, med ett primärenergibehov som är minst 20 % lägre än nära-nollenergibyggnaden.</w:t>
            </w:r>
          </w:p>
        </w:tc>
      </w:tr>
      <w:tr w:rsidR="003A3D51" w14:paraId="53803668"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2898ADC8" w14:textId="77777777" w:rsidR="003A3D51" w:rsidRDefault="0002775A">
            <w:pPr>
              <w:pStyle w:val="P68B1DB1-Normal7"/>
              <w:spacing w:after="200" w:line="276" w:lineRule="auto"/>
              <w:jc w:val="center"/>
              <w:rPr>
                <w:rFonts w:ascii="Times New Roman" w:hAnsi="Times New Roman" w:cs="Times New Roman"/>
                <w:noProof/>
              </w:rPr>
            </w:pPr>
            <w:r>
              <w:rPr>
                <w:noProof/>
              </w:rPr>
              <w:t>228</w:t>
            </w:r>
          </w:p>
        </w:tc>
        <w:tc>
          <w:tcPr>
            <w:tcW w:w="367" w:type="pct"/>
            <w:tcBorders>
              <w:top w:val="single" w:sz="4" w:space="0" w:color="auto"/>
              <w:left w:val="nil"/>
              <w:bottom w:val="single" w:sz="4" w:space="0" w:color="auto"/>
              <w:right w:val="single" w:sz="4" w:space="0" w:color="auto"/>
            </w:tcBorders>
            <w:shd w:val="clear" w:color="auto" w:fill="C6EFCE"/>
            <w:noWrap/>
          </w:tcPr>
          <w:p w14:paraId="044F9805" w14:textId="77777777" w:rsidR="003A3D51" w:rsidRDefault="0002775A">
            <w:pPr>
              <w:pStyle w:val="P68B1DB1-Normal7"/>
              <w:spacing w:after="200" w:line="276" w:lineRule="auto"/>
              <w:jc w:val="center"/>
              <w:rPr>
                <w:rFonts w:ascii="Times New Roman" w:hAnsi="Times New Roman" w:cs="Times New Roman"/>
                <w:noProof/>
              </w:rPr>
            </w:pPr>
            <w:r>
              <w:rPr>
                <w:noProof/>
              </w:rPr>
              <w:t>C2.5 R1-I5</w:t>
            </w:r>
          </w:p>
        </w:tc>
        <w:tc>
          <w:tcPr>
            <w:tcW w:w="321" w:type="pct"/>
            <w:tcBorders>
              <w:top w:val="single" w:sz="4" w:space="0" w:color="auto"/>
              <w:left w:val="nil"/>
              <w:bottom w:val="single" w:sz="4" w:space="0" w:color="auto"/>
              <w:right w:val="single" w:sz="4" w:space="0" w:color="auto"/>
            </w:tcBorders>
            <w:shd w:val="clear" w:color="auto" w:fill="C6EFCE"/>
            <w:noWrap/>
          </w:tcPr>
          <w:p w14:paraId="7C879A6E"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15" w:type="pct"/>
            <w:tcBorders>
              <w:top w:val="single" w:sz="4" w:space="0" w:color="auto"/>
              <w:left w:val="nil"/>
              <w:bottom w:val="single" w:sz="4" w:space="0" w:color="auto"/>
              <w:right w:val="single" w:sz="4" w:space="0" w:color="auto"/>
            </w:tcBorders>
            <w:shd w:val="clear" w:color="auto" w:fill="C6EFCE"/>
            <w:noWrap/>
          </w:tcPr>
          <w:p w14:paraId="793C6B03" w14:textId="77777777" w:rsidR="003A3D51" w:rsidRDefault="0002775A">
            <w:pPr>
              <w:pStyle w:val="P68B1DB1-Normal7"/>
              <w:spacing w:after="200" w:line="276" w:lineRule="auto"/>
              <w:rPr>
                <w:rFonts w:ascii="Times New Roman" w:hAnsi="Times New Roman" w:cs="Times New Roman"/>
                <w:noProof/>
              </w:rPr>
            </w:pPr>
            <w:r>
              <w:rPr>
                <w:noProof/>
              </w:rPr>
              <w:t>Nyrenoverade domstolsbyggnader som uppfyller de tekniska föreskrifterna om rationell energianvändning och värmeskydd i byggnader</w:t>
            </w:r>
          </w:p>
        </w:tc>
        <w:tc>
          <w:tcPr>
            <w:tcW w:w="733" w:type="pct"/>
            <w:tcBorders>
              <w:top w:val="single" w:sz="4" w:space="0" w:color="auto"/>
              <w:left w:val="nil"/>
              <w:bottom w:val="single" w:sz="4" w:space="0" w:color="auto"/>
              <w:right w:val="single" w:sz="4" w:space="0" w:color="auto"/>
            </w:tcBorders>
            <w:shd w:val="clear" w:color="auto" w:fill="C6EFCE"/>
            <w:noWrap/>
          </w:tcPr>
          <w:p w14:paraId="1DE25870"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78" w:type="pct"/>
            <w:tcBorders>
              <w:top w:val="single" w:sz="4" w:space="0" w:color="auto"/>
              <w:left w:val="nil"/>
              <w:bottom w:val="single" w:sz="4" w:space="0" w:color="auto"/>
              <w:right w:val="single" w:sz="4" w:space="0" w:color="auto"/>
            </w:tcBorders>
            <w:shd w:val="clear" w:color="auto" w:fill="C6EFCE"/>
            <w:noWrap/>
          </w:tcPr>
          <w:p w14:paraId="0F678E6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67" w:type="pct"/>
            <w:tcBorders>
              <w:top w:val="single" w:sz="4" w:space="0" w:color="auto"/>
              <w:left w:val="nil"/>
              <w:bottom w:val="single" w:sz="4" w:space="0" w:color="auto"/>
              <w:right w:val="single" w:sz="4" w:space="0" w:color="auto"/>
            </w:tcBorders>
            <w:shd w:val="clear" w:color="auto" w:fill="C6EFCE"/>
            <w:noWrap/>
          </w:tcPr>
          <w:p w14:paraId="12CE53AB"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75" w:type="pct"/>
            <w:tcBorders>
              <w:top w:val="single" w:sz="4" w:space="0" w:color="auto"/>
              <w:left w:val="nil"/>
              <w:bottom w:val="single" w:sz="4" w:space="0" w:color="auto"/>
              <w:right w:val="single" w:sz="4" w:space="0" w:color="auto"/>
            </w:tcBorders>
            <w:shd w:val="clear" w:color="auto" w:fill="C6EFCE"/>
            <w:noWrap/>
          </w:tcPr>
          <w:p w14:paraId="106C8996" w14:textId="77777777" w:rsidR="003A3D51" w:rsidRDefault="0002775A">
            <w:pPr>
              <w:pStyle w:val="P68B1DB1-Normal7"/>
              <w:spacing w:after="200" w:line="276" w:lineRule="auto"/>
              <w:jc w:val="center"/>
              <w:rPr>
                <w:rFonts w:ascii="Times New Roman" w:hAnsi="Times New Roman" w:cs="Times New Roman"/>
                <w:noProof/>
              </w:rPr>
            </w:pPr>
            <w:r>
              <w:rPr>
                <w:noProof/>
              </w:rPr>
              <w:t>20</w:t>
            </w:r>
          </w:p>
        </w:tc>
        <w:tc>
          <w:tcPr>
            <w:tcW w:w="257" w:type="pct"/>
            <w:tcBorders>
              <w:top w:val="single" w:sz="4" w:space="0" w:color="auto"/>
              <w:left w:val="nil"/>
              <w:bottom w:val="single" w:sz="4" w:space="0" w:color="auto"/>
              <w:right w:val="single" w:sz="4" w:space="0" w:color="auto"/>
            </w:tcBorders>
            <w:shd w:val="clear" w:color="auto" w:fill="C6EFCE"/>
            <w:noWrap/>
          </w:tcPr>
          <w:p w14:paraId="2EE6F76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9" w:type="pct"/>
            <w:tcBorders>
              <w:top w:val="single" w:sz="4" w:space="0" w:color="auto"/>
              <w:left w:val="nil"/>
              <w:bottom w:val="single" w:sz="4" w:space="0" w:color="auto"/>
              <w:right w:val="single" w:sz="4" w:space="0" w:color="auto"/>
            </w:tcBorders>
            <w:shd w:val="clear" w:color="auto" w:fill="C6EFCE"/>
            <w:noWrap/>
          </w:tcPr>
          <w:p w14:paraId="6DAD7E22"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90" w:type="pct"/>
            <w:tcBorders>
              <w:top w:val="single" w:sz="4" w:space="0" w:color="auto"/>
              <w:left w:val="nil"/>
              <w:bottom w:val="single" w:sz="4" w:space="0" w:color="auto"/>
              <w:right w:val="single" w:sz="4" w:space="0" w:color="auto"/>
            </w:tcBorders>
            <w:shd w:val="clear" w:color="auto" w:fill="C6EFCE"/>
            <w:noWrap/>
          </w:tcPr>
          <w:p w14:paraId="33CCD125" w14:textId="77777777" w:rsidR="003A3D51" w:rsidRDefault="0002775A">
            <w:pPr>
              <w:pStyle w:val="P68B1DB1-Normal7"/>
              <w:spacing w:after="200" w:line="276" w:lineRule="auto"/>
              <w:rPr>
                <w:rFonts w:ascii="Times New Roman" w:hAnsi="Times New Roman" w:cs="Times New Roman"/>
                <w:noProof/>
              </w:rPr>
            </w:pPr>
            <w:r>
              <w:rPr>
                <w:noProof/>
              </w:rPr>
              <w:t xml:space="preserve">Renoveringen av 20 domstolsbyggnader ska slutföras. De nyrenoverade byggnaderna ska uppfylla normerna för rationell energianvändning och värmeskydd.  Investeringen avser i genomsnitt en renovering av minst medelstor omfattning enligt definitionen i kommissionens rekommendation om byggnadsrenovering (EU) 2019/786, vilket leder till att efterfrågan på primärenergi minskar med minst 30 %.  eller ska i genomsnitt uppnå en minskning på minst 30 % av de direkta och indirekta växthusgasutsläppen jämfört med de på förhand fastställda utsläppen. Dessutom ska tillträdet till byggnader anpassas till personer med funktionsnedsättning, och denna anpassning ska åtföljas av överensstämmelse med brandskyddsstandarder och tekniska skyddsnormer och interiors funktionella utformning. I denna investeringscykel ska de rättsliga myndigheternas placering i ekonomiskt mindre utvecklade delar av Kroatien prioriteras. </w:t>
            </w:r>
          </w:p>
        </w:tc>
      </w:tr>
      <w:tr w:rsidR="003A3D51" w14:paraId="46868761"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78B415EF" w14:textId="77777777" w:rsidR="003A3D51" w:rsidRDefault="0002775A">
            <w:pPr>
              <w:pStyle w:val="P68B1DB1-Normal7"/>
              <w:spacing w:after="200" w:line="276" w:lineRule="auto"/>
              <w:jc w:val="center"/>
              <w:rPr>
                <w:rFonts w:ascii="Times New Roman" w:hAnsi="Times New Roman" w:cs="Times New Roman"/>
                <w:noProof/>
              </w:rPr>
            </w:pPr>
            <w:r>
              <w:rPr>
                <w:noProof/>
              </w:rPr>
              <w:t>229</w:t>
            </w:r>
          </w:p>
        </w:tc>
        <w:tc>
          <w:tcPr>
            <w:tcW w:w="367" w:type="pct"/>
            <w:tcBorders>
              <w:top w:val="single" w:sz="4" w:space="0" w:color="auto"/>
              <w:left w:val="nil"/>
              <w:bottom w:val="single" w:sz="4" w:space="0" w:color="auto"/>
              <w:right w:val="single" w:sz="4" w:space="0" w:color="auto"/>
            </w:tcBorders>
            <w:shd w:val="clear" w:color="auto" w:fill="C6EFCE"/>
            <w:noWrap/>
          </w:tcPr>
          <w:p w14:paraId="2FBA7014" w14:textId="77777777" w:rsidR="003A3D51" w:rsidRDefault="0002775A">
            <w:pPr>
              <w:pStyle w:val="P68B1DB1-Normal7"/>
              <w:spacing w:after="200" w:line="276" w:lineRule="auto"/>
              <w:jc w:val="center"/>
              <w:rPr>
                <w:rFonts w:ascii="Times New Roman" w:hAnsi="Times New Roman" w:cs="Times New Roman"/>
                <w:noProof/>
              </w:rPr>
            </w:pPr>
            <w:r>
              <w:rPr>
                <w:noProof/>
              </w:rPr>
              <w:t>C2.5 R1-I6</w:t>
            </w:r>
          </w:p>
        </w:tc>
        <w:tc>
          <w:tcPr>
            <w:tcW w:w="321" w:type="pct"/>
            <w:tcBorders>
              <w:top w:val="single" w:sz="4" w:space="0" w:color="auto"/>
              <w:left w:val="nil"/>
              <w:bottom w:val="single" w:sz="4" w:space="0" w:color="auto"/>
              <w:right w:val="single" w:sz="4" w:space="0" w:color="auto"/>
            </w:tcBorders>
            <w:shd w:val="clear" w:color="auto" w:fill="C6EFCE"/>
            <w:noWrap/>
          </w:tcPr>
          <w:p w14:paraId="1E6A8BA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single" w:sz="4" w:space="0" w:color="auto"/>
              <w:left w:val="nil"/>
              <w:bottom w:val="single" w:sz="4" w:space="0" w:color="auto"/>
              <w:right w:val="single" w:sz="4" w:space="0" w:color="auto"/>
            </w:tcBorders>
            <w:shd w:val="clear" w:color="auto" w:fill="C6EFCE"/>
            <w:noWrap/>
          </w:tcPr>
          <w:p w14:paraId="787C5E15" w14:textId="77777777" w:rsidR="003A3D51" w:rsidRDefault="0002775A">
            <w:pPr>
              <w:pStyle w:val="P68B1DB1-Normal7"/>
              <w:spacing w:after="200" w:line="276" w:lineRule="auto"/>
              <w:rPr>
                <w:rFonts w:ascii="Times New Roman" w:hAnsi="Times New Roman" w:cs="Times New Roman"/>
                <w:noProof/>
              </w:rPr>
            </w:pPr>
            <w:r>
              <w:rPr>
                <w:noProof/>
              </w:rPr>
              <w:t>Alla domstolar i första instans är utrustade och uppfyller villkoren för att höras på distans.</w:t>
            </w:r>
          </w:p>
        </w:tc>
        <w:tc>
          <w:tcPr>
            <w:tcW w:w="733" w:type="pct"/>
            <w:tcBorders>
              <w:top w:val="single" w:sz="4" w:space="0" w:color="auto"/>
              <w:left w:val="nil"/>
              <w:bottom w:val="single" w:sz="4" w:space="0" w:color="auto"/>
              <w:right w:val="single" w:sz="4" w:space="0" w:color="auto"/>
            </w:tcBorders>
            <w:shd w:val="clear" w:color="auto" w:fill="C6EFCE"/>
            <w:noWrap/>
          </w:tcPr>
          <w:p w14:paraId="5632325B" w14:textId="77777777" w:rsidR="003A3D51" w:rsidRDefault="0002775A">
            <w:pPr>
              <w:pStyle w:val="P68B1DB1-Normal7"/>
              <w:spacing w:after="200" w:line="276" w:lineRule="auto"/>
              <w:rPr>
                <w:rFonts w:ascii="Times New Roman" w:hAnsi="Times New Roman" w:cs="Times New Roman"/>
                <w:noProof/>
              </w:rPr>
            </w:pPr>
            <w:r>
              <w:rPr>
                <w:noProof/>
              </w:rPr>
              <w:t>Hålla förhandlingar på distans i alla domstolar i första instans</w:t>
            </w:r>
          </w:p>
        </w:tc>
        <w:tc>
          <w:tcPr>
            <w:tcW w:w="378" w:type="pct"/>
            <w:tcBorders>
              <w:top w:val="single" w:sz="4" w:space="0" w:color="auto"/>
              <w:left w:val="nil"/>
              <w:bottom w:val="single" w:sz="4" w:space="0" w:color="auto"/>
              <w:right w:val="single" w:sz="4" w:space="0" w:color="auto"/>
            </w:tcBorders>
            <w:shd w:val="clear" w:color="auto" w:fill="C6EFCE"/>
            <w:noWrap/>
          </w:tcPr>
          <w:p w14:paraId="5EC2A81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single" w:sz="4" w:space="0" w:color="auto"/>
              <w:left w:val="nil"/>
              <w:bottom w:val="single" w:sz="4" w:space="0" w:color="auto"/>
              <w:right w:val="single" w:sz="4" w:space="0" w:color="auto"/>
            </w:tcBorders>
            <w:shd w:val="clear" w:color="auto" w:fill="C6EFCE"/>
            <w:noWrap/>
          </w:tcPr>
          <w:p w14:paraId="6CB7952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single" w:sz="4" w:space="0" w:color="auto"/>
              <w:left w:val="nil"/>
              <w:bottom w:val="single" w:sz="4" w:space="0" w:color="auto"/>
              <w:right w:val="single" w:sz="4" w:space="0" w:color="auto"/>
            </w:tcBorders>
            <w:shd w:val="clear" w:color="auto" w:fill="C6EFCE"/>
            <w:noWrap/>
          </w:tcPr>
          <w:p w14:paraId="59E203B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4EB5316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9" w:type="pct"/>
            <w:tcBorders>
              <w:top w:val="single" w:sz="4" w:space="0" w:color="auto"/>
              <w:left w:val="nil"/>
              <w:bottom w:val="single" w:sz="4" w:space="0" w:color="auto"/>
              <w:right w:val="single" w:sz="4" w:space="0" w:color="auto"/>
            </w:tcBorders>
            <w:shd w:val="clear" w:color="auto" w:fill="C6EFCE"/>
            <w:noWrap/>
          </w:tcPr>
          <w:p w14:paraId="18357040"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90" w:type="pct"/>
            <w:tcBorders>
              <w:top w:val="single" w:sz="4" w:space="0" w:color="auto"/>
              <w:left w:val="nil"/>
              <w:bottom w:val="single" w:sz="4" w:space="0" w:color="auto"/>
              <w:right w:val="single" w:sz="4" w:space="0" w:color="auto"/>
            </w:tcBorders>
            <w:shd w:val="clear" w:color="auto" w:fill="C6EFCE"/>
            <w:noWrap/>
          </w:tcPr>
          <w:p w14:paraId="551FF854" w14:textId="77777777" w:rsidR="003A3D51" w:rsidRDefault="0002775A">
            <w:pPr>
              <w:pStyle w:val="P68B1DB1-Normal7"/>
              <w:spacing w:after="200" w:line="276" w:lineRule="auto"/>
              <w:rPr>
                <w:rFonts w:ascii="Times New Roman" w:hAnsi="Times New Roman" w:cs="Times New Roman"/>
                <w:noProof/>
              </w:rPr>
            </w:pPr>
            <w:r>
              <w:rPr>
                <w:noProof/>
              </w:rPr>
              <w:t>De förhandsvillkor som föreskrivs för förhandlingar på distans i alla domstolar i första instans ska vara operativa.</w:t>
            </w:r>
          </w:p>
        </w:tc>
      </w:tr>
      <w:tr w:rsidR="003A3D51" w14:paraId="79CE1593" w14:textId="77777777" w:rsidTr="005A3E0A">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C6EFCE"/>
            <w:noWrap/>
          </w:tcPr>
          <w:p w14:paraId="32047E6A" w14:textId="77777777" w:rsidR="003A3D51" w:rsidRDefault="0002775A">
            <w:pPr>
              <w:pStyle w:val="P68B1DB1-Normal7"/>
              <w:spacing w:after="200" w:line="276" w:lineRule="auto"/>
              <w:jc w:val="center"/>
              <w:rPr>
                <w:rFonts w:ascii="Times New Roman" w:hAnsi="Times New Roman" w:cs="Times New Roman"/>
                <w:noProof/>
              </w:rPr>
            </w:pPr>
            <w:r>
              <w:rPr>
                <w:noProof/>
              </w:rPr>
              <w:t>230</w:t>
            </w:r>
          </w:p>
        </w:tc>
        <w:tc>
          <w:tcPr>
            <w:tcW w:w="367" w:type="pct"/>
            <w:tcBorders>
              <w:top w:val="single" w:sz="4" w:space="0" w:color="auto"/>
              <w:left w:val="nil"/>
              <w:bottom w:val="single" w:sz="4" w:space="0" w:color="auto"/>
              <w:right w:val="single" w:sz="4" w:space="0" w:color="auto"/>
            </w:tcBorders>
            <w:shd w:val="clear" w:color="auto" w:fill="C6EFCE"/>
            <w:noWrap/>
          </w:tcPr>
          <w:p w14:paraId="71726ABE" w14:textId="77777777" w:rsidR="003A3D51" w:rsidRDefault="0002775A">
            <w:pPr>
              <w:pStyle w:val="P68B1DB1-Normal7"/>
              <w:spacing w:after="200" w:line="276" w:lineRule="auto"/>
              <w:jc w:val="center"/>
              <w:rPr>
                <w:rFonts w:ascii="Times New Roman" w:hAnsi="Times New Roman" w:cs="Times New Roman"/>
                <w:noProof/>
              </w:rPr>
            </w:pPr>
            <w:r>
              <w:rPr>
                <w:noProof/>
              </w:rPr>
              <w:t>C2.5 R1-I6</w:t>
            </w:r>
          </w:p>
        </w:tc>
        <w:tc>
          <w:tcPr>
            <w:tcW w:w="321" w:type="pct"/>
            <w:tcBorders>
              <w:top w:val="single" w:sz="4" w:space="0" w:color="auto"/>
              <w:left w:val="nil"/>
              <w:bottom w:val="single" w:sz="4" w:space="0" w:color="auto"/>
              <w:right w:val="single" w:sz="4" w:space="0" w:color="auto"/>
            </w:tcBorders>
            <w:shd w:val="clear" w:color="auto" w:fill="C6EFCE"/>
            <w:noWrap/>
          </w:tcPr>
          <w:p w14:paraId="4D75EABE"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15" w:type="pct"/>
            <w:tcBorders>
              <w:top w:val="single" w:sz="4" w:space="0" w:color="auto"/>
              <w:left w:val="nil"/>
              <w:bottom w:val="single" w:sz="4" w:space="0" w:color="auto"/>
              <w:right w:val="single" w:sz="4" w:space="0" w:color="auto"/>
            </w:tcBorders>
            <w:shd w:val="clear" w:color="auto" w:fill="C6EFCE"/>
            <w:noWrap/>
          </w:tcPr>
          <w:p w14:paraId="3FBB4E45" w14:textId="77777777" w:rsidR="003A3D51" w:rsidRDefault="0002775A">
            <w:pPr>
              <w:pStyle w:val="P68B1DB1-Normal7"/>
              <w:spacing w:after="200" w:line="276" w:lineRule="auto"/>
              <w:rPr>
                <w:rFonts w:ascii="Times New Roman" w:hAnsi="Times New Roman" w:cs="Times New Roman"/>
                <w:noProof/>
              </w:rPr>
            </w:pPr>
            <w:r>
              <w:rPr>
                <w:noProof/>
              </w:rPr>
              <w:t xml:space="preserve">Uppgradering och optimering av IKT-infrastruktur i alla rättsliga organ  </w:t>
            </w:r>
          </w:p>
        </w:tc>
        <w:tc>
          <w:tcPr>
            <w:tcW w:w="733" w:type="pct"/>
            <w:tcBorders>
              <w:top w:val="single" w:sz="4" w:space="0" w:color="auto"/>
              <w:left w:val="nil"/>
              <w:bottom w:val="single" w:sz="4" w:space="0" w:color="auto"/>
              <w:right w:val="single" w:sz="4" w:space="0" w:color="auto"/>
            </w:tcBorders>
            <w:shd w:val="clear" w:color="auto" w:fill="C6EFCE"/>
            <w:noWrap/>
          </w:tcPr>
          <w:p w14:paraId="0FB67F57" w14:textId="77777777" w:rsidR="003A3D51" w:rsidRDefault="0002775A">
            <w:pPr>
              <w:pStyle w:val="P68B1DB1-Normal7"/>
              <w:spacing w:after="200" w:line="276" w:lineRule="auto"/>
              <w:rPr>
                <w:rFonts w:ascii="Times New Roman" w:hAnsi="Times New Roman" w:cs="Times New Roman"/>
                <w:noProof/>
              </w:rPr>
            </w:pPr>
            <w:r>
              <w:rPr>
                <w:noProof/>
              </w:rPr>
              <w:t>Uppgraderad och optimerad IKT-infrastruktur i alla rättsliga organ</w:t>
            </w:r>
          </w:p>
        </w:tc>
        <w:tc>
          <w:tcPr>
            <w:tcW w:w="378" w:type="pct"/>
            <w:tcBorders>
              <w:top w:val="single" w:sz="4" w:space="0" w:color="auto"/>
              <w:left w:val="nil"/>
              <w:bottom w:val="single" w:sz="4" w:space="0" w:color="auto"/>
              <w:right w:val="single" w:sz="4" w:space="0" w:color="auto"/>
            </w:tcBorders>
            <w:shd w:val="clear" w:color="auto" w:fill="C6EFCE"/>
            <w:noWrap/>
          </w:tcPr>
          <w:p w14:paraId="673FF10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7" w:type="pct"/>
            <w:tcBorders>
              <w:top w:val="single" w:sz="4" w:space="0" w:color="auto"/>
              <w:left w:val="nil"/>
              <w:bottom w:val="single" w:sz="4" w:space="0" w:color="auto"/>
              <w:right w:val="single" w:sz="4" w:space="0" w:color="auto"/>
            </w:tcBorders>
            <w:shd w:val="clear" w:color="auto" w:fill="C6EFCE"/>
            <w:noWrap/>
          </w:tcPr>
          <w:p w14:paraId="1B0DFA1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5" w:type="pct"/>
            <w:tcBorders>
              <w:top w:val="single" w:sz="4" w:space="0" w:color="auto"/>
              <w:left w:val="nil"/>
              <w:bottom w:val="single" w:sz="4" w:space="0" w:color="auto"/>
              <w:right w:val="single" w:sz="4" w:space="0" w:color="auto"/>
            </w:tcBorders>
            <w:shd w:val="clear" w:color="auto" w:fill="C6EFCE"/>
            <w:noWrap/>
          </w:tcPr>
          <w:p w14:paraId="023F79A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582AD1D6"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9" w:type="pct"/>
            <w:tcBorders>
              <w:top w:val="single" w:sz="4" w:space="0" w:color="auto"/>
              <w:left w:val="nil"/>
              <w:bottom w:val="single" w:sz="4" w:space="0" w:color="auto"/>
              <w:right w:val="single" w:sz="4" w:space="0" w:color="auto"/>
            </w:tcBorders>
            <w:shd w:val="clear" w:color="auto" w:fill="C6EFCE"/>
            <w:noWrap/>
          </w:tcPr>
          <w:p w14:paraId="7DC0D43C"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90" w:type="pct"/>
            <w:tcBorders>
              <w:top w:val="single" w:sz="4" w:space="0" w:color="auto"/>
              <w:left w:val="nil"/>
              <w:bottom w:val="single" w:sz="4" w:space="0" w:color="auto"/>
              <w:right w:val="single" w:sz="4" w:space="0" w:color="auto"/>
            </w:tcBorders>
            <w:shd w:val="clear" w:color="auto" w:fill="C6EFCE"/>
            <w:noWrap/>
          </w:tcPr>
          <w:p w14:paraId="699AFC4D" w14:textId="77777777" w:rsidR="003A3D51" w:rsidRDefault="0002775A">
            <w:pPr>
              <w:pStyle w:val="P68B1DB1-Normal7"/>
              <w:spacing w:after="200" w:line="276" w:lineRule="auto"/>
              <w:rPr>
                <w:rFonts w:ascii="Times New Roman" w:hAnsi="Times New Roman" w:cs="Times New Roman"/>
                <w:noProof/>
              </w:rPr>
            </w:pPr>
            <w:r>
              <w:rPr>
                <w:noProof/>
              </w:rPr>
              <w:t>En uppgraderad IKT-infrastruktur med en högre grad av interoperabilitet inom rättsliga organ som möjliggör en säker och kontinuerlig stabil drift av det övergripande kommunikationssystemet som kopplar samman 218 platser för rättsliga och straffrättsliga organ och över 10 000 användare till kommunikationsnätet.</w:t>
            </w:r>
          </w:p>
        </w:tc>
      </w:tr>
    </w:tbl>
    <w:p w14:paraId="721E8F0D" w14:textId="77777777" w:rsidR="003A3D51" w:rsidRDefault="003A3D51">
      <w:pPr>
        <w:spacing w:before="120" w:after="120" w:line="240" w:lineRule="auto"/>
        <w:jc w:val="both"/>
        <w:rPr>
          <w:rFonts w:ascii="Times New Roman" w:eastAsia="Calibri" w:hAnsi="Times New Roman" w:cs="Times New Roman"/>
          <w:noProof/>
          <w:sz w:val="24"/>
        </w:rPr>
        <w:sectPr w:rsidR="003A3D51" w:rsidSect="0001477B">
          <w:headerReference w:type="even" r:id="rId216"/>
          <w:headerReference w:type="default" r:id="rId217"/>
          <w:footerReference w:type="even" r:id="rId218"/>
          <w:footerReference w:type="default" r:id="rId219"/>
          <w:headerReference w:type="first" r:id="rId220"/>
          <w:footerReference w:type="first" r:id="rId221"/>
          <w:pgSz w:w="15840" w:h="12240" w:orient="landscape"/>
          <w:pgMar w:top="1440" w:right="1440" w:bottom="1440" w:left="1440" w:header="708" w:footer="708" w:gutter="0"/>
          <w:cols w:space="708"/>
          <w:docGrid w:linePitch="360"/>
        </w:sectPr>
      </w:pPr>
    </w:p>
    <w:p w14:paraId="04E2C27F"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L. KOMPONENT 2.6: FÖREBYGGANDE OCH BEKÄMPANDE AV KORRUPTION</w:t>
      </w:r>
    </w:p>
    <w:p w14:paraId="0A4C4773" w14:textId="77777777" w:rsidR="003A3D51" w:rsidRDefault="0002775A">
      <w:pPr>
        <w:pStyle w:val="P68B1DB1-Normal3"/>
        <w:spacing w:before="120" w:after="120" w:line="240" w:lineRule="auto"/>
        <w:jc w:val="both"/>
        <w:rPr>
          <w:rFonts w:eastAsia="SimSun"/>
          <w:noProof/>
        </w:rPr>
      </w:pPr>
      <w:r>
        <w:rPr>
          <w:noProof/>
        </w:rPr>
        <w:t xml:space="preserve">Syftet med den del som ingår i Kroatiens återhämtnings- och resiliensplan är att stärka ramen för förebyggande och bestraffning av korruption genom åtgärder för att i) öka myndigheternas effektivitet, samstämmighet och öppenhet i kampen mot korruption, ii) förbättra genomförandet av lagen om rätt till tillgång till information, iii) förbättra företagsstyrningen i majoritetsägda företag inom lokala och regionala förvaltningsenheter och iv) stärka möjligheterna till rättslig prövning i förfaranden för offentlig upphandling. </w:t>
      </w:r>
    </w:p>
    <w:p w14:paraId="2B5DBAEE" w14:textId="77777777" w:rsidR="003A3D51" w:rsidRDefault="0002775A">
      <w:pPr>
        <w:pStyle w:val="P68B1DB1-Normal3"/>
        <w:spacing w:before="120" w:after="120" w:line="240" w:lineRule="auto"/>
        <w:jc w:val="both"/>
        <w:rPr>
          <w:noProof/>
        </w:rPr>
      </w:pPr>
      <w:r>
        <w:rPr>
          <w:noProof/>
        </w:rPr>
        <w:t>Komponenten stöder genomförandet av den landsspecifika rekommendationen om behovet av att ytterligare stärka ramen för förebyggande och bestraffning av korruption för att garantera en laglig, transparent och effektiv användning av offentliga medel (de landsspecifika rekommendationerna 4 och 2019).</w:t>
      </w:r>
    </w:p>
    <w:p w14:paraId="45D9001F" w14:textId="77777777" w:rsidR="003A3D51" w:rsidRDefault="003A3D51">
      <w:pPr>
        <w:spacing w:before="120" w:after="120" w:line="240" w:lineRule="auto"/>
        <w:ind w:left="850"/>
        <w:jc w:val="both"/>
        <w:rPr>
          <w:rFonts w:ascii="Times New Roman" w:eastAsia="Times New Roman" w:hAnsi="Times New Roman" w:cs="Times New Roman"/>
          <w:noProof/>
          <w:sz w:val="24"/>
        </w:rPr>
      </w:pPr>
    </w:p>
    <w:p w14:paraId="30E67FED" w14:textId="77777777" w:rsidR="003A3D51" w:rsidRDefault="0002775A">
      <w:pPr>
        <w:pStyle w:val="P68B1DB1-Normal4"/>
        <w:keepNext/>
        <w:tabs>
          <w:tab w:val="num" w:pos="850"/>
        </w:tabs>
        <w:spacing w:before="40" w:after="0"/>
        <w:ind w:left="851"/>
        <w:jc w:val="both"/>
        <w:outlineLvl w:val="1"/>
        <w:rPr>
          <w:noProof/>
        </w:rPr>
      </w:pPr>
      <w:r>
        <w:rPr>
          <w:noProof/>
        </w:rPr>
        <w:t xml:space="preserve">L.1. </w:t>
      </w:r>
      <w:r>
        <w:rPr>
          <w:noProof/>
        </w:rPr>
        <w:tab/>
        <w:t>Beskrivning av reformer och investeringar avseende icke återbetalningspliktigt ekonomiskt stöd</w:t>
      </w:r>
    </w:p>
    <w:p w14:paraId="15C678B3" w14:textId="77777777" w:rsidR="003A3D51" w:rsidRDefault="0002775A">
      <w:pPr>
        <w:pStyle w:val="P68B1DB1-Normal3"/>
        <w:spacing w:before="120" w:after="120" w:line="240" w:lineRule="auto"/>
        <w:ind w:left="851"/>
        <w:jc w:val="both"/>
        <w:rPr>
          <w:noProof/>
        </w:rPr>
      </w:pPr>
      <w:r>
        <w:rPr>
          <w:noProof/>
          <w:u w:val="single"/>
        </w:rPr>
        <w:t>Reform: C2.6.R1: Öka myndigheternas effektivitet, samstämmighet och öppenhet i kampen mot korruption genom digitalisering, öka insynen och förbättra samordningen.</w:t>
      </w:r>
      <w:r>
        <w:rPr>
          <w:noProof/>
        </w:rPr>
        <w:t xml:space="preserve"> </w:t>
      </w:r>
    </w:p>
    <w:p w14:paraId="7A111715" w14:textId="77777777" w:rsidR="003A3D51" w:rsidRDefault="0002775A">
      <w:pPr>
        <w:pStyle w:val="P68B1DB1-Normal3"/>
        <w:spacing w:before="120" w:after="120" w:line="240" w:lineRule="auto"/>
        <w:jc w:val="both"/>
        <w:rPr>
          <w:noProof/>
        </w:rPr>
      </w:pPr>
      <w:r>
        <w:rPr>
          <w:noProof/>
        </w:rPr>
        <w:t>Reformen ska förbättra samordningen och samarbetet mellan de myndigheter som deltar i genomförandet av nationella policydokument mot korruption genom användning av informationsteknik. Den ska också utveckla en informationsplattform för att tydligt informera medborgarna om den befintliga rättsliga ramen för förebyggande av korruption och tillgängliga verktyg. Reformen förväntas öka effektiviteten i den övergripande politiska ramen för korruptionsbekämpning.</w:t>
      </w:r>
    </w:p>
    <w:p w14:paraId="7CAF7956" w14:textId="77777777" w:rsidR="003A3D51" w:rsidRDefault="0002775A">
      <w:pPr>
        <w:pStyle w:val="P68B1DB1-Normal3"/>
        <w:spacing w:before="120" w:after="120" w:line="240" w:lineRule="auto"/>
        <w:jc w:val="both"/>
        <w:rPr>
          <w:noProof/>
        </w:rPr>
      </w:pPr>
      <w:r>
        <w:rPr>
          <w:noProof/>
        </w:rPr>
        <w:t>Reformen ska omfatta följande:</w:t>
      </w:r>
    </w:p>
    <w:p w14:paraId="72CECA0E" w14:textId="77777777" w:rsidR="003A3D51" w:rsidRDefault="0002775A">
      <w:pPr>
        <w:pStyle w:val="NormalWeb"/>
        <w:numPr>
          <w:ilvl w:val="0"/>
          <w:numId w:val="22"/>
        </w:numPr>
        <w:spacing w:before="120" w:after="120" w:line="240" w:lineRule="auto"/>
        <w:jc w:val="both"/>
        <w:rPr>
          <w:rFonts w:eastAsia="Calibri"/>
          <w:noProof/>
        </w:rPr>
      </w:pPr>
      <w:r>
        <w:rPr>
          <w:noProof/>
        </w:rPr>
        <w:t xml:space="preserve">En ny strategi för korruptionsbekämpning för 2021–2030 för att stärka den institutionella och normativa ramen för korruptionsbekämpning, öka insynen och öppenheten i de offentliga myndigheternas arbete, stärka integriteten och systemen för hantering av intressekonflikter, öka potentialen för korruptionsbekämpning i systemet för offentlig upphandling och öka allmänhetens medvetenhet om korruptionens skadlighet, behovet av att rapportera oriktigheter och öka insynen. Ändringar av lagen om förebyggande av intressekonflikter ska utvidga lagens tillämpningsområde till att omfatta företag som ägs av lokala och regionala förvaltningsenheter och företag som ägs av sådana företag, göra redovisning av tillgångar obligatorisk och avhjälpa eventuella intressekonflikter. </w:t>
      </w:r>
    </w:p>
    <w:p w14:paraId="022A77FF" w14:textId="77777777" w:rsidR="003A3D51" w:rsidRDefault="0002775A">
      <w:pPr>
        <w:pStyle w:val="P68B1DB1-Normal11"/>
        <w:numPr>
          <w:ilvl w:val="0"/>
          <w:numId w:val="22"/>
        </w:numPr>
        <w:spacing w:before="120" w:after="120" w:line="240" w:lineRule="auto"/>
        <w:jc w:val="both"/>
        <w:rPr>
          <w:rFonts w:eastAsia="Calibri"/>
          <w:noProof/>
        </w:rPr>
      </w:pPr>
      <w:r>
        <w:rPr>
          <w:noProof/>
        </w:rPr>
        <w:t>Ändring av lagen om skydd för personer som rapporterar oegentligheter i syfte att förbättra bestämmelserna i lagen och anpassa den till EU:s regelverk.</w:t>
      </w:r>
    </w:p>
    <w:p w14:paraId="324A1D52" w14:textId="77777777" w:rsidR="003A3D51" w:rsidRDefault="0002775A">
      <w:pPr>
        <w:pStyle w:val="P68B1DB1-Normal11"/>
        <w:numPr>
          <w:ilvl w:val="0"/>
          <w:numId w:val="22"/>
        </w:numPr>
        <w:spacing w:before="120" w:after="120" w:line="240" w:lineRule="auto"/>
        <w:jc w:val="both"/>
        <w:rPr>
          <w:rFonts w:eastAsia="Calibri"/>
          <w:noProof/>
        </w:rPr>
      </w:pPr>
      <w:r>
        <w:rPr>
          <w:noProof/>
        </w:rPr>
        <w:t>Anta etiska regler för parlamentsledamöter och etiska regler för regeringstjänstemän för att ge vägledning om intressekonflikter och andra integritetsfrågor.</w:t>
      </w:r>
    </w:p>
    <w:p w14:paraId="6053A8A8" w14:textId="77777777" w:rsidR="003A3D51" w:rsidRDefault="0002775A">
      <w:pPr>
        <w:pStyle w:val="P68B1DB1-Normal11"/>
        <w:numPr>
          <w:ilvl w:val="0"/>
          <w:numId w:val="22"/>
        </w:numPr>
        <w:spacing w:before="120" w:after="120" w:line="240" w:lineRule="auto"/>
        <w:jc w:val="both"/>
        <w:rPr>
          <w:rFonts w:eastAsia="Calibri"/>
          <w:noProof/>
        </w:rPr>
      </w:pPr>
      <w:r>
        <w:rPr>
          <w:noProof/>
        </w:rPr>
        <w:t>Inrättande av it-mekanismer för att genomföra och övervaka genomförandet av nationella åtgärder mot korruption.</w:t>
      </w:r>
    </w:p>
    <w:p w14:paraId="047A2C05" w14:textId="77777777" w:rsidR="003A3D51" w:rsidRDefault="0002775A">
      <w:pPr>
        <w:numPr>
          <w:ilvl w:val="0"/>
          <w:numId w:val="22"/>
        </w:numPr>
        <w:spacing w:before="120" w:after="120" w:line="240" w:lineRule="auto"/>
        <w:jc w:val="both"/>
        <w:rPr>
          <w:rFonts w:ascii="Times New Roman" w:eastAsia="Calibri" w:hAnsi="Times New Roman" w:cs="Times New Roman"/>
          <w:noProof/>
          <w:sz w:val="24"/>
        </w:rPr>
      </w:pPr>
      <w:r>
        <w:rPr>
          <w:rFonts w:ascii="Times New Roman" w:eastAsia="Times New Roman" w:hAnsi="Times New Roman" w:cs="Times New Roman"/>
          <w:noProof/>
          <w:sz w:val="24"/>
        </w:rPr>
        <w:t>Öka de korruptionsbekämpande organens mänskliga och tekniska kapacitet inom rättsväsendet för att minska den genomsnittliga handläggningstiden för mål om korruption och organiserad brottslighet med</w:t>
      </w:r>
      <w:r>
        <w:rPr>
          <w:rFonts w:ascii="Times New Roman" w:eastAsia="Calibri" w:hAnsi="Times New Roman" w:cs="Times New Roman"/>
          <w:noProof/>
          <w:sz w:val="20"/>
        </w:rPr>
        <w:t xml:space="preserve"> </w:t>
      </w:r>
      <w:r>
        <w:rPr>
          <w:rFonts w:ascii="Times New Roman" w:eastAsia="Times New Roman" w:hAnsi="Times New Roman" w:cs="Times New Roman"/>
          <w:noProof/>
          <w:sz w:val="24"/>
        </w:rPr>
        <w:t>200 dagar.</w:t>
      </w:r>
    </w:p>
    <w:p w14:paraId="7B04C46E" w14:textId="626D7FCD" w:rsidR="003A3D51" w:rsidRDefault="0002775A">
      <w:pPr>
        <w:pStyle w:val="P68B1DB1-Normal3"/>
        <w:spacing w:before="120" w:after="120" w:line="240" w:lineRule="auto"/>
        <w:jc w:val="both"/>
        <w:rPr>
          <w:noProof/>
        </w:rPr>
      </w:pPr>
      <w:r>
        <w:rPr>
          <w:noProof/>
        </w:rPr>
        <w:t>Reformen ska vara helt genomförd senast den 30 juni 2026.</w:t>
      </w:r>
    </w:p>
    <w:p w14:paraId="00F09CD6" w14:textId="77777777" w:rsidR="003A3D51" w:rsidRDefault="0002775A">
      <w:pPr>
        <w:pStyle w:val="P68B1DB1-Normal5"/>
        <w:keepNext/>
        <w:spacing w:before="120" w:after="120" w:line="240" w:lineRule="auto"/>
        <w:ind w:left="850"/>
        <w:jc w:val="both"/>
        <w:rPr>
          <w:noProof/>
        </w:rPr>
      </w:pPr>
      <w:r>
        <w:rPr>
          <w:noProof/>
        </w:rPr>
        <w:t>Investeringarna: C2.6.R1-I1: Engagera allmänheten i kampen mot korruption genom att öka allmänhetens medvetenhet om korruptionens skadlighet, behovet av förebyggande åtgärder och rättsligt skydd för rapporterande personer.</w:t>
      </w:r>
    </w:p>
    <w:p w14:paraId="29BD6E5F" w14:textId="77777777" w:rsidR="003A3D51" w:rsidRDefault="0002775A">
      <w:pPr>
        <w:pStyle w:val="P68B1DB1-Normal3"/>
        <w:spacing w:before="120" w:after="120" w:line="240" w:lineRule="auto"/>
        <w:jc w:val="both"/>
        <w:rPr>
          <w:noProof/>
        </w:rPr>
      </w:pPr>
      <w:r>
        <w:rPr>
          <w:noProof/>
        </w:rPr>
        <w:t>Syftet med investeringen är att öka medvetenheten hos allmänheten, tjänstemän och tjänstemän inom offentlig förvaltning om korruptionens skadlighet, behovet av att förebygga och bekämpa korruption samt om befintliga rapporteringskanaler och mekanismer för skydd av visselblåsare. Denna investering ska omfatta en nationell informationskampanj i syfte att uppmuntra medborgarna att anmäla oegentligheter. Informationskampanjen ska omfatta innehåll som förespråkar ansvarsskyldighet och öppnare arbete inom den offentliga förvaltningen och ska omfatta information om institutionernas förväntade arbetsnormer, kommunikationsmekanismer med institutionerna, åtgärder mot korruption som vidtas för att skapa en kultur av intolerans mot korruption och hur mekanismerna för korruptionsbekämpning fungerar.</w:t>
      </w:r>
    </w:p>
    <w:p w14:paraId="634007EE" w14:textId="77777777" w:rsidR="003A3D51" w:rsidRDefault="0002775A">
      <w:pPr>
        <w:pStyle w:val="P68B1DB1-Normal3"/>
        <w:spacing w:before="120" w:after="120" w:line="240" w:lineRule="auto"/>
        <w:jc w:val="both"/>
        <w:rPr>
          <w:noProof/>
        </w:rPr>
      </w:pPr>
      <w:r>
        <w:rPr>
          <w:noProof/>
        </w:rPr>
        <w:t xml:space="preserve">Informationskampanjen ska göra befintliga lösningar mot korruption synliga och igenkännliga för en majoritet av kroatiska medborgare att det finns en rättslig ram för förebyggande av korruption och det skydd som denna rättsliga ram ger. Den ska använda olika kommunikationskanaler, såsom mediekampanjer, konferenser och andra evenemang, rundabordssamtal för regeringstjänstemän och icke-statliga organisationer, workshoppar för journalister och skolutbildning. </w:t>
      </w:r>
    </w:p>
    <w:p w14:paraId="2A7D1D80" w14:textId="77777777" w:rsidR="003A3D51" w:rsidRDefault="0002775A">
      <w:pPr>
        <w:pStyle w:val="P68B1DB1-Normal3"/>
        <w:spacing w:before="120" w:after="120" w:line="240" w:lineRule="auto"/>
        <w:jc w:val="both"/>
        <w:rPr>
          <w:noProof/>
        </w:rPr>
      </w:pPr>
      <w:r>
        <w:rPr>
          <w:noProof/>
        </w:rPr>
        <w:t>Investeringen ska vara helt genomförd senast den 31 december 2024.</w:t>
      </w:r>
    </w:p>
    <w:p w14:paraId="1CE1862D" w14:textId="77777777" w:rsidR="003A3D51" w:rsidRDefault="0002775A">
      <w:pPr>
        <w:pStyle w:val="P68B1DB1-Normal5"/>
        <w:keepNext/>
        <w:spacing w:before="120" w:after="120" w:line="240" w:lineRule="auto"/>
        <w:ind w:left="850"/>
        <w:jc w:val="both"/>
        <w:rPr>
          <w:noProof/>
        </w:rPr>
      </w:pPr>
      <w:r>
        <w:rPr>
          <w:noProof/>
        </w:rPr>
        <w:t>Investeringarna: C2.6.R1-I2: Digitalisering av det etiska systemet för offentliganställda.</w:t>
      </w:r>
    </w:p>
    <w:p w14:paraId="12E53B8D" w14:textId="77777777" w:rsidR="003A3D51" w:rsidRDefault="0002775A">
      <w:pPr>
        <w:pStyle w:val="P68B1DB1-Normal3"/>
        <w:spacing w:before="120" w:after="120" w:line="240" w:lineRule="auto"/>
        <w:jc w:val="both"/>
        <w:rPr>
          <w:noProof/>
        </w:rPr>
      </w:pPr>
      <w:r>
        <w:rPr>
          <w:noProof/>
        </w:rPr>
        <w:t>Investeringen ska omfatta utveckling och idrifttagande av ett elektroniskt system för förvaltning av etisk infrastruktur för att modernisera och förbättra det arbete som utförs av etikkommissionärerna, etikkommissionen och de tjänstemän som är anställda vid tjänsten för etik och integritet.</w:t>
      </w:r>
    </w:p>
    <w:p w14:paraId="7F2A4378" w14:textId="77777777" w:rsidR="003A3D51" w:rsidRDefault="0002775A">
      <w:pPr>
        <w:pStyle w:val="P68B1DB1-Normal3"/>
        <w:spacing w:before="120" w:after="120" w:line="240" w:lineRule="auto"/>
        <w:jc w:val="both"/>
        <w:rPr>
          <w:noProof/>
        </w:rPr>
      </w:pPr>
      <w:r>
        <w:rPr>
          <w:noProof/>
        </w:rPr>
        <w:t>Investeringen ska vara helt genomförd senast den 31 december 2025.</w:t>
      </w:r>
    </w:p>
    <w:p w14:paraId="136B5C17" w14:textId="77777777" w:rsidR="003A3D51" w:rsidRDefault="0002775A">
      <w:pPr>
        <w:pStyle w:val="P68B1DB1-Normal5"/>
        <w:keepNext/>
        <w:spacing w:before="120" w:after="120" w:line="240" w:lineRule="auto"/>
        <w:ind w:left="850"/>
        <w:jc w:val="both"/>
        <w:rPr>
          <w:noProof/>
        </w:rPr>
      </w:pPr>
      <w:r>
        <w:rPr>
          <w:noProof/>
        </w:rPr>
        <w:t>Investeringarna: C2.6.R1-I3: Förbättra statstjänstemännens it-system för redovisning av tillgångar.</w:t>
      </w:r>
    </w:p>
    <w:p w14:paraId="18B89DD3" w14:textId="77777777" w:rsidR="003A3D51" w:rsidRDefault="0002775A">
      <w:pPr>
        <w:pStyle w:val="P68B1DB1-Normal3"/>
        <w:spacing w:before="120" w:after="120" w:line="240" w:lineRule="auto"/>
        <w:jc w:val="both"/>
        <w:rPr>
          <w:noProof/>
        </w:rPr>
      </w:pPr>
      <w:r>
        <w:rPr>
          <w:noProof/>
        </w:rPr>
        <w:t xml:space="preserve">Syftet med investeringen är att ytterligare stärka förfarandet för inlämning och behandling av tjänstemäns egendomsdeklarationer genom att automatisera vissa av processerna i det befintliga it-systemet för inlämning av en tjänstemans redovisning av tillgångar. </w:t>
      </w:r>
    </w:p>
    <w:p w14:paraId="7D8B555B" w14:textId="77777777" w:rsidR="003A3D51" w:rsidRDefault="0002775A">
      <w:pPr>
        <w:pStyle w:val="P68B1DB1-Normal3"/>
        <w:spacing w:before="120" w:after="120" w:line="240" w:lineRule="auto"/>
        <w:jc w:val="both"/>
        <w:rPr>
          <w:noProof/>
        </w:rPr>
      </w:pPr>
      <w:r>
        <w:rPr>
          <w:noProof/>
        </w:rPr>
        <w:t>Investeringen ska vara slutförd senast den 30 juni 2024.</w:t>
      </w:r>
    </w:p>
    <w:p w14:paraId="65567C9E" w14:textId="77777777" w:rsidR="003A3D51" w:rsidRDefault="0002775A">
      <w:pPr>
        <w:pStyle w:val="P68B1DB1-Normal5"/>
        <w:keepNext/>
        <w:spacing w:before="120" w:after="120" w:line="240" w:lineRule="auto"/>
        <w:ind w:left="850"/>
        <w:jc w:val="both"/>
        <w:rPr>
          <w:noProof/>
        </w:rPr>
      </w:pPr>
      <w:r>
        <w:rPr>
          <w:noProof/>
        </w:rPr>
        <w:t>Investeringarna: C2.6.R1-I4: Stödja effektiviteten i kampen mot korruption och organiserad brottslighet.</w:t>
      </w:r>
    </w:p>
    <w:p w14:paraId="41F79D47" w14:textId="77777777" w:rsidR="003A3D51" w:rsidRDefault="0002775A">
      <w:pPr>
        <w:pStyle w:val="P68B1DB1-Normal3"/>
        <w:spacing w:before="120" w:after="120" w:line="240" w:lineRule="auto"/>
        <w:jc w:val="both"/>
        <w:rPr>
          <w:noProof/>
        </w:rPr>
      </w:pPr>
      <w:r>
        <w:rPr>
          <w:noProof/>
        </w:rPr>
        <w:t>Syftet med investeringen är att effektivisera kampen mot korruption och organiserad brottslighet genom att stärka personal- och infrastrukturkapaciteten vid den nationella polisbyrån för bekämpning av korruption och organiserad brottslighet (PNUSKOK). Investeringen ska omfatta renovering och utrustning med smart teknik vid 4 regionala centrum vid den nationella polisbyrån för bekämpning av korruption och organiserad brottslighet (PN USKOK). Renoveringen av den gamla och uttjänta inkvarteringskapaciteten vid anläggningarna i Zagreb och Split ska skapa förutsättningar för att alla centrum i systemet med regionala centrum för bekämpning av organiserad och grov brottslighet, ekonomisk brottslighet och korruption ska fungera.  Utbildning, coachning och utbyte av bästa praxis skulle äga rum i de nyinrättade lokalerna, som en del av PNUSKOK, och genom utbildning och handledning av kriminalpoliser från alla polisdirektorat, vilket skulle skapa en ny nivå av strategi i kampen mot organiserad brottslighet genom en förebyggande och bestraffande aspekt.</w:t>
      </w:r>
    </w:p>
    <w:p w14:paraId="53598B80" w14:textId="77777777" w:rsidR="003A3D51" w:rsidRDefault="0002775A">
      <w:pPr>
        <w:pStyle w:val="P68B1DB1-Normal3"/>
        <w:spacing w:before="120" w:after="120" w:line="240" w:lineRule="auto"/>
        <w:jc w:val="both"/>
        <w:rPr>
          <w:noProof/>
        </w:rPr>
      </w:pPr>
      <w:r>
        <w:rPr>
          <w:noProof/>
        </w:rPr>
        <w:t>Investeringen ska vara slutförd senast den 30 juni 2025.</w:t>
      </w:r>
    </w:p>
    <w:p w14:paraId="2D499E1E" w14:textId="77777777" w:rsidR="003A3D51" w:rsidRDefault="0002775A">
      <w:pPr>
        <w:pStyle w:val="P68B1DB1-Normal5"/>
        <w:keepNext/>
        <w:spacing w:before="120" w:after="120" w:line="240" w:lineRule="auto"/>
        <w:ind w:left="850"/>
        <w:jc w:val="both"/>
        <w:rPr>
          <w:noProof/>
        </w:rPr>
      </w:pPr>
      <w:r>
        <w:rPr>
          <w:noProof/>
        </w:rPr>
        <w:t>Reform: C2.6.R2: Förbättra genomförandet av lagen om rätt till tillgång till information.</w:t>
      </w:r>
    </w:p>
    <w:p w14:paraId="7C43BEF5" w14:textId="77777777" w:rsidR="003A3D51" w:rsidRDefault="0002775A">
      <w:pPr>
        <w:pStyle w:val="P68B1DB1-Normal3"/>
        <w:spacing w:before="120" w:after="120" w:line="240" w:lineRule="auto"/>
        <w:jc w:val="both"/>
        <w:rPr>
          <w:noProof/>
        </w:rPr>
      </w:pPr>
      <w:r>
        <w:rPr>
          <w:noProof/>
        </w:rPr>
        <w:t xml:space="preserve">Lagen om rätt till tillgång till information är det viktigaste instrumentet för att utöva medborgarnas konstitutionellt garanterade rätt att få tillgång till information som innehas av offentliga myndigheter för att säkerställa insyn och öppenhet i regeringen och i kampen mot korruption. Reformen ska omfatta en ingående utvärdering av lagen och dess inverkan på utövandet av rätten till information, både ur användarnas och myndigheternas perspektiv, följt av antagandet av ändringar av lagen om rätt till tillgång för att återspegla rekommendationen från utvärderingen. </w:t>
      </w:r>
    </w:p>
    <w:p w14:paraId="4E01C9F2" w14:textId="77777777" w:rsidR="003A3D51" w:rsidRDefault="0002775A">
      <w:pPr>
        <w:pStyle w:val="P68B1DB1-Normal3"/>
        <w:spacing w:before="120" w:after="120" w:line="240" w:lineRule="auto"/>
        <w:jc w:val="both"/>
        <w:rPr>
          <w:noProof/>
        </w:rPr>
      </w:pPr>
      <w:r>
        <w:rPr>
          <w:noProof/>
        </w:rPr>
        <w:t>Reformen ska vara genomförd senast den 31 december 2023.</w:t>
      </w:r>
    </w:p>
    <w:p w14:paraId="35AD1604" w14:textId="77777777" w:rsidR="003A3D51" w:rsidRDefault="0002775A">
      <w:pPr>
        <w:pStyle w:val="P68B1DB1-Normal5"/>
        <w:keepNext/>
        <w:spacing w:before="120" w:after="120" w:line="240" w:lineRule="auto"/>
        <w:ind w:left="850"/>
        <w:jc w:val="both"/>
        <w:rPr>
          <w:noProof/>
        </w:rPr>
      </w:pPr>
      <w:r>
        <w:rPr>
          <w:noProof/>
        </w:rPr>
        <w:t>Reform: C2.6.R3: Förbättra företagsstyrningen i majoritetsägda företag i lokala och regionala förvaltningsenheter.</w:t>
      </w:r>
    </w:p>
    <w:p w14:paraId="4C326DC5" w14:textId="77777777" w:rsidR="003A3D51" w:rsidRDefault="0002775A">
      <w:pPr>
        <w:pStyle w:val="P68B1DB1-Normal3"/>
        <w:spacing w:before="120" w:after="120" w:line="240" w:lineRule="auto"/>
        <w:jc w:val="both"/>
        <w:rPr>
          <w:noProof/>
        </w:rPr>
      </w:pPr>
      <w:r>
        <w:rPr>
          <w:noProof/>
        </w:rPr>
        <w:t xml:space="preserve">Syftet med reformen är att förbättra effektiviteten, insynen och ansvarsskyldigheten i de lokala statligt ägda företagen genom att genomföra OECD:s rekommendationer om företagsstyrning som utfärdats till Kroatien, och att bedöma effekterna av genomförandet av programmet för korruptionsbekämpning 2021–2022 för majoritetsägda företag i lokala och regionala förvaltningsenheter.  </w:t>
      </w:r>
    </w:p>
    <w:p w14:paraId="45AA01FF" w14:textId="77777777" w:rsidR="003A3D51" w:rsidRDefault="0002775A">
      <w:pPr>
        <w:pStyle w:val="P68B1DB1-Normal3"/>
        <w:spacing w:before="120" w:after="120" w:line="240" w:lineRule="auto"/>
        <w:jc w:val="both"/>
        <w:rPr>
          <w:noProof/>
        </w:rPr>
      </w:pPr>
      <w:r>
        <w:rPr>
          <w:noProof/>
        </w:rPr>
        <w:t>Denna reform ska omfatta följande:</w:t>
      </w:r>
    </w:p>
    <w:p w14:paraId="261B6EE7" w14:textId="77777777" w:rsidR="003A3D51" w:rsidRDefault="0002775A">
      <w:pPr>
        <w:pStyle w:val="P68B1DB1-Normal3"/>
        <w:numPr>
          <w:ilvl w:val="0"/>
          <w:numId w:val="22"/>
        </w:numPr>
        <w:spacing w:before="120" w:after="120" w:line="240" w:lineRule="auto"/>
        <w:jc w:val="both"/>
        <w:rPr>
          <w:noProof/>
        </w:rPr>
      </w:pPr>
      <w:r>
        <w:rPr>
          <w:noProof/>
        </w:rPr>
        <w:t>Utarbeta en handbok för genomförandet av OECD:s rekommendationer om företagsstyrning i företag som till största delen ägs av lokala och regionala förvaltningsenheter.</w:t>
      </w:r>
    </w:p>
    <w:p w14:paraId="057A508A" w14:textId="77777777" w:rsidR="003A3D51" w:rsidRDefault="0002775A">
      <w:pPr>
        <w:pStyle w:val="P68B1DB1-Normal3"/>
        <w:numPr>
          <w:ilvl w:val="0"/>
          <w:numId w:val="22"/>
        </w:numPr>
        <w:spacing w:before="120" w:after="120" w:line="240" w:lineRule="auto"/>
        <w:jc w:val="both"/>
        <w:rPr>
          <w:noProof/>
        </w:rPr>
      </w:pPr>
      <w:r>
        <w:rPr>
          <w:noProof/>
        </w:rPr>
        <w:t>Skärpta kontroller av efterlevnaden av befintliga rättsliga skyldigheter i syfte att säkerställa en högre grad av insyn i det arbete som utförs av lokala och regionala förvaltningsenheter, majoritetsägda företag i lokala och regionala förvaltningsenheter och införande och genomförande av en funktion för regelefterlevnad i alla rättsliga enheter som är skyldiga att inrätta den.</w:t>
      </w:r>
    </w:p>
    <w:p w14:paraId="40706F96" w14:textId="77777777" w:rsidR="003A3D51" w:rsidRDefault="0002775A">
      <w:pPr>
        <w:pStyle w:val="P68B1DB1-Normal3"/>
        <w:numPr>
          <w:ilvl w:val="0"/>
          <w:numId w:val="22"/>
        </w:numPr>
        <w:spacing w:before="120" w:after="120" w:line="240" w:lineRule="auto"/>
        <w:jc w:val="both"/>
        <w:rPr>
          <w:noProof/>
        </w:rPr>
      </w:pPr>
      <w:r>
        <w:rPr>
          <w:noProof/>
        </w:rPr>
        <w:t>Utbilda företag om vikten av att genomföra strategier mot korruption, införa en etisk kod och en bättre etablerad funktion för regelefterlevnad, eftersom detta bekräftar att företaget noggrant genomför förebyggande av oetiskt beteende samt en organisationskultur som uppmuntrar etiskt beteende och efterlevnad.</w:t>
      </w:r>
    </w:p>
    <w:p w14:paraId="3475A2D6" w14:textId="77777777" w:rsidR="003A3D51" w:rsidRDefault="0002775A">
      <w:pPr>
        <w:pStyle w:val="P68B1DB1-Normal3"/>
        <w:spacing w:before="120" w:after="120" w:line="240" w:lineRule="auto"/>
        <w:jc w:val="both"/>
        <w:rPr>
          <w:noProof/>
        </w:rPr>
      </w:pPr>
      <w:r>
        <w:rPr>
          <w:noProof/>
        </w:rPr>
        <w:t>Reformen ska vara genomförd senast den 30 juni 2026.</w:t>
      </w:r>
    </w:p>
    <w:p w14:paraId="1FF4C150" w14:textId="77777777" w:rsidR="003A3D51" w:rsidRDefault="0002775A">
      <w:pPr>
        <w:pStyle w:val="P68B1DB1-Normal5"/>
        <w:keepNext/>
        <w:spacing w:before="120" w:after="120" w:line="240" w:lineRule="auto"/>
        <w:ind w:left="850"/>
        <w:jc w:val="both"/>
        <w:rPr>
          <w:noProof/>
        </w:rPr>
      </w:pPr>
      <w:r>
        <w:rPr>
          <w:noProof/>
        </w:rPr>
        <w:t>Reform: C2.6.R4: Stärka möjligheterna till rättslig prövning i förfaranden för offentlig upphandling.</w:t>
      </w:r>
    </w:p>
    <w:p w14:paraId="0BA8DE2D" w14:textId="5BECCD48" w:rsidR="003A3D51" w:rsidRDefault="0002775A">
      <w:pPr>
        <w:pStyle w:val="P68B1DB1-Normal3"/>
        <w:spacing w:before="120" w:after="120" w:line="240" w:lineRule="auto"/>
        <w:jc w:val="both"/>
        <w:rPr>
          <w:noProof/>
        </w:rPr>
      </w:pPr>
      <w:r>
        <w:rPr>
          <w:noProof/>
        </w:rPr>
        <w:t>Syftet med reformen är att stärka det rättsliga skyddet i förfaranden för offentlig upphandling genom utbildningsseminarier för domare som förväntas öka deras kunskaper och medvetenhet om hantering av korruptionsrisker och rättslig prövning i samband med förfaranden för offentlig upphandling. Seminarierna ska anordnas av rättsakademin som en del av den livslånga yrkesutvecklingen för tjänstemän inom rättsväsendet.</w:t>
      </w:r>
    </w:p>
    <w:p w14:paraId="014110AD" w14:textId="64D0B844" w:rsidR="003A3D51" w:rsidRDefault="0002775A">
      <w:pPr>
        <w:pStyle w:val="P68B1DB1-Normal3"/>
        <w:spacing w:before="120" w:after="120" w:line="240" w:lineRule="auto"/>
        <w:rPr>
          <w:rStyle w:val="normaltextrun"/>
          <w:noProof/>
        </w:rPr>
        <w:sectPr w:rsidR="003A3D51" w:rsidSect="0001477B">
          <w:headerReference w:type="even" r:id="rId222"/>
          <w:headerReference w:type="default" r:id="rId223"/>
          <w:footerReference w:type="even" r:id="rId224"/>
          <w:footerReference w:type="default" r:id="rId225"/>
          <w:headerReference w:type="first" r:id="rId226"/>
          <w:footerReference w:type="first" r:id="rId227"/>
          <w:pgSz w:w="12240" w:h="15840"/>
          <w:pgMar w:top="1440" w:right="1440" w:bottom="1440" w:left="1440" w:header="708" w:footer="708" w:gutter="0"/>
          <w:cols w:space="708"/>
          <w:docGrid w:linePitch="360"/>
        </w:sectPr>
      </w:pPr>
      <w:r>
        <w:rPr>
          <w:noProof/>
        </w:rPr>
        <w:t xml:space="preserve">Reformen ska vara genomförd senast den 30 juni 2024. </w:t>
      </w:r>
    </w:p>
    <w:p w14:paraId="0BBF6F49" w14:textId="77777777" w:rsidR="003A3D51" w:rsidRDefault="0002775A">
      <w:pPr>
        <w:pStyle w:val="P68B1DB1-Normal4"/>
        <w:keepNext/>
        <w:tabs>
          <w:tab w:val="num" w:pos="284"/>
        </w:tabs>
        <w:spacing w:before="40"/>
        <w:jc w:val="both"/>
        <w:outlineLvl w:val="1"/>
        <w:rPr>
          <w:noProof/>
        </w:rPr>
      </w:pPr>
      <w:r>
        <w:rPr>
          <w:noProof/>
        </w:rPr>
        <w:t xml:space="preserve">L.2. </w:t>
      </w:r>
      <w:r>
        <w:rPr>
          <w:noProof/>
        </w:rPr>
        <w:tab/>
        <w:t>Delmål, mål, indikatorer och tidsplan för övervakning och genomförande avseende icke återbetalningspliktigt ekonomiskt stöd</w:t>
      </w:r>
    </w:p>
    <w:tbl>
      <w:tblPr>
        <w:tblW w:w="5000" w:type="pct"/>
        <w:tblCellMar>
          <w:top w:w="28" w:type="dxa"/>
          <w:left w:w="28" w:type="dxa"/>
          <w:bottom w:w="28" w:type="dxa"/>
          <w:right w:w="28" w:type="dxa"/>
        </w:tblCellMar>
        <w:tblLook w:val="04A0" w:firstRow="1" w:lastRow="0" w:firstColumn="1" w:lastColumn="0" w:noHBand="0" w:noVBand="1"/>
      </w:tblPr>
      <w:tblGrid>
        <w:gridCol w:w="141"/>
        <w:gridCol w:w="220"/>
        <w:gridCol w:w="234"/>
        <w:gridCol w:w="2882"/>
        <w:gridCol w:w="2317"/>
        <w:gridCol w:w="151"/>
        <w:gridCol w:w="200"/>
        <w:gridCol w:w="118"/>
        <w:gridCol w:w="242"/>
        <w:gridCol w:w="146"/>
        <w:gridCol w:w="6365"/>
      </w:tblGrid>
      <w:tr w:rsidR="003A3D51" w14:paraId="35745F96" w14:textId="77777777" w:rsidTr="002B26E0">
        <w:trPr>
          <w:trHeight w:val="635"/>
          <w:tblHeader/>
        </w:trPr>
        <w:tc>
          <w:tcPr>
            <w:tcW w:w="309"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1D0D66" w14:textId="77777777" w:rsidR="003A3D51" w:rsidRDefault="0002775A">
            <w:pPr>
              <w:pStyle w:val="P68B1DB1-Normal6"/>
              <w:spacing w:after="0" w:line="276" w:lineRule="auto"/>
              <w:jc w:val="center"/>
              <w:rPr>
                <w:noProof/>
              </w:rPr>
            </w:pPr>
            <w:r>
              <w:rPr>
                <w:noProof/>
              </w:rPr>
              <w:t>Antal</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97DFA4" w14:textId="77777777" w:rsidR="003A3D51" w:rsidRDefault="0002775A">
            <w:pPr>
              <w:pStyle w:val="P68B1DB1-Normal6"/>
              <w:spacing w:after="0" w:line="276" w:lineRule="auto"/>
              <w:jc w:val="center"/>
              <w:rPr>
                <w:noProof/>
              </w:rPr>
            </w:pPr>
            <w:r>
              <w:rPr>
                <w:noProof/>
              </w:rPr>
              <w:t>Åtgärd</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86B6B65" w14:textId="77777777" w:rsidR="003A3D51" w:rsidRDefault="0002775A">
            <w:pPr>
              <w:pStyle w:val="P68B1DB1-Normal6"/>
              <w:spacing w:after="0" w:line="276" w:lineRule="auto"/>
              <w:jc w:val="center"/>
              <w:rPr>
                <w:noProof/>
              </w:rPr>
            </w:pPr>
            <w:r>
              <w:rPr>
                <w:noProof/>
              </w:rPr>
              <w:t>Delmål/mål</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03F335" w14:textId="77777777" w:rsidR="003A3D51" w:rsidRDefault="0002775A">
            <w:pPr>
              <w:pStyle w:val="P68B1DB1-Normal6"/>
              <w:spacing w:after="0" w:line="276" w:lineRule="auto"/>
              <w:jc w:val="center"/>
              <w:rPr>
                <w:noProof/>
              </w:rPr>
            </w:pPr>
            <w:r>
              <w:rPr>
                <w:noProof/>
              </w:rPr>
              <w:t>Namn</w:t>
            </w:r>
          </w:p>
        </w:tc>
        <w:tc>
          <w:tcPr>
            <w:tcW w:w="879"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961949"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884"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F54E7F9"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468" w:type="pct"/>
            <w:gridSpan w:val="2"/>
            <w:tcBorders>
              <w:top w:val="single" w:sz="4" w:space="0" w:color="auto"/>
              <w:left w:val="nil"/>
              <w:bottom w:val="single" w:sz="4" w:space="0" w:color="auto"/>
              <w:right w:val="single" w:sz="4" w:space="0" w:color="auto"/>
            </w:tcBorders>
            <w:shd w:val="clear" w:color="auto" w:fill="BDD7EE"/>
            <w:vAlign w:val="center"/>
            <w:hideMark/>
          </w:tcPr>
          <w:p w14:paraId="27542F39" w14:textId="77777777" w:rsidR="003A3D51" w:rsidRDefault="0002775A">
            <w:pPr>
              <w:pStyle w:val="P68B1DB1-Normal6"/>
              <w:spacing w:after="0" w:line="276" w:lineRule="auto"/>
              <w:jc w:val="center"/>
              <w:rPr>
                <w:noProof/>
              </w:rPr>
            </w:pPr>
            <w:r>
              <w:rPr>
                <w:noProof/>
              </w:rPr>
              <w:t>Tid</w:t>
            </w:r>
          </w:p>
        </w:tc>
        <w:tc>
          <w:tcPr>
            <w:tcW w:w="115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A4699C" w14:textId="77777777" w:rsidR="003A3D51" w:rsidRDefault="0002775A">
            <w:pPr>
              <w:pStyle w:val="P68B1DB1-Normal6"/>
              <w:spacing w:after="0" w:line="276" w:lineRule="auto"/>
              <w:jc w:val="center"/>
              <w:rPr>
                <w:noProof/>
              </w:rPr>
            </w:pPr>
            <w:r>
              <w:rPr>
                <w:noProof/>
              </w:rPr>
              <w:t>Beskrivning av varje delmål och mål</w:t>
            </w:r>
          </w:p>
        </w:tc>
      </w:tr>
      <w:tr w:rsidR="003A3D51" w14:paraId="7BACC25B" w14:textId="77777777" w:rsidTr="002B26E0">
        <w:trPr>
          <w:trHeight w:val="503"/>
          <w:tblHeader/>
        </w:trPr>
        <w:tc>
          <w:tcPr>
            <w:tcW w:w="309" w:type="pct"/>
            <w:vMerge/>
            <w:tcBorders>
              <w:top w:val="single" w:sz="4" w:space="0" w:color="auto"/>
              <w:left w:val="single" w:sz="4" w:space="0" w:color="auto"/>
              <w:bottom w:val="single" w:sz="4" w:space="0" w:color="auto"/>
              <w:right w:val="single" w:sz="4" w:space="0" w:color="auto"/>
            </w:tcBorders>
            <w:hideMark/>
          </w:tcPr>
          <w:p w14:paraId="4C83D622" w14:textId="77777777" w:rsidR="003A3D51" w:rsidRDefault="003A3D51">
            <w:pPr>
              <w:spacing w:after="0" w:line="276" w:lineRule="auto"/>
              <w:jc w:val="center"/>
              <w:rPr>
                <w:rFonts w:ascii="Times New Roman" w:eastAsia="Times New Roman" w:hAnsi="Times New Roman" w:cs="Times New Roman"/>
                <w:b/>
                <w:noProof/>
              </w:rPr>
            </w:pPr>
          </w:p>
        </w:tc>
        <w:tc>
          <w:tcPr>
            <w:tcW w:w="353" w:type="pct"/>
            <w:vMerge/>
            <w:tcBorders>
              <w:top w:val="single" w:sz="4" w:space="0" w:color="auto"/>
              <w:left w:val="single" w:sz="4" w:space="0" w:color="auto"/>
              <w:bottom w:val="single" w:sz="4" w:space="0" w:color="auto"/>
              <w:right w:val="single" w:sz="4" w:space="0" w:color="auto"/>
            </w:tcBorders>
            <w:hideMark/>
          </w:tcPr>
          <w:p w14:paraId="78BAAB9E" w14:textId="77777777" w:rsidR="003A3D51" w:rsidRDefault="003A3D51">
            <w:pPr>
              <w:spacing w:after="0" w:line="276" w:lineRule="auto"/>
              <w:jc w:val="center"/>
              <w:rPr>
                <w:rFonts w:ascii="Times New Roman" w:eastAsia="Times New Roman" w:hAnsi="Times New Roman" w:cs="Times New Roman"/>
                <w:b/>
                <w:noProof/>
              </w:rPr>
            </w:pPr>
          </w:p>
        </w:tc>
        <w:tc>
          <w:tcPr>
            <w:tcW w:w="308" w:type="pct"/>
            <w:vMerge/>
            <w:tcBorders>
              <w:top w:val="single" w:sz="4" w:space="0" w:color="auto"/>
              <w:left w:val="single" w:sz="4" w:space="0" w:color="auto"/>
              <w:bottom w:val="single" w:sz="4" w:space="0" w:color="auto"/>
              <w:right w:val="single" w:sz="4" w:space="0" w:color="auto"/>
            </w:tcBorders>
            <w:hideMark/>
          </w:tcPr>
          <w:p w14:paraId="2C56C15D" w14:textId="77777777" w:rsidR="003A3D51" w:rsidRDefault="003A3D51">
            <w:pPr>
              <w:spacing w:after="0" w:line="276" w:lineRule="auto"/>
              <w:jc w:val="center"/>
              <w:rPr>
                <w:rFonts w:ascii="Times New Roman" w:eastAsia="Times New Roman" w:hAnsi="Times New Roman" w:cs="Times New Roman"/>
                <w:b/>
                <w:noProof/>
              </w:rPr>
            </w:pPr>
          </w:p>
        </w:tc>
        <w:tc>
          <w:tcPr>
            <w:tcW w:w="642" w:type="pct"/>
            <w:vMerge/>
            <w:tcBorders>
              <w:top w:val="single" w:sz="4" w:space="0" w:color="auto"/>
              <w:left w:val="single" w:sz="4" w:space="0" w:color="auto"/>
              <w:bottom w:val="single" w:sz="4" w:space="0" w:color="auto"/>
              <w:right w:val="single" w:sz="4" w:space="0" w:color="auto"/>
            </w:tcBorders>
            <w:hideMark/>
          </w:tcPr>
          <w:p w14:paraId="1744D518" w14:textId="77777777" w:rsidR="003A3D51" w:rsidRDefault="003A3D51">
            <w:pPr>
              <w:spacing w:after="0" w:line="276" w:lineRule="auto"/>
              <w:rPr>
                <w:rFonts w:ascii="Times New Roman" w:eastAsia="Times New Roman" w:hAnsi="Times New Roman" w:cs="Times New Roman"/>
                <w:b/>
                <w:noProof/>
              </w:rPr>
            </w:pPr>
          </w:p>
        </w:tc>
        <w:tc>
          <w:tcPr>
            <w:tcW w:w="879" w:type="pct"/>
            <w:vMerge/>
            <w:tcBorders>
              <w:top w:val="single" w:sz="4" w:space="0" w:color="auto"/>
              <w:left w:val="single" w:sz="4" w:space="0" w:color="auto"/>
              <w:bottom w:val="single" w:sz="4" w:space="0" w:color="auto"/>
              <w:right w:val="single" w:sz="4" w:space="0" w:color="auto"/>
            </w:tcBorders>
            <w:hideMark/>
          </w:tcPr>
          <w:p w14:paraId="46AFB80F" w14:textId="77777777" w:rsidR="003A3D51" w:rsidRDefault="003A3D51">
            <w:pPr>
              <w:spacing w:after="0" w:line="276" w:lineRule="auto"/>
              <w:rPr>
                <w:rFonts w:ascii="Times New Roman" w:eastAsia="Times New Roman" w:hAnsi="Times New Roman" w:cs="Times New Roman"/>
                <w:b/>
                <w:noProof/>
              </w:rPr>
            </w:pPr>
          </w:p>
        </w:tc>
        <w:tc>
          <w:tcPr>
            <w:tcW w:w="363" w:type="pct"/>
            <w:tcBorders>
              <w:top w:val="nil"/>
              <w:left w:val="single" w:sz="4" w:space="0" w:color="auto"/>
              <w:bottom w:val="single" w:sz="4" w:space="0" w:color="auto"/>
              <w:right w:val="single" w:sz="4" w:space="0" w:color="auto"/>
            </w:tcBorders>
            <w:shd w:val="clear" w:color="auto" w:fill="BDD7EE"/>
            <w:vAlign w:val="center"/>
            <w:hideMark/>
          </w:tcPr>
          <w:p w14:paraId="5E34F615" w14:textId="77777777" w:rsidR="003A3D51" w:rsidRDefault="0002775A">
            <w:pPr>
              <w:pStyle w:val="P68B1DB1-Normal6"/>
              <w:spacing w:after="0" w:line="276" w:lineRule="auto"/>
              <w:jc w:val="center"/>
              <w:rPr>
                <w:noProof/>
              </w:rPr>
            </w:pPr>
            <w:r>
              <w:rPr>
                <w:noProof/>
              </w:rPr>
              <w:t>Enhet</w:t>
            </w:r>
          </w:p>
        </w:tc>
        <w:tc>
          <w:tcPr>
            <w:tcW w:w="257" w:type="pct"/>
            <w:tcBorders>
              <w:top w:val="nil"/>
              <w:left w:val="nil"/>
              <w:bottom w:val="single" w:sz="4" w:space="0" w:color="auto"/>
              <w:right w:val="single" w:sz="4" w:space="0" w:color="auto"/>
            </w:tcBorders>
            <w:shd w:val="clear" w:color="auto" w:fill="BDD7EE"/>
            <w:vAlign w:val="center"/>
            <w:hideMark/>
          </w:tcPr>
          <w:p w14:paraId="30D16D47" w14:textId="77777777" w:rsidR="003A3D51" w:rsidRDefault="0002775A">
            <w:pPr>
              <w:pStyle w:val="P68B1DB1-Normal6"/>
              <w:spacing w:after="0" w:line="276" w:lineRule="auto"/>
              <w:jc w:val="center"/>
              <w:rPr>
                <w:noProof/>
              </w:rPr>
            </w:pPr>
            <w:r>
              <w:rPr>
                <w:noProof/>
              </w:rPr>
              <w:t>Baslinjen</w:t>
            </w:r>
          </w:p>
        </w:tc>
        <w:tc>
          <w:tcPr>
            <w:tcW w:w="264" w:type="pct"/>
            <w:tcBorders>
              <w:top w:val="nil"/>
              <w:left w:val="nil"/>
              <w:bottom w:val="single" w:sz="4" w:space="0" w:color="auto"/>
              <w:right w:val="single" w:sz="4" w:space="0" w:color="auto"/>
            </w:tcBorders>
            <w:shd w:val="clear" w:color="auto" w:fill="BDD7EE"/>
            <w:vAlign w:val="center"/>
            <w:hideMark/>
          </w:tcPr>
          <w:p w14:paraId="6D5A1AFA" w14:textId="77777777" w:rsidR="003A3D51" w:rsidRDefault="0002775A">
            <w:pPr>
              <w:pStyle w:val="P68B1DB1-Normal6"/>
              <w:spacing w:after="0" w:line="276" w:lineRule="auto"/>
              <w:jc w:val="center"/>
              <w:rPr>
                <w:noProof/>
              </w:rPr>
            </w:pPr>
            <w:r>
              <w:rPr>
                <w:noProof/>
              </w:rPr>
              <w:t>Mål</w:t>
            </w:r>
          </w:p>
        </w:tc>
        <w:tc>
          <w:tcPr>
            <w:tcW w:w="247" w:type="pct"/>
            <w:tcBorders>
              <w:top w:val="nil"/>
              <w:left w:val="nil"/>
              <w:bottom w:val="single" w:sz="4" w:space="0" w:color="auto"/>
              <w:right w:val="single" w:sz="4" w:space="0" w:color="auto"/>
            </w:tcBorders>
            <w:shd w:val="clear" w:color="auto" w:fill="BDD7EE"/>
            <w:vAlign w:val="center"/>
            <w:hideMark/>
          </w:tcPr>
          <w:p w14:paraId="34C9CF06" w14:textId="77777777" w:rsidR="003A3D51" w:rsidRDefault="0002775A">
            <w:pPr>
              <w:pStyle w:val="P68B1DB1-Normal6"/>
              <w:spacing w:after="0" w:line="276" w:lineRule="auto"/>
              <w:jc w:val="center"/>
              <w:rPr>
                <w:noProof/>
              </w:rPr>
            </w:pPr>
            <w:r>
              <w:rPr>
                <w:noProof/>
              </w:rPr>
              <w:t>Q</w:t>
            </w:r>
          </w:p>
        </w:tc>
        <w:tc>
          <w:tcPr>
            <w:tcW w:w="220" w:type="pct"/>
            <w:tcBorders>
              <w:top w:val="nil"/>
              <w:left w:val="nil"/>
              <w:bottom w:val="single" w:sz="4" w:space="0" w:color="auto"/>
              <w:right w:val="single" w:sz="4" w:space="0" w:color="auto"/>
            </w:tcBorders>
            <w:shd w:val="clear" w:color="auto" w:fill="BDD7EE"/>
            <w:vAlign w:val="center"/>
            <w:hideMark/>
          </w:tcPr>
          <w:p w14:paraId="3D17E9BA" w14:textId="77777777" w:rsidR="003A3D51" w:rsidRDefault="0002775A">
            <w:pPr>
              <w:pStyle w:val="P68B1DB1-Normal6"/>
              <w:spacing w:after="0" w:line="276" w:lineRule="auto"/>
              <w:jc w:val="center"/>
              <w:rPr>
                <w:noProof/>
              </w:rPr>
            </w:pPr>
            <w:r>
              <w:rPr>
                <w:noProof/>
              </w:rPr>
              <w:t>Året</w:t>
            </w:r>
          </w:p>
        </w:tc>
        <w:tc>
          <w:tcPr>
            <w:tcW w:w="1157" w:type="pct"/>
            <w:vMerge/>
            <w:tcBorders>
              <w:top w:val="single" w:sz="4" w:space="0" w:color="auto"/>
              <w:bottom w:val="single" w:sz="4" w:space="0" w:color="auto"/>
              <w:right w:val="single" w:sz="4" w:space="0" w:color="auto"/>
            </w:tcBorders>
            <w:hideMark/>
          </w:tcPr>
          <w:p w14:paraId="596E6886" w14:textId="77777777" w:rsidR="003A3D51" w:rsidRDefault="003A3D51">
            <w:pPr>
              <w:spacing w:after="0" w:line="276" w:lineRule="auto"/>
              <w:rPr>
                <w:rFonts w:ascii="Times New Roman" w:eastAsia="Times New Roman" w:hAnsi="Times New Roman" w:cs="Times New Roman"/>
                <w:b/>
                <w:noProof/>
              </w:rPr>
            </w:pPr>
          </w:p>
        </w:tc>
      </w:tr>
      <w:tr w:rsidR="003A3D51" w14:paraId="37398C98"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2DA9098E" w14:textId="77777777" w:rsidR="003A3D51" w:rsidRDefault="0002775A">
            <w:pPr>
              <w:pStyle w:val="P68B1DB1-Normal7"/>
              <w:spacing w:after="0" w:line="276" w:lineRule="auto"/>
              <w:jc w:val="center"/>
              <w:rPr>
                <w:rFonts w:ascii="Times New Roman" w:hAnsi="Times New Roman" w:cs="Times New Roman"/>
                <w:noProof/>
              </w:rPr>
            </w:pPr>
            <w:r>
              <w:rPr>
                <w:noProof/>
              </w:rPr>
              <w:t>231</w:t>
            </w:r>
          </w:p>
        </w:tc>
        <w:tc>
          <w:tcPr>
            <w:tcW w:w="353" w:type="pct"/>
            <w:tcBorders>
              <w:top w:val="single" w:sz="4" w:space="0" w:color="auto"/>
              <w:left w:val="nil"/>
              <w:bottom w:val="single" w:sz="4" w:space="0" w:color="auto"/>
              <w:right w:val="single" w:sz="4" w:space="0" w:color="auto"/>
            </w:tcBorders>
            <w:shd w:val="clear" w:color="auto" w:fill="C6EFCE"/>
            <w:noWrap/>
          </w:tcPr>
          <w:p w14:paraId="48E06706"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single" w:sz="4" w:space="0" w:color="auto"/>
              <w:left w:val="nil"/>
              <w:bottom w:val="single" w:sz="4" w:space="0" w:color="auto"/>
              <w:right w:val="single" w:sz="4" w:space="0" w:color="auto"/>
            </w:tcBorders>
            <w:shd w:val="clear" w:color="auto" w:fill="C6EFCE"/>
            <w:noWrap/>
          </w:tcPr>
          <w:p w14:paraId="63DD343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single" w:sz="4" w:space="0" w:color="auto"/>
              <w:left w:val="nil"/>
              <w:bottom w:val="single" w:sz="4" w:space="0" w:color="auto"/>
              <w:right w:val="single" w:sz="4" w:space="0" w:color="auto"/>
            </w:tcBorders>
            <w:shd w:val="clear" w:color="auto" w:fill="C6EFCE"/>
            <w:noWrap/>
          </w:tcPr>
          <w:p w14:paraId="3829C095" w14:textId="77777777" w:rsidR="003A3D51" w:rsidRDefault="0002775A">
            <w:pPr>
              <w:pStyle w:val="P68B1DB1-Normal7"/>
              <w:spacing w:after="200" w:line="276" w:lineRule="auto"/>
              <w:rPr>
                <w:rFonts w:ascii="Times New Roman" w:hAnsi="Times New Roman" w:cs="Times New Roman"/>
                <w:noProof/>
              </w:rPr>
            </w:pPr>
            <w:r>
              <w:rPr>
                <w:noProof/>
              </w:rPr>
              <w:t>Antagande av en ny strategi för korruptionsbekämpning för 2021–2030</w:t>
            </w:r>
          </w:p>
        </w:tc>
        <w:tc>
          <w:tcPr>
            <w:tcW w:w="879" w:type="pct"/>
            <w:tcBorders>
              <w:top w:val="single" w:sz="4" w:space="0" w:color="auto"/>
              <w:left w:val="nil"/>
              <w:bottom w:val="single" w:sz="4" w:space="0" w:color="auto"/>
              <w:right w:val="single" w:sz="4" w:space="0" w:color="auto"/>
            </w:tcBorders>
            <w:shd w:val="clear" w:color="auto" w:fill="C6EFCE"/>
            <w:noWrap/>
          </w:tcPr>
          <w:p w14:paraId="34CDE55A" w14:textId="77777777" w:rsidR="003A3D51" w:rsidRDefault="0002775A">
            <w:pPr>
              <w:pStyle w:val="P68B1DB1-Normal7"/>
              <w:spacing w:after="200" w:line="276" w:lineRule="auto"/>
              <w:rPr>
                <w:rFonts w:ascii="Times New Roman" w:hAnsi="Times New Roman" w:cs="Times New Roman"/>
                <w:noProof/>
              </w:rPr>
            </w:pPr>
            <w:r>
              <w:rPr>
                <w:noProof/>
              </w:rPr>
              <w:t>Ny strategi mot korruption 2021–2030 som antagits av parlamentet och offentliggjorts i Europeiska unionens officiella tidning</w:t>
            </w:r>
          </w:p>
        </w:tc>
        <w:tc>
          <w:tcPr>
            <w:tcW w:w="363" w:type="pct"/>
            <w:tcBorders>
              <w:top w:val="nil"/>
              <w:left w:val="nil"/>
              <w:bottom w:val="single" w:sz="4" w:space="0" w:color="auto"/>
              <w:right w:val="single" w:sz="4" w:space="0" w:color="auto"/>
            </w:tcBorders>
            <w:shd w:val="clear" w:color="auto" w:fill="C6EFCE"/>
            <w:noWrap/>
          </w:tcPr>
          <w:p w14:paraId="59E483A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2E9AEB2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083C9A2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17F19EBC"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20" w:type="pct"/>
            <w:tcBorders>
              <w:top w:val="nil"/>
              <w:left w:val="nil"/>
              <w:bottom w:val="single" w:sz="4" w:space="0" w:color="auto"/>
              <w:right w:val="single" w:sz="4" w:space="0" w:color="auto"/>
            </w:tcBorders>
            <w:shd w:val="clear" w:color="auto" w:fill="C6EFCE"/>
            <w:noWrap/>
          </w:tcPr>
          <w:p w14:paraId="2B63555C"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157" w:type="pct"/>
            <w:tcBorders>
              <w:top w:val="single" w:sz="4" w:space="0" w:color="auto"/>
              <w:left w:val="nil"/>
              <w:bottom w:val="single" w:sz="4" w:space="0" w:color="auto"/>
              <w:right w:val="single" w:sz="4" w:space="0" w:color="auto"/>
            </w:tcBorders>
            <w:shd w:val="clear" w:color="auto" w:fill="C6EFCE"/>
            <w:noWrap/>
          </w:tcPr>
          <w:p w14:paraId="1CCE73B4" w14:textId="77777777" w:rsidR="003A3D51" w:rsidRDefault="0002775A">
            <w:pPr>
              <w:pStyle w:val="P68B1DB1-Normal7"/>
              <w:spacing w:after="200" w:line="276" w:lineRule="auto"/>
              <w:rPr>
                <w:rFonts w:ascii="Times New Roman" w:hAnsi="Times New Roman" w:cs="Times New Roman"/>
                <w:noProof/>
              </w:rPr>
            </w:pPr>
            <w:r>
              <w:rPr>
                <w:noProof/>
              </w:rPr>
              <w:t>Strategin ska omfatta åtgärder för att hantera korruptionsrisker inom prioriterade områden och för att uppnå följande fem mål:</w:t>
            </w:r>
            <w:r>
              <w:rPr>
                <w:noProof/>
              </w:rPr>
              <w:br/>
              <w:t>• Stärka den institutionella och normativa ramen för kampen mot korruption.</w:t>
            </w:r>
            <w:r>
              <w:rPr>
                <w:noProof/>
              </w:rPr>
              <w:br/>
              <w:t>• Ökad insyn och öppenhet i myndigheternas arbete.</w:t>
            </w:r>
            <w:r>
              <w:rPr>
                <w:noProof/>
              </w:rPr>
              <w:br/>
              <w:t xml:space="preserve">• Stärka integriteten och systemen för hantering av intressekonflikter. </w:t>
            </w:r>
            <w:r>
              <w:rPr>
                <w:noProof/>
              </w:rPr>
              <w:br/>
              <w:t>• Stärka potentialen för korruptionsbekämpning i systemet för offentlig upphandling.</w:t>
            </w:r>
            <w:r>
              <w:rPr>
                <w:noProof/>
              </w:rPr>
              <w:br/>
              <w:t xml:space="preserve">• Öka allmänhetens medvetenhet om korruptionens skadlighet, behovet av att rapportera oriktigheter och öka insynen. </w:t>
            </w:r>
          </w:p>
        </w:tc>
      </w:tr>
      <w:tr w:rsidR="003A3D51" w14:paraId="2E7F4EFC" w14:textId="77777777" w:rsidTr="002B26E0">
        <w:trPr>
          <w:trHeight w:val="283"/>
        </w:trPr>
        <w:tc>
          <w:tcPr>
            <w:tcW w:w="309" w:type="pct"/>
            <w:tcBorders>
              <w:top w:val="nil"/>
              <w:left w:val="single" w:sz="4" w:space="0" w:color="auto"/>
              <w:bottom w:val="single" w:sz="4" w:space="0" w:color="auto"/>
              <w:right w:val="single" w:sz="4" w:space="0" w:color="auto"/>
            </w:tcBorders>
            <w:shd w:val="clear" w:color="auto" w:fill="C6EFCE"/>
            <w:noWrap/>
          </w:tcPr>
          <w:p w14:paraId="35D372A5" w14:textId="77777777" w:rsidR="003A3D51" w:rsidRDefault="0002775A">
            <w:pPr>
              <w:pStyle w:val="P68B1DB1-Normal7"/>
              <w:spacing w:after="200" w:line="276" w:lineRule="auto"/>
              <w:jc w:val="center"/>
              <w:rPr>
                <w:rFonts w:ascii="Times New Roman" w:hAnsi="Times New Roman" w:cs="Times New Roman"/>
                <w:noProof/>
              </w:rPr>
            </w:pPr>
            <w:r>
              <w:rPr>
                <w:noProof/>
              </w:rPr>
              <w:t>232</w:t>
            </w:r>
          </w:p>
        </w:tc>
        <w:tc>
          <w:tcPr>
            <w:tcW w:w="353" w:type="pct"/>
            <w:tcBorders>
              <w:top w:val="nil"/>
              <w:left w:val="nil"/>
              <w:bottom w:val="single" w:sz="4" w:space="0" w:color="auto"/>
              <w:right w:val="single" w:sz="4" w:space="0" w:color="auto"/>
            </w:tcBorders>
            <w:shd w:val="clear" w:color="auto" w:fill="C6EFCE"/>
            <w:noWrap/>
          </w:tcPr>
          <w:p w14:paraId="0BE1EC1A"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nil"/>
              <w:left w:val="nil"/>
              <w:bottom w:val="single" w:sz="4" w:space="0" w:color="auto"/>
              <w:right w:val="single" w:sz="4" w:space="0" w:color="auto"/>
            </w:tcBorders>
            <w:shd w:val="clear" w:color="auto" w:fill="C6EFCE"/>
            <w:noWrap/>
          </w:tcPr>
          <w:p w14:paraId="752B51D9"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nil"/>
              <w:left w:val="nil"/>
              <w:bottom w:val="single" w:sz="4" w:space="0" w:color="auto"/>
              <w:right w:val="single" w:sz="4" w:space="0" w:color="auto"/>
            </w:tcBorders>
            <w:shd w:val="clear" w:color="auto" w:fill="C6EFCE"/>
            <w:noWrap/>
          </w:tcPr>
          <w:p w14:paraId="19EFD8B6"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den nya lagen om förebyggande av intressekonflikter </w:t>
            </w:r>
          </w:p>
        </w:tc>
        <w:tc>
          <w:tcPr>
            <w:tcW w:w="879" w:type="pct"/>
            <w:tcBorders>
              <w:top w:val="nil"/>
              <w:left w:val="nil"/>
              <w:bottom w:val="single" w:sz="4" w:space="0" w:color="auto"/>
              <w:right w:val="single" w:sz="4" w:space="0" w:color="auto"/>
            </w:tcBorders>
            <w:shd w:val="clear" w:color="auto" w:fill="C6EFCE"/>
            <w:noWrap/>
          </w:tcPr>
          <w:p w14:paraId="215980BB"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lagen om ändring av lagen om förebyggande av intressekonflikter </w:t>
            </w:r>
          </w:p>
        </w:tc>
        <w:tc>
          <w:tcPr>
            <w:tcW w:w="363" w:type="pct"/>
            <w:tcBorders>
              <w:top w:val="nil"/>
              <w:left w:val="nil"/>
              <w:bottom w:val="single" w:sz="4" w:space="0" w:color="auto"/>
              <w:right w:val="single" w:sz="4" w:space="0" w:color="auto"/>
            </w:tcBorders>
            <w:shd w:val="clear" w:color="auto" w:fill="C6EFCE"/>
            <w:noWrap/>
          </w:tcPr>
          <w:p w14:paraId="01AC4BC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712B0E75" w14:textId="66552CF4" w:rsidR="003A3D51" w:rsidRDefault="0002775A">
            <w:pPr>
              <w:pStyle w:val="P68B1DB1-Normal7"/>
              <w:spacing w:after="200" w:line="276" w:lineRule="auto"/>
              <w:jc w:val="center"/>
              <w:rPr>
                <w:rFonts w:ascii="Times New Roman" w:hAnsi="Times New Roman" w:cs="Times New Roman"/>
                <w:noProof/>
              </w:rPr>
            </w:pPr>
            <w:r>
              <w:rPr>
                <w:noProof/>
              </w:rPr>
              <w:t> </w:t>
            </w:r>
          </w:p>
          <w:p w14:paraId="1BD6A036" w14:textId="77777777" w:rsidR="003A3D51" w:rsidRDefault="003A3D51">
            <w:pPr>
              <w:spacing w:after="200" w:line="276" w:lineRule="auto"/>
              <w:rPr>
                <w:rFonts w:ascii="Times New Roman" w:eastAsia="Calibri" w:hAnsi="Times New Roman" w:cs="Times New Roman"/>
                <w:noProof/>
                <w:sz w:val="20"/>
              </w:rPr>
            </w:pPr>
          </w:p>
        </w:tc>
        <w:tc>
          <w:tcPr>
            <w:tcW w:w="264" w:type="pct"/>
            <w:tcBorders>
              <w:top w:val="nil"/>
              <w:left w:val="nil"/>
              <w:bottom w:val="single" w:sz="4" w:space="0" w:color="auto"/>
              <w:right w:val="single" w:sz="4" w:space="0" w:color="auto"/>
            </w:tcBorders>
            <w:shd w:val="clear" w:color="auto" w:fill="C6EFCE"/>
            <w:noWrap/>
          </w:tcPr>
          <w:p w14:paraId="13CCEBD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3780881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58F1FD9F"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157" w:type="pct"/>
            <w:tcBorders>
              <w:top w:val="nil"/>
              <w:left w:val="nil"/>
              <w:bottom w:val="single" w:sz="4" w:space="0" w:color="auto"/>
              <w:right w:val="single" w:sz="4" w:space="0" w:color="auto"/>
            </w:tcBorders>
            <w:shd w:val="clear" w:color="auto" w:fill="C6EFCE"/>
            <w:noWrap/>
          </w:tcPr>
          <w:p w14:paraId="569BB518" w14:textId="77777777" w:rsidR="003A3D51" w:rsidRDefault="0002775A">
            <w:pPr>
              <w:pStyle w:val="P68B1DB1-Normal7"/>
              <w:spacing w:after="200" w:line="276" w:lineRule="auto"/>
              <w:rPr>
                <w:rFonts w:ascii="Times New Roman" w:hAnsi="Times New Roman" w:cs="Times New Roman"/>
                <w:noProof/>
              </w:rPr>
            </w:pPr>
            <w:r>
              <w:rPr>
                <w:noProof/>
              </w:rPr>
              <w:t xml:space="preserve">Lagen om förebyggande av intressekonflikter ska ändras för att i) utvidga lagens tillämpningsområde när det gäller adressater, inbegripet företag som ägs av lokala och regionala förvaltningsenheter och företag som ägs av sådana företag, ii) ålägga vissa kategorier av adressater att årligen fylla i redovisningar av tillgångar och lämna deklarationer inom givna tidsfrister, iii) åtgärda eventuella intressekonflikter, iv) reglera möjligheten att bättre fastställa påföljder för överträdelser genom att införa proportionalitetsprincipen i lagstiftningen. och reglera vissa aspekter av karensperioden, bland annat förslag från kommittén för lösning av intressekonflikter om hur lagstiftningen kan förbättras i praktiken, och v) tillhandahålla en rättslig grund för utarbetandet av en mall för etiska regler för ledamöter i organ som företräder lokala och regionala myndigheter, vars antagande, genomförande och tillsyn skulle ligga hos representativa organ. </w:t>
            </w:r>
          </w:p>
        </w:tc>
      </w:tr>
      <w:tr w:rsidR="003A3D51" w14:paraId="4F774BAF" w14:textId="77777777" w:rsidTr="002B26E0">
        <w:trPr>
          <w:trHeight w:val="283"/>
        </w:trPr>
        <w:tc>
          <w:tcPr>
            <w:tcW w:w="309" w:type="pct"/>
            <w:tcBorders>
              <w:top w:val="nil"/>
              <w:left w:val="single" w:sz="4" w:space="0" w:color="auto"/>
              <w:bottom w:val="single" w:sz="4" w:space="0" w:color="auto"/>
              <w:right w:val="single" w:sz="4" w:space="0" w:color="auto"/>
            </w:tcBorders>
            <w:shd w:val="clear" w:color="auto" w:fill="C6EFCE"/>
            <w:noWrap/>
          </w:tcPr>
          <w:p w14:paraId="6505D749" w14:textId="77777777" w:rsidR="003A3D51" w:rsidRDefault="0002775A">
            <w:pPr>
              <w:pStyle w:val="P68B1DB1-Normal7"/>
              <w:spacing w:after="200" w:line="276" w:lineRule="auto"/>
              <w:jc w:val="center"/>
              <w:rPr>
                <w:rFonts w:ascii="Times New Roman" w:hAnsi="Times New Roman" w:cs="Times New Roman"/>
                <w:noProof/>
              </w:rPr>
            </w:pPr>
            <w:r>
              <w:rPr>
                <w:noProof/>
              </w:rPr>
              <w:t>233</w:t>
            </w:r>
          </w:p>
        </w:tc>
        <w:tc>
          <w:tcPr>
            <w:tcW w:w="353" w:type="pct"/>
            <w:tcBorders>
              <w:top w:val="nil"/>
              <w:left w:val="nil"/>
              <w:bottom w:val="single" w:sz="4" w:space="0" w:color="auto"/>
              <w:right w:val="single" w:sz="4" w:space="0" w:color="auto"/>
            </w:tcBorders>
            <w:shd w:val="clear" w:color="auto" w:fill="C6EFCE"/>
            <w:noWrap/>
          </w:tcPr>
          <w:p w14:paraId="2C20FF23"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nil"/>
              <w:left w:val="nil"/>
              <w:bottom w:val="single" w:sz="4" w:space="0" w:color="auto"/>
              <w:right w:val="single" w:sz="4" w:space="0" w:color="auto"/>
            </w:tcBorders>
            <w:shd w:val="clear" w:color="auto" w:fill="C6EFCE"/>
            <w:noWrap/>
          </w:tcPr>
          <w:p w14:paraId="08E89F9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nil"/>
              <w:left w:val="nil"/>
              <w:bottom w:val="single" w:sz="4" w:space="0" w:color="auto"/>
              <w:right w:val="single" w:sz="4" w:space="0" w:color="auto"/>
            </w:tcBorders>
            <w:shd w:val="clear" w:color="auto" w:fill="C6EFCE"/>
            <w:noWrap/>
          </w:tcPr>
          <w:p w14:paraId="5F3FD87F" w14:textId="77777777" w:rsidR="003A3D51" w:rsidRDefault="0002775A">
            <w:pPr>
              <w:pStyle w:val="P68B1DB1-Normal7"/>
              <w:spacing w:after="200" w:line="276" w:lineRule="auto"/>
              <w:rPr>
                <w:rFonts w:ascii="Times New Roman" w:hAnsi="Times New Roman" w:cs="Times New Roman"/>
                <w:noProof/>
              </w:rPr>
            </w:pPr>
            <w:r>
              <w:rPr>
                <w:noProof/>
              </w:rPr>
              <w:t>Antagande av ändringar i lagen om skydd för personer som anmäler oegentligheter</w:t>
            </w:r>
          </w:p>
        </w:tc>
        <w:tc>
          <w:tcPr>
            <w:tcW w:w="879" w:type="pct"/>
            <w:tcBorders>
              <w:top w:val="nil"/>
              <w:left w:val="nil"/>
              <w:bottom w:val="single" w:sz="4" w:space="0" w:color="auto"/>
              <w:right w:val="single" w:sz="4" w:space="0" w:color="auto"/>
            </w:tcBorders>
            <w:shd w:val="clear" w:color="auto" w:fill="C6EFCE"/>
            <w:noWrap/>
          </w:tcPr>
          <w:p w14:paraId="2F615C26"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ändringarna av lagen om skydd för personer som rapporterar oegentligheter </w:t>
            </w:r>
          </w:p>
        </w:tc>
        <w:tc>
          <w:tcPr>
            <w:tcW w:w="363" w:type="pct"/>
            <w:tcBorders>
              <w:top w:val="nil"/>
              <w:left w:val="nil"/>
              <w:bottom w:val="single" w:sz="4" w:space="0" w:color="auto"/>
              <w:right w:val="single" w:sz="4" w:space="0" w:color="auto"/>
            </w:tcBorders>
            <w:shd w:val="clear" w:color="auto" w:fill="C6EFCE"/>
            <w:noWrap/>
          </w:tcPr>
          <w:p w14:paraId="4518F9B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6A31C2F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1212635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667ABF8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0E116DBD"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57" w:type="pct"/>
            <w:tcBorders>
              <w:top w:val="nil"/>
              <w:left w:val="nil"/>
              <w:bottom w:val="single" w:sz="4" w:space="0" w:color="auto"/>
              <w:right w:val="single" w:sz="4" w:space="0" w:color="auto"/>
            </w:tcBorders>
            <w:shd w:val="clear" w:color="auto" w:fill="C6EFCE"/>
            <w:noWrap/>
          </w:tcPr>
          <w:p w14:paraId="4DABB623" w14:textId="77777777" w:rsidR="003A3D51" w:rsidRDefault="0002775A">
            <w:pPr>
              <w:pStyle w:val="P68B1DB1-Normal7"/>
              <w:spacing w:after="200" w:line="276" w:lineRule="auto"/>
              <w:rPr>
                <w:rFonts w:ascii="Times New Roman" w:hAnsi="Times New Roman" w:cs="Times New Roman"/>
                <w:noProof/>
              </w:rPr>
            </w:pPr>
            <w:r>
              <w:rPr>
                <w:noProof/>
              </w:rPr>
              <w:t>Lagen om skydd för personer som rapporterar oegentligheter ska ändras för att i) förbättra bestämmelserna i lagen, ii) förtydliga begreppet konfidentiell person och iii) införa bestämmelser om utfärdande av ett registreringsbevis som mottagits.</w:t>
            </w:r>
          </w:p>
        </w:tc>
      </w:tr>
      <w:tr w:rsidR="003A3D51" w14:paraId="7480D141" w14:textId="77777777" w:rsidTr="002B26E0">
        <w:trPr>
          <w:trHeight w:val="283"/>
        </w:trPr>
        <w:tc>
          <w:tcPr>
            <w:tcW w:w="309" w:type="pct"/>
            <w:tcBorders>
              <w:top w:val="nil"/>
              <w:left w:val="single" w:sz="4" w:space="0" w:color="auto"/>
              <w:bottom w:val="single" w:sz="4" w:space="0" w:color="auto"/>
              <w:right w:val="single" w:sz="4" w:space="0" w:color="auto"/>
            </w:tcBorders>
            <w:shd w:val="clear" w:color="auto" w:fill="C6EFCE"/>
            <w:noWrap/>
          </w:tcPr>
          <w:p w14:paraId="2E9F52CA" w14:textId="77777777" w:rsidR="003A3D51" w:rsidRDefault="0002775A">
            <w:pPr>
              <w:pStyle w:val="P68B1DB1-Normal7"/>
              <w:spacing w:after="200" w:line="276" w:lineRule="auto"/>
              <w:jc w:val="center"/>
              <w:rPr>
                <w:rFonts w:ascii="Times New Roman" w:hAnsi="Times New Roman" w:cs="Times New Roman"/>
                <w:noProof/>
              </w:rPr>
            </w:pPr>
            <w:r>
              <w:rPr>
                <w:noProof/>
              </w:rPr>
              <w:t>234</w:t>
            </w:r>
          </w:p>
        </w:tc>
        <w:tc>
          <w:tcPr>
            <w:tcW w:w="353" w:type="pct"/>
            <w:tcBorders>
              <w:top w:val="nil"/>
              <w:left w:val="nil"/>
              <w:bottom w:val="single" w:sz="4" w:space="0" w:color="auto"/>
              <w:right w:val="single" w:sz="4" w:space="0" w:color="auto"/>
            </w:tcBorders>
            <w:shd w:val="clear" w:color="auto" w:fill="C6EFCE"/>
            <w:noWrap/>
          </w:tcPr>
          <w:p w14:paraId="3137DD89"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nil"/>
              <w:left w:val="nil"/>
              <w:bottom w:val="single" w:sz="4" w:space="0" w:color="auto"/>
              <w:right w:val="single" w:sz="4" w:space="0" w:color="auto"/>
            </w:tcBorders>
            <w:shd w:val="clear" w:color="auto" w:fill="C6EFCE"/>
            <w:noWrap/>
          </w:tcPr>
          <w:p w14:paraId="473A958E"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nil"/>
              <w:left w:val="nil"/>
              <w:bottom w:val="single" w:sz="4" w:space="0" w:color="auto"/>
              <w:right w:val="single" w:sz="4" w:space="0" w:color="auto"/>
            </w:tcBorders>
            <w:shd w:val="clear" w:color="auto" w:fill="C6EFCE"/>
            <w:noWrap/>
          </w:tcPr>
          <w:p w14:paraId="2D8838B0" w14:textId="77777777" w:rsidR="003A3D51" w:rsidRDefault="0002775A">
            <w:pPr>
              <w:pStyle w:val="P68B1DB1-Normal7"/>
              <w:spacing w:after="200" w:line="276" w:lineRule="auto"/>
              <w:rPr>
                <w:rFonts w:ascii="Times New Roman" w:hAnsi="Times New Roman" w:cs="Times New Roman"/>
                <w:noProof/>
              </w:rPr>
            </w:pPr>
            <w:r>
              <w:rPr>
                <w:noProof/>
              </w:rPr>
              <w:t>Antagande av etiska regler för parlamentsledamöter och etiska regler för tjänstemän i den verkställande makten</w:t>
            </w:r>
          </w:p>
        </w:tc>
        <w:tc>
          <w:tcPr>
            <w:tcW w:w="879" w:type="pct"/>
            <w:tcBorders>
              <w:top w:val="nil"/>
              <w:left w:val="nil"/>
              <w:bottom w:val="single" w:sz="4" w:space="0" w:color="auto"/>
              <w:right w:val="single" w:sz="4" w:space="0" w:color="auto"/>
            </w:tcBorders>
            <w:shd w:val="clear" w:color="auto" w:fill="C6EFCE"/>
            <w:noWrap/>
          </w:tcPr>
          <w:p w14:paraId="5DF37215" w14:textId="77777777" w:rsidR="003A3D51" w:rsidRDefault="0002775A">
            <w:pPr>
              <w:pStyle w:val="P68B1DB1-Normal7"/>
              <w:spacing w:after="200" w:line="276" w:lineRule="auto"/>
              <w:rPr>
                <w:rFonts w:ascii="Times New Roman" w:hAnsi="Times New Roman" w:cs="Times New Roman"/>
                <w:noProof/>
              </w:rPr>
            </w:pPr>
            <w:r>
              <w:rPr>
                <w:noProof/>
              </w:rPr>
              <w:t>Ikraftträdande av antagna etiska regler för parlamentsledamöter och etiska regler för tjänstemän i den verkställande makten</w:t>
            </w:r>
          </w:p>
        </w:tc>
        <w:tc>
          <w:tcPr>
            <w:tcW w:w="363" w:type="pct"/>
            <w:tcBorders>
              <w:top w:val="nil"/>
              <w:left w:val="nil"/>
              <w:bottom w:val="single" w:sz="4" w:space="0" w:color="auto"/>
              <w:right w:val="single" w:sz="4" w:space="0" w:color="auto"/>
            </w:tcBorders>
            <w:shd w:val="clear" w:color="auto" w:fill="C6EFCE"/>
            <w:noWrap/>
          </w:tcPr>
          <w:p w14:paraId="5F6C67A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nil"/>
              <w:left w:val="nil"/>
              <w:bottom w:val="single" w:sz="4" w:space="0" w:color="auto"/>
              <w:right w:val="single" w:sz="4" w:space="0" w:color="auto"/>
            </w:tcBorders>
            <w:shd w:val="clear" w:color="auto" w:fill="C6EFCE"/>
            <w:noWrap/>
          </w:tcPr>
          <w:p w14:paraId="5CD1F55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7DBF06B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24718614"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nil"/>
              <w:left w:val="nil"/>
              <w:bottom w:val="single" w:sz="4" w:space="0" w:color="auto"/>
              <w:right w:val="single" w:sz="4" w:space="0" w:color="auto"/>
            </w:tcBorders>
            <w:shd w:val="clear" w:color="auto" w:fill="C6EFCE"/>
            <w:noWrap/>
          </w:tcPr>
          <w:p w14:paraId="323180D0"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57" w:type="pct"/>
            <w:tcBorders>
              <w:top w:val="nil"/>
              <w:left w:val="nil"/>
              <w:bottom w:val="single" w:sz="4" w:space="0" w:color="auto"/>
              <w:right w:val="single" w:sz="4" w:space="0" w:color="auto"/>
            </w:tcBorders>
            <w:shd w:val="clear" w:color="auto" w:fill="C6EFCE"/>
            <w:noWrap/>
          </w:tcPr>
          <w:p w14:paraId="30277358" w14:textId="77777777" w:rsidR="003A3D51" w:rsidRDefault="0002775A">
            <w:pPr>
              <w:pStyle w:val="P68B1DB1-Normal7"/>
              <w:spacing w:after="200" w:line="276" w:lineRule="auto"/>
              <w:rPr>
                <w:rFonts w:ascii="Times New Roman" w:hAnsi="Times New Roman" w:cs="Times New Roman"/>
                <w:noProof/>
              </w:rPr>
            </w:pPr>
            <w:r>
              <w:rPr>
                <w:noProof/>
              </w:rPr>
              <w:t>Etiska regler för parlamentsledamöter och tjänstemän i den verkställande makten kommer att ge vägledning om intressekonflikter och andra integritetsfrågor.</w:t>
            </w:r>
          </w:p>
        </w:tc>
      </w:tr>
      <w:tr w:rsidR="003A3D51" w14:paraId="25AE12ED"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0CE8A619" w14:textId="77777777" w:rsidR="003A3D51" w:rsidRDefault="0002775A">
            <w:pPr>
              <w:pStyle w:val="P68B1DB1-Normal7"/>
              <w:spacing w:after="200" w:line="276" w:lineRule="auto"/>
              <w:jc w:val="center"/>
              <w:rPr>
                <w:rFonts w:ascii="Times New Roman" w:hAnsi="Times New Roman" w:cs="Times New Roman"/>
                <w:noProof/>
              </w:rPr>
            </w:pPr>
            <w:r>
              <w:rPr>
                <w:noProof/>
              </w:rPr>
              <w:t>235</w:t>
            </w:r>
          </w:p>
        </w:tc>
        <w:tc>
          <w:tcPr>
            <w:tcW w:w="353" w:type="pct"/>
            <w:tcBorders>
              <w:top w:val="single" w:sz="4" w:space="0" w:color="auto"/>
              <w:left w:val="nil"/>
              <w:bottom w:val="single" w:sz="4" w:space="0" w:color="auto"/>
              <w:right w:val="single" w:sz="4" w:space="0" w:color="auto"/>
            </w:tcBorders>
            <w:shd w:val="clear" w:color="auto" w:fill="C6EFCE"/>
            <w:noWrap/>
          </w:tcPr>
          <w:p w14:paraId="5438CDBF"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single" w:sz="4" w:space="0" w:color="auto"/>
              <w:left w:val="nil"/>
              <w:bottom w:val="single" w:sz="4" w:space="0" w:color="auto"/>
              <w:right w:val="single" w:sz="4" w:space="0" w:color="auto"/>
            </w:tcBorders>
            <w:shd w:val="clear" w:color="auto" w:fill="C6EFCE"/>
            <w:noWrap/>
          </w:tcPr>
          <w:p w14:paraId="2239E8D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42" w:type="pct"/>
            <w:tcBorders>
              <w:top w:val="single" w:sz="4" w:space="0" w:color="auto"/>
              <w:left w:val="nil"/>
              <w:bottom w:val="single" w:sz="4" w:space="0" w:color="auto"/>
              <w:right w:val="single" w:sz="4" w:space="0" w:color="auto"/>
            </w:tcBorders>
            <w:shd w:val="clear" w:color="auto" w:fill="C6EFCE"/>
            <w:noWrap/>
          </w:tcPr>
          <w:p w14:paraId="22A71CE9" w14:textId="77777777" w:rsidR="003A3D51" w:rsidRDefault="0002775A">
            <w:pPr>
              <w:pStyle w:val="P68B1DB1-Normal7"/>
              <w:spacing w:after="200" w:line="276" w:lineRule="auto"/>
              <w:rPr>
                <w:rFonts w:ascii="Times New Roman" w:hAnsi="Times New Roman" w:cs="Times New Roman"/>
                <w:noProof/>
              </w:rPr>
            </w:pPr>
            <w:r>
              <w:rPr>
                <w:noProof/>
              </w:rPr>
              <w:t>Öka personalbudgeten för anställda vid korruptionsbekämpande organ inom rättsväsendet.</w:t>
            </w:r>
          </w:p>
        </w:tc>
        <w:tc>
          <w:tcPr>
            <w:tcW w:w="879" w:type="pct"/>
            <w:tcBorders>
              <w:top w:val="single" w:sz="4" w:space="0" w:color="auto"/>
              <w:left w:val="nil"/>
              <w:bottom w:val="single" w:sz="4" w:space="0" w:color="auto"/>
              <w:right w:val="single" w:sz="4" w:space="0" w:color="auto"/>
            </w:tcBorders>
            <w:shd w:val="clear" w:color="auto" w:fill="C6EFCE"/>
            <w:noWrap/>
          </w:tcPr>
          <w:p w14:paraId="000CDA16"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3" w:type="pct"/>
            <w:tcBorders>
              <w:top w:val="single" w:sz="4" w:space="0" w:color="auto"/>
              <w:left w:val="nil"/>
              <w:bottom w:val="single" w:sz="4" w:space="0" w:color="auto"/>
              <w:right w:val="single" w:sz="4" w:space="0" w:color="auto"/>
            </w:tcBorders>
            <w:shd w:val="clear" w:color="auto" w:fill="C6EFCE"/>
            <w:noWrap/>
          </w:tcPr>
          <w:p w14:paraId="08171D6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7" w:type="pct"/>
            <w:tcBorders>
              <w:top w:val="single" w:sz="4" w:space="0" w:color="auto"/>
              <w:left w:val="nil"/>
              <w:bottom w:val="single" w:sz="4" w:space="0" w:color="auto"/>
              <w:right w:val="single" w:sz="4" w:space="0" w:color="auto"/>
            </w:tcBorders>
            <w:shd w:val="clear" w:color="auto" w:fill="C6EFCE"/>
            <w:noWrap/>
          </w:tcPr>
          <w:p w14:paraId="79CF3CEC" w14:textId="77777777" w:rsidR="003A3D51" w:rsidRDefault="0002775A">
            <w:pPr>
              <w:pStyle w:val="P68B1DB1-Normal7"/>
              <w:spacing w:after="200" w:line="276" w:lineRule="auto"/>
              <w:jc w:val="center"/>
              <w:rPr>
                <w:rFonts w:ascii="Times New Roman" w:hAnsi="Times New Roman" w:cs="Times New Roman"/>
                <w:noProof/>
              </w:rPr>
            </w:pPr>
            <w:r>
              <w:rPr>
                <w:noProof/>
              </w:rPr>
              <w:t>100</w:t>
            </w:r>
          </w:p>
        </w:tc>
        <w:tc>
          <w:tcPr>
            <w:tcW w:w="264" w:type="pct"/>
            <w:tcBorders>
              <w:top w:val="single" w:sz="4" w:space="0" w:color="auto"/>
              <w:left w:val="nil"/>
              <w:bottom w:val="single" w:sz="4" w:space="0" w:color="auto"/>
              <w:right w:val="single" w:sz="4" w:space="0" w:color="auto"/>
            </w:tcBorders>
            <w:shd w:val="clear" w:color="auto" w:fill="C6EFCE"/>
            <w:noWrap/>
          </w:tcPr>
          <w:p w14:paraId="1E612F0E" w14:textId="77777777" w:rsidR="003A3D51" w:rsidRDefault="0002775A">
            <w:pPr>
              <w:pStyle w:val="P68B1DB1-Normal7"/>
              <w:spacing w:after="200" w:line="276" w:lineRule="auto"/>
              <w:jc w:val="center"/>
              <w:rPr>
                <w:rFonts w:ascii="Times New Roman" w:hAnsi="Times New Roman" w:cs="Times New Roman"/>
                <w:noProof/>
              </w:rPr>
            </w:pPr>
            <w:r>
              <w:rPr>
                <w:noProof/>
              </w:rPr>
              <w:t>110</w:t>
            </w:r>
          </w:p>
        </w:tc>
        <w:tc>
          <w:tcPr>
            <w:tcW w:w="247" w:type="pct"/>
            <w:tcBorders>
              <w:top w:val="single" w:sz="4" w:space="0" w:color="auto"/>
              <w:left w:val="nil"/>
              <w:bottom w:val="single" w:sz="4" w:space="0" w:color="auto"/>
              <w:right w:val="single" w:sz="4" w:space="0" w:color="auto"/>
            </w:tcBorders>
            <w:shd w:val="clear" w:color="auto" w:fill="C6EFCE"/>
            <w:noWrap/>
          </w:tcPr>
          <w:p w14:paraId="1156DD2B"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4C6F6D1F"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57" w:type="pct"/>
            <w:tcBorders>
              <w:top w:val="single" w:sz="4" w:space="0" w:color="auto"/>
              <w:left w:val="nil"/>
              <w:bottom w:val="single" w:sz="4" w:space="0" w:color="auto"/>
              <w:right w:val="single" w:sz="4" w:space="0" w:color="auto"/>
            </w:tcBorders>
            <w:shd w:val="clear" w:color="auto" w:fill="C6EFCE"/>
            <w:noWrap/>
          </w:tcPr>
          <w:p w14:paraId="69BA286F" w14:textId="77777777" w:rsidR="003A3D51" w:rsidRDefault="0002775A">
            <w:pPr>
              <w:pStyle w:val="P68B1DB1-Normal7"/>
              <w:spacing w:after="200" w:line="276" w:lineRule="auto"/>
              <w:rPr>
                <w:rFonts w:ascii="Times New Roman" w:hAnsi="Times New Roman" w:cs="Times New Roman"/>
                <w:noProof/>
              </w:rPr>
            </w:pPr>
            <w:r>
              <w:rPr>
                <w:noProof/>
              </w:rPr>
              <w:t xml:space="preserve">Öka personalbudgeten med 10 % jämfört med 2020 (inklusive rekrytering och rörlighet inom rättsväsendet). </w:t>
            </w:r>
          </w:p>
        </w:tc>
      </w:tr>
      <w:tr w:rsidR="003A3D51" w14:paraId="4E43473D"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2218D774" w14:textId="77777777" w:rsidR="003A3D51" w:rsidRDefault="0002775A">
            <w:pPr>
              <w:pStyle w:val="P68B1DB1-Normal7"/>
              <w:spacing w:after="200" w:line="276" w:lineRule="auto"/>
              <w:jc w:val="center"/>
              <w:rPr>
                <w:rFonts w:ascii="Times New Roman" w:hAnsi="Times New Roman" w:cs="Times New Roman"/>
                <w:noProof/>
              </w:rPr>
            </w:pPr>
            <w:r>
              <w:rPr>
                <w:noProof/>
              </w:rPr>
              <w:t>236</w:t>
            </w:r>
          </w:p>
        </w:tc>
        <w:tc>
          <w:tcPr>
            <w:tcW w:w="353" w:type="pct"/>
            <w:tcBorders>
              <w:top w:val="single" w:sz="4" w:space="0" w:color="auto"/>
              <w:left w:val="nil"/>
              <w:bottom w:val="single" w:sz="4" w:space="0" w:color="auto"/>
              <w:right w:val="single" w:sz="4" w:space="0" w:color="auto"/>
            </w:tcBorders>
            <w:shd w:val="clear" w:color="auto" w:fill="C6EFCE"/>
            <w:noWrap/>
          </w:tcPr>
          <w:p w14:paraId="2E0E5050"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single" w:sz="4" w:space="0" w:color="auto"/>
              <w:left w:val="nil"/>
              <w:bottom w:val="single" w:sz="4" w:space="0" w:color="auto"/>
              <w:right w:val="single" w:sz="4" w:space="0" w:color="auto"/>
            </w:tcBorders>
            <w:shd w:val="clear" w:color="auto" w:fill="C6EFCE"/>
            <w:noWrap/>
          </w:tcPr>
          <w:p w14:paraId="762BD85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42" w:type="pct"/>
            <w:tcBorders>
              <w:top w:val="single" w:sz="4" w:space="0" w:color="auto"/>
              <w:left w:val="nil"/>
              <w:bottom w:val="single" w:sz="4" w:space="0" w:color="auto"/>
              <w:right w:val="single" w:sz="4" w:space="0" w:color="auto"/>
            </w:tcBorders>
            <w:shd w:val="clear" w:color="auto" w:fill="C6EFCE"/>
            <w:noWrap/>
          </w:tcPr>
          <w:p w14:paraId="0B1856AF" w14:textId="77777777" w:rsidR="003A3D51" w:rsidRDefault="0002775A">
            <w:pPr>
              <w:pStyle w:val="P68B1DB1-Normal7"/>
              <w:spacing w:after="200" w:line="276" w:lineRule="auto"/>
              <w:rPr>
                <w:rFonts w:ascii="Times New Roman" w:hAnsi="Times New Roman" w:cs="Times New Roman"/>
                <w:noProof/>
              </w:rPr>
            </w:pPr>
            <w:r>
              <w:rPr>
                <w:noProof/>
              </w:rPr>
              <w:t>Öka budgeten för rättsliga myndigheters inköp av it-verktyg och it-utrustning för att utreda korruption och organiserad brottslighet.</w:t>
            </w:r>
          </w:p>
        </w:tc>
        <w:tc>
          <w:tcPr>
            <w:tcW w:w="879" w:type="pct"/>
            <w:tcBorders>
              <w:top w:val="single" w:sz="4" w:space="0" w:color="auto"/>
              <w:left w:val="nil"/>
              <w:bottom w:val="single" w:sz="4" w:space="0" w:color="auto"/>
              <w:right w:val="single" w:sz="4" w:space="0" w:color="auto"/>
            </w:tcBorders>
            <w:shd w:val="clear" w:color="auto" w:fill="C6EFCE"/>
            <w:noWrap/>
          </w:tcPr>
          <w:p w14:paraId="3FC2247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3" w:type="pct"/>
            <w:tcBorders>
              <w:top w:val="single" w:sz="4" w:space="0" w:color="auto"/>
              <w:left w:val="nil"/>
              <w:bottom w:val="single" w:sz="4" w:space="0" w:color="auto"/>
              <w:right w:val="single" w:sz="4" w:space="0" w:color="auto"/>
            </w:tcBorders>
            <w:shd w:val="clear" w:color="auto" w:fill="C6EFCE"/>
            <w:noWrap/>
          </w:tcPr>
          <w:p w14:paraId="15FD6EC7"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7" w:type="pct"/>
            <w:tcBorders>
              <w:top w:val="single" w:sz="4" w:space="0" w:color="auto"/>
              <w:left w:val="nil"/>
              <w:bottom w:val="single" w:sz="4" w:space="0" w:color="auto"/>
              <w:right w:val="single" w:sz="4" w:space="0" w:color="auto"/>
            </w:tcBorders>
            <w:shd w:val="clear" w:color="auto" w:fill="C6EFCE"/>
            <w:noWrap/>
          </w:tcPr>
          <w:p w14:paraId="368F8CB4" w14:textId="77777777" w:rsidR="003A3D51" w:rsidRDefault="0002775A">
            <w:pPr>
              <w:pStyle w:val="P68B1DB1-Normal7"/>
              <w:spacing w:after="200" w:line="276" w:lineRule="auto"/>
              <w:jc w:val="center"/>
              <w:rPr>
                <w:rFonts w:ascii="Times New Roman" w:hAnsi="Times New Roman" w:cs="Times New Roman"/>
                <w:noProof/>
              </w:rPr>
            </w:pPr>
            <w:r>
              <w:rPr>
                <w:noProof/>
              </w:rPr>
              <w:t>100</w:t>
            </w:r>
          </w:p>
        </w:tc>
        <w:tc>
          <w:tcPr>
            <w:tcW w:w="264" w:type="pct"/>
            <w:tcBorders>
              <w:top w:val="single" w:sz="4" w:space="0" w:color="auto"/>
              <w:left w:val="nil"/>
              <w:bottom w:val="single" w:sz="4" w:space="0" w:color="auto"/>
              <w:right w:val="single" w:sz="4" w:space="0" w:color="auto"/>
            </w:tcBorders>
            <w:shd w:val="clear" w:color="auto" w:fill="C6EFCE"/>
            <w:noWrap/>
          </w:tcPr>
          <w:p w14:paraId="3C15A903" w14:textId="77777777" w:rsidR="003A3D51" w:rsidRDefault="0002775A">
            <w:pPr>
              <w:pStyle w:val="P68B1DB1-Normal7"/>
              <w:spacing w:after="200" w:line="276" w:lineRule="auto"/>
              <w:jc w:val="center"/>
              <w:rPr>
                <w:rFonts w:ascii="Times New Roman" w:hAnsi="Times New Roman" w:cs="Times New Roman"/>
                <w:noProof/>
              </w:rPr>
            </w:pPr>
            <w:r>
              <w:rPr>
                <w:noProof/>
              </w:rPr>
              <w:t>120</w:t>
            </w:r>
          </w:p>
        </w:tc>
        <w:tc>
          <w:tcPr>
            <w:tcW w:w="247" w:type="pct"/>
            <w:tcBorders>
              <w:top w:val="single" w:sz="4" w:space="0" w:color="auto"/>
              <w:left w:val="nil"/>
              <w:bottom w:val="single" w:sz="4" w:space="0" w:color="auto"/>
              <w:right w:val="single" w:sz="4" w:space="0" w:color="auto"/>
            </w:tcBorders>
            <w:shd w:val="clear" w:color="auto" w:fill="C6EFCE"/>
            <w:noWrap/>
          </w:tcPr>
          <w:p w14:paraId="2601A6D7"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286A5C46"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57" w:type="pct"/>
            <w:tcBorders>
              <w:top w:val="single" w:sz="4" w:space="0" w:color="auto"/>
              <w:left w:val="nil"/>
              <w:bottom w:val="single" w:sz="4" w:space="0" w:color="auto"/>
              <w:right w:val="single" w:sz="4" w:space="0" w:color="auto"/>
            </w:tcBorders>
            <w:shd w:val="clear" w:color="auto" w:fill="C6EFCE"/>
            <w:noWrap/>
          </w:tcPr>
          <w:p w14:paraId="1362BEED" w14:textId="77777777" w:rsidR="003A3D51" w:rsidRDefault="0002775A">
            <w:pPr>
              <w:pStyle w:val="P68B1DB1-Normal7"/>
              <w:spacing w:after="200" w:line="276" w:lineRule="auto"/>
              <w:rPr>
                <w:rFonts w:ascii="Times New Roman" w:hAnsi="Times New Roman" w:cs="Times New Roman"/>
                <w:noProof/>
              </w:rPr>
            </w:pPr>
            <w:r>
              <w:rPr>
                <w:noProof/>
              </w:rPr>
              <w:t xml:space="preserve">Öka budgeten med 20 % jämfört med 2020 för datatjänster och it-utrustning för korruptionsbekämpande myndigheter i rättsväsendet. </w:t>
            </w:r>
          </w:p>
        </w:tc>
      </w:tr>
      <w:tr w:rsidR="003A3D51" w14:paraId="753833A0"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0610D165" w14:textId="77777777" w:rsidR="003A3D51" w:rsidRDefault="0002775A">
            <w:pPr>
              <w:pStyle w:val="P68B1DB1-Normal7"/>
              <w:spacing w:after="200" w:line="276" w:lineRule="auto"/>
              <w:jc w:val="center"/>
              <w:rPr>
                <w:rFonts w:ascii="Times New Roman" w:hAnsi="Times New Roman" w:cs="Times New Roman"/>
                <w:noProof/>
              </w:rPr>
            </w:pPr>
            <w:r>
              <w:rPr>
                <w:noProof/>
              </w:rPr>
              <w:t>237</w:t>
            </w:r>
          </w:p>
        </w:tc>
        <w:tc>
          <w:tcPr>
            <w:tcW w:w="353" w:type="pct"/>
            <w:tcBorders>
              <w:top w:val="single" w:sz="4" w:space="0" w:color="auto"/>
              <w:left w:val="nil"/>
              <w:bottom w:val="single" w:sz="4" w:space="0" w:color="auto"/>
              <w:right w:val="single" w:sz="4" w:space="0" w:color="auto"/>
            </w:tcBorders>
            <w:shd w:val="clear" w:color="auto" w:fill="C6EFCE"/>
            <w:noWrap/>
          </w:tcPr>
          <w:p w14:paraId="4E3DC830"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single" w:sz="4" w:space="0" w:color="auto"/>
              <w:left w:val="nil"/>
              <w:bottom w:val="single" w:sz="4" w:space="0" w:color="auto"/>
              <w:right w:val="single" w:sz="4" w:space="0" w:color="auto"/>
            </w:tcBorders>
            <w:shd w:val="clear" w:color="auto" w:fill="C6EFCE"/>
            <w:noWrap/>
          </w:tcPr>
          <w:p w14:paraId="3335B1A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single" w:sz="4" w:space="0" w:color="auto"/>
              <w:left w:val="nil"/>
              <w:bottom w:val="single" w:sz="4" w:space="0" w:color="auto"/>
              <w:right w:val="single" w:sz="4" w:space="0" w:color="auto"/>
            </w:tcBorders>
            <w:shd w:val="clear" w:color="auto" w:fill="C6EFCE"/>
            <w:noWrap/>
          </w:tcPr>
          <w:p w14:paraId="2DEC3F50" w14:textId="77777777" w:rsidR="003A3D51" w:rsidRDefault="0002775A">
            <w:pPr>
              <w:pStyle w:val="P68B1DB1-Normal7"/>
              <w:spacing w:after="200" w:line="276" w:lineRule="auto"/>
              <w:rPr>
                <w:rFonts w:ascii="Times New Roman" w:hAnsi="Times New Roman" w:cs="Times New Roman"/>
                <w:noProof/>
              </w:rPr>
            </w:pPr>
            <w:r>
              <w:rPr>
                <w:noProof/>
              </w:rPr>
              <w:t>Inrättande av ett informationssystem för att övervaka genomförandet av nationella åtgärder mot korruption</w:t>
            </w:r>
          </w:p>
        </w:tc>
        <w:tc>
          <w:tcPr>
            <w:tcW w:w="879" w:type="pct"/>
            <w:tcBorders>
              <w:top w:val="single" w:sz="4" w:space="0" w:color="auto"/>
              <w:left w:val="nil"/>
              <w:bottom w:val="single" w:sz="4" w:space="0" w:color="auto"/>
              <w:right w:val="single" w:sz="4" w:space="0" w:color="auto"/>
            </w:tcBorders>
            <w:shd w:val="clear" w:color="auto" w:fill="C6EFCE"/>
            <w:noWrap/>
          </w:tcPr>
          <w:p w14:paraId="5B45A106" w14:textId="77777777" w:rsidR="003A3D51" w:rsidRDefault="0002775A">
            <w:pPr>
              <w:pStyle w:val="P68B1DB1-Normal7"/>
              <w:spacing w:after="200" w:line="276" w:lineRule="auto"/>
              <w:rPr>
                <w:rFonts w:ascii="Times New Roman" w:hAnsi="Times New Roman" w:cs="Times New Roman"/>
                <w:noProof/>
              </w:rPr>
            </w:pPr>
            <w:r>
              <w:rPr>
                <w:noProof/>
              </w:rPr>
              <w:t xml:space="preserve">Nytt informationssystem som fungerar för att övervaka genomförandet av nationella åtgärder mot korruption </w:t>
            </w:r>
          </w:p>
        </w:tc>
        <w:tc>
          <w:tcPr>
            <w:tcW w:w="363" w:type="pct"/>
            <w:tcBorders>
              <w:top w:val="single" w:sz="4" w:space="0" w:color="auto"/>
              <w:left w:val="nil"/>
              <w:bottom w:val="single" w:sz="4" w:space="0" w:color="auto"/>
              <w:right w:val="single" w:sz="4" w:space="0" w:color="auto"/>
            </w:tcBorders>
            <w:shd w:val="clear" w:color="auto" w:fill="C6EFCE"/>
            <w:noWrap/>
          </w:tcPr>
          <w:p w14:paraId="193F4F8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2CDABA8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5E3351C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71D5B6C7"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2ED1EEEC"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57" w:type="pct"/>
            <w:tcBorders>
              <w:top w:val="single" w:sz="4" w:space="0" w:color="auto"/>
              <w:left w:val="nil"/>
              <w:bottom w:val="single" w:sz="4" w:space="0" w:color="auto"/>
              <w:right w:val="single" w:sz="4" w:space="0" w:color="auto"/>
            </w:tcBorders>
            <w:shd w:val="clear" w:color="auto" w:fill="C6EFCE"/>
            <w:noWrap/>
          </w:tcPr>
          <w:p w14:paraId="46C7ACAD" w14:textId="77777777" w:rsidR="003A3D51" w:rsidRDefault="0002775A">
            <w:pPr>
              <w:pStyle w:val="P68B1DB1-Normal7"/>
              <w:spacing w:after="200" w:line="276" w:lineRule="auto"/>
              <w:rPr>
                <w:rFonts w:ascii="Times New Roman" w:hAnsi="Times New Roman" w:cs="Times New Roman"/>
                <w:noProof/>
              </w:rPr>
            </w:pPr>
            <w:r>
              <w:rPr>
                <w:noProof/>
              </w:rPr>
              <w:t>Inrättande av ett nytt informationssystem/en ny plattform för övervakning av olika områden för förebyggande av korruption: (1) skydd av visselblåsare, (2) rätt till tillgång till information, (3) lobbyverksamhet, (4) intressekonflikter, (5) nätverk och samordning mellan nationella myndigheter för utarbetande, genomförande och övervakning av genomförandet av nationella strategiska dokument och genomförandedokument, (6) bevarande, uppdatering och offentliggörande av förteckningar över statsägda företag och företag som ägs av lokala myndigheter och regionala förvaltningsenheter, (7) rapportering till ombudsmannen, vilket möjliggör snabbare kommunikation, datadelning och bättre samordning mellan de myndigheter som deltar i utformningen, genomförandet och övervakningen av genomförandet av nationella åtgärder mot korruption och information till medborgarna om den befintliga rättsliga ramen för förebyggande av korruption.</w:t>
            </w:r>
            <w:r>
              <w:rPr>
                <w:noProof/>
              </w:rPr>
              <w:br/>
              <w:t xml:space="preserve"> </w:t>
            </w:r>
          </w:p>
        </w:tc>
      </w:tr>
      <w:tr w:rsidR="003A3D51" w14:paraId="40C2A5E4"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0821659C" w14:textId="77777777" w:rsidR="003A3D51" w:rsidRDefault="0002775A">
            <w:pPr>
              <w:pStyle w:val="P68B1DB1-Normal7"/>
              <w:spacing w:after="200" w:line="276" w:lineRule="auto"/>
              <w:jc w:val="center"/>
              <w:rPr>
                <w:rFonts w:ascii="Times New Roman" w:hAnsi="Times New Roman" w:cs="Times New Roman"/>
                <w:noProof/>
              </w:rPr>
            </w:pPr>
            <w:r>
              <w:rPr>
                <w:noProof/>
              </w:rPr>
              <w:t>238</w:t>
            </w:r>
          </w:p>
        </w:tc>
        <w:tc>
          <w:tcPr>
            <w:tcW w:w="353" w:type="pct"/>
            <w:tcBorders>
              <w:top w:val="single" w:sz="4" w:space="0" w:color="auto"/>
              <w:left w:val="nil"/>
              <w:bottom w:val="single" w:sz="4" w:space="0" w:color="auto"/>
              <w:right w:val="single" w:sz="4" w:space="0" w:color="auto"/>
            </w:tcBorders>
            <w:shd w:val="clear" w:color="auto" w:fill="C6EFCE"/>
            <w:noWrap/>
          </w:tcPr>
          <w:p w14:paraId="0443B51E" w14:textId="77777777" w:rsidR="003A3D51" w:rsidRDefault="0002775A">
            <w:pPr>
              <w:pStyle w:val="P68B1DB1-Normal7"/>
              <w:spacing w:after="200" w:line="276" w:lineRule="auto"/>
              <w:jc w:val="center"/>
              <w:rPr>
                <w:rFonts w:ascii="Times New Roman" w:hAnsi="Times New Roman" w:cs="Times New Roman"/>
                <w:noProof/>
              </w:rPr>
            </w:pPr>
            <w:r>
              <w:rPr>
                <w:noProof/>
              </w:rPr>
              <w:t>C2.6 R1</w:t>
            </w:r>
          </w:p>
        </w:tc>
        <w:tc>
          <w:tcPr>
            <w:tcW w:w="308" w:type="pct"/>
            <w:tcBorders>
              <w:top w:val="single" w:sz="4" w:space="0" w:color="auto"/>
              <w:left w:val="nil"/>
              <w:bottom w:val="single" w:sz="4" w:space="0" w:color="auto"/>
              <w:right w:val="single" w:sz="4" w:space="0" w:color="auto"/>
            </w:tcBorders>
            <w:shd w:val="clear" w:color="auto" w:fill="C6EFCE"/>
            <w:noWrap/>
          </w:tcPr>
          <w:p w14:paraId="3487F02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42" w:type="pct"/>
            <w:tcBorders>
              <w:top w:val="single" w:sz="4" w:space="0" w:color="auto"/>
              <w:left w:val="nil"/>
              <w:bottom w:val="single" w:sz="4" w:space="0" w:color="auto"/>
              <w:right w:val="single" w:sz="4" w:space="0" w:color="auto"/>
            </w:tcBorders>
            <w:shd w:val="clear" w:color="auto" w:fill="C6EFCE"/>
            <w:noWrap/>
          </w:tcPr>
          <w:p w14:paraId="5E14E11B" w14:textId="77777777" w:rsidR="003A3D51" w:rsidRDefault="0002775A">
            <w:pPr>
              <w:pStyle w:val="P68B1DB1-Normal7"/>
              <w:spacing w:after="200" w:line="276" w:lineRule="auto"/>
              <w:rPr>
                <w:rFonts w:ascii="Times New Roman" w:hAnsi="Times New Roman" w:cs="Times New Roman"/>
                <w:noProof/>
              </w:rPr>
            </w:pPr>
            <w:r>
              <w:rPr>
                <w:noProof/>
              </w:rPr>
              <w:t>Minska den genomsnittliga handläggningstiden för mål om korruption och organiserad brottslighet</w:t>
            </w:r>
          </w:p>
        </w:tc>
        <w:tc>
          <w:tcPr>
            <w:tcW w:w="879" w:type="pct"/>
            <w:tcBorders>
              <w:top w:val="single" w:sz="4" w:space="0" w:color="auto"/>
              <w:left w:val="nil"/>
              <w:bottom w:val="single" w:sz="4" w:space="0" w:color="auto"/>
              <w:right w:val="single" w:sz="4" w:space="0" w:color="auto"/>
            </w:tcBorders>
            <w:shd w:val="clear" w:color="auto" w:fill="C6EFCE"/>
            <w:noWrap/>
          </w:tcPr>
          <w:p w14:paraId="620CB9F3"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3" w:type="pct"/>
            <w:tcBorders>
              <w:top w:val="single" w:sz="4" w:space="0" w:color="auto"/>
              <w:left w:val="nil"/>
              <w:bottom w:val="single" w:sz="4" w:space="0" w:color="auto"/>
              <w:right w:val="single" w:sz="4" w:space="0" w:color="auto"/>
            </w:tcBorders>
            <w:shd w:val="clear" w:color="auto" w:fill="C6EFCE"/>
            <w:noWrap/>
          </w:tcPr>
          <w:p w14:paraId="1D4683C2"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7" w:type="pct"/>
            <w:tcBorders>
              <w:top w:val="single" w:sz="4" w:space="0" w:color="auto"/>
              <w:left w:val="nil"/>
              <w:bottom w:val="single" w:sz="4" w:space="0" w:color="auto"/>
              <w:right w:val="single" w:sz="4" w:space="0" w:color="auto"/>
            </w:tcBorders>
            <w:shd w:val="clear" w:color="auto" w:fill="C6EFCE"/>
            <w:noWrap/>
          </w:tcPr>
          <w:p w14:paraId="35397335" w14:textId="77777777" w:rsidR="003A3D51" w:rsidRDefault="0002775A">
            <w:pPr>
              <w:pStyle w:val="P68B1DB1-Normal7"/>
              <w:spacing w:after="200" w:line="276" w:lineRule="auto"/>
              <w:jc w:val="center"/>
              <w:rPr>
                <w:rFonts w:ascii="Times New Roman" w:hAnsi="Times New Roman" w:cs="Times New Roman"/>
                <w:noProof/>
              </w:rPr>
            </w:pPr>
            <w:r>
              <w:rPr>
                <w:noProof/>
              </w:rPr>
              <w:t>999</w:t>
            </w:r>
          </w:p>
        </w:tc>
        <w:tc>
          <w:tcPr>
            <w:tcW w:w="264" w:type="pct"/>
            <w:tcBorders>
              <w:top w:val="single" w:sz="4" w:space="0" w:color="auto"/>
              <w:left w:val="nil"/>
              <w:bottom w:val="single" w:sz="4" w:space="0" w:color="auto"/>
              <w:right w:val="single" w:sz="4" w:space="0" w:color="auto"/>
            </w:tcBorders>
            <w:shd w:val="clear" w:color="auto" w:fill="C6EFCE"/>
            <w:noWrap/>
          </w:tcPr>
          <w:p w14:paraId="780587E6" w14:textId="77777777" w:rsidR="003A3D51" w:rsidRDefault="0002775A">
            <w:pPr>
              <w:pStyle w:val="P68B1DB1-Normal7"/>
              <w:spacing w:after="200" w:line="276" w:lineRule="auto"/>
              <w:jc w:val="center"/>
              <w:rPr>
                <w:rFonts w:ascii="Times New Roman" w:hAnsi="Times New Roman" w:cs="Times New Roman"/>
                <w:noProof/>
              </w:rPr>
            </w:pPr>
            <w:r>
              <w:rPr>
                <w:noProof/>
              </w:rPr>
              <w:t>799</w:t>
            </w:r>
          </w:p>
        </w:tc>
        <w:tc>
          <w:tcPr>
            <w:tcW w:w="247" w:type="pct"/>
            <w:tcBorders>
              <w:top w:val="single" w:sz="4" w:space="0" w:color="auto"/>
              <w:left w:val="nil"/>
              <w:bottom w:val="single" w:sz="4" w:space="0" w:color="auto"/>
              <w:right w:val="single" w:sz="4" w:space="0" w:color="auto"/>
            </w:tcBorders>
            <w:shd w:val="clear" w:color="auto" w:fill="C6EFCE"/>
            <w:noWrap/>
          </w:tcPr>
          <w:p w14:paraId="073B85FC"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118FB8BE"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57" w:type="pct"/>
            <w:tcBorders>
              <w:top w:val="single" w:sz="4" w:space="0" w:color="auto"/>
              <w:left w:val="nil"/>
              <w:bottom w:val="single" w:sz="4" w:space="0" w:color="auto"/>
              <w:right w:val="single" w:sz="4" w:space="0" w:color="auto"/>
            </w:tcBorders>
            <w:shd w:val="clear" w:color="auto" w:fill="C6EFCE"/>
            <w:noWrap/>
          </w:tcPr>
          <w:p w14:paraId="51AEFA3C" w14:textId="77777777" w:rsidR="003A3D51" w:rsidRDefault="0002775A">
            <w:pPr>
              <w:pStyle w:val="P68B1DB1-Normal7"/>
              <w:spacing w:after="200" w:line="276" w:lineRule="auto"/>
              <w:rPr>
                <w:rFonts w:ascii="Times New Roman" w:hAnsi="Times New Roman" w:cs="Times New Roman"/>
                <w:noProof/>
              </w:rPr>
            </w:pPr>
            <w:r>
              <w:rPr>
                <w:noProof/>
              </w:rPr>
              <w:t>Minskning med 200 dagar av den genomsnittliga handläggningstiden för mål om korruption och organiserad brottslighet jämfört med 1Q/2021 (999 dagar).</w:t>
            </w:r>
          </w:p>
        </w:tc>
      </w:tr>
      <w:tr w:rsidR="003A3D51" w14:paraId="1286EC7D"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0662EA5B" w14:textId="77777777" w:rsidR="003A3D51" w:rsidRDefault="0002775A">
            <w:pPr>
              <w:pStyle w:val="P68B1DB1-Normal7"/>
              <w:spacing w:after="200" w:line="276" w:lineRule="auto"/>
              <w:jc w:val="center"/>
              <w:rPr>
                <w:rFonts w:ascii="Times New Roman" w:hAnsi="Times New Roman" w:cs="Times New Roman"/>
                <w:noProof/>
              </w:rPr>
            </w:pPr>
            <w:r>
              <w:rPr>
                <w:noProof/>
              </w:rPr>
              <w:t>239</w:t>
            </w:r>
          </w:p>
        </w:tc>
        <w:tc>
          <w:tcPr>
            <w:tcW w:w="353" w:type="pct"/>
            <w:tcBorders>
              <w:top w:val="single" w:sz="4" w:space="0" w:color="auto"/>
              <w:left w:val="nil"/>
              <w:bottom w:val="single" w:sz="4" w:space="0" w:color="auto"/>
              <w:right w:val="single" w:sz="4" w:space="0" w:color="auto"/>
            </w:tcBorders>
            <w:shd w:val="clear" w:color="auto" w:fill="C6EFCE"/>
            <w:noWrap/>
          </w:tcPr>
          <w:p w14:paraId="1BC56653" w14:textId="77777777" w:rsidR="003A3D51" w:rsidRDefault="0002775A">
            <w:pPr>
              <w:pStyle w:val="P68B1DB1-Normal7"/>
              <w:spacing w:after="200" w:line="276" w:lineRule="auto"/>
              <w:jc w:val="center"/>
              <w:rPr>
                <w:rFonts w:ascii="Times New Roman" w:hAnsi="Times New Roman" w:cs="Times New Roman"/>
                <w:noProof/>
              </w:rPr>
            </w:pPr>
            <w:r>
              <w:rPr>
                <w:noProof/>
              </w:rPr>
              <w:t>C2.6 R1-I1</w:t>
            </w:r>
          </w:p>
        </w:tc>
        <w:tc>
          <w:tcPr>
            <w:tcW w:w="308" w:type="pct"/>
            <w:tcBorders>
              <w:top w:val="single" w:sz="4" w:space="0" w:color="auto"/>
              <w:left w:val="nil"/>
              <w:bottom w:val="single" w:sz="4" w:space="0" w:color="auto"/>
              <w:right w:val="single" w:sz="4" w:space="0" w:color="auto"/>
            </w:tcBorders>
            <w:shd w:val="clear" w:color="auto" w:fill="C6EFCE"/>
            <w:noWrap/>
          </w:tcPr>
          <w:p w14:paraId="7EF339A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single" w:sz="4" w:space="0" w:color="auto"/>
              <w:left w:val="nil"/>
              <w:bottom w:val="single" w:sz="4" w:space="0" w:color="auto"/>
              <w:right w:val="single" w:sz="4" w:space="0" w:color="auto"/>
            </w:tcBorders>
            <w:shd w:val="clear" w:color="auto" w:fill="C6EFCE"/>
            <w:noWrap/>
          </w:tcPr>
          <w:p w14:paraId="53F75152" w14:textId="77777777" w:rsidR="003A3D51" w:rsidRDefault="0002775A">
            <w:pPr>
              <w:pStyle w:val="P68B1DB1-Normal7"/>
              <w:spacing w:after="200" w:line="276" w:lineRule="auto"/>
              <w:rPr>
                <w:rFonts w:ascii="Times New Roman" w:hAnsi="Times New Roman" w:cs="Times New Roman"/>
                <w:noProof/>
              </w:rPr>
            </w:pPr>
            <w:r>
              <w:rPr>
                <w:noProof/>
              </w:rPr>
              <w:t>Utvärdering av effekterna av den nationella informationskampanjen mot korruption</w:t>
            </w:r>
          </w:p>
        </w:tc>
        <w:tc>
          <w:tcPr>
            <w:tcW w:w="879" w:type="pct"/>
            <w:tcBorders>
              <w:top w:val="single" w:sz="4" w:space="0" w:color="auto"/>
              <w:left w:val="nil"/>
              <w:bottom w:val="single" w:sz="4" w:space="0" w:color="auto"/>
              <w:right w:val="single" w:sz="4" w:space="0" w:color="auto"/>
            </w:tcBorders>
            <w:shd w:val="clear" w:color="auto" w:fill="C6EFCE"/>
            <w:noWrap/>
          </w:tcPr>
          <w:p w14:paraId="51F7A3A9" w14:textId="77777777" w:rsidR="003A3D51" w:rsidRDefault="0002775A">
            <w:pPr>
              <w:pStyle w:val="P68B1DB1-Normal7"/>
              <w:spacing w:after="200" w:line="276" w:lineRule="auto"/>
              <w:rPr>
                <w:rFonts w:ascii="Times New Roman" w:hAnsi="Times New Roman" w:cs="Times New Roman"/>
                <w:noProof/>
              </w:rPr>
            </w:pPr>
            <w:r>
              <w:rPr>
                <w:noProof/>
              </w:rPr>
              <w:t>Publicering av konsekvensbedömningsrapporten från justitieministeriet och den offentliga förvaltningen</w:t>
            </w:r>
          </w:p>
        </w:tc>
        <w:tc>
          <w:tcPr>
            <w:tcW w:w="363" w:type="pct"/>
            <w:tcBorders>
              <w:top w:val="single" w:sz="4" w:space="0" w:color="auto"/>
              <w:left w:val="nil"/>
              <w:bottom w:val="single" w:sz="4" w:space="0" w:color="auto"/>
              <w:right w:val="single" w:sz="4" w:space="0" w:color="auto"/>
            </w:tcBorders>
            <w:shd w:val="clear" w:color="auto" w:fill="C6EFCE"/>
            <w:noWrap/>
          </w:tcPr>
          <w:p w14:paraId="244E615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6DF8088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5F6B6A3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36D7D904"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11AD3809"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57" w:type="pct"/>
            <w:tcBorders>
              <w:top w:val="single" w:sz="4" w:space="0" w:color="auto"/>
              <w:left w:val="nil"/>
              <w:bottom w:val="single" w:sz="4" w:space="0" w:color="auto"/>
              <w:right w:val="single" w:sz="4" w:space="0" w:color="auto"/>
            </w:tcBorders>
            <w:shd w:val="clear" w:color="auto" w:fill="C6EFCE"/>
            <w:noWrap/>
          </w:tcPr>
          <w:p w14:paraId="3D4B72FB" w14:textId="77777777" w:rsidR="003A3D51" w:rsidRDefault="0002775A">
            <w:pPr>
              <w:pStyle w:val="P68B1DB1-Normal7"/>
              <w:spacing w:after="200" w:line="276" w:lineRule="auto"/>
              <w:rPr>
                <w:rFonts w:ascii="Times New Roman" w:hAnsi="Times New Roman" w:cs="Times New Roman"/>
                <w:noProof/>
              </w:rPr>
            </w:pPr>
            <w:r>
              <w:rPr>
                <w:noProof/>
              </w:rPr>
              <w:t xml:space="preserve">Publicerad studie med rekommendationer om utvärderingen av effekterna av den nationella mediekampanjen. Den ska genomföras med särskild inriktning på att öka allmänhetens medvetenhet om korruptionens skadlighet och om hur de befintliga mekanismerna för korruptionsbekämpning fungerar, i syfte att stärka medborgarnas roll i synergistiska insatser mot korruption. </w:t>
            </w:r>
          </w:p>
        </w:tc>
      </w:tr>
      <w:tr w:rsidR="003A3D51" w14:paraId="1C3EB513"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5D2B4110" w14:textId="77777777" w:rsidR="003A3D51" w:rsidRDefault="0002775A">
            <w:pPr>
              <w:pStyle w:val="P68B1DB1-Normal7"/>
              <w:spacing w:after="200" w:line="276" w:lineRule="auto"/>
              <w:jc w:val="center"/>
              <w:rPr>
                <w:rFonts w:ascii="Times New Roman" w:hAnsi="Times New Roman" w:cs="Times New Roman"/>
                <w:noProof/>
              </w:rPr>
            </w:pPr>
            <w:r>
              <w:rPr>
                <w:noProof/>
              </w:rPr>
              <w:t>240</w:t>
            </w:r>
          </w:p>
        </w:tc>
        <w:tc>
          <w:tcPr>
            <w:tcW w:w="353" w:type="pct"/>
            <w:tcBorders>
              <w:top w:val="single" w:sz="4" w:space="0" w:color="auto"/>
              <w:left w:val="nil"/>
              <w:bottom w:val="single" w:sz="4" w:space="0" w:color="auto"/>
              <w:right w:val="single" w:sz="4" w:space="0" w:color="auto"/>
            </w:tcBorders>
            <w:shd w:val="clear" w:color="auto" w:fill="C6EFCE"/>
            <w:noWrap/>
          </w:tcPr>
          <w:p w14:paraId="5F6BF1DB" w14:textId="77777777" w:rsidR="003A3D51" w:rsidRDefault="0002775A">
            <w:pPr>
              <w:pStyle w:val="P68B1DB1-Normal7"/>
              <w:spacing w:after="200" w:line="276" w:lineRule="auto"/>
              <w:jc w:val="center"/>
              <w:rPr>
                <w:rFonts w:ascii="Times New Roman" w:hAnsi="Times New Roman" w:cs="Times New Roman"/>
                <w:noProof/>
              </w:rPr>
            </w:pPr>
            <w:r>
              <w:rPr>
                <w:noProof/>
              </w:rPr>
              <w:t>C2.6 R1-I2</w:t>
            </w:r>
          </w:p>
        </w:tc>
        <w:tc>
          <w:tcPr>
            <w:tcW w:w="308" w:type="pct"/>
            <w:tcBorders>
              <w:top w:val="single" w:sz="4" w:space="0" w:color="auto"/>
              <w:left w:val="nil"/>
              <w:bottom w:val="single" w:sz="4" w:space="0" w:color="auto"/>
              <w:right w:val="single" w:sz="4" w:space="0" w:color="auto"/>
            </w:tcBorders>
            <w:shd w:val="clear" w:color="auto" w:fill="C6EFCE"/>
            <w:noWrap/>
          </w:tcPr>
          <w:p w14:paraId="4B2A3FBD"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single" w:sz="4" w:space="0" w:color="auto"/>
              <w:left w:val="nil"/>
              <w:bottom w:val="single" w:sz="4" w:space="0" w:color="auto"/>
              <w:right w:val="single" w:sz="4" w:space="0" w:color="auto"/>
            </w:tcBorders>
            <w:shd w:val="clear" w:color="auto" w:fill="C6EFCE"/>
            <w:noWrap/>
          </w:tcPr>
          <w:p w14:paraId="2EDC260E" w14:textId="77777777" w:rsidR="003A3D51" w:rsidRDefault="0002775A">
            <w:pPr>
              <w:pStyle w:val="P68B1DB1-Normal7"/>
              <w:spacing w:after="200" w:line="276" w:lineRule="auto"/>
              <w:rPr>
                <w:rFonts w:ascii="Times New Roman" w:hAnsi="Times New Roman" w:cs="Times New Roman"/>
                <w:noProof/>
              </w:rPr>
            </w:pPr>
            <w:r>
              <w:rPr>
                <w:noProof/>
              </w:rPr>
              <w:t>Inrättande av ett informationssystem för förvaltningen av tjänstemännens etiska infrastruktur</w:t>
            </w:r>
          </w:p>
        </w:tc>
        <w:tc>
          <w:tcPr>
            <w:tcW w:w="879" w:type="pct"/>
            <w:tcBorders>
              <w:top w:val="single" w:sz="4" w:space="0" w:color="auto"/>
              <w:left w:val="nil"/>
              <w:bottom w:val="single" w:sz="4" w:space="0" w:color="auto"/>
              <w:right w:val="single" w:sz="4" w:space="0" w:color="auto"/>
            </w:tcBorders>
            <w:shd w:val="clear" w:color="auto" w:fill="C6EFCE"/>
            <w:noWrap/>
          </w:tcPr>
          <w:p w14:paraId="4EACAC3F" w14:textId="77777777" w:rsidR="003A3D51" w:rsidRDefault="0002775A">
            <w:pPr>
              <w:pStyle w:val="P68B1DB1-Normal7"/>
              <w:spacing w:after="200" w:line="276" w:lineRule="auto"/>
              <w:rPr>
                <w:rFonts w:ascii="Times New Roman" w:hAnsi="Times New Roman" w:cs="Times New Roman"/>
                <w:noProof/>
              </w:rPr>
            </w:pPr>
            <w:r>
              <w:rPr>
                <w:noProof/>
              </w:rPr>
              <w:t>Informationssystemet har utvecklats fullt ut och tagits i drift</w:t>
            </w:r>
          </w:p>
        </w:tc>
        <w:tc>
          <w:tcPr>
            <w:tcW w:w="363" w:type="pct"/>
            <w:tcBorders>
              <w:top w:val="single" w:sz="4" w:space="0" w:color="auto"/>
              <w:left w:val="nil"/>
              <w:bottom w:val="single" w:sz="4" w:space="0" w:color="auto"/>
              <w:right w:val="single" w:sz="4" w:space="0" w:color="auto"/>
            </w:tcBorders>
            <w:shd w:val="clear" w:color="auto" w:fill="C6EFCE"/>
            <w:noWrap/>
          </w:tcPr>
          <w:p w14:paraId="5158B97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53CFD62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6756B04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03B4F95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50CE7A3D"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57" w:type="pct"/>
            <w:tcBorders>
              <w:top w:val="single" w:sz="4" w:space="0" w:color="auto"/>
              <w:left w:val="nil"/>
              <w:bottom w:val="single" w:sz="4" w:space="0" w:color="auto"/>
              <w:right w:val="single" w:sz="4" w:space="0" w:color="auto"/>
            </w:tcBorders>
            <w:shd w:val="clear" w:color="auto" w:fill="C6EFCE"/>
            <w:noWrap/>
          </w:tcPr>
          <w:p w14:paraId="1C3444C3" w14:textId="77777777" w:rsidR="003A3D51" w:rsidRDefault="0002775A">
            <w:pPr>
              <w:pStyle w:val="P68B1DB1-Normal7"/>
              <w:spacing w:after="200" w:line="276" w:lineRule="auto"/>
              <w:contextualSpacing/>
              <w:rPr>
                <w:rFonts w:ascii="Times New Roman" w:hAnsi="Times New Roman" w:cs="Times New Roman"/>
                <w:noProof/>
              </w:rPr>
            </w:pPr>
            <w:r>
              <w:rPr>
                <w:noProof/>
              </w:rPr>
              <w:t xml:space="preserve">Ett elektroniskt system för hantering av etisk infrastruktur ska utvecklas och tas i drift i syfte att modernisera och förbättra det arbete som utförs av etikkommissionärerna, etikkommissionen och de tjänstemän som arbetar inom tjänsten för etik och integritet, med funktioner för att behandla åtminstone följande kategorier av klagomål: </w:t>
            </w:r>
            <w:r>
              <w:rPr>
                <w:noProof/>
              </w:rPr>
              <w:br/>
              <w:t xml:space="preserve">Klagomål om hur medborgarna behandlas av tjänstemän </w:t>
            </w:r>
            <w:r>
              <w:rPr>
                <w:noProof/>
              </w:rPr>
              <w:br/>
              <w:t>— Klagomål om beteende vid offentliga framträdanden.</w:t>
            </w:r>
            <w:r>
              <w:rPr>
                <w:noProof/>
              </w:rPr>
              <w:br/>
              <w:t>— Klagomål om erhållande av materiella eller andra förmåner.</w:t>
            </w:r>
            <w:r>
              <w:rPr>
                <w:noProof/>
              </w:rPr>
              <w:br/>
              <w:t>Klagomål om intressekonflikter.</w:t>
            </w:r>
            <w:r>
              <w:rPr>
                <w:noProof/>
              </w:rPr>
              <w:br/>
              <w:t>— Klagomål från tjänstemän avseende övriga offentliganställda tjänstemän, inbegripet om överordnade.</w:t>
            </w:r>
          </w:p>
        </w:tc>
      </w:tr>
      <w:tr w:rsidR="003A3D51" w14:paraId="545113C2"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2CB55147" w14:textId="77777777" w:rsidR="003A3D51" w:rsidRDefault="0002775A">
            <w:pPr>
              <w:pStyle w:val="P68B1DB1-Normal7"/>
              <w:spacing w:after="200" w:line="276" w:lineRule="auto"/>
              <w:jc w:val="center"/>
              <w:rPr>
                <w:rFonts w:ascii="Times New Roman" w:hAnsi="Times New Roman" w:cs="Times New Roman"/>
                <w:noProof/>
              </w:rPr>
            </w:pPr>
            <w:r>
              <w:rPr>
                <w:noProof/>
              </w:rPr>
              <w:t>241</w:t>
            </w:r>
          </w:p>
        </w:tc>
        <w:tc>
          <w:tcPr>
            <w:tcW w:w="353" w:type="pct"/>
            <w:tcBorders>
              <w:top w:val="single" w:sz="4" w:space="0" w:color="auto"/>
              <w:left w:val="nil"/>
              <w:bottom w:val="single" w:sz="4" w:space="0" w:color="auto"/>
              <w:right w:val="single" w:sz="4" w:space="0" w:color="auto"/>
            </w:tcBorders>
            <w:shd w:val="clear" w:color="auto" w:fill="C6EFCE"/>
            <w:noWrap/>
          </w:tcPr>
          <w:p w14:paraId="42FBCD2F" w14:textId="77777777" w:rsidR="003A3D51" w:rsidRDefault="0002775A">
            <w:pPr>
              <w:pStyle w:val="P68B1DB1-Normal7"/>
              <w:spacing w:after="200" w:line="276" w:lineRule="auto"/>
              <w:jc w:val="center"/>
              <w:rPr>
                <w:rFonts w:ascii="Times New Roman" w:hAnsi="Times New Roman" w:cs="Times New Roman"/>
                <w:noProof/>
              </w:rPr>
            </w:pPr>
            <w:r>
              <w:rPr>
                <w:noProof/>
              </w:rPr>
              <w:t>C2.6 R1-I3</w:t>
            </w:r>
          </w:p>
        </w:tc>
        <w:tc>
          <w:tcPr>
            <w:tcW w:w="308" w:type="pct"/>
            <w:tcBorders>
              <w:top w:val="single" w:sz="4" w:space="0" w:color="auto"/>
              <w:left w:val="nil"/>
              <w:bottom w:val="single" w:sz="4" w:space="0" w:color="auto"/>
              <w:right w:val="single" w:sz="4" w:space="0" w:color="auto"/>
            </w:tcBorders>
            <w:shd w:val="clear" w:color="auto" w:fill="C6EFCE"/>
            <w:noWrap/>
          </w:tcPr>
          <w:p w14:paraId="50FB6D59"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single" w:sz="4" w:space="0" w:color="auto"/>
              <w:left w:val="nil"/>
              <w:bottom w:val="single" w:sz="4" w:space="0" w:color="auto"/>
              <w:right w:val="single" w:sz="4" w:space="0" w:color="auto"/>
            </w:tcBorders>
            <w:shd w:val="clear" w:color="auto" w:fill="C6EFCE"/>
            <w:noWrap/>
          </w:tcPr>
          <w:p w14:paraId="589ED10A" w14:textId="77777777" w:rsidR="003A3D51" w:rsidRDefault="0002775A">
            <w:pPr>
              <w:pStyle w:val="P68B1DB1-Normal7"/>
              <w:spacing w:after="200" w:line="276" w:lineRule="auto"/>
              <w:rPr>
                <w:rFonts w:ascii="Times New Roman" w:hAnsi="Times New Roman" w:cs="Times New Roman"/>
                <w:noProof/>
              </w:rPr>
            </w:pPr>
            <w:r>
              <w:rPr>
                <w:noProof/>
              </w:rPr>
              <w:t>Förbättrade informationssystem för redovisning av tillgångar för statliga tjänstemän och tjänstemän inom rättsväsendet</w:t>
            </w:r>
          </w:p>
        </w:tc>
        <w:tc>
          <w:tcPr>
            <w:tcW w:w="879" w:type="pct"/>
            <w:tcBorders>
              <w:top w:val="single" w:sz="4" w:space="0" w:color="auto"/>
              <w:left w:val="nil"/>
              <w:bottom w:val="single" w:sz="4" w:space="0" w:color="auto"/>
              <w:right w:val="single" w:sz="4" w:space="0" w:color="auto"/>
            </w:tcBorders>
            <w:shd w:val="clear" w:color="auto" w:fill="C6EFCE"/>
            <w:noWrap/>
          </w:tcPr>
          <w:p w14:paraId="5FC64113" w14:textId="77777777" w:rsidR="003A3D51" w:rsidRDefault="0002775A">
            <w:pPr>
              <w:pStyle w:val="P68B1DB1-Normal7"/>
              <w:spacing w:after="200" w:line="276" w:lineRule="auto"/>
              <w:rPr>
                <w:rFonts w:ascii="Times New Roman" w:hAnsi="Times New Roman" w:cs="Times New Roman"/>
                <w:noProof/>
              </w:rPr>
            </w:pPr>
            <w:r>
              <w:rPr>
                <w:noProof/>
              </w:rPr>
              <w:t>Informationssystemen har uppgraderats och införts</w:t>
            </w:r>
          </w:p>
        </w:tc>
        <w:tc>
          <w:tcPr>
            <w:tcW w:w="363" w:type="pct"/>
            <w:tcBorders>
              <w:top w:val="single" w:sz="4" w:space="0" w:color="auto"/>
              <w:left w:val="nil"/>
              <w:bottom w:val="single" w:sz="4" w:space="0" w:color="auto"/>
              <w:right w:val="single" w:sz="4" w:space="0" w:color="auto"/>
            </w:tcBorders>
            <w:shd w:val="clear" w:color="auto" w:fill="C6EFCE"/>
            <w:noWrap/>
          </w:tcPr>
          <w:p w14:paraId="53BB6AF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58026EC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705F955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1DF1F3EB"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66273DD5"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57" w:type="pct"/>
            <w:tcBorders>
              <w:top w:val="single" w:sz="4" w:space="0" w:color="auto"/>
              <w:left w:val="nil"/>
              <w:bottom w:val="single" w:sz="4" w:space="0" w:color="auto"/>
              <w:right w:val="single" w:sz="4" w:space="0" w:color="auto"/>
            </w:tcBorders>
            <w:shd w:val="clear" w:color="auto" w:fill="C6EFCE"/>
            <w:noWrap/>
          </w:tcPr>
          <w:p w14:paraId="0A7C0ED1" w14:textId="77777777" w:rsidR="003A3D51" w:rsidRDefault="0002775A">
            <w:pPr>
              <w:pStyle w:val="P68B1DB1-Normal7"/>
              <w:spacing w:after="200" w:line="276" w:lineRule="auto"/>
              <w:rPr>
                <w:rFonts w:ascii="Times New Roman" w:hAnsi="Times New Roman" w:cs="Times New Roman"/>
                <w:noProof/>
              </w:rPr>
            </w:pPr>
            <w:r>
              <w:rPr>
                <w:noProof/>
              </w:rPr>
              <w:t xml:space="preserve">Det nuvarande systemet för inlämning av tjänstemäns redovisning av tillgångar ska förbättras genom att det blir möjligt att automatiskt fylla i uppgifter från tillgängliga offentliga källor och genom att förbättra förutsättningarna för att kontrollera uppgifterna i redovisningen av statliga tjänstemäns och domstolstjänstemäns tillgångar. </w:t>
            </w:r>
          </w:p>
        </w:tc>
      </w:tr>
      <w:tr w:rsidR="003A3D51" w14:paraId="5EC3A5F4"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456FDD48" w14:textId="77777777" w:rsidR="003A3D51" w:rsidRDefault="0002775A">
            <w:pPr>
              <w:pStyle w:val="P68B1DB1-Normal7"/>
              <w:spacing w:after="200" w:line="276" w:lineRule="auto"/>
              <w:jc w:val="center"/>
              <w:rPr>
                <w:rFonts w:ascii="Times New Roman" w:hAnsi="Times New Roman" w:cs="Times New Roman"/>
                <w:noProof/>
              </w:rPr>
            </w:pPr>
            <w:r>
              <w:rPr>
                <w:noProof/>
              </w:rPr>
              <w:t>242</w:t>
            </w:r>
          </w:p>
        </w:tc>
        <w:tc>
          <w:tcPr>
            <w:tcW w:w="353" w:type="pct"/>
            <w:tcBorders>
              <w:top w:val="single" w:sz="4" w:space="0" w:color="auto"/>
              <w:left w:val="nil"/>
              <w:bottom w:val="single" w:sz="4" w:space="0" w:color="auto"/>
              <w:right w:val="single" w:sz="4" w:space="0" w:color="auto"/>
            </w:tcBorders>
            <w:shd w:val="clear" w:color="auto" w:fill="C6EFCE"/>
            <w:noWrap/>
          </w:tcPr>
          <w:p w14:paraId="6F88EAE5" w14:textId="77777777" w:rsidR="003A3D51" w:rsidRDefault="0002775A">
            <w:pPr>
              <w:pStyle w:val="P68B1DB1-Normal7"/>
              <w:spacing w:after="200" w:line="276" w:lineRule="auto"/>
              <w:jc w:val="center"/>
              <w:rPr>
                <w:rFonts w:ascii="Times New Roman" w:hAnsi="Times New Roman" w:cs="Times New Roman"/>
                <w:noProof/>
              </w:rPr>
            </w:pPr>
            <w:r>
              <w:rPr>
                <w:noProof/>
              </w:rPr>
              <w:t>C2.6 R1-I4</w:t>
            </w:r>
          </w:p>
        </w:tc>
        <w:tc>
          <w:tcPr>
            <w:tcW w:w="308" w:type="pct"/>
            <w:tcBorders>
              <w:top w:val="single" w:sz="4" w:space="0" w:color="auto"/>
              <w:left w:val="nil"/>
              <w:bottom w:val="single" w:sz="4" w:space="0" w:color="auto"/>
              <w:right w:val="single" w:sz="4" w:space="0" w:color="auto"/>
            </w:tcBorders>
            <w:shd w:val="clear" w:color="auto" w:fill="C6EFCE"/>
            <w:noWrap/>
          </w:tcPr>
          <w:p w14:paraId="72A847E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642" w:type="pct"/>
            <w:tcBorders>
              <w:top w:val="single" w:sz="4" w:space="0" w:color="auto"/>
              <w:left w:val="nil"/>
              <w:bottom w:val="single" w:sz="4" w:space="0" w:color="auto"/>
              <w:right w:val="single" w:sz="4" w:space="0" w:color="auto"/>
            </w:tcBorders>
            <w:shd w:val="clear" w:color="auto" w:fill="C6EFCE"/>
            <w:noWrap/>
          </w:tcPr>
          <w:p w14:paraId="3CDC4F4D" w14:textId="77777777" w:rsidR="003A3D51" w:rsidRDefault="0002775A">
            <w:pPr>
              <w:pStyle w:val="P68B1DB1-Normal7"/>
              <w:spacing w:after="200" w:line="276" w:lineRule="auto"/>
              <w:rPr>
                <w:rFonts w:ascii="Times New Roman" w:hAnsi="Times New Roman" w:cs="Times New Roman"/>
                <w:noProof/>
              </w:rPr>
            </w:pPr>
            <w:r>
              <w:rPr>
                <w:noProof/>
              </w:rPr>
              <w:t xml:space="preserve">Uppgradering och smart digitalisering av 4 regionala centrum vid den nationella polisbyrån för bekämpning av korruption och organiserad brottslighet (PN USKOK) </w:t>
            </w:r>
          </w:p>
        </w:tc>
        <w:tc>
          <w:tcPr>
            <w:tcW w:w="879" w:type="pct"/>
            <w:tcBorders>
              <w:top w:val="single" w:sz="4" w:space="0" w:color="auto"/>
              <w:left w:val="nil"/>
              <w:bottom w:val="single" w:sz="4" w:space="0" w:color="auto"/>
              <w:right w:val="single" w:sz="4" w:space="0" w:color="auto"/>
            </w:tcBorders>
            <w:shd w:val="clear" w:color="auto" w:fill="C6EFCE"/>
            <w:noWrap/>
          </w:tcPr>
          <w:p w14:paraId="6ADB0EB8"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3" w:type="pct"/>
            <w:tcBorders>
              <w:top w:val="single" w:sz="4" w:space="0" w:color="auto"/>
              <w:left w:val="nil"/>
              <w:bottom w:val="single" w:sz="4" w:space="0" w:color="auto"/>
              <w:right w:val="single" w:sz="4" w:space="0" w:color="auto"/>
            </w:tcBorders>
            <w:shd w:val="clear" w:color="auto" w:fill="C6EFCE"/>
            <w:noWrap/>
          </w:tcPr>
          <w:p w14:paraId="70D0893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7" w:type="pct"/>
            <w:tcBorders>
              <w:top w:val="single" w:sz="4" w:space="0" w:color="auto"/>
              <w:left w:val="nil"/>
              <w:bottom w:val="single" w:sz="4" w:space="0" w:color="auto"/>
              <w:right w:val="single" w:sz="4" w:space="0" w:color="auto"/>
            </w:tcBorders>
            <w:shd w:val="clear" w:color="auto" w:fill="C6EFCE"/>
            <w:noWrap/>
          </w:tcPr>
          <w:p w14:paraId="0B2C5A2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64" w:type="pct"/>
            <w:tcBorders>
              <w:top w:val="single" w:sz="4" w:space="0" w:color="auto"/>
              <w:left w:val="nil"/>
              <w:bottom w:val="single" w:sz="4" w:space="0" w:color="auto"/>
              <w:right w:val="single" w:sz="4" w:space="0" w:color="auto"/>
            </w:tcBorders>
            <w:shd w:val="clear" w:color="auto" w:fill="C6EFCE"/>
            <w:noWrap/>
          </w:tcPr>
          <w:p w14:paraId="3F8B1795" w14:textId="77777777" w:rsidR="003A3D51" w:rsidRDefault="0002775A">
            <w:pPr>
              <w:pStyle w:val="P68B1DB1-Normal7"/>
              <w:spacing w:after="200" w:line="276" w:lineRule="auto"/>
              <w:jc w:val="center"/>
              <w:rPr>
                <w:rFonts w:ascii="Times New Roman" w:hAnsi="Times New Roman" w:cs="Times New Roman"/>
                <w:noProof/>
              </w:rPr>
            </w:pPr>
            <w:r>
              <w:rPr>
                <w:noProof/>
              </w:rPr>
              <w:t>4</w:t>
            </w:r>
          </w:p>
        </w:tc>
        <w:tc>
          <w:tcPr>
            <w:tcW w:w="247" w:type="pct"/>
            <w:tcBorders>
              <w:top w:val="single" w:sz="4" w:space="0" w:color="auto"/>
              <w:left w:val="nil"/>
              <w:bottom w:val="single" w:sz="4" w:space="0" w:color="auto"/>
              <w:right w:val="single" w:sz="4" w:space="0" w:color="auto"/>
            </w:tcBorders>
            <w:shd w:val="clear" w:color="auto" w:fill="C6EFCE"/>
            <w:noWrap/>
          </w:tcPr>
          <w:p w14:paraId="5614764F"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20" w:type="pct"/>
            <w:tcBorders>
              <w:top w:val="single" w:sz="4" w:space="0" w:color="auto"/>
              <w:left w:val="nil"/>
              <w:bottom w:val="single" w:sz="4" w:space="0" w:color="auto"/>
              <w:right w:val="single" w:sz="4" w:space="0" w:color="auto"/>
            </w:tcBorders>
            <w:shd w:val="clear" w:color="auto" w:fill="C6EFCE"/>
            <w:noWrap/>
          </w:tcPr>
          <w:p w14:paraId="6A0BA3F7"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57" w:type="pct"/>
            <w:tcBorders>
              <w:top w:val="single" w:sz="4" w:space="0" w:color="auto"/>
              <w:left w:val="nil"/>
              <w:bottom w:val="single" w:sz="4" w:space="0" w:color="auto"/>
              <w:right w:val="single" w:sz="4" w:space="0" w:color="auto"/>
            </w:tcBorders>
            <w:shd w:val="clear" w:color="auto" w:fill="C6EFCE"/>
            <w:noWrap/>
          </w:tcPr>
          <w:p w14:paraId="5B9E30D1" w14:textId="77777777" w:rsidR="003A3D51" w:rsidRDefault="0002775A">
            <w:pPr>
              <w:pStyle w:val="P68B1DB1-Normal7"/>
              <w:spacing w:after="200" w:line="276" w:lineRule="auto"/>
              <w:rPr>
                <w:rFonts w:ascii="Times New Roman" w:hAnsi="Times New Roman" w:cs="Times New Roman"/>
                <w:noProof/>
              </w:rPr>
            </w:pPr>
            <w:r>
              <w:rPr>
                <w:noProof/>
              </w:rPr>
              <w:t>De regionala PN USKOK i Zagreb, Split, Rijeka och Osijek ska renoveras, vara helt digitaliserade och utrustade med smart teknik och modern funktionell utrustning, vilket säkerställer funktionella villkor för tjänstemännens arbete och inkvartering. Renovering omfattar också energirenovering av byggnader, men kravet på att minst 30 % av energibesparingarna ska uppnås är inte obligatoriskt. It-utrustningen i alla fyra regionala centrum ska ersättas med ny modern utrustning för användning av moderna programvaruverktyg och lösningar samt smart teknik. Nya laboratorier ska också inrättas inom centrumen Split och Zagreb för att utrustas med fullständig teknisk utrustning och programvaruverktyg med digitala kriminaltekniska licenser. För att modernisera och påskynda processen för lagring av bevis ska alla 4 regionala centrum vara utrustade med digitala servrar för lagring av bevis som förväntas bidra till systematisering av bevis och rationalisering av kostnaderna, genom att säkerställa lagring och användning av digitala bevis från en och samma plats.</w:t>
            </w:r>
          </w:p>
        </w:tc>
      </w:tr>
      <w:tr w:rsidR="003A3D51" w14:paraId="1D917813"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12C26E4A" w14:textId="77777777" w:rsidR="003A3D51" w:rsidRDefault="0002775A">
            <w:pPr>
              <w:pStyle w:val="P68B1DB1-Normal7"/>
              <w:spacing w:after="200" w:line="276" w:lineRule="auto"/>
              <w:jc w:val="center"/>
              <w:rPr>
                <w:rFonts w:ascii="Times New Roman" w:hAnsi="Times New Roman" w:cs="Times New Roman"/>
                <w:noProof/>
              </w:rPr>
            </w:pPr>
            <w:r>
              <w:rPr>
                <w:noProof/>
              </w:rPr>
              <w:t>243</w:t>
            </w:r>
          </w:p>
        </w:tc>
        <w:tc>
          <w:tcPr>
            <w:tcW w:w="353" w:type="pct"/>
            <w:tcBorders>
              <w:top w:val="single" w:sz="4" w:space="0" w:color="auto"/>
              <w:left w:val="nil"/>
              <w:bottom w:val="single" w:sz="4" w:space="0" w:color="auto"/>
              <w:right w:val="single" w:sz="4" w:space="0" w:color="auto"/>
            </w:tcBorders>
            <w:shd w:val="clear" w:color="auto" w:fill="C6EFCE"/>
            <w:noWrap/>
          </w:tcPr>
          <w:p w14:paraId="480DCEE5" w14:textId="77777777" w:rsidR="003A3D51" w:rsidRDefault="0002775A">
            <w:pPr>
              <w:pStyle w:val="P68B1DB1-Normal7"/>
              <w:spacing w:after="200" w:line="276" w:lineRule="auto"/>
              <w:jc w:val="center"/>
              <w:rPr>
                <w:rFonts w:ascii="Times New Roman" w:hAnsi="Times New Roman" w:cs="Times New Roman"/>
                <w:noProof/>
              </w:rPr>
            </w:pPr>
            <w:r>
              <w:rPr>
                <w:noProof/>
              </w:rPr>
              <w:t>C2.6 R2</w:t>
            </w:r>
          </w:p>
        </w:tc>
        <w:tc>
          <w:tcPr>
            <w:tcW w:w="308" w:type="pct"/>
            <w:tcBorders>
              <w:top w:val="single" w:sz="4" w:space="0" w:color="auto"/>
              <w:left w:val="nil"/>
              <w:bottom w:val="single" w:sz="4" w:space="0" w:color="auto"/>
              <w:right w:val="single" w:sz="4" w:space="0" w:color="auto"/>
            </w:tcBorders>
            <w:shd w:val="clear" w:color="auto" w:fill="C6EFCE"/>
            <w:noWrap/>
          </w:tcPr>
          <w:p w14:paraId="54C7020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642" w:type="pct"/>
            <w:tcBorders>
              <w:top w:val="single" w:sz="4" w:space="0" w:color="auto"/>
              <w:left w:val="nil"/>
              <w:bottom w:val="single" w:sz="4" w:space="0" w:color="auto"/>
              <w:right w:val="single" w:sz="4" w:space="0" w:color="auto"/>
            </w:tcBorders>
            <w:shd w:val="clear" w:color="auto" w:fill="C6EFCE"/>
            <w:noWrap/>
          </w:tcPr>
          <w:p w14:paraId="71A4BFE5" w14:textId="77777777" w:rsidR="003A3D51" w:rsidRDefault="0002775A">
            <w:pPr>
              <w:pStyle w:val="P68B1DB1-Normal7"/>
              <w:spacing w:after="200" w:line="276" w:lineRule="auto"/>
              <w:rPr>
                <w:rFonts w:ascii="Times New Roman" w:hAnsi="Times New Roman" w:cs="Times New Roman"/>
                <w:noProof/>
              </w:rPr>
            </w:pPr>
            <w:r>
              <w:rPr>
                <w:noProof/>
              </w:rPr>
              <w:t xml:space="preserve">Utvärdering av lagens effekter på rätten till tillgång till information </w:t>
            </w:r>
          </w:p>
        </w:tc>
        <w:tc>
          <w:tcPr>
            <w:tcW w:w="879" w:type="pct"/>
            <w:tcBorders>
              <w:top w:val="single" w:sz="4" w:space="0" w:color="auto"/>
              <w:left w:val="nil"/>
              <w:bottom w:val="single" w:sz="4" w:space="0" w:color="auto"/>
              <w:right w:val="single" w:sz="4" w:space="0" w:color="auto"/>
            </w:tcBorders>
            <w:shd w:val="clear" w:color="auto" w:fill="C6EFCE"/>
            <w:noWrap/>
          </w:tcPr>
          <w:p w14:paraId="5862A4BC" w14:textId="77777777" w:rsidR="003A3D51" w:rsidRDefault="0002775A">
            <w:pPr>
              <w:pStyle w:val="P68B1DB1-Normal7"/>
              <w:spacing w:after="200" w:line="276" w:lineRule="auto"/>
              <w:rPr>
                <w:rFonts w:ascii="Times New Roman" w:hAnsi="Times New Roman" w:cs="Times New Roman"/>
                <w:noProof/>
              </w:rPr>
            </w:pPr>
            <w:r>
              <w:rPr>
                <w:noProof/>
              </w:rPr>
              <w:t>Offentliggörande av utvärderingsrapport om lagen om rätt till tillgång till information</w:t>
            </w:r>
          </w:p>
        </w:tc>
        <w:tc>
          <w:tcPr>
            <w:tcW w:w="363" w:type="pct"/>
            <w:tcBorders>
              <w:top w:val="single" w:sz="4" w:space="0" w:color="auto"/>
              <w:left w:val="nil"/>
              <w:bottom w:val="single" w:sz="4" w:space="0" w:color="auto"/>
              <w:right w:val="single" w:sz="4" w:space="0" w:color="auto"/>
            </w:tcBorders>
            <w:shd w:val="clear" w:color="auto" w:fill="C6EFCE"/>
            <w:noWrap/>
          </w:tcPr>
          <w:p w14:paraId="5B56938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23670DC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438802F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53E7047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20" w:type="pct"/>
            <w:tcBorders>
              <w:top w:val="single" w:sz="4" w:space="0" w:color="auto"/>
              <w:left w:val="nil"/>
              <w:bottom w:val="single" w:sz="4" w:space="0" w:color="auto"/>
              <w:right w:val="single" w:sz="4" w:space="0" w:color="auto"/>
            </w:tcBorders>
            <w:shd w:val="clear" w:color="auto" w:fill="C6EFCE"/>
            <w:noWrap/>
          </w:tcPr>
          <w:p w14:paraId="60A231CC"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57" w:type="pct"/>
            <w:tcBorders>
              <w:top w:val="single" w:sz="4" w:space="0" w:color="auto"/>
              <w:left w:val="nil"/>
              <w:bottom w:val="single" w:sz="4" w:space="0" w:color="auto"/>
              <w:right w:val="single" w:sz="4" w:space="0" w:color="auto"/>
            </w:tcBorders>
            <w:shd w:val="clear" w:color="auto" w:fill="C6EFCE"/>
            <w:noWrap/>
          </w:tcPr>
          <w:p w14:paraId="495D5BA4" w14:textId="77777777" w:rsidR="003A3D51" w:rsidRDefault="0002775A">
            <w:pPr>
              <w:pStyle w:val="P68B1DB1-Normal7"/>
              <w:spacing w:after="200" w:line="276" w:lineRule="auto"/>
              <w:rPr>
                <w:rFonts w:ascii="Times New Roman" w:hAnsi="Times New Roman" w:cs="Times New Roman"/>
                <w:noProof/>
              </w:rPr>
            </w:pPr>
            <w:r>
              <w:rPr>
                <w:noProof/>
              </w:rPr>
              <w:t xml:space="preserve">Offentliggjort studie med rekommendationer om utvärderingen av effekterna av lagen om rätten till tillgång till information och dess inverkan på det konstitutionellt garanterade övningssegmentet ur användarnas och myndigheternas perspektiv. Rekommendationer kommer att beaktas i samband med framtida ändringar av lagen om tillträdesrätt.  </w:t>
            </w:r>
          </w:p>
        </w:tc>
      </w:tr>
      <w:tr w:rsidR="003A3D51" w14:paraId="60C6686C"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1920B596" w14:textId="77777777" w:rsidR="003A3D51" w:rsidRDefault="0002775A">
            <w:pPr>
              <w:pStyle w:val="P68B1DB1-Normal7"/>
              <w:spacing w:after="200" w:line="276" w:lineRule="auto"/>
              <w:jc w:val="center"/>
              <w:rPr>
                <w:noProof/>
              </w:rPr>
            </w:pPr>
            <w:r>
              <w:rPr>
                <w:noProof/>
              </w:rPr>
              <w:t>244 </w:t>
            </w:r>
          </w:p>
        </w:tc>
        <w:tc>
          <w:tcPr>
            <w:tcW w:w="353" w:type="pct"/>
            <w:tcBorders>
              <w:top w:val="single" w:sz="4" w:space="0" w:color="auto"/>
              <w:left w:val="nil"/>
              <w:bottom w:val="single" w:sz="4" w:space="0" w:color="auto"/>
              <w:right w:val="single" w:sz="4" w:space="0" w:color="auto"/>
            </w:tcBorders>
            <w:shd w:val="clear" w:color="auto" w:fill="C6EFCE"/>
            <w:noWrap/>
          </w:tcPr>
          <w:p w14:paraId="16E305C0" w14:textId="77777777" w:rsidR="003A3D51" w:rsidRDefault="0002775A">
            <w:pPr>
              <w:pStyle w:val="P68B1DB1-Normal7"/>
              <w:spacing w:after="200" w:line="276" w:lineRule="auto"/>
              <w:jc w:val="center"/>
              <w:rPr>
                <w:noProof/>
              </w:rPr>
            </w:pPr>
            <w:r>
              <w:rPr>
                <w:noProof/>
              </w:rPr>
              <w:t>C2.6 R3 </w:t>
            </w:r>
          </w:p>
        </w:tc>
        <w:tc>
          <w:tcPr>
            <w:tcW w:w="308" w:type="pct"/>
            <w:tcBorders>
              <w:top w:val="single" w:sz="4" w:space="0" w:color="auto"/>
              <w:left w:val="nil"/>
              <w:bottom w:val="single" w:sz="4" w:space="0" w:color="auto"/>
              <w:right w:val="single" w:sz="4" w:space="0" w:color="auto"/>
            </w:tcBorders>
            <w:shd w:val="clear" w:color="auto" w:fill="C6EFCE"/>
            <w:noWrap/>
          </w:tcPr>
          <w:p w14:paraId="1E604A74" w14:textId="77777777" w:rsidR="003A3D51" w:rsidRDefault="0002775A">
            <w:pPr>
              <w:pStyle w:val="P68B1DB1-Normal7"/>
              <w:spacing w:after="200" w:line="276" w:lineRule="auto"/>
              <w:jc w:val="center"/>
              <w:rPr>
                <w:noProof/>
              </w:rPr>
            </w:pPr>
            <w:r>
              <w:rPr>
                <w:noProof/>
              </w:rPr>
              <w:t>M </w:t>
            </w:r>
          </w:p>
        </w:tc>
        <w:tc>
          <w:tcPr>
            <w:tcW w:w="642" w:type="pct"/>
            <w:tcBorders>
              <w:top w:val="single" w:sz="4" w:space="0" w:color="auto"/>
              <w:left w:val="nil"/>
              <w:bottom w:val="single" w:sz="4" w:space="0" w:color="auto"/>
              <w:right w:val="single" w:sz="4" w:space="0" w:color="auto"/>
            </w:tcBorders>
            <w:shd w:val="clear" w:color="auto" w:fill="C6EFCE"/>
            <w:noWrap/>
          </w:tcPr>
          <w:p w14:paraId="6F15045A" w14:textId="77777777" w:rsidR="003A3D51" w:rsidRDefault="0002775A">
            <w:pPr>
              <w:pStyle w:val="P68B1DB1-Normal7"/>
              <w:spacing w:after="200" w:line="276" w:lineRule="auto"/>
              <w:rPr>
                <w:noProof/>
              </w:rPr>
            </w:pPr>
            <w:r>
              <w:rPr>
                <w:noProof/>
              </w:rPr>
              <w:t>Tillämpning av OECD:s rekommendationer om bolagsstyrning på majoritetsägande av lokala och regionala enheter  </w:t>
            </w:r>
          </w:p>
        </w:tc>
        <w:tc>
          <w:tcPr>
            <w:tcW w:w="879" w:type="pct"/>
            <w:tcBorders>
              <w:top w:val="single" w:sz="4" w:space="0" w:color="auto"/>
              <w:left w:val="nil"/>
              <w:bottom w:val="single" w:sz="4" w:space="0" w:color="auto"/>
              <w:right w:val="single" w:sz="4" w:space="0" w:color="auto"/>
            </w:tcBorders>
            <w:shd w:val="clear" w:color="auto" w:fill="C6EFCE"/>
            <w:noWrap/>
          </w:tcPr>
          <w:p w14:paraId="1454E416" w14:textId="77777777" w:rsidR="003A3D51" w:rsidRDefault="0002775A">
            <w:pPr>
              <w:pStyle w:val="P68B1DB1-Normal7"/>
              <w:spacing w:after="200" w:line="276" w:lineRule="auto"/>
              <w:rPr>
                <w:noProof/>
              </w:rPr>
            </w:pPr>
            <w:r>
              <w:rPr>
                <w:noProof/>
              </w:rPr>
              <w:t>Publicering av en handbok för tillämpning av OECD:s rekommendationer om företagsstyrning i majoritetsägda lokala och regionala enheter </w:t>
            </w:r>
          </w:p>
        </w:tc>
        <w:tc>
          <w:tcPr>
            <w:tcW w:w="363" w:type="pct"/>
            <w:tcBorders>
              <w:top w:val="single" w:sz="4" w:space="0" w:color="auto"/>
              <w:left w:val="nil"/>
              <w:bottom w:val="single" w:sz="4" w:space="0" w:color="auto"/>
              <w:right w:val="single" w:sz="4" w:space="0" w:color="auto"/>
            </w:tcBorders>
            <w:shd w:val="clear" w:color="auto" w:fill="C6EFCE"/>
            <w:noWrap/>
          </w:tcPr>
          <w:p w14:paraId="17BEEF58" w14:textId="77777777" w:rsidR="003A3D51" w:rsidRDefault="0002775A">
            <w:pPr>
              <w:pStyle w:val="P68B1DB1-Normal7"/>
              <w:spacing w:after="200" w:line="276" w:lineRule="auto"/>
              <w:jc w:val="center"/>
              <w:rPr>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12F0C429" w14:textId="77777777" w:rsidR="003A3D51" w:rsidRDefault="0002775A">
            <w:pPr>
              <w:pStyle w:val="P68B1DB1-Normal7"/>
              <w:spacing w:after="200" w:line="276" w:lineRule="auto"/>
              <w:jc w:val="center"/>
              <w:rPr>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39A20D6C" w14:textId="77777777" w:rsidR="003A3D51" w:rsidRDefault="0002775A">
            <w:pPr>
              <w:pStyle w:val="P68B1DB1-Normal7"/>
              <w:spacing w:after="200" w:line="276" w:lineRule="auto"/>
              <w:jc w:val="center"/>
              <w:rPr>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18E9A860" w14:textId="77777777" w:rsidR="003A3D51" w:rsidRDefault="0002775A">
            <w:pPr>
              <w:pStyle w:val="P68B1DB1-Normal7"/>
              <w:spacing w:after="200" w:line="276" w:lineRule="auto"/>
              <w:jc w:val="center"/>
              <w:rPr>
                <w:noProof/>
              </w:rPr>
            </w:pPr>
            <w:r>
              <w:rPr>
                <w:noProof/>
              </w:rPr>
              <w:t>KVARTAL 1 </w:t>
            </w:r>
          </w:p>
        </w:tc>
        <w:tc>
          <w:tcPr>
            <w:tcW w:w="220" w:type="pct"/>
            <w:tcBorders>
              <w:top w:val="single" w:sz="4" w:space="0" w:color="auto"/>
              <w:left w:val="nil"/>
              <w:bottom w:val="single" w:sz="4" w:space="0" w:color="auto"/>
              <w:right w:val="single" w:sz="4" w:space="0" w:color="auto"/>
            </w:tcBorders>
            <w:shd w:val="clear" w:color="auto" w:fill="C6EFCE"/>
            <w:noWrap/>
          </w:tcPr>
          <w:p w14:paraId="56ED30EF" w14:textId="77777777" w:rsidR="003A3D51" w:rsidRDefault="0002775A">
            <w:pPr>
              <w:pStyle w:val="P68B1DB1-Normal7"/>
              <w:spacing w:after="200" w:line="276" w:lineRule="auto"/>
              <w:jc w:val="center"/>
              <w:rPr>
                <w:noProof/>
              </w:rPr>
            </w:pPr>
            <w:r>
              <w:rPr>
                <w:noProof/>
              </w:rPr>
              <w:t>2024 </w:t>
            </w:r>
          </w:p>
        </w:tc>
        <w:tc>
          <w:tcPr>
            <w:tcW w:w="1157" w:type="pct"/>
            <w:tcBorders>
              <w:top w:val="single" w:sz="4" w:space="0" w:color="auto"/>
              <w:left w:val="nil"/>
              <w:bottom w:val="single" w:sz="4" w:space="0" w:color="auto"/>
              <w:right w:val="single" w:sz="4" w:space="0" w:color="auto"/>
            </w:tcBorders>
            <w:shd w:val="clear" w:color="auto" w:fill="C6EFCE"/>
            <w:noWrap/>
          </w:tcPr>
          <w:p w14:paraId="647B144B" w14:textId="77777777" w:rsidR="003A3D51" w:rsidRDefault="0002775A">
            <w:pPr>
              <w:pStyle w:val="P68B1DB1-Normal7"/>
              <w:spacing w:after="200" w:line="276" w:lineRule="auto"/>
              <w:rPr>
                <w:noProof/>
              </w:rPr>
            </w:pPr>
            <w:r>
              <w:rPr>
                <w:noProof/>
              </w:rPr>
              <w:t>Publicerad handbok om: </w:t>
            </w:r>
            <w:r>
              <w:rPr>
                <w:noProof/>
              </w:rPr>
              <w:br/>
              <w:t>— Tillämpning av OECD:s rekommendationer om företagsstyrning med majoritetsägande av lokala och regionala förvaltningsenheter.  </w:t>
            </w:r>
            <w:r>
              <w:rPr>
                <w:noProof/>
              </w:rPr>
              <w:br/>
              <w:t>Införande och genomförande av en funktion för regelefterlevnad i alla juridiska enheter som är skyldiga att inrätta den. Vikten av att genomföra strategier mot korruption, införa en etisk kod och en bättre etablerad funktion för regelefterlevnad, för att bekräfta att företaget noggrant genomför förebyggande av oetiskt beteende samt en organisationskultur som uppmuntrar etiskt beteende och efterlevnad. </w:t>
            </w:r>
          </w:p>
        </w:tc>
      </w:tr>
      <w:tr w:rsidR="003A3D51" w14:paraId="0FDA9140"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36A0D5A5" w14:textId="77777777" w:rsidR="003A3D51" w:rsidRDefault="0002775A">
            <w:pPr>
              <w:pStyle w:val="P68B1DB1-Normal7"/>
              <w:spacing w:after="200" w:line="276" w:lineRule="auto"/>
              <w:jc w:val="center"/>
              <w:rPr>
                <w:noProof/>
              </w:rPr>
            </w:pPr>
            <w:r>
              <w:rPr>
                <w:noProof/>
              </w:rPr>
              <w:t>245 </w:t>
            </w:r>
          </w:p>
        </w:tc>
        <w:tc>
          <w:tcPr>
            <w:tcW w:w="353" w:type="pct"/>
            <w:tcBorders>
              <w:top w:val="single" w:sz="4" w:space="0" w:color="auto"/>
              <w:left w:val="nil"/>
              <w:bottom w:val="single" w:sz="4" w:space="0" w:color="auto"/>
              <w:right w:val="single" w:sz="4" w:space="0" w:color="auto"/>
            </w:tcBorders>
            <w:shd w:val="clear" w:color="auto" w:fill="C6EFCE"/>
            <w:noWrap/>
          </w:tcPr>
          <w:p w14:paraId="5330EFAF" w14:textId="77777777" w:rsidR="003A3D51" w:rsidRDefault="0002775A">
            <w:pPr>
              <w:pStyle w:val="P68B1DB1-Normal7"/>
              <w:spacing w:after="200" w:line="276" w:lineRule="auto"/>
              <w:jc w:val="center"/>
              <w:rPr>
                <w:noProof/>
              </w:rPr>
            </w:pPr>
            <w:r>
              <w:rPr>
                <w:noProof/>
              </w:rPr>
              <w:t>C2.6 R3 </w:t>
            </w:r>
          </w:p>
        </w:tc>
        <w:tc>
          <w:tcPr>
            <w:tcW w:w="308" w:type="pct"/>
            <w:tcBorders>
              <w:top w:val="single" w:sz="4" w:space="0" w:color="auto"/>
              <w:left w:val="nil"/>
              <w:bottom w:val="single" w:sz="4" w:space="0" w:color="auto"/>
              <w:right w:val="single" w:sz="4" w:space="0" w:color="auto"/>
            </w:tcBorders>
            <w:shd w:val="clear" w:color="auto" w:fill="C6EFCE"/>
            <w:noWrap/>
          </w:tcPr>
          <w:p w14:paraId="1767F720" w14:textId="77777777" w:rsidR="003A3D51" w:rsidRDefault="0002775A">
            <w:pPr>
              <w:pStyle w:val="P68B1DB1-Normal7"/>
              <w:spacing w:after="200" w:line="276" w:lineRule="auto"/>
              <w:jc w:val="center"/>
              <w:rPr>
                <w:noProof/>
              </w:rPr>
            </w:pPr>
            <w:r>
              <w:rPr>
                <w:noProof/>
              </w:rPr>
              <w:t>M </w:t>
            </w:r>
          </w:p>
        </w:tc>
        <w:tc>
          <w:tcPr>
            <w:tcW w:w="642" w:type="pct"/>
            <w:tcBorders>
              <w:top w:val="single" w:sz="4" w:space="0" w:color="auto"/>
              <w:left w:val="nil"/>
              <w:bottom w:val="single" w:sz="4" w:space="0" w:color="auto"/>
              <w:right w:val="single" w:sz="4" w:space="0" w:color="auto"/>
            </w:tcBorders>
            <w:shd w:val="clear" w:color="auto" w:fill="C6EFCE"/>
            <w:noWrap/>
          </w:tcPr>
          <w:p w14:paraId="0A804558" w14:textId="77777777" w:rsidR="003A3D51" w:rsidRDefault="0002775A">
            <w:pPr>
              <w:pStyle w:val="P68B1DB1-Normal7"/>
              <w:spacing w:after="200" w:line="276" w:lineRule="auto"/>
              <w:rPr>
                <w:noProof/>
              </w:rPr>
            </w:pPr>
            <w:r>
              <w:rPr>
                <w:noProof/>
              </w:rPr>
              <w:t>Bedömning av effekterna av genomförandet av programmet för korruptionsbekämpning 2021–2022 för majoritetsägda företag inom lokala och regionala förvaltningsenheter </w:t>
            </w:r>
          </w:p>
        </w:tc>
        <w:tc>
          <w:tcPr>
            <w:tcW w:w="879" w:type="pct"/>
            <w:tcBorders>
              <w:top w:val="single" w:sz="4" w:space="0" w:color="auto"/>
              <w:left w:val="nil"/>
              <w:bottom w:val="single" w:sz="4" w:space="0" w:color="auto"/>
              <w:right w:val="single" w:sz="4" w:space="0" w:color="auto"/>
            </w:tcBorders>
            <w:shd w:val="clear" w:color="auto" w:fill="C6EFCE"/>
            <w:noWrap/>
          </w:tcPr>
          <w:p w14:paraId="75F0F5B7" w14:textId="77777777" w:rsidR="003A3D51" w:rsidRDefault="0002775A">
            <w:pPr>
              <w:pStyle w:val="P68B1DB1-Normal7"/>
              <w:spacing w:after="200" w:line="276" w:lineRule="auto"/>
              <w:rPr>
                <w:noProof/>
              </w:rPr>
            </w:pPr>
            <w:r>
              <w:rPr>
                <w:noProof/>
              </w:rPr>
              <w:t>Publicering av konsekvensbedömningsrapporten från justitieministeriet och den offentliga förvaltningen </w:t>
            </w:r>
          </w:p>
        </w:tc>
        <w:tc>
          <w:tcPr>
            <w:tcW w:w="363" w:type="pct"/>
            <w:tcBorders>
              <w:top w:val="single" w:sz="4" w:space="0" w:color="auto"/>
              <w:left w:val="nil"/>
              <w:bottom w:val="single" w:sz="4" w:space="0" w:color="auto"/>
              <w:right w:val="single" w:sz="4" w:space="0" w:color="auto"/>
            </w:tcBorders>
            <w:shd w:val="clear" w:color="auto" w:fill="C6EFCE"/>
            <w:noWrap/>
          </w:tcPr>
          <w:p w14:paraId="380F68E3" w14:textId="77777777" w:rsidR="003A3D51" w:rsidRDefault="0002775A">
            <w:pPr>
              <w:pStyle w:val="P68B1DB1-Normal7"/>
              <w:spacing w:after="200" w:line="276" w:lineRule="auto"/>
              <w:jc w:val="center"/>
              <w:rPr>
                <w:noProof/>
              </w:rPr>
            </w:pPr>
            <w:r>
              <w:rPr>
                <w:noProof/>
              </w:rPr>
              <w:t>  </w:t>
            </w:r>
          </w:p>
        </w:tc>
        <w:tc>
          <w:tcPr>
            <w:tcW w:w="257" w:type="pct"/>
            <w:tcBorders>
              <w:top w:val="single" w:sz="4" w:space="0" w:color="auto"/>
              <w:left w:val="nil"/>
              <w:bottom w:val="single" w:sz="4" w:space="0" w:color="auto"/>
              <w:right w:val="single" w:sz="4" w:space="0" w:color="auto"/>
            </w:tcBorders>
            <w:shd w:val="clear" w:color="auto" w:fill="C6EFCE"/>
            <w:noWrap/>
          </w:tcPr>
          <w:p w14:paraId="4237AC99" w14:textId="77777777" w:rsidR="003A3D51" w:rsidRDefault="0002775A">
            <w:pPr>
              <w:pStyle w:val="P68B1DB1-Normal7"/>
              <w:spacing w:after="200" w:line="276" w:lineRule="auto"/>
              <w:jc w:val="center"/>
              <w:rPr>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6CE54524" w14:textId="77777777" w:rsidR="003A3D51" w:rsidRDefault="0002775A">
            <w:pPr>
              <w:pStyle w:val="P68B1DB1-Normal7"/>
              <w:spacing w:after="200" w:line="276" w:lineRule="auto"/>
              <w:jc w:val="center"/>
              <w:rPr>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329A74EF" w14:textId="77777777" w:rsidR="003A3D51" w:rsidRDefault="0002775A">
            <w:pPr>
              <w:pStyle w:val="P68B1DB1-Normal7"/>
              <w:spacing w:after="200" w:line="276" w:lineRule="auto"/>
              <w:jc w:val="center"/>
              <w:rPr>
                <w:noProof/>
              </w:rPr>
            </w:pPr>
            <w:r>
              <w:rPr>
                <w:noProof/>
              </w:rPr>
              <w:t>KVARTAL 2 </w:t>
            </w:r>
          </w:p>
        </w:tc>
        <w:tc>
          <w:tcPr>
            <w:tcW w:w="220" w:type="pct"/>
            <w:tcBorders>
              <w:top w:val="single" w:sz="4" w:space="0" w:color="auto"/>
              <w:left w:val="nil"/>
              <w:bottom w:val="single" w:sz="4" w:space="0" w:color="auto"/>
              <w:right w:val="single" w:sz="4" w:space="0" w:color="auto"/>
            </w:tcBorders>
            <w:shd w:val="clear" w:color="auto" w:fill="C6EFCE"/>
            <w:noWrap/>
          </w:tcPr>
          <w:p w14:paraId="6A84BC3B" w14:textId="77777777" w:rsidR="003A3D51" w:rsidRDefault="0002775A">
            <w:pPr>
              <w:pStyle w:val="P68B1DB1-Normal7"/>
              <w:spacing w:after="200" w:line="276" w:lineRule="auto"/>
              <w:jc w:val="center"/>
              <w:rPr>
                <w:noProof/>
              </w:rPr>
            </w:pPr>
            <w:r>
              <w:rPr>
                <w:noProof/>
              </w:rPr>
              <w:t>2026 </w:t>
            </w:r>
          </w:p>
        </w:tc>
        <w:tc>
          <w:tcPr>
            <w:tcW w:w="1157" w:type="pct"/>
            <w:tcBorders>
              <w:top w:val="single" w:sz="4" w:space="0" w:color="auto"/>
              <w:left w:val="nil"/>
              <w:bottom w:val="single" w:sz="4" w:space="0" w:color="auto"/>
              <w:right w:val="single" w:sz="4" w:space="0" w:color="auto"/>
            </w:tcBorders>
            <w:shd w:val="clear" w:color="auto" w:fill="C6EFCE"/>
            <w:noWrap/>
          </w:tcPr>
          <w:p w14:paraId="0136013F" w14:textId="77777777" w:rsidR="003A3D51" w:rsidRDefault="0002775A">
            <w:pPr>
              <w:pStyle w:val="P68B1DB1-Normal7"/>
              <w:spacing w:after="200" w:line="276" w:lineRule="auto"/>
              <w:rPr>
                <w:noProof/>
              </w:rPr>
            </w:pPr>
            <w:r>
              <w:rPr>
                <w:noProof/>
              </w:rPr>
              <w:t>Den metod som utvecklas i rapporten ska göra det möjligt att bedöma effekterna av genomförandet av programmet för korruptionsbekämpning för företag som ägs av lokala och regionala förvaltningsenheter och av framtida sådana dokument. På grundval av resultaten av konsekvensbedömningen av det genomförda programmet och rekommendationerna kommer rapporten också att innehålla prioriteringar och åtgärder i framtida dokument om korruptionsbekämpning på detta område. </w:t>
            </w:r>
          </w:p>
        </w:tc>
      </w:tr>
      <w:tr w:rsidR="003A3D51" w14:paraId="31728DBB" w14:textId="77777777" w:rsidTr="002B26E0">
        <w:trPr>
          <w:trHeight w:val="283"/>
        </w:trPr>
        <w:tc>
          <w:tcPr>
            <w:tcW w:w="309" w:type="pct"/>
            <w:tcBorders>
              <w:top w:val="single" w:sz="4" w:space="0" w:color="auto"/>
              <w:left w:val="single" w:sz="4" w:space="0" w:color="auto"/>
              <w:bottom w:val="single" w:sz="4" w:space="0" w:color="auto"/>
              <w:right w:val="single" w:sz="4" w:space="0" w:color="auto"/>
            </w:tcBorders>
            <w:shd w:val="clear" w:color="auto" w:fill="C6EFCE"/>
            <w:noWrap/>
          </w:tcPr>
          <w:p w14:paraId="4F03030A" w14:textId="77777777" w:rsidR="003A3D51" w:rsidRDefault="0002775A">
            <w:pPr>
              <w:pStyle w:val="P68B1DB1-Normal7"/>
              <w:spacing w:after="200" w:line="276" w:lineRule="auto"/>
              <w:jc w:val="center"/>
              <w:rPr>
                <w:noProof/>
              </w:rPr>
            </w:pPr>
            <w:r>
              <w:rPr>
                <w:noProof/>
              </w:rPr>
              <w:t>246 </w:t>
            </w:r>
          </w:p>
        </w:tc>
        <w:tc>
          <w:tcPr>
            <w:tcW w:w="353" w:type="pct"/>
            <w:tcBorders>
              <w:top w:val="single" w:sz="4" w:space="0" w:color="auto"/>
              <w:left w:val="nil"/>
              <w:bottom w:val="single" w:sz="4" w:space="0" w:color="auto"/>
              <w:right w:val="single" w:sz="4" w:space="0" w:color="auto"/>
            </w:tcBorders>
            <w:shd w:val="clear" w:color="auto" w:fill="C6EFCE"/>
            <w:noWrap/>
          </w:tcPr>
          <w:p w14:paraId="41988437" w14:textId="77777777" w:rsidR="003A3D51" w:rsidRDefault="0002775A">
            <w:pPr>
              <w:pStyle w:val="P68B1DB1-Normal7"/>
              <w:spacing w:after="200" w:line="276" w:lineRule="auto"/>
              <w:jc w:val="center"/>
              <w:rPr>
                <w:noProof/>
              </w:rPr>
            </w:pPr>
            <w:r>
              <w:rPr>
                <w:noProof/>
              </w:rPr>
              <w:t>C2.6 R4 </w:t>
            </w:r>
          </w:p>
        </w:tc>
        <w:tc>
          <w:tcPr>
            <w:tcW w:w="308" w:type="pct"/>
            <w:tcBorders>
              <w:top w:val="single" w:sz="4" w:space="0" w:color="auto"/>
              <w:left w:val="nil"/>
              <w:bottom w:val="single" w:sz="4" w:space="0" w:color="auto"/>
              <w:right w:val="single" w:sz="4" w:space="0" w:color="auto"/>
            </w:tcBorders>
            <w:shd w:val="clear" w:color="auto" w:fill="C6EFCE"/>
            <w:noWrap/>
          </w:tcPr>
          <w:p w14:paraId="13151198" w14:textId="77777777" w:rsidR="003A3D51" w:rsidRDefault="0002775A">
            <w:pPr>
              <w:pStyle w:val="P68B1DB1-Normal7"/>
              <w:spacing w:after="200" w:line="276" w:lineRule="auto"/>
              <w:jc w:val="center"/>
              <w:rPr>
                <w:noProof/>
              </w:rPr>
            </w:pPr>
            <w:r>
              <w:rPr>
                <w:noProof/>
              </w:rPr>
              <w:t>T </w:t>
            </w:r>
          </w:p>
        </w:tc>
        <w:tc>
          <w:tcPr>
            <w:tcW w:w="642" w:type="pct"/>
            <w:tcBorders>
              <w:top w:val="single" w:sz="4" w:space="0" w:color="auto"/>
              <w:left w:val="nil"/>
              <w:bottom w:val="single" w:sz="4" w:space="0" w:color="auto"/>
              <w:right w:val="single" w:sz="4" w:space="0" w:color="auto"/>
            </w:tcBorders>
            <w:shd w:val="clear" w:color="auto" w:fill="C6EFCE"/>
            <w:noWrap/>
          </w:tcPr>
          <w:p w14:paraId="2A509F01" w14:textId="77777777" w:rsidR="003A3D51" w:rsidRDefault="0002775A">
            <w:pPr>
              <w:pStyle w:val="P68B1DB1-Normal7"/>
              <w:spacing w:after="200" w:line="276" w:lineRule="auto"/>
              <w:rPr>
                <w:noProof/>
              </w:rPr>
            </w:pPr>
            <w:r>
              <w:rPr>
                <w:noProof/>
              </w:rPr>
              <w:t>Utbildning av domare om hantering av korruptionsrisker vid offentlig upphandling och rättsligt skydd i förfaranden för offentlig upphandling </w:t>
            </w:r>
          </w:p>
        </w:tc>
        <w:tc>
          <w:tcPr>
            <w:tcW w:w="879" w:type="pct"/>
            <w:tcBorders>
              <w:top w:val="single" w:sz="4" w:space="0" w:color="auto"/>
              <w:left w:val="nil"/>
              <w:bottom w:val="single" w:sz="4" w:space="0" w:color="auto"/>
              <w:right w:val="single" w:sz="4" w:space="0" w:color="auto"/>
            </w:tcBorders>
            <w:shd w:val="clear" w:color="auto" w:fill="C6EFCE"/>
            <w:noWrap/>
          </w:tcPr>
          <w:p w14:paraId="71F0B856" w14:textId="77777777" w:rsidR="003A3D51" w:rsidRDefault="0002775A">
            <w:pPr>
              <w:pStyle w:val="P68B1DB1-Normal7"/>
              <w:spacing w:after="200" w:line="276" w:lineRule="auto"/>
              <w:rPr>
                <w:noProof/>
              </w:rPr>
            </w:pPr>
            <w:r>
              <w:rPr>
                <w:noProof/>
              </w:rPr>
              <w:t>  </w:t>
            </w:r>
          </w:p>
        </w:tc>
        <w:tc>
          <w:tcPr>
            <w:tcW w:w="363" w:type="pct"/>
            <w:tcBorders>
              <w:top w:val="single" w:sz="4" w:space="0" w:color="auto"/>
              <w:left w:val="nil"/>
              <w:bottom w:val="single" w:sz="4" w:space="0" w:color="auto"/>
              <w:right w:val="single" w:sz="4" w:space="0" w:color="auto"/>
            </w:tcBorders>
            <w:shd w:val="clear" w:color="auto" w:fill="C6EFCE"/>
            <w:noWrap/>
          </w:tcPr>
          <w:p w14:paraId="3ADCA651" w14:textId="77777777" w:rsidR="003A3D51" w:rsidRDefault="0002775A">
            <w:pPr>
              <w:pStyle w:val="P68B1DB1-Normal7"/>
              <w:spacing w:after="200" w:line="276" w:lineRule="auto"/>
              <w:jc w:val="center"/>
              <w:rPr>
                <w:noProof/>
              </w:rPr>
            </w:pPr>
            <w:r>
              <w:rPr>
                <w:noProof/>
              </w:rPr>
              <w:t>Antal </w:t>
            </w:r>
          </w:p>
        </w:tc>
        <w:tc>
          <w:tcPr>
            <w:tcW w:w="257" w:type="pct"/>
            <w:tcBorders>
              <w:top w:val="single" w:sz="4" w:space="0" w:color="auto"/>
              <w:left w:val="nil"/>
              <w:bottom w:val="single" w:sz="4" w:space="0" w:color="auto"/>
              <w:right w:val="single" w:sz="4" w:space="0" w:color="auto"/>
            </w:tcBorders>
            <w:shd w:val="clear" w:color="auto" w:fill="C6EFCE"/>
            <w:noWrap/>
          </w:tcPr>
          <w:p w14:paraId="3DE53AA2" w14:textId="77777777" w:rsidR="003A3D51" w:rsidRDefault="0002775A">
            <w:pPr>
              <w:pStyle w:val="P68B1DB1-Normal7"/>
              <w:spacing w:after="200" w:line="276" w:lineRule="auto"/>
              <w:jc w:val="center"/>
              <w:rPr>
                <w:noProof/>
              </w:rPr>
            </w:pPr>
            <w:r>
              <w:rPr>
                <w:noProof/>
              </w:rPr>
              <w:t>0 </w:t>
            </w:r>
          </w:p>
        </w:tc>
        <w:tc>
          <w:tcPr>
            <w:tcW w:w="264" w:type="pct"/>
            <w:tcBorders>
              <w:top w:val="single" w:sz="4" w:space="0" w:color="auto"/>
              <w:left w:val="nil"/>
              <w:bottom w:val="single" w:sz="4" w:space="0" w:color="auto"/>
              <w:right w:val="single" w:sz="4" w:space="0" w:color="auto"/>
            </w:tcBorders>
            <w:shd w:val="clear" w:color="auto" w:fill="C6EFCE"/>
            <w:noWrap/>
          </w:tcPr>
          <w:p w14:paraId="1E071E16" w14:textId="16BE4E32" w:rsidR="003A3D51" w:rsidRDefault="0002775A">
            <w:pPr>
              <w:pStyle w:val="P68B1DB1-Normal7"/>
              <w:spacing w:after="200" w:line="276" w:lineRule="auto"/>
              <w:jc w:val="center"/>
              <w:rPr>
                <w:noProof/>
              </w:rPr>
            </w:pPr>
            <w:r>
              <w:rPr>
                <w:noProof/>
              </w:rPr>
              <w:t>20 </w:t>
            </w:r>
          </w:p>
        </w:tc>
        <w:tc>
          <w:tcPr>
            <w:tcW w:w="247" w:type="pct"/>
            <w:tcBorders>
              <w:top w:val="single" w:sz="4" w:space="0" w:color="auto"/>
              <w:left w:val="nil"/>
              <w:bottom w:val="single" w:sz="4" w:space="0" w:color="auto"/>
              <w:right w:val="single" w:sz="4" w:space="0" w:color="auto"/>
            </w:tcBorders>
            <w:shd w:val="clear" w:color="auto" w:fill="C6EFCE"/>
            <w:noWrap/>
          </w:tcPr>
          <w:p w14:paraId="121A058A" w14:textId="77777777" w:rsidR="003A3D51" w:rsidRDefault="0002775A">
            <w:pPr>
              <w:pStyle w:val="P68B1DB1-Normal7"/>
              <w:spacing w:after="200" w:line="276" w:lineRule="auto"/>
              <w:jc w:val="center"/>
              <w:rPr>
                <w:noProof/>
              </w:rPr>
            </w:pPr>
            <w:r>
              <w:rPr>
                <w:noProof/>
              </w:rPr>
              <w:t>KVARTAL 2 </w:t>
            </w:r>
          </w:p>
        </w:tc>
        <w:tc>
          <w:tcPr>
            <w:tcW w:w="220" w:type="pct"/>
            <w:tcBorders>
              <w:top w:val="single" w:sz="4" w:space="0" w:color="auto"/>
              <w:left w:val="nil"/>
              <w:bottom w:val="single" w:sz="4" w:space="0" w:color="auto"/>
              <w:right w:val="single" w:sz="4" w:space="0" w:color="auto"/>
            </w:tcBorders>
            <w:shd w:val="clear" w:color="auto" w:fill="C6EFCE"/>
            <w:noWrap/>
          </w:tcPr>
          <w:p w14:paraId="0B5346EB" w14:textId="77777777" w:rsidR="003A3D51" w:rsidRDefault="0002775A">
            <w:pPr>
              <w:pStyle w:val="P68B1DB1-Normal7"/>
              <w:spacing w:after="200" w:line="276" w:lineRule="auto"/>
              <w:jc w:val="center"/>
              <w:rPr>
                <w:noProof/>
              </w:rPr>
            </w:pPr>
            <w:r>
              <w:rPr>
                <w:noProof/>
              </w:rPr>
              <w:t>2024 </w:t>
            </w:r>
          </w:p>
        </w:tc>
        <w:tc>
          <w:tcPr>
            <w:tcW w:w="1157" w:type="pct"/>
            <w:tcBorders>
              <w:top w:val="single" w:sz="4" w:space="0" w:color="auto"/>
              <w:left w:val="nil"/>
              <w:bottom w:val="single" w:sz="4" w:space="0" w:color="auto"/>
              <w:right w:val="single" w:sz="4" w:space="0" w:color="auto"/>
            </w:tcBorders>
            <w:shd w:val="clear" w:color="auto" w:fill="C6EFCE"/>
            <w:noWrap/>
          </w:tcPr>
          <w:p w14:paraId="14D4594D" w14:textId="394937D7" w:rsidR="003A3D51" w:rsidRDefault="0002775A">
            <w:pPr>
              <w:pStyle w:val="P68B1DB1-Normal7"/>
              <w:spacing w:after="200" w:line="276" w:lineRule="auto"/>
              <w:rPr>
                <w:noProof/>
              </w:rPr>
            </w:pPr>
            <w:r>
              <w:rPr>
                <w:noProof/>
              </w:rPr>
              <w:t>20 domare vid Kroatiens högsta förvaltningsdomstol ska utbildas i hantering av korruptionsrisker vid offentlig upphandling och rättslig prövning i förfaranden för offentlig upphandling. För detta ändamål ska 2 workshoppar anordnas av rättsakademin som en del av den livslånga yrkesutvecklingen för tjänstemän inom rättsväsendet, i form av klassisk/regelbunden utbildning och distansutbildning beroende på omständigheterna, för att ytterligare stärka det rättsliga skyddet i offentliga upphandlingsförfaranden.  </w:t>
            </w:r>
          </w:p>
        </w:tc>
      </w:tr>
    </w:tbl>
    <w:p w14:paraId="3D0E0650" w14:textId="77777777" w:rsidR="003A3D51" w:rsidRDefault="003A3D51">
      <w:pPr>
        <w:rPr>
          <w:noProof/>
        </w:rPr>
        <w:sectPr w:rsidR="003A3D51" w:rsidSect="0001477B">
          <w:headerReference w:type="even" r:id="rId228"/>
          <w:headerReference w:type="default" r:id="rId229"/>
          <w:footerReference w:type="even" r:id="rId230"/>
          <w:footerReference w:type="default" r:id="rId231"/>
          <w:headerReference w:type="first" r:id="rId232"/>
          <w:footerReference w:type="first" r:id="rId233"/>
          <w:pgSz w:w="15840" w:h="12240" w:orient="landscape"/>
          <w:pgMar w:top="1440" w:right="1440" w:bottom="1440" w:left="1440" w:header="708" w:footer="708" w:gutter="0"/>
          <w:cols w:space="708"/>
          <w:docGrid w:linePitch="360"/>
        </w:sectPr>
      </w:pPr>
    </w:p>
    <w:p w14:paraId="244DDD51"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M. KOMPONENT 2.7: FÖRSTÄRKNING AV DEN FINANSPOLITISKA RAMEN</w:t>
      </w:r>
    </w:p>
    <w:p w14:paraId="5A302FC9" w14:textId="77777777" w:rsidR="003A3D51" w:rsidRDefault="0002775A">
      <w:pPr>
        <w:pStyle w:val="P68B1DB1-Normal3"/>
        <w:spacing w:before="120" w:after="120" w:line="240" w:lineRule="auto"/>
        <w:jc w:val="both"/>
        <w:rPr>
          <w:noProof/>
        </w:rPr>
      </w:pPr>
      <w:r>
        <w:rPr>
          <w:noProof/>
        </w:rPr>
        <w:t>Denna del syftar till att ytterligare stärka den finanspolitiska ramen och budgetdisciplinen genom den nya budgetlagen för att förbättra budgetprocesserna, förbättra den finansiella rapporteringen och utveckla en makroekonomisk prognosmodell.</w:t>
      </w:r>
    </w:p>
    <w:p w14:paraId="05A6172D" w14:textId="77777777" w:rsidR="003A3D51" w:rsidRDefault="0002775A">
      <w:pPr>
        <w:pStyle w:val="P68B1DB1-Normal3"/>
        <w:spacing w:before="120" w:after="120" w:line="240" w:lineRule="auto"/>
        <w:jc w:val="both"/>
        <w:rPr>
          <w:noProof/>
        </w:rPr>
      </w:pPr>
      <w:r>
        <w:rPr>
          <w:noProof/>
        </w:rPr>
        <w:t xml:space="preserve">En förstärkning av den finanspolitiska ramen är en av de viktigaste faktorerna för att förbättra de offentliga finansernas hållbarhet, vilket i sin tur bidrar till makroekonomisk stabilitet och skapar förutsättningar för att öka den potentiella tillväxttakten samt den ekonomiska återhämtningen och motståndskraften. </w:t>
      </w:r>
    </w:p>
    <w:p w14:paraId="4FD3D511" w14:textId="77777777" w:rsidR="003A3D51" w:rsidRDefault="0002775A">
      <w:pPr>
        <w:pStyle w:val="P68B1DB1-Normal3"/>
        <w:spacing w:after="200" w:line="276" w:lineRule="auto"/>
        <w:jc w:val="both"/>
        <w:rPr>
          <w:rFonts w:ascii="Calibri" w:hAnsi="Calibri" w:cs="Arial"/>
          <w:noProof/>
        </w:rPr>
      </w:pPr>
      <w:r>
        <w:rPr>
          <w:noProof/>
        </w:rPr>
        <w:t>Denna del behandlar de landsspecifika rekommendationerna om att stärka det finanspolitiska ramverket (landsspecifik rekommendation 1 2019) och bedriva en finanspolitik som syftar till att uppnå en återhållsam offentligfinansiell ställning på medellång sikt (landsspecifik rekommendation 1 2020).</w:t>
      </w:r>
    </w:p>
    <w:p w14:paraId="0CA1BE1A" w14:textId="77777777" w:rsidR="003A3D51" w:rsidRDefault="003A3D51">
      <w:pPr>
        <w:spacing w:before="120" w:after="120" w:line="240" w:lineRule="auto"/>
        <w:jc w:val="both"/>
        <w:rPr>
          <w:rFonts w:ascii="Times New Roman" w:eastAsia="Calibri" w:hAnsi="Times New Roman" w:cs="Times New Roman"/>
          <w:noProof/>
          <w:sz w:val="24"/>
        </w:rPr>
      </w:pPr>
    </w:p>
    <w:p w14:paraId="3406A584" w14:textId="77777777" w:rsidR="003A3D51" w:rsidRDefault="0002775A">
      <w:pPr>
        <w:pStyle w:val="P68B1DB1-Normal4"/>
        <w:keepNext/>
        <w:tabs>
          <w:tab w:val="num" w:pos="850"/>
        </w:tabs>
        <w:spacing w:before="40" w:after="0"/>
        <w:ind w:left="851"/>
        <w:jc w:val="both"/>
        <w:outlineLvl w:val="1"/>
        <w:rPr>
          <w:noProof/>
        </w:rPr>
      </w:pPr>
      <w:r>
        <w:rPr>
          <w:noProof/>
        </w:rPr>
        <w:t xml:space="preserve">M.1. </w:t>
      </w:r>
      <w:r>
        <w:rPr>
          <w:noProof/>
        </w:rPr>
        <w:tab/>
        <w:t>Beskrivning av reformer och investeringar avseende icke återbetalningspliktigt ekonomiskt stöd</w:t>
      </w:r>
    </w:p>
    <w:p w14:paraId="7E088A06" w14:textId="68759F03" w:rsidR="003A3D51" w:rsidRDefault="0002775A">
      <w:pPr>
        <w:pStyle w:val="P68B1DB1-Normal3"/>
        <w:keepNext/>
        <w:spacing w:before="120" w:after="120" w:line="240" w:lineRule="auto"/>
        <w:ind w:left="850"/>
        <w:jc w:val="both"/>
        <w:rPr>
          <w:noProof/>
        </w:rPr>
      </w:pPr>
      <w:r>
        <w:rPr>
          <w:noProof/>
          <w:u w:val="single"/>
        </w:rPr>
        <w:t xml:space="preserve">Reform 1 (C2.7.R1) Förbättrad finanspolitisk planering </w:t>
      </w:r>
      <w:r w:rsidR="00C94222">
        <w:rPr>
          <w:noProof/>
          <w:u w:val="single"/>
        </w:rPr>
        <w:t>och</w:t>
      </w:r>
      <w:r w:rsidR="00C94222">
        <w:rPr>
          <w:noProof/>
        </w:rPr>
        <w:t xml:space="preserve"> rapportering</w:t>
      </w:r>
      <w:r>
        <w:rPr>
          <w:noProof/>
        </w:rPr>
        <w:t xml:space="preserve"> </w:t>
      </w:r>
    </w:p>
    <w:p w14:paraId="28A3F68D" w14:textId="77777777" w:rsidR="003A3D51" w:rsidRDefault="0002775A">
      <w:pPr>
        <w:pStyle w:val="NormalWeb"/>
        <w:spacing w:before="120" w:after="120" w:line="240" w:lineRule="auto"/>
        <w:jc w:val="both"/>
        <w:rPr>
          <w:rFonts w:eastAsia="Calibri"/>
          <w:noProof/>
        </w:rPr>
      </w:pPr>
      <w:r>
        <w:rPr>
          <w:noProof/>
        </w:rPr>
        <w:t>Syftet med denna reform är att ändra budgetlagen för att förbättra budgetprocesserna och tillhörande budgetdokument samt den finansiella rapporteringen och på så sätt säkerställa utvecklingen av ett effektivt och hållbart system för förvaltning av de offentliga finanserna.</w:t>
      </w:r>
    </w:p>
    <w:p w14:paraId="35364821" w14:textId="77777777" w:rsidR="003A3D51" w:rsidRDefault="0002775A">
      <w:pPr>
        <w:pStyle w:val="P68B1DB1-Normal11"/>
        <w:spacing w:before="120" w:after="120" w:line="240" w:lineRule="auto"/>
        <w:jc w:val="both"/>
        <w:rPr>
          <w:noProof/>
        </w:rPr>
      </w:pPr>
      <w:r>
        <w:rPr>
          <w:noProof/>
        </w:rPr>
        <w:t>Reformen ska omfatta följande:</w:t>
      </w:r>
    </w:p>
    <w:p w14:paraId="7E79E9B5" w14:textId="77777777" w:rsidR="003A3D51" w:rsidRDefault="0002775A">
      <w:pPr>
        <w:pStyle w:val="P68B1DB1-Normal44"/>
        <w:numPr>
          <w:ilvl w:val="0"/>
          <w:numId w:val="36"/>
        </w:numPr>
        <w:spacing w:before="120" w:after="120" w:line="240" w:lineRule="auto"/>
        <w:jc w:val="both"/>
        <w:rPr>
          <w:rFonts w:eastAsia="Calibri"/>
          <w:noProof/>
        </w:rPr>
      </w:pPr>
      <w:r>
        <w:rPr>
          <w:noProof/>
        </w:rPr>
        <w:t>Utarbetande och antagande av den nya budgetlagen.</w:t>
      </w:r>
    </w:p>
    <w:p w14:paraId="2607CF26" w14:textId="77777777" w:rsidR="003A3D51" w:rsidRDefault="0002775A">
      <w:pPr>
        <w:pStyle w:val="P68B1DB1-Normal44"/>
        <w:numPr>
          <w:ilvl w:val="0"/>
          <w:numId w:val="36"/>
        </w:numPr>
        <w:spacing w:before="120" w:after="120" w:line="240" w:lineRule="auto"/>
        <w:jc w:val="both"/>
        <w:rPr>
          <w:rFonts w:eastAsia="Calibri"/>
          <w:noProof/>
        </w:rPr>
      </w:pPr>
      <w:r>
        <w:rPr>
          <w:noProof/>
        </w:rPr>
        <w:t>Se till att finanspolitiska kommissionen fungerar fullt ut genom att utse en ny ordförande på grundval av en offentlig inbjudan.</w:t>
      </w:r>
    </w:p>
    <w:p w14:paraId="14A2AB2A" w14:textId="77777777" w:rsidR="003A3D51" w:rsidRDefault="0002775A">
      <w:pPr>
        <w:pStyle w:val="P68B1DB1-Normal11"/>
        <w:spacing w:before="120" w:after="120" w:line="240" w:lineRule="auto"/>
        <w:jc w:val="both"/>
        <w:rPr>
          <w:rFonts w:eastAsia="Calibri"/>
          <w:noProof/>
        </w:rPr>
      </w:pPr>
      <w:r>
        <w:rPr>
          <w:noProof/>
        </w:rPr>
        <w:t>Reformen ska vara genomförd senast den 31 mars 2022.</w:t>
      </w:r>
    </w:p>
    <w:p w14:paraId="3F8D333D" w14:textId="77777777" w:rsidR="003A3D51" w:rsidRDefault="003A3D51">
      <w:pPr>
        <w:spacing w:before="120" w:after="120" w:line="240" w:lineRule="auto"/>
        <w:jc w:val="both"/>
        <w:rPr>
          <w:rFonts w:ascii="Times New Roman" w:eastAsia="Times New Roman" w:hAnsi="Times New Roman" w:cs="Times New Roman"/>
          <w:noProof/>
          <w:sz w:val="24"/>
        </w:rPr>
      </w:pPr>
    </w:p>
    <w:p w14:paraId="26F381DB" w14:textId="77777777" w:rsidR="003A3D51" w:rsidRDefault="0002775A">
      <w:pPr>
        <w:pStyle w:val="P68B1DB1-Normal10"/>
        <w:keepNext/>
        <w:spacing w:before="120" w:after="120" w:line="240" w:lineRule="auto"/>
        <w:ind w:left="850"/>
        <w:jc w:val="both"/>
        <w:rPr>
          <w:noProof/>
        </w:rPr>
      </w:pPr>
      <w:r>
        <w:rPr>
          <w:noProof/>
        </w:rPr>
        <w:t>Reform 2 (C2.7.R2) Utveckling av en strukturell makroekonomisk modell för Kroatiens ekonomi</w:t>
      </w:r>
    </w:p>
    <w:p w14:paraId="66C9681A" w14:textId="77777777" w:rsidR="003A3D51" w:rsidRDefault="0002775A">
      <w:pPr>
        <w:pStyle w:val="P68B1DB1-Normal11"/>
        <w:spacing w:after="200" w:line="276" w:lineRule="auto"/>
        <w:jc w:val="both"/>
        <w:rPr>
          <w:rFonts w:ascii="Calibri" w:eastAsia="Calibri" w:hAnsi="Calibri" w:cs="Arial"/>
          <w:noProof/>
        </w:rPr>
      </w:pPr>
      <w:r>
        <w:rPr>
          <w:noProof/>
        </w:rPr>
        <w:t>Syftet med reformen är att utveckla en strukturell makroekonomisk modell för Kroatiens ekonomi, som är lämplig för att ta fram makroekonomiska prognoser på medellång sikt, simulera effekterna av den ekonomiska politiken och konsekvensbedömningar av chocker, och slutligen att stärka finansministeriets kapacitet att utarbeta budgetprognoser.</w:t>
      </w:r>
    </w:p>
    <w:p w14:paraId="57AB9A77" w14:textId="77777777" w:rsidR="003A3D51" w:rsidRDefault="0002775A">
      <w:pPr>
        <w:pStyle w:val="NormalWeb"/>
        <w:spacing w:before="120" w:after="120" w:line="240" w:lineRule="auto"/>
        <w:jc w:val="both"/>
        <w:rPr>
          <w:rFonts w:eastAsia="Calibri"/>
          <w:noProof/>
          <w:u w:val="single"/>
        </w:rPr>
      </w:pPr>
      <w:r>
        <w:rPr>
          <w:noProof/>
        </w:rPr>
        <w:t xml:space="preserve">Reformen ska vara genomförd senast den 30 september 2022. </w:t>
      </w:r>
    </w:p>
    <w:p w14:paraId="01BE6C6C" w14:textId="77777777" w:rsidR="003A3D51" w:rsidRDefault="003A3D51">
      <w:pPr>
        <w:rPr>
          <w:noProof/>
        </w:rPr>
        <w:sectPr w:rsidR="003A3D51" w:rsidSect="00EF0713">
          <w:headerReference w:type="even" r:id="rId234"/>
          <w:headerReference w:type="default" r:id="rId235"/>
          <w:footerReference w:type="even" r:id="rId236"/>
          <w:footerReference w:type="default" r:id="rId237"/>
          <w:headerReference w:type="first" r:id="rId238"/>
          <w:footerReference w:type="first" r:id="rId239"/>
          <w:pgSz w:w="12240" w:h="15840"/>
          <w:pgMar w:top="1440" w:right="1440" w:bottom="1440" w:left="1440" w:header="708" w:footer="708" w:gutter="0"/>
          <w:cols w:space="708"/>
          <w:docGrid w:linePitch="360"/>
        </w:sectPr>
      </w:pPr>
    </w:p>
    <w:p w14:paraId="3262021B" w14:textId="77777777" w:rsidR="003A3D51" w:rsidRDefault="0002775A">
      <w:pPr>
        <w:pStyle w:val="P68B1DB1-Normal4"/>
        <w:keepNext/>
        <w:tabs>
          <w:tab w:val="num" w:pos="850"/>
        </w:tabs>
        <w:spacing w:before="40" w:after="0"/>
        <w:ind w:left="851"/>
        <w:jc w:val="both"/>
        <w:outlineLvl w:val="1"/>
        <w:rPr>
          <w:noProof/>
        </w:rPr>
      </w:pPr>
      <w:r>
        <w:rPr>
          <w:noProof/>
        </w:rPr>
        <w:t xml:space="preserve">M.2. </w:t>
      </w:r>
      <w:r>
        <w:rPr>
          <w:noProof/>
        </w:rPr>
        <w:tab/>
        <w:t>Delmål, mål, indikatorer och tidsplan för övervakning och genomförande avseende icke återbetalningspliktigt ekonomiskt stöd</w:t>
      </w:r>
    </w:p>
    <w:p w14:paraId="74F78AF7" w14:textId="77777777" w:rsidR="003A3D51" w:rsidRDefault="003A3D51">
      <w:pPr>
        <w:keepNext/>
        <w:tabs>
          <w:tab w:val="num" w:pos="850"/>
        </w:tabs>
        <w:spacing w:before="40" w:after="0"/>
        <w:ind w:left="851"/>
        <w:jc w:val="both"/>
        <w:outlineLvl w:val="1"/>
        <w:rPr>
          <w:rFonts w:ascii="Times New Roman" w:eastAsia="SimSun" w:hAnsi="Times New Roman" w:cs="Times New Roman"/>
          <w:b/>
          <w:noProof/>
          <w:sz w:val="24"/>
          <w:u w:val="single"/>
        </w:rPr>
      </w:pPr>
    </w:p>
    <w:tbl>
      <w:tblPr>
        <w:tblW w:w="14796" w:type="dxa"/>
        <w:jc w:val="center"/>
        <w:tblCellMar>
          <w:top w:w="28" w:type="dxa"/>
          <w:left w:w="28" w:type="dxa"/>
          <w:bottom w:w="28" w:type="dxa"/>
          <w:right w:w="28" w:type="dxa"/>
        </w:tblCellMar>
        <w:tblLook w:val="04A0" w:firstRow="1" w:lastRow="0" w:firstColumn="1" w:lastColumn="0" w:noHBand="0" w:noVBand="1"/>
      </w:tblPr>
      <w:tblGrid>
        <w:gridCol w:w="737"/>
        <w:gridCol w:w="850"/>
        <w:gridCol w:w="946"/>
        <w:gridCol w:w="2298"/>
        <w:gridCol w:w="1951"/>
        <w:gridCol w:w="734"/>
        <w:gridCol w:w="826"/>
        <w:gridCol w:w="850"/>
        <w:gridCol w:w="795"/>
        <w:gridCol w:w="806"/>
        <w:gridCol w:w="4249"/>
      </w:tblGrid>
      <w:tr w:rsidR="003A3D51" w14:paraId="5E674540" w14:textId="77777777">
        <w:trPr>
          <w:trHeight w:val="919"/>
          <w:tblHeader/>
          <w:jc w:val="center"/>
        </w:trPr>
        <w:tc>
          <w:tcPr>
            <w:tcW w:w="73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79B18AB" w14:textId="77777777" w:rsidR="003A3D51" w:rsidRDefault="0002775A">
            <w:pPr>
              <w:pStyle w:val="P68B1DB1-Normal6"/>
              <w:spacing w:after="0" w:line="276" w:lineRule="auto"/>
              <w:jc w:val="center"/>
              <w:rPr>
                <w:noProof/>
              </w:rPr>
            </w:pPr>
            <w:r>
              <w:rPr>
                <w:noProof/>
              </w:rPr>
              <w:t>Antal</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40E4A89" w14:textId="77777777" w:rsidR="003A3D51" w:rsidRDefault="0002775A">
            <w:pPr>
              <w:pStyle w:val="P68B1DB1-Normal6"/>
              <w:spacing w:after="0" w:line="276" w:lineRule="auto"/>
              <w:jc w:val="center"/>
              <w:rPr>
                <w:noProof/>
              </w:rPr>
            </w:pPr>
            <w:r>
              <w:rPr>
                <w:noProof/>
              </w:rPr>
              <w:t>Åtgärd</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634E519E" w14:textId="77777777" w:rsidR="003A3D51" w:rsidRDefault="0002775A">
            <w:pPr>
              <w:pStyle w:val="P68B1DB1-Normal6"/>
              <w:spacing w:after="0" w:line="276" w:lineRule="auto"/>
              <w:jc w:val="center"/>
              <w:rPr>
                <w:noProof/>
              </w:rPr>
            </w:pPr>
            <w:r>
              <w:rPr>
                <w:noProof/>
              </w:rPr>
              <w:t>Delmål/mål</w:t>
            </w:r>
          </w:p>
        </w:tc>
        <w:tc>
          <w:tcPr>
            <w:tcW w:w="2298" w:type="dxa"/>
            <w:vMerge w:val="restart"/>
            <w:tcBorders>
              <w:top w:val="single" w:sz="4" w:space="0" w:color="auto"/>
              <w:left w:val="nil"/>
              <w:bottom w:val="single" w:sz="4" w:space="0" w:color="000000"/>
              <w:right w:val="single" w:sz="4" w:space="0" w:color="auto"/>
            </w:tcBorders>
            <w:shd w:val="clear" w:color="auto" w:fill="BDD7EE"/>
            <w:vAlign w:val="center"/>
            <w:hideMark/>
          </w:tcPr>
          <w:p w14:paraId="4E9E114F" w14:textId="77777777" w:rsidR="003A3D51" w:rsidRDefault="0002775A">
            <w:pPr>
              <w:pStyle w:val="P68B1DB1-Normal6"/>
              <w:spacing w:after="0" w:line="276" w:lineRule="auto"/>
              <w:jc w:val="center"/>
              <w:rPr>
                <w:noProof/>
              </w:rPr>
            </w:pPr>
            <w:r>
              <w:rPr>
                <w:noProof/>
              </w:rPr>
              <w:t>Namn</w:t>
            </w:r>
          </w:p>
        </w:tc>
        <w:tc>
          <w:tcPr>
            <w:tcW w:w="195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10AE7A8"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14:paraId="3A65D759"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451" w:type="dxa"/>
            <w:gridSpan w:val="2"/>
            <w:tcBorders>
              <w:top w:val="single" w:sz="4" w:space="0" w:color="auto"/>
              <w:left w:val="nil"/>
              <w:bottom w:val="single" w:sz="4" w:space="0" w:color="auto"/>
              <w:right w:val="single" w:sz="4" w:space="0" w:color="auto"/>
            </w:tcBorders>
            <w:shd w:val="clear" w:color="auto" w:fill="BDD7EE"/>
            <w:vAlign w:val="center"/>
            <w:hideMark/>
          </w:tcPr>
          <w:p w14:paraId="70033776" w14:textId="718C4A0D" w:rsidR="003A3D51" w:rsidRDefault="0002775A">
            <w:pPr>
              <w:pStyle w:val="P68B1DB1-Normal6"/>
              <w:spacing w:after="0" w:line="276" w:lineRule="auto"/>
              <w:jc w:val="center"/>
              <w:rPr>
                <w:noProof/>
              </w:rPr>
            </w:pPr>
            <w:r>
              <w:rPr>
                <w:noProof/>
              </w:rPr>
              <w:t xml:space="preserve">Tid </w:t>
            </w:r>
          </w:p>
        </w:tc>
        <w:tc>
          <w:tcPr>
            <w:tcW w:w="42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73AAAB" w14:textId="77777777" w:rsidR="003A3D51" w:rsidRDefault="0002775A">
            <w:pPr>
              <w:pStyle w:val="P68B1DB1-Normal6"/>
              <w:spacing w:after="0" w:line="276" w:lineRule="auto"/>
              <w:jc w:val="center"/>
              <w:rPr>
                <w:noProof/>
              </w:rPr>
            </w:pPr>
            <w:r>
              <w:rPr>
                <w:noProof/>
              </w:rPr>
              <w:t>Beskrivning av varje delmål och mål</w:t>
            </w:r>
          </w:p>
        </w:tc>
      </w:tr>
      <w:tr w:rsidR="003A3D51" w14:paraId="4C10A76E" w14:textId="77777777">
        <w:trPr>
          <w:trHeight w:val="508"/>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14:paraId="3AD88E01" w14:textId="77777777" w:rsidR="003A3D51" w:rsidRDefault="003A3D51">
            <w:pPr>
              <w:spacing w:after="0" w:line="276" w:lineRule="auto"/>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000000"/>
              <w:right w:val="single" w:sz="4" w:space="0" w:color="auto"/>
            </w:tcBorders>
            <w:hideMark/>
          </w:tcPr>
          <w:p w14:paraId="20CC8977" w14:textId="77777777" w:rsidR="003A3D51" w:rsidRDefault="003A3D51">
            <w:pPr>
              <w:spacing w:after="0" w:line="276" w:lineRule="auto"/>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000000"/>
              <w:right w:val="single" w:sz="4" w:space="0" w:color="auto"/>
            </w:tcBorders>
            <w:hideMark/>
          </w:tcPr>
          <w:p w14:paraId="61C2708C" w14:textId="77777777" w:rsidR="003A3D51" w:rsidRDefault="003A3D51">
            <w:pPr>
              <w:spacing w:after="0" w:line="276" w:lineRule="auto"/>
              <w:jc w:val="center"/>
              <w:rPr>
                <w:rFonts w:ascii="Times New Roman" w:eastAsia="Times New Roman" w:hAnsi="Times New Roman" w:cs="Times New Roman"/>
                <w:b/>
                <w:noProof/>
              </w:rPr>
            </w:pPr>
          </w:p>
        </w:tc>
        <w:tc>
          <w:tcPr>
            <w:tcW w:w="2298" w:type="dxa"/>
            <w:vMerge/>
            <w:tcBorders>
              <w:top w:val="single" w:sz="4" w:space="0" w:color="auto"/>
              <w:left w:val="nil"/>
              <w:bottom w:val="single" w:sz="4" w:space="0" w:color="000000"/>
              <w:right w:val="single" w:sz="4" w:space="0" w:color="auto"/>
            </w:tcBorders>
            <w:hideMark/>
          </w:tcPr>
          <w:p w14:paraId="7B648E49" w14:textId="77777777" w:rsidR="003A3D51" w:rsidRDefault="003A3D51">
            <w:pPr>
              <w:spacing w:after="0" w:line="276" w:lineRule="auto"/>
              <w:rPr>
                <w:rFonts w:ascii="Times New Roman" w:eastAsia="Times New Roman" w:hAnsi="Times New Roman" w:cs="Times New Roman"/>
                <w:b/>
                <w:noProof/>
              </w:rPr>
            </w:pPr>
          </w:p>
        </w:tc>
        <w:tc>
          <w:tcPr>
            <w:tcW w:w="1951" w:type="dxa"/>
            <w:vMerge/>
            <w:tcBorders>
              <w:top w:val="single" w:sz="4" w:space="0" w:color="auto"/>
              <w:left w:val="single" w:sz="4" w:space="0" w:color="auto"/>
              <w:bottom w:val="single" w:sz="4" w:space="0" w:color="000000"/>
              <w:right w:val="single" w:sz="4" w:space="0" w:color="auto"/>
            </w:tcBorders>
            <w:hideMark/>
          </w:tcPr>
          <w:p w14:paraId="5BB38825" w14:textId="77777777" w:rsidR="003A3D51" w:rsidRDefault="003A3D51">
            <w:pPr>
              <w:spacing w:after="0" w:line="276" w:lineRule="auto"/>
              <w:rPr>
                <w:rFonts w:ascii="Times New Roman" w:eastAsia="Times New Roman" w:hAnsi="Times New Roman" w:cs="Times New Roman"/>
                <w:b/>
                <w:noProof/>
              </w:rPr>
            </w:pPr>
          </w:p>
        </w:tc>
        <w:tc>
          <w:tcPr>
            <w:tcW w:w="734" w:type="dxa"/>
            <w:tcBorders>
              <w:top w:val="nil"/>
              <w:left w:val="nil"/>
              <w:bottom w:val="single" w:sz="4" w:space="0" w:color="auto"/>
              <w:right w:val="single" w:sz="4" w:space="0" w:color="auto"/>
            </w:tcBorders>
            <w:shd w:val="clear" w:color="auto" w:fill="BDD7EE"/>
            <w:vAlign w:val="center"/>
            <w:hideMark/>
          </w:tcPr>
          <w:p w14:paraId="117AD693" w14:textId="77777777" w:rsidR="003A3D51" w:rsidRDefault="0002775A">
            <w:pPr>
              <w:pStyle w:val="P68B1DB1-Normal6"/>
              <w:spacing w:after="0" w:line="276" w:lineRule="auto"/>
              <w:jc w:val="center"/>
              <w:rPr>
                <w:noProof/>
              </w:rPr>
            </w:pPr>
            <w:r>
              <w:rPr>
                <w:noProof/>
              </w:rPr>
              <w:t>Enhet</w:t>
            </w:r>
          </w:p>
        </w:tc>
        <w:tc>
          <w:tcPr>
            <w:tcW w:w="826" w:type="dxa"/>
            <w:tcBorders>
              <w:top w:val="nil"/>
              <w:left w:val="nil"/>
              <w:bottom w:val="single" w:sz="4" w:space="0" w:color="auto"/>
              <w:right w:val="single" w:sz="4" w:space="0" w:color="auto"/>
            </w:tcBorders>
            <w:shd w:val="clear" w:color="auto" w:fill="BDD7EE"/>
            <w:vAlign w:val="center"/>
            <w:hideMark/>
          </w:tcPr>
          <w:p w14:paraId="308684CB" w14:textId="77777777" w:rsidR="003A3D51" w:rsidRDefault="0002775A">
            <w:pPr>
              <w:pStyle w:val="P68B1DB1-Normal6"/>
              <w:spacing w:after="0" w:line="276" w:lineRule="auto"/>
              <w:jc w:val="center"/>
              <w:rPr>
                <w:noProof/>
              </w:rPr>
            </w:pPr>
            <w:r>
              <w:rPr>
                <w:noProof/>
              </w:rPr>
              <w:t>Baslinjen</w:t>
            </w:r>
          </w:p>
        </w:tc>
        <w:tc>
          <w:tcPr>
            <w:tcW w:w="850" w:type="dxa"/>
            <w:tcBorders>
              <w:top w:val="nil"/>
              <w:left w:val="nil"/>
              <w:bottom w:val="single" w:sz="4" w:space="0" w:color="auto"/>
              <w:right w:val="single" w:sz="4" w:space="0" w:color="auto"/>
            </w:tcBorders>
            <w:shd w:val="clear" w:color="auto" w:fill="BDD7EE"/>
            <w:vAlign w:val="center"/>
            <w:hideMark/>
          </w:tcPr>
          <w:p w14:paraId="33A12CD9" w14:textId="77777777" w:rsidR="003A3D51" w:rsidRDefault="0002775A">
            <w:pPr>
              <w:pStyle w:val="P68B1DB1-Normal6"/>
              <w:spacing w:after="0" w:line="276" w:lineRule="auto"/>
              <w:jc w:val="center"/>
              <w:rPr>
                <w:noProof/>
              </w:rPr>
            </w:pPr>
            <w:r>
              <w:rPr>
                <w:noProof/>
              </w:rPr>
              <w:t>Mål</w:t>
            </w:r>
          </w:p>
        </w:tc>
        <w:tc>
          <w:tcPr>
            <w:tcW w:w="645" w:type="dxa"/>
            <w:tcBorders>
              <w:top w:val="nil"/>
              <w:left w:val="nil"/>
              <w:bottom w:val="single" w:sz="4" w:space="0" w:color="auto"/>
              <w:right w:val="single" w:sz="4" w:space="0" w:color="auto"/>
            </w:tcBorders>
            <w:shd w:val="clear" w:color="auto" w:fill="BDD7EE"/>
            <w:vAlign w:val="center"/>
            <w:hideMark/>
          </w:tcPr>
          <w:p w14:paraId="49425726" w14:textId="77777777" w:rsidR="003A3D51" w:rsidRDefault="0002775A">
            <w:pPr>
              <w:pStyle w:val="P68B1DB1-Normal6"/>
              <w:spacing w:after="0" w:line="276" w:lineRule="auto"/>
              <w:jc w:val="center"/>
              <w:rPr>
                <w:noProof/>
              </w:rPr>
            </w:pPr>
            <w:r>
              <w:rPr>
                <w:noProof/>
              </w:rPr>
              <w:t>Q</w:t>
            </w:r>
          </w:p>
        </w:tc>
        <w:tc>
          <w:tcPr>
            <w:tcW w:w="806" w:type="dxa"/>
            <w:tcBorders>
              <w:top w:val="nil"/>
              <w:left w:val="nil"/>
              <w:bottom w:val="single" w:sz="4" w:space="0" w:color="auto"/>
              <w:right w:val="single" w:sz="4" w:space="0" w:color="auto"/>
            </w:tcBorders>
            <w:shd w:val="clear" w:color="auto" w:fill="BDD7EE"/>
            <w:vAlign w:val="center"/>
            <w:hideMark/>
          </w:tcPr>
          <w:p w14:paraId="1116303D" w14:textId="77777777" w:rsidR="003A3D51" w:rsidRDefault="0002775A">
            <w:pPr>
              <w:pStyle w:val="P68B1DB1-Normal6"/>
              <w:spacing w:after="0" w:line="276" w:lineRule="auto"/>
              <w:jc w:val="center"/>
              <w:rPr>
                <w:noProof/>
              </w:rPr>
            </w:pPr>
            <w:r>
              <w:rPr>
                <w:noProof/>
              </w:rPr>
              <w:t>Året</w:t>
            </w:r>
          </w:p>
        </w:tc>
        <w:tc>
          <w:tcPr>
            <w:tcW w:w="4249" w:type="dxa"/>
            <w:vMerge/>
            <w:tcBorders>
              <w:top w:val="single" w:sz="4" w:space="0" w:color="auto"/>
              <w:left w:val="single" w:sz="4" w:space="0" w:color="auto"/>
              <w:bottom w:val="single" w:sz="4" w:space="0" w:color="auto"/>
              <w:right w:val="single" w:sz="4" w:space="0" w:color="auto"/>
            </w:tcBorders>
            <w:hideMark/>
          </w:tcPr>
          <w:p w14:paraId="1B454910" w14:textId="77777777" w:rsidR="003A3D51" w:rsidRDefault="003A3D51">
            <w:pPr>
              <w:spacing w:after="0" w:line="276" w:lineRule="auto"/>
              <w:rPr>
                <w:rFonts w:ascii="Times New Roman" w:eastAsia="Times New Roman" w:hAnsi="Times New Roman" w:cs="Times New Roman"/>
                <w:b/>
                <w:noProof/>
              </w:rPr>
            </w:pPr>
          </w:p>
        </w:tc>
      </w:tr>
      <w:tr w:rsidR="003A3D51" w14:paraId="7E414CBF"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35F3FEC7" w14:textId="77777777" w:rsidR="003A3D51" w:rsidRDefault="0002775A">
            <w:pPr>
              <w:pStyle w:val="P68B1DB1-Normal7"/>
              <w:spacing w:after="0" w:line="276" w:lineRule="auto"/>
              <w:jc w:val="center"/>
              <w:rPr>
                <w:rFonts w:ascii="Times New Roman" w:hAnsi="Times New Roman" w:cs="Times New Roman"/>
                <w:noProof/>
              </w:rPr>
            </w:pPr>
            <w:r>
              <w:rPr>
                <w:noProof/>
              </w:rPr>
              <w:t>247</w:t>
            </w:r>
          </w:p>
        </w:tc>
        <w:tc>
          <w:tcPr>
            <w:tcW w:w="850" w:type="dxa"/>
            <w:tcBorders>
              <w:top w:val="nil"/>
              <w:left w:val="nil"/>
              <w:bottom w:val="single" w:sz="4" w:space="0" w:color="auto"/>
              <w:right w:val="single" w:sz="4" w:space="0" w:color="auto"/>
            </w:tcBorders>
            <w:shd w:val="clear" w:color="auto" w:fill="C6EFCE"/>
            <w:noWrap/>
          </w:tcPr>
          <w:p w14:paraId="6C81EDA2" w14:textId="77777777" w:rsidR="003A3D51" w:rsidRDefault="0002775A">
            <w:pPr>
              <w:pStyle w:val="P68B1DB1-Normal7"/>
              <w:spacing w:after="200" w:line="276" w:lineRule="auto"/>
              <w:jc w:val="center"/>
              <w:rPr>
                <w:rFonts w:ascii="Times New Roman" w:hAnsi="Times New Roman" w:cs="Times New Roman"/>
                <w:noProof/>
              </w:rPr>
            </w:pPr>
            <w:r>
              <w:rPr>
                <w:noProof/>
              </w:rPr>
              <w:t>C2.7 R1</w:t>
            </w:r>
          </w:p>
        </w:tc>
        <w:tc>
          <w:tcPr>
            <w:tcW w:w="850" w:type="dxa"/>
            <w:tcBorders>
              <w:top w:val="nil"/>
              <w:left w:val="nil"/>
              <w:bottom w:val="single" w:sz="4" w:space="0" w:color="auto"/>
              <w:right w:val="single" w:sz="4" w:space="0" w:color="auto"/>
            </w:tcBorders>
            <w:shd w:val="clear" w:color="auto" w:fill="C6EFCE"/>
            <w:noWrap/>
          </w:tcPr>
          <w:p w14:paraId="4F865BC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98" w:type="dxa"/>
            <w:tcBorders>
              <w:top w:val="nil"/>
              <w:left w:val="nil"/>
              <w:bottom w:val="single" w:sz="4" w:space="0" w:color="auto"/>
              <w:right w:val="single" w:sz="4" w:space="0" w:color="auto"/>
            </w:tcBorders>
            <w:shd w:val="clear" w:color="auto" w:fill="C6EFCE"/>
            <w:noWrap/>
          </w:tcPr>
          <w:p w14:paraId="707BF247" w14:textId="77777777" w:rsidR="003A3D51" w:rsidRDefault="0002775A">
            <w:pPr>
              <w:pStyle w:val="P68B1DB1-Normal7"/>
              <w:spacing w:after="200" w:line="276" w:lineRule="auto"/>
              <w:rPr>
                <w:rFonts w:ascii="Times New Roman" w:hAnsi="Times New Roman" w:cs="Times New Roman"/>
                <w:noProof/>
              </w:rPr>
            </w:pPr>
            <w:r>
              <w:rPr>
                <w:noProof/>
              </w:rPr>
              <w:t>Stärka den finanspolitiska ramen genom antagandet av budgetlagen för att förbättra budgetprocesserna</w:t>
            </w:r>
          </w:p>
        </w:tc>
        <w:tc>
          <w:tcPr>
            <w:tcW w:w="1951" w:type="dxa"/>
            <w:tcBorders>
              <w:top w:val="nil"/>
              <w:left w:val="nil"/>
              <w:bottom w:val="single" w:sz="4" w:space="0" w:color="auto"/>
              <w:right w:val="single" w:sz="4" w:space="0" w:color="auto"/>
            </w:tcBorders>
            <w:shd w:val="clear" w:color="auto" w:fill="C6EFCE"/>
            <w:noWrap/>
          </w:tcPr>
          <w:p w14:paraId="5E0A79D7"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den nya budgetlagen </w:t>
            </w:r>
          </w:p>
        </w:tc>
        <w:tc>
          <w:tcPr>
            <w:tcW w:w="734" w:type="dxa"/>
            <w:tcBorders>
              <w:top w:val="nil"/>
              <w:left w:val="nil"/>
              <w:bottom w:val="single" w:sz="4" w:space="0" w:color="auto"/>
              <w:right w:val="single" w:sz="4" w:space="0" w:color="auto"/>
            </w:tcBorders>
            <w:shd w:val="clear" w:color="auto" w:fill="C6EFCE"/>
            <w:noWrap/>
          </w:tcPr>
          <w:p w14:paraId="52F1043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033CC83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nil"/>
              <w:left w:val="nil"/>
              <w:bottom w:val="single" w:sz="4" w:space="0" w:color="auto"/>
              <w:right w:val="single" w:sz="4" w:space="0" w:color="auto"/>
            </w:tcBorders>
            <w:shd w:val="clear" w:color="auto" w:fill="C6EFCE"/>
            <w:noWrap/>
          </w:tcPr>
          <w:p w14:paraId="4DDAC6D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645" w:type="dxa"/>
            <w:tcBorders>
              <w:top w:val="nil"/>
              <w:left w:val="nil"/>
              <w:bottom w:val="single" w:sz="4" w:space="0" w:color="auto"/>
              <w:right w:val="single" w:sz="4" w:space="0" w:color="auto"/>
            </w:tcBorders>
            <w:shd w:val="clear" w:color="auto" w:fill="C6EFCE"/>
            <w:noWrap/>
          </w:tcPr>
          <w:p w14:paraId="5D0A2707"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06" w:type="dxa"/>
            <w:tcBorders>
              <w:top w:val="nil"/>
              <w:left w:val="nil"/>
              <w:bottom w:val="single" w:sz="4" w:space="0" w:color="auto"/>
              <w:right w:val="single" w:sz="4" w:space="0" w:color="auto"/>
            </w:tcBorders>
            <w:shd w:val="clear" w:color="auto" w:fill="C6EFCE"/>
            <w:noWrap/>
          </w:tcPr>
          <w:p w14:paraId="698825FC"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249" w:type="dxa"/>
            <w:tcBorders>
              <w:top w:val="nil"/>
              <w:left w:val="nil"/>
              <w:bottom w:val="single" w:sz="4" w:space="0" w:color="auto"/>
              <w:right w:val="single" w:sz="4" w:space="0" w:color="auto"/>
            </w:tcBorders>
            <w:shd w:val="clear" w:color="auto" w:fill="C6EFCE"/>
            <w:noWrap/>
          </w:tcPr>
          <w:p w14:paraId="27262AB6" w14:textId="77777777" w:rsidR="003A3D51" w:rsidRDefault="0002775A">
            <w:pPr>
              <w:pStyle w:val="P68B1DB1-Normal7"/>
              <w:spacing w:after="200" w:line="276" w:lineRule="auto"/>
              <w:rPr>
                <w:rFonts w:ascii="Times New Roman" w:hAnsi="Times New Roman" w:cs="Times New Roman"/>
                <w:noProof/>
              </w:rPr>
            </w:pPr>
            <w:r>
              <w:rPr>
                <w:noProof/>
              </w:rPr>
              <w:t>Den nya budgetlagen ska fastställa processen och de viktigaste dokumenten för utarbetande, antagande och genomförande av statsbudgeten, budgeten för lokala och regionala förvaltningsenheter och deras användare utanför budgeten, låneramen för lokala och regionala förvaltningsenheter, övervakning av användningen av egna och öronmärkta inkomster, prognoser och kontroll av framtida utgifter, inbegripet fleråriga åtaganden, vilket också möjliggör större flexibilitet i genomförandet av EU-projekt och säkerställer efterlevnad av rådets direktiv 2011/85 för att inrätta ett effektivare system för finansiell och statistisk rapportering.</w:t>
            </w:r>
          </w:p>
        </w:tc>
      </w:tr>
      <w:tr w:rsidR="003A3D51" w14:paraId="3B2C7D4A"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2A2A4A47" w14:textId="77777777" w:rsidR="003A3D51" w:rsidRDefault="0002775A">
            <w:pPr>
              <w:pStyle w:val="P68B1DB1-Normal7"/>
              <w:spacing w:after="200" w:line="276" w:lineRule="auto"/>
              <w:jc w:val="center"/>
              <w:rPr>
                <w:rFonts w:ascii="Times New Roman" w:hAnsi="Times New Roman" w:cs="Times New Roman"/>
                <w:noProof/>
              </w:rPr>
            </w:pPr>
            <w:r>
              <w:rPr>
                <w:noProof/>
              </w:rPr>
              <w:t>248</w:t>
            </w:r>
          </w:p>
        </w:tc>
        <w:tc>
          <w:tcPr>
            <w:tcW w:w="850" w:type="dxa"/>
            <w:tcBorders>
              <w:top w:val="nil"/>
              <w:left w:val="nil"/>
              <w:bottom w:val="single" w:sz="4" w:space="0" w:color="auto"/>
              <w:right w:val="single" w:sz="4" w:space="0" w:color="auto"/>
            </w:tcBorders>
            <w:shd w:val="clear" w:color="auto" w:fill="C6EFCE"/>
            <w:noWrap/>
          </w:tcPr>
          <w:p w14:paraId="33704841" w14:textId="77777777" w:rsidR="003A3D51" w:rsidRDefault="0002775A">
            <w:pPr>
              <w:pStyle w:val="P68B1DB1-Normal7"/>
              <w:spacing w:after="200" w:line="276" w:lineRule="auto"/>
              <w:jc w:val="center"/>
              <w:rPr>
                <w:rFonts w:ascii="Times New Roman" w:hAnsi="Times New Roman" w:cs="Times New Roman"/>
                <w:noProof/>
              </w:rPr>
            </w:pPr>
            <w:r>
              <w:rPr>
                <w:noProof/>
              </w:rPr>
              <w:t>C2.7 R1</w:t>
            </w:r>
          </w:p>
        </w:tc>
        <w:tc>
          <w:tcPr>
            <w:tcW w:w="850" w:type="dxa"/>
            <w:tcBorders>
              <w:top w:val="nil"/>
              <w:left w:val="nil"/>
              <w:bottom w:val="single" w:sz="4" w:space="0" w:color="auto"/>
              <w:right w:val="single" w:sz="4" w:space="0" w:color="auto"/>
            </w:tcBorders>
            <w:shd w:val="clear" w:color="auto" w:fill="C6EFCE"/>
            <w:noWrap/>
          </w:tcPr>
          <w:p w14:paraId="7590C3DF"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98" w:type="dxa"/>
            <w:tcBorders>
              <w:top w:val="nil"/>
              <w:left w:val="nil"/>
              <w:bottom w:val="single" w:sz="4" w:space="0" w:color="auto"/>
              <w:right w:val="single" w:sz="4" w:space="0" w:color="auto"/>
            </w:tcBorders>
            <w:shd w:val="clear" w:color="auto" w:fill="C6EFCE"/>
            <w:noWrap/>
          </w:tcPr>
          <w:p w14:paraId="4DB72F2F" w14:textId="77777777" w:rsidR="003A3D51" w:rsidRDefault="0002775A">
            <w:pPr>
              <w:pStyle w:val="P68B1DB1-Normal7"/>
              <w:spacing w:after="200" w:line="276" w:lineRule="auto"/>
              <w:rPr>
                <w:rFonts w:ascii="Times New Roman" w:hAnsi="Times New Roman" w:cs="Times New Roman"/>
                <w:noProof/>
              </w:rPr>
            </w:pPr>
            <w:r>
              <w:rPr>
                <w:noProof/>
              </w:rPr>
              <w:t>Se till att finanspolitiska kommissionen fungerar fullt ut.</w:t>
            </w:r>
          </w:p>
        </w:tc>
        <w:tc>
          <w:tcPr>
            <w:tcW w:w="1951" w:type="dxa"/>
            <w:tcBorders>
              <w:top w:val="nil"/>
              <w:left w:val="nil"/>
              <w:bottom w:val="single" w:sz="4" w:space="0" w:color="auto"/>
              <w:right w:val="single" w:sz="4" w:space="0" w:color="auto"/>
            </w:tcBorders>
            <w:shd w:val="clear" w:color="auto" w:fill="C6EFCE"/>
            <w:noWrap/>
          </w:tcPr>
          <w:p w14:paraId="0799EA94" w14:textId="77777777" w:rsidR="003A3D51" w:rsidRDefault="0002775A">
            <w:pPr>
              <w:pStyle w:val="P68B1DB1-Normal7"/>
              <w:spacing w:after="200" w:line="276" w:lineRule="auto"/>
              <w:rPr>
                <w:rFonts w:ascii="Times New Roman" w:hAnsi="Times New Roman" w:cs="Times New Roman"/>
                <w:noProof/>
              </w:rPr>
            </w:pPr>
            <w:r>
              <w:rPr>
                <w:noProof/>
              </w:rPr>
              <w:t xml:space="preserve">Parlamentets utnämning av den nya ordföranden för den finanspolitiska kommissionen.  </w:t>
            </w:r>
          </w:p>
        </w:tc>
        <w:tc>
          <w:tcPr>
            <w:tcW w:w="734" w:type="dxa"/>
            <w:tcBorders>
              <w:top w:val="nil"/>
              <w:left w:val="nil"/>
              <w:bottom w:val="single" w:sz="4" w:space="0" w:color="auto"/>
              <w:right w:val="single" w:sz="4" w:space="0" w:color="auto"/>
            </w:tcBorders>
            <w:shd w:val="clear" w:color="auto" w:fill="C6EFCE"/>
            <w:noWrap/>
          </w:tcPr>
          <w:p w14:paraId="36C8F4B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5660551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nil"/>
              <w:left w:val="nil"/>
              <w:bottom w:val="single" w:sz="4" w:space="0" w:color="auto"/>
              <w:right w:val="single" w:sz="4" w:space="0" w:color="auto"/>
            </w:tcBorders>
            <w:shd w:val="clear" w:color="auto" w:fill="C6EFCE"/>
            <w:noWrap/>
          </w:tcPr>
          <w:p w14:paraId="48AC1F1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645" w:type="dxa"/>
            <w:tcBorders>
              <w:top w:val="nil"/>
              <w:left w:val="nil"/>
              <w:bottom w:val="single" w:sz="4" w:space="0" w:color="auto"/>
              <w:right w:val="single" w:sz="4" w:space="0" w:color="auto"/>
            </w:tcBorders>
            <w:shd w:val="clear" w:color="auto" w:fill="C6EFCE"/>
            <w:noWrap/>
          </w:tcPr>
          <w:p w14:paraId="0E311B0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06" w:type="dxa"/>
            <w:tcBorders>
              <w:top w:val="nil"/>
              <w:left w:val="nil"/>
              <w:bottom w:val="single" w:sz="4" w:space="0" w:color="auto"/>
              <w:right w:val="single" w:sz="4" w:space="0" w:color="auto"/>
            </w:tcBorders>
            <w:shd w:val="clear" w:color="auto" w:fill="C6EFCE"/>
            <w:noWrap/>
          </w:tcPr>
          <w:p w14:paraId="0CE7CB4B"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249" w:type="dxa"/>
            <w:tcBorders>
              <w:top w:val="nil"/>
              <w:left w:val="nil"/>
              <w:bottom w:val="single" w:sz="4" w:space="0" w:color="auto"/>
              <w:right w:val="single" w:sz="4" w:space="0" w:color="auto"/>
            </w:tcBorders>
            <w:shd w:val="clear" w:color="auto" w:fill="C6EFCE"/>
            <w:noWrap/>
          </w:tcPr>
          <w:p w14:paraId="336EC29B" w14:textId="77777777" w:rsidR="003A3D51" w:rsidRDefault="0002775A">
            <w:pPr>
              <w:pStyle w:val="P68B1DB1-Normal7"/>
              <w:spacing w:after="200" w:line="276" w:lineRule="auto"/>
              <w:rPr>
                <w:rFonts w:ascii="Times New Roman" w:hAnsi="Times New Roman" w:cs="Times New Roman"/>
                <w:noProof/>
              </w:rPr>
            </w:pPr>
            <w:r>
              <w:rPr>
                <w:noProof/>
              </w:rPr>
              <w:t>Utnämningen av en ny ordförande för den finanspolitiska kommissionen ska säkerställa att kommissionen fungerar fullt ut och att lagen om finanspolitisk ansvarsskyldighet (OG 111/2018) genomförs.</w:t>
            </w:r>
          </w:p>
        </w:tc>
      </w:tr>
      <w:tr w:rsidR="003A3D51" w14:paraId="2F4321D3"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34CF5693" w14:textId="77777777" w:rsidR="003A3D51" w:rsidRDefault="0002775A">
            <w:pPr>
              <w:pStyle w:val="P68B1DB1-Normal7"/>
              <w:spacing w:after="200" w:line="276" w:lineRule="auto"/>
              <w:jc w:val="center"/>
              <w:rPr>
                <w:rFonts w:ascii="Times New Roman" w:hAnsi="Times New Roman" w:cs="Times New Roman"/>
                <w:noProof/>
              </w:rPr>
            </w:pPr>
            <w:r>
              <w:rPr>
                <w:noProof/>
              </w:rPr>
              <w:t>249</w:t>
            </w:r>
          </w:p>
        </w:tc>
        <w:tc>
          <w:tcPr>
            <w:tcW w:w="850" w:type="dxa"/>
            <w:tcBorders>
              <w:top w:val="nil"/>
              <w:left w:val="nil"/>
              <w:bottom w:val="single" w:sz="4" w:space="0" w:color="auto"/>
              <w:right w:val="single" w:sz="4" w:space="0" w:color="auto"/>
            </w:tcBorders>
            <w:shd w:val="clear" w:color="auto" w:fill="C6EFCE"/>
            <w:noWrap/>
          </w:tcPr>
          <w:p w14:paraId="11392550" w14:textId="77777777" w:rsidR="003A3D51" w:rsidRDefault="0002775A">
            <w:pPr>
              <w:pStyle w:val="P68B1DB1-Normal7"/>
              <w:spacing w:after="200" w:line="276" w:lineRule="auto"/>
              <w:jc w:val="center"/>
              <w:rPr>
                <w:rFonts w:ascii="Times New Roman" w:hAnsi="Times New Roman" w:cs="Times New Roman"/>
                <w:noProof/>
              </w:rPr>
            </w:pPr>
            <w:r>
              <w:rPr>
                <w:noProof/>
              </w:rPr>
              <w:t>C2.7 R2</w:t>
            </w:r>
          </w:p>
        </w:tc>
        <w:tc>
          <w:tcPr>
            <w:tcW w:w="850" w:type="dxa"/>
            <w:tcBorders>
              <w:top w:val="nil"/>
              <w:left w:val="nil"/>
              <w:bottom w:val="single" w:sz="4" w:space="0" w:color="auto"/>
              <w:right w:val="single" w:sz="4" w:space="0" w:color="auto"/>
            </w:tcBorders>
            <w:shd w:val="clear" w:color="auto" w:fill="C6EFCE"/>
            <w:noWrap/>
          </w:tcPr>
          <w:p w14:paraId="585934B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98" w:type="dxa"/>
            <w:tcBorders>
              <w:top w:val="nil"/>
              <w:left w:val="nil"/>
              <w:bottom w:val="single" w:sz="4" w:space="0" w:color="auto"/>
              <w:right w:val="single" w:sz="4" w:space="0" w:color="auto"/>
            </w:tcBorders>
            <w:shd w:val="clear" w:color="auto" w:fill="C6EFCE"/>
            <w:noWrap/>
          </w:tcPr>
          <w:p w14:paraId="71485BB2" w14:textId="77777777" w:rsidR="003A3D51" w:rsidRDefault="0002775A">
            <w:pPr>
              <w:pStyle w:val="P68B1DB1-Normal7"/>
              <w:spacing w:after="200" w:line="276" w:lineRule="auto"/>
              <w:rPr>
                <w:rFonts w:ascii="Times New Roman" w:hAnsi="Times New Roman" w:cs="Times New Roman"/>
                <w:noProof/>
              </w:rPr>
            </w:pPr>
            <w:r>
              <w:rPr>
                <w:noProof/>
              </w:rPr>
              <w:t>Utveckling av en strukturell makroekonomisk modell för Kroatiens ekonomi för att ta fram makroekonomiska prognoser på medellång sikt, budgetplanering</w:t>
            </w:r>
            <w:r>
              <w:rPr>
                <w:noProof/>
              </w:rPr>
              <w:br/>
              <w:t>och analyser av den ekonomiska politiken</w:t>
            </w:r>
          </w:p>
        </w:tc>
        <w:tc>
          <w:tcPr>
            <w:tcW w:w="1951" w:type="dxa"/>
            <w:tcBorders>
              <w:top w:val="nil"/>
              <w:left w:val="nil"/>
              <w:bottom w:val="single" w:sz="4" w:space="0" w:color="auto"/>
              <w:right w:val="single" w:sz="4" w:space="0" w:color="auto"/>
            </w:tcBorders>
            <w:shd w:val="clear" w:color="auto" w:fill="C6EFCE"/>
            <w:noWrap/>
          </w:tcPr>
          <w:p w14:paraId="7FF2A83B" w14:textId="77777777" w:rsidR="003A3D51" w:rsidRDefault="0002775A">
            <w:pPr>
              <w:pStyle w:val="P68B1DB1-Normal7"/>
              <w:spacing w:after="200" w:line="276" w:lineRule="auto"/>
              <w:rPr>
                <w:rFonts w:ascii="Times New Roman" w:hAnsi="Times New Roman" w:cs="Times New Roman"/>
                <w:noProof/>
              </w:rPr>
            </w:pPr>
            <w:r>
              <w:rPr>
                <w:noProof/>
              </w:rPr>
              <w:t>Utveckling och användning av en fullt fungerande strukturell makroekonomisk prognosmodell för Kroatiens ekonomi för att utarbeta prognoser som ligger till grund för den årliga budgeten.</w:t>
            </w:r>
          </w:p>
        </w:tc>
        <w:tc>
          <w:tcPr>
            <w:tcW w:w="734" w:type="dxa"/>
            <w:tcBorders>
              <w:top w:val="nil"/>
              <w:left w:val="nil"/>
              <w:bottom w:val="single" w:sz="4" w:space="0" w:color="auto"/>
              <w:right w:val="single" w:sz="4" w:space="0" w:color="auto"/>
            </w:tcBorders>
            <w:shd w:val="clear" w:color="auto" w:fill="C6EFCE"/>
            <w:noWrap/>
          </w:tcPr>
          <w:p w14:paraId="1B2CE74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24B174C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nil"/>
              <w:left w:val="nil"/>
              <w:bottom w:val="single" w:sz="4" w:space="0" w:color="auto"/>
              <w:right w:val="single" w:sz="4" w:space="0" w:color="auto"/>
            </w:tcBorders>
            <w:shd w:val="clear" w:color="auto" w:fill="C6EFCE"/>
            <w:noWrap/>
          </w:tcPr>
          <w:p w14:paraId="46D98B9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645" w:type="dxa"/>
            <w:tcBorders>
              <w:top w:val="nil"/>
              <w:left w:val="nil"/>
              <w:bottom w:val="single" w:sz="4" w:space="0" w:color="auto"/>
              <w:right w:val="single" w:sz="4" w:space="0" w:color="auto"/>
            </w:tcBorders>
            <w:shd w:val="clear" w:color="auto" w:fill="C6EFCE"/>
            <w:noWrap/>
          </w:tcPr>
          <w:p w14:paraId="22CC505C"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806" w:type="dxa"/>
            <w:tcBorders>
              <w:top w:val="nil"/>
              <w:left w:val="nil"/>
              <w:bottom w:val="single" w:sz="4" w:space="0" w:color="auto"/>
              <w:right w:val="single" w:sz="4" w:space="0" w:color="auto"/>
            </w:tcBorders>
            <w:shd w:val="clear" w:color="auto" w:fill="C6EFCE"/>
            <w:noWrap/>
          </w:tcPr>
          <w:p w14:paraId="1333979E"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249" w:type="dxa"/>
            <w:tcBorders>
              <w:top w:val="nil"/>
              <w:left w:val="nil"/>
              <w:bottom w:val="single" w:sz="4" w:space="0" w:color="auto"/>
              <w:right w:val="single" w:sz="4" w:space="0" w:color="auto"/>
            </w:tcBorders>
            <w:shd w:val="clear" w:color="auto" w:fill="C6EFCE"/>
            <w:noWrap/>
          </w:tcPr>
          <w:p w14:paraId="3D4C32BC" w14:textId="77777777" w:rsidR="003A3D51" w:rsidRDefault="0002775A">
            <w:pPr>
              <w:pStyle w:val="P68B1DB1-Normal7"/>
              <w:spacing w:after="200" w:line="276" w:lineRule="auto"/>
              <w:rPr>
                <w:rFonts w:ascii="Times New Roman" w:hAnsi="Times New Roman" w:cs="Times New Roman"/>
                <w:noProof/>
              </w:rPr>
            </w:pPr>
            <w:r>
              <w:rPr>
                <w:noProof/>
              </w:rPr>
              <w:t>En strukturell makroekonomisk modell för Kroatiens ekonomi ska utvecklas för att ta fram makroekonomiska prognoser på medellång sikt, simulera effekterna av den ekonomiska politiken och effekterna av chocker och i slutändan stärka finansministeriets kapacitet att utarbeta budgetprognoser. Den ursprungliga modellen ska vara utvecklad senast i slutet av 2021 och vara fullt operativ i mitten av 2022, vilket gör det möjligt att utarbeta prognoser som ligger till grund för 2023 års budget. Modellens resultat ska användas vid utarbetandet av budgetdokument, vilket förbättrar kvaliteten på budgetprognoserna på medellång sikt och därmed de offentliga finansernas hållbarhet.</w:t>
            </w:r>
          </w:p>
        </w:tc>
      </w:tr>
    </w:tbl>
    <w:p w14:paraId="4C0325BB" w14:textId="77777777" w:rsidR="003A3D51" w:rsidRDefault="003A3D51">
      <w:pPr>
        <w:rPr>
          <w:noProof/>
        </w:rPr>
        <w:sectPr w:rsidR="003A3D51" w:rsidSect="00EF0713">
          <w:headerReference w:type="even" r:id="rId240"/>
          <w:headerReference w:type="default" r:id="rId241"/>
          <w:footerReference w:type="even" r:id="rId242"/>
          <w:footerReference w:type="default" r:id="rId243"/>
          <w:headerReference w:type="first" r:id="rId244"/>
          <w:footerReference w:type="first" r:id="rId245"/>
          <w:pgSz w:w="15840" w:h="12240" w:orient="landscape"/>
          <w:pgMar w:top="1440" w:right="1440" w:bottom="1440" w:left="1701" w:header="708" w:footer="708" w:gutter="0"/>
          <w:cols w:space="708"/>
          <w:docGrid w:linePitch="360"/>
        </w:sectPr>
      </w:pPr>
    </w:p>
    <w:p w14:paraId="11703160" w14:textId="77777777" w:rsidR="003A3D51" w:rsidRDefault="0002775A">
      <w:pPr>
        <w:pStyle w:val="P68B1DB1-Normal36"/>
        <w:keepNext/>
        <w:tabs>
          <w:tab w:val="left" w:pos="850"/>
        </w:tabs>
        <w:spacing w:before="360" w:after="120" w:line="240" w:lineRule="auto"/>
        <w:ind w:left="850" w:hanging="850"/>
        <w:jc w:val="both"/>
        <w:outlineLvl w:val="0"/>
        <w:rPr>
          <w:noProof/>
        </w:rPr>
      </w:pPr>
      <w:r>
        <w:rPr>
          <w:noProof/>
        </w:rPr>
        <w:t>N. KOMPONENT 2.8: STÄRKA RAMEN FÖR BEKÄMPNING AV PENNINGTVÄTT</w:t>
      </w:r>
    </w:p>
    <w:p w14:paraId="1822E740" w14:textId="77777777" w:rsidR="003A3D51" w:rsidRDefault="0002775A">
      <w:pPr>
        <w:pStyle w:val="P68B1DB1-Normal11"/>
        <w:spacing w:before="120" w:after="120" w:line="240" w:lineRule="auto"/>
        <w:jc w:val="both"/>
        <w:rPr>
          <w:noProof/>
        </w:rPr>
      </w:pPr>
      <w:r>
        <w:rPr>
          <w:noProof/>
        </w:rPr>
        <w:t>Syftet med denna del är att stärka de kroatiska myndigheternas (tillsynsmyndigheter, penningtvättsmyndigheten, brottsbekämpande myndigheter) förmåga att bekämpa penningtvätt och finansiering av terrorism, förbättra deras samordning och samarbete och ytterligare öka medvetenheten hos alla berörda parter.</w:t>
      </w:r>
    </w:p>
    <w:p w14:paraId="0E0E3EA5" w14:textId="77777777" w:rsidR="003A3D51" w:rsidRDefault="0002775A">
      <w:pPr>
        <w:pStyle w:val="P68B1DB1-Normal11"/>
        <w:spacing w:before="120" w:after="120" w:line="240" w:lineRule="auto"/>
        <w:jc w:val="both"/>
        <w:rPr>
          <w:noProof/>
        </w:rPr>
      </w:pPr>
      <w:r>
        <w:rPr>
          <w:noProof/>
        </w:rPr>
        <w:t>Denna reform ligger i linje med Kroatiens handlingsplan för deltagande i den europeiska växelkursmekanismen II (ERM II).</w:t>
      </w:r>
    </w:p>
    <w:p w14:paraId="538602DA" w14:textId="77777777" w:rsidR="003A3D51" w:rsidRDefault="003A3D51">
      <w:pPr>
        <w:spacing w:before="120" w:after="120" w:line="240" w:lineRule="auto"/>
        <w:jc w:val="both"/>
        <w:rPr>
          <w:rFonts w:ascii="Times New Roman" w:eastAsia="Times New Roman" w:hAnsi="Times New Roman" w:cs="Times New Roman"/>
          <w:noProof/>
          <w:sz w:val="24"/>
        </w:rPr>
      </w:pPr>
    </w:p>
    <w:p w14:paraId="572846E7" w14:textId="77777777" w:rsidR="003A3D51" w:rsidRDefault="0002775A">
      <w:pPr>
        <w:pStyle w:val="P68B1DB1-Normal37"/>
        <w:keepNext/>
        <w:tabs>
          <w:tab w:val="num" w:pos="850"/>
        </w:tabs>
        <w:spacing w:before="40" w:after="0"/>
        <w:ind w:left="851"/>
        <w:jc w:val="both"/>
        <w:outlineLvl w:val="1"/>
        <w:rPr>
          <w:noProof/>
        </w:rPr>
      </w:pPr>
      <w:r>
        <w:rPr>
          <w:noProof/>
        </w:rPr>
        <w:t xml:space="preserve">NR 1 </w:t>
      </w:r>
      <w:r>
        <w:rPr>
          <w:noProof/>
        </w:rPr>
        <w:tab/>
        <w:t>Beskrivning av reformer och investeringar avseende icke återbetalningspliktigt ekonomiskt stöd</w:t>
      </w:r>
    </w:p>
    <w:p w14:paraId="3F34E05D" w14:textId="77777777" w:rsidR="003A3D51" w:rsidRDefault="0002775A">
      <w:pPr>
        <w:pStyle w:val="P68B1DB1-Normal46"/>
        <w:keepNext/>
        <w:tabs>
          <w:tab w:val="num" w:pos="850"/>
        </w:tabs>
        <w:spacing w:before="240" w:after="0"/>
        <w:ind w:left="851"/>
        <w:jc w:val="both"/>
        <w:outlineLvl w:val="2"/>
        <w:rPr>
          <w:noProof/>
        </w:rPr>
      </w:pPr>
      <w:r>
        <w:rPr>
          <w:noProof/>
        </w:rPr>
        <w:t>Reform C2.8.R1 – Ökad medvetenhet om behovet av att förhindra penningtvätt</w:t>
      </w:r>
    </w:p>
    <w:p w14:paraId="6A901E75" w14:textId="77777777" w:rsidR="003A3D51" w:rsidRDefault="0002775A">
      <w:pPr>
        <w:pStyle w:val="NormalWeb"/>
        <w:spacing w:before="120" w:after="120" w:line="240" w:lineRule="auto"/>
        <w:jc w:val="both"/>
        <w:rPr>
          <w:rFonts w:eastAsiaTheme="minorEastAsia"/>
          <w:noProof/>
        </w:rPr>
      </w:pPr>
      <w:r>
        <w:rPr>
          <w:noProof/>
        </w:rPr>
        <w:t>Syftet med denna reform är att upprätthålla effektiviteten i det finansiella systemet i linje med internationella standarder och samtidigt förhindra olagliga finansiella flöden genom att öka medvetenheten, genom att inrätta en ram för regelbunden utbildning, bland alla ansvariga institutioner och myndigheter för genomförandet av åtgärderna mot penningtvätt.</w:t>
      </w:r>
    </w:p>
    <w:p w14:paraId="35ED6411" w14:textId="77777777" w:rsidR="003A3D51" w:rsidRDefault="0002775A">
      <w:pPr>
        <w:pStyle w:val="P68B1DB1-Normal47"/>
        <w:jc w:val="both"/>
        <w:rPr>
          <w:noProof/>
        </w:rPr>
      </w:pPr>
      <w:r>
        <w:rPr>
          <w:noProof/>
        </w:rPr>
        <w:t>Genomförandet skulle vara slutfört senast den 31 december 2020.</w:t>
      </w:r>
    </w:p>
    <w:p w14:paraId="6F24B9CA" w14:textId="77777777" w:rsidR="003A3D51" w:rsidRDefault="0002775A">
      <w:pPr>
        <w:pStyle w:val="P68B1DB1-Normal46"/>
        <w:keepNext/>
        <w:tabs>
          <w:tab w:val="num" w:pos="850"/>
        </w:tabs>
        <w:spacing w:before="240" w:after="0"/>
        <w:ind w:left="851"/>
        <w:jc w:val="both"/>
        <w:outlineLvl w:val="2"/>
        <w:rPr>
          <w:noProof/>
        </w:rPr>
      </w:pPr>
      <w:r>
        <w:rPr>
          <w:noProof/>
        </w:rPr>
        <w:t xml:space="preserve">Reform C2.8.R2 – Förbättra samarbetet mellan byrån för bekämpning av penningtvätt och tillsynsmyndigheterna </w:t>
      </w:r>
    </w:p>
    <w:p w14:paraId="6EF85D83" w14:textId="77777777" w:rsidR="003A3D51" w:rsidRDefault="0002775A">
      <w:pPr>
        <w:pStyle w:val="P68B1DB1-Normal47"/>
        <w:spacing w:before="120" w:after="120" w:line="240" w:lineRule="auto"/>
        <w:jc w:val="both"/>
        <w:rPr>
          <w:noProof/>
        </w:rPr>
      </w:pPr>
      <w:r>
        <w:rPr>
          <w:noProof/>
        </w:rPr>
        <w:t>Syftet med denna reform är att stärka samarbetet mellan byrån för bekämpning av penningtvätt och tillsynsmyndigheterna. Detta ska uppnås genom en översyn av samförståndsavtalet mellan de finansiella tillsynsmyndigheterna och byrån för bekämpning av penningtvätt och en rad regelbundna möten inom ramen för den interinstitutionella arbetsgruppen för tillsyn av bekämpning av penningtvätt och finansiering av terrorism (MIRS) som syftar till att förbättra utbytet av information och bästa praxis i kampen mot penningtvätt och finansiering av terrorism.</w:t>
      </w:r>
    </w:p>
    <w:p w14:paraId="4928506B" w14:textId="77777777" w:rsidR="003A3D51" w:rsidRDefault="0002775A">
      <w:pPr>
        <w:pStyle w:val="P68B1DB1-Normal47"/>
        <w:jc w:val="both"/>
        <w:rPr>
          <w:noProof/>
        </w:rPr>
      </w:pPr>
      <w:r>
        <w:rPr>
          <w:noProof/>
        </w:rPr>
        <w:t>Reformen ska vara genomförd senast den 31 december 2024.</w:t>
      </w:r>
    </w:p>
    <w:p w14:paraId="2AA1ED04" w14:textId="77777777" w:rsidR="003A3D51" w:rsidRDefault="0002775A">
      <w:pPr>
        <w:pStyle w:val="P68B1DB1-Normal46"/>
        <w:keepNext/>
        <w:tabs>
          <w:tab w:val="num" w:pos="850"/>
        </w:tabs>
        <w:ind w:left="851"/>
        <w:jc w:val="both"/>
        <w:outlineLvl w:val="2"/>
        <w:rPr>
          <w:noProof/>
        </w:rPr>
      </w:pPr>
      <w:r>
        <w:rPr>
          <w:noProof/>
        </w:rPr>
        <w:t>Reform C2.8.R3 – Slutligt genomförande av handlingsplanen för att minska identifierade risker för penningtvätt och finansiering av terrorism</w:t>
      </w:r>
    </w:p>
    <w:p w14:paraId="210E8B9F" w14:textId="77777777" w:rsidR="003A3D51" w:rsidRDefault="0002775A">
      <w:pPr>
        <w:pStyle w:val="P68B1DB1-Normal47"/>
        <w:spacing w:before="120" w:after="120" w:line="240" w:lineRule="auto"/>
        <w:jc w:val="both"/>
        <w:rPr>
          <w:noProof/>
        </w:rPr>
      </w:pPr>
      <w:r>
        <w:rPr>
          <w:noProof/>
        </w:rPr>
        <w:t xml:space="preserve">Det övergripande målet med denna reform är att genomföra handlingsplanen för att minska de risker som identifierats i den nationella riskbedömningen av penningtvätt och finansiering av terrorism i Kroatien som antagits av regeringen. Handlingsplanen innehåller åtgärder som syftar till att till exempel stärka den administrativa kapaciteten vid penningtvättsmyndigheten, finansinspektionen och tillsynsmyndigheterna, öka antalet tillsynsverksamheter, förbättra it-infrastrukturen och tillhandahålla utbildning för tjänstemän vid alla ansvariga enheter i syfte att stärka samarbetet och den administrativa kapaciteten. </w:t>
      </w:r>
    </w:p>
    <w:p w14:paraId="460F0C15" w14:textId="77777777" w:rsidR="003A3D51" w:rsidRDefault="0002775A">
      <w:pPr>
        <w:pStyle w:val="P68B1DB1-Normal47"/>
        <w:spacing w:before="120" w:after="120" w:line="240" w:lineRule="auto"/>
        <w:jc w:val="both"/>
        <w:rPr>
          <w:noProof/>
        </w:rPr>
      </w:pPr>
      <w:r>
        <w:rPr>
          <w:noProof/>
        </w:rPr>
        <w:t>Reformen ska vara genomförd senast den 31 december 2021.</w:t>
      </w:r>
    </w:p>
    <w:p w14:paraId="4A4F59BF" w14:textId="77777777" w:rsidR="003A3D51" w:rsidRDefault="0002775A">
      <w:pPr>
        <w:pStyle w:val="P68B1DB1-Normal46"/>
        <w:keepNext/>
        <w:tabs>
          <w:tab w:val="num" w:pos="850"/>
        </w:tabs>
        <w:ind w:left="851"/>
        <w:jc w:val="both"/>
        <w:outlineLvl w:val="2"/>
        <w:rPr>
          <w:noProof/>
        </w:rPr>
      </w:pPr>
      <w:r>
        <w:rPr>
          <w:noProof/>
        </w:rPr>
        <w:t>Reform C2.8. R4 – Förbättra tillsynen mot penningtvätt och finansiering av terrorism på grundval av en riskbedömning inom den kroatiska finanssektorn</w:t>
      </w:r>
    </w:p>
    <w:p w14:paraId="6132BF3D" w14:textId="77777777" w:rsidR="003A3D51" w:rsidRDefault="0002775A">
      <w:pPr>
        <w:pStyle w:val="P68B1DB1-Normal48"/>
        <w:jc w:val="both"/>
        <w:rPr>
          <w:noProof/>
        </w:rPr>
      </w:pPr>
      <w:r>
        <w:rPr>
          <w:noProof/>
          <w:sz w:val="24"/>
        </w:rPr>
        <w:t>Det övergripande målet med denna reform är att stärka den institutionella och administrativa kapaciteten genom att genomföra de rekommendationer som gjorts inom ramen för projektet inom instrumentet för tekniskt stöd om att utveckla en riskbaserad metod för övervakning av penningtvätt och finansiering av terrorism</w:t>
      </w:r>
      <w:r>
        <w:rPr>
          <w:noProof/>
          <w:sz w:val="20"/>
        </w:rPr>
        <w:t xml:space="preserve">. </w:t>
      </w:r>
    </w:p>
    <w:p w14:paraId="72DF729B" w14:textId="77777777" w:rsidR="003A3D51" w:rsidRDefault="0002775A">
      <w:pPr>
        <w:pStyle w:val="P68B1DB1-Normal47"/>
        <w:spacing w:before="120" w:after="120" w:line="240" w:lineRule="auto"/>
        <w:jc w:val="both"/>
        <w:rPr>
          <w:noProof/>
        </w:rPr>
      </w:pPr>
      <w:r>
        <w:rPr>
          <w:noProof/>
        </w:rPr>
        <w:t xml:space="preserve">Reformen ska bidra till en allmän förbättring av ramen för förebyggande av penningtvätt och finansiering av terrorism i Kroatien och samtidigt underlätta fullgörandet av skyldigheterna enligt handlingsplanen för deltagande i den europeiska växelkursmekanismen II. </w:t>
      </w:r>
    </w:p>
    <w:p w14:paraId="041D0725" w14:textId="46C82150" w:rsidR="003A3D51" w:rsidRDefault="0002775A">
      <w:pPr>
        <w:pStyle w:val="P68B1DB1-Normal47"/>
        <w:rPr>
          <w:noProof/>
        </w:rPr>
      </w:pPr>
      <w:r>
        <w:rPr>
          <w:noProof/>
        </w:rPr>
        <w:t>Reformen ska vara genomförd senast den 31 december 2025.</w:t>
      </w:r>
    </w:p>
    <w:p w14:paraId="168C0A2D" w14:textId="77777777" w:rsidR="003A3D51" w:rsidRDefault="003A3D51">
      <w:pPr>
        <w:rPr>
          <w:noProof/>
        </w:rPr>
        <w:sectPr w:rsidR="003A3D51" w:rsidSect="00EF0713">
          <w:headerReference w:type="even" r:id="rId246"/>
          <w:headerReference w:type="default" r:id="rId247"/>
          <w:footerReference w:type="even" r:id="rId248"/>
          <w:footerReference w:type="default" r:id="rId249"/>
          <w:headerReference w:type="first" r:id="rId250"/>
          <w:footerReference w:type="first" r:id="rId251"/>
          <w:pgSz w:w="12240" w:h="15840"/>
          <w:pgMar w:top="1440" w:right="1440" w:bottom="1701" w:left="1440" w:header="708" w:footer="708" w:gutter="0"/>
          <w:cols w:space="708"/>
          <w:docGrid w:linePitch="360"/>
        </w:sectPr>
      </w:pPr>
    </w:p>
    <w:p w14:paraId="65102295" w14:textId="77777777" w:rsidR="003A3D51" w:rsidRDefault="0002775A">
      <w:pPr>
        <w:pStyle w:val="P68B1DB1-Normal37"/>
        <w:keepNext/>
        <w:tabs>
          <w:tab w:val="num" w:pos="850"/>
        </w:tabs>
        <w:spacing w:before="40" w:after="0"/>
        <w:ind w:left="851"/>
        <w:jc w:val="both"/>
        <w:outlineLvl w:val="1"/>
        <w:rPr>
          <w:noProof/>
        </w:rPr>
      </w:pPr>
      <w:r>
        <w:rPr>
          <w:noProof/>
        </w:rPr>
        <w:t xml:space="preserve">NR 2 </w:t>
      </w:r>
      <w:r>
        <w:rPr>
          <w:noProof/>
        </w:rPr>
        <w:tab/>
        <w:t>Delmål, mål, indikatorer och tidsplan för övervakning och genomförande avseende icke återbetalningspliktigt ekonomiskt stöd</w:t>
      </w:r>
    </w:p>
    <w:p w14:paraId="370B8F76" w14:textId="77777777" w:rsidR="003A3D51" w:rsidRDefault="003A3D51">
      <w:pPr>
        <w:keepNext/>
        <w:tabs>
          <w:tab w:val="num" w:pos="850"/>
        </w:tabs>
        <w:spacing w:before="40" w:after="0"/>
        <w:ind w:left="851"/>
        <w:jc w:val="both"/>
        <w:outlineLvl w:val="1"/>
        <w:rPr>
          <w:rFonts w:ascii="Times New Roman" w:eastAsiaTheme="minorEastAsia" w:hAnsi="Times New Roman" w:cs="Times New Roman"/>
          <w:b/>
          <w:noProof/>
          <w:sz w:val="24"/>
          <w:u w:val="single"/>
        </w:rPr>
      </w:pPr>
    </w:p>
    <w:tbl>
      <w:tblPr>
        <w:tblW w:w="14650" w:type="dxa"/>
        <w:jc w:val="center"/>
        <w:tblLayout w:type="fixed"/>
        <w:tblCellMar>
          <w:top w:w="28" w:type="dxa"/>
          <w:left w:w="28" w:type="dxa"/>
          <w:bottom w:w="28" w:type="dxa"/>
          <w:right w:w="28" w:type="dxa"/>
        </w:tblCellMar>
        <w:tblLook w:val="04A0" w:firstRow="1" w:lastRow="0" w:firstColumn="1" w:lastColumn="0" w:noHBand="0" w:noVBand="1"/>
      </w:tblPr>
      <w:tblGrid>
        <w:gridCol w:w="696"/>
        <w:gridCol w:w="835"/>
        <w:gridCol w:w="835"/>
        <w:gridCol w:w="1668"/>
        <w:gridCol w:w="3292"/>
        <w:gridCol w:w="992"/>
        <w:gridCol w:w="992"/>
        <w:gridCol w:w="709"/>
        <w:gridCol w:w="425"/>
        <w:gridCol w:w="709"/>
        <w:gridCol w:w="3497"/>
      </w:tblGrid>
      <w:tr w:rsidR="003A3D51" w14:paraId="61454233" w14:textId="77777777">
        <w:trPr>
          <w:tblHeader/>
          <w:jc w:val="center"/>
        </w:trPr>
        <w:tc>
          <w:tcPr>
            <w:tcW w:w="69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8B79D5" w14:textId="77777777" w:rsidR="003A3D51" w:rsidRDefault="0002775A">
            <w:pPr>
              <w:pStyle w:val="P68B1DB1-Normal6"/>
              <w:spacing w:after="0"/>
              <w:jc w:val="center"/>
              <w:rPr>
                <w:noProof/>
              </w:rPr>
            </w:pPr>
            <w:r>
              <w:rPr>
                <w:noProof/>
              </w:rPr>
              <w:t>Antal</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CDC3A8" w14:textId="77777777" w:rsidR="003A3D51" w:rsidRDefault="0002775A">
            <w:pPr>
              <w:pStyle w:val="P68B1DB1-Normal6"/>
              <w:spacing w:after="0"/>
              <w:jc w:val="center"/>
              <w:rPr>
                <w:noProof/>
              </w:rPr>
            </w:pPr>
            <w:r>
              <w:rPr>
                <w:noProof/>
              </w:rPr>
              <w:t>Åtgärd</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D7F7B8" w14:textId="77777777" w:rsidR="003A3D51" w:rsidRDefault="0002775A">
            <w:pPr>
              <w:pStyle w:val="P68B1DB1-Normal6"/>
              <w:spacing w:after="0"/>
              <w:jc w:val="center"/>
              <w:rPr>
                <w:noProof/>
              </w:rPr>
            </w:pPr>
            <w:r>
              <w:rPr>
                <w:noProof/>
              </w:rPr>
              <w:t>Delmål/mål</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473912" w14:textId="77777777" w:rsidR="003A3D51" w:rsidRDefault="0002775A">
            <w:pPr>
              <w:pStyle w:val="P68B1DB1-Normal6"/>
              <w:spacing w:after="0"/>
              <w:jc w:val="center"/>
              <w:rPr>
                <w:noProof/>
              </w:rPr>
            </w:pPr>
            <w:r>
              <w:rPr>
                <w:noProof/>
              </w:rPr>
              <w:t>Namn</w:t>
            </w:r>
          </w:p>
        </w:tc>
        <w:tc>
          <w:tcPr>
            <w:tcW w:w="329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5183D" w14:textId="77777777" w:rsidR="003A3D51" w:rsidRDefault="0002775A">
            <w:pPr>
              <w:spacing w:after="0"/>
              <w:ind w:right="-72"/>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hAnsi="Times New Roman" w:cs="Times New Roman"/>
                <w:noProof/>
              </w:rPr>
              <w:br/>
            </w:r>
            <w:r>
              <w:rPr>
                <w:rFonts w:ascii="Times New Roman" w:eastAsia="Times New Roman" w:hAnsi="Times New Roman" w:cs="Times New Roman"/>
                <w:b/>
                <w:noProof/>
                <w:sz w:val="18"/>
              </w:rPr>
              <w:t>(för delmål)</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25FDEE9" w14:textId="77777777" w:rsidR="003A3D51" w:rsidRDefault="0002775A">
            <w:pPr>
              <w:spacing w:after="0"/>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hAnsi="Times New Roman" w:cs="Times New Roman"/>
                <w:noProof/>
              </w:rPr>
              <w:br/>
            </w:r>
            <w:r>
              <w:rPr>
                <w:rFonts w:ascii="Times New Roman" w:eastAsia="Times New Roman" w:hAnsi="Times New Roman" w:cs="Times New Roman"/>
                <w:b/>
                <w:noProof/>
                <w:sz w:val="18"/>
              </w:rPr>
              <w:t>(för mål)</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72F76922" w14:textId="77777777" w:rsidR="003A3D51" w:rsidRDefault="0002775A">
            <w:pPr>
              <w:pStyle w:val="P68B1DB1-Normal6"/>
              <w:spacing w:after="0"/>
              <w:jc w:val="center"/>
              <w:rPr>
                <w:noProof/>
              </w:rPr>
            </w:pPr>
            <w:r>
              <w:rPr>
                <w:noProof/>
              </w:rPr>
              <w:t xml:space="preserve">Preliminär tidsplan för slutförande </w:t>
            </w:r>
          </w:p>
        </w:tc>
        <w:tc>
          <w:tcPr>
            <w:tcW w:w="34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892B0D" w14:textId="77777777" w:rsidR="003A3D51" w:rsidRDefault="0002775A">
            <w:pPr>
              <w:pStyle w:val="P68B1DB1-Normal6"/>
              <w:spacing w:after="0"/>
              <w:jc w:val="center"/>
              <w:rPr>
                <w:noProof/>
              </w:rPr>
            </w:pPr>
            <w:r>
              <w:rPr>
                <w:noProof/>
              </w:rPr>
              <w:t>Beskrivning av varje delmål och mål</w:t>
            </w:r>
          </w:p>
        </w:tc>
      </w:tr>
      <w:tr w:rsidR="003A3D51" w14:paraId="11618F99" w14:textId="77777777">
        <w:trPr>
          <w:tblHeader/>
          <w:jc w:val="center"/>
        </w:trPr>
        <w:tc>
          <w:tcPr>
            <w:tcW w:w="696" w:type="dxa"/>
            <w:vMerge/>
            <w:tcBorders>
              <w:top w:val="single" w:sz="4" w:space="0" w:color="auto"/>
              <w:left w:val="single" w:sz="4" w:space="0" w:color="auto"/>
              <w:bottom w:val="single" w:sz="4" w:space="0" w:color="auto"/>
              <w:right w:val="single" w:sz="4" w:space="0" w:color="auto"/>
            </w:tcBorders>
            <w:hideMark/>
          </w:tcPr>
          <w:p w14:paraId="39098C5F" w14:textId="77777777" w:rsidR="003A3D51" w:rsidRDefault="003A3D51">
            <w:pPr>
              <w:spacing w:after="0"/>
              <w:jc w:val="center"/>
              <w:rPr>
                <w:rFonts w:ascii="Times New Roman" w:eastAsia="Times New Roman" w:hAnsi="Times New Roman" w:cs="Times New Roman"/>
                <w:b/>
                <w:noProof/>
              </w:rPr>
            </w:pPr>
          </w:p>
        </w:tc>
        <w:tc>
          <w:tcPr>
            <w:tcW w:w="835" w:type="dxa"/>
            <w:vMerge/>
            <w:tcBorders>
              <w:top w:val="single" w:sz="4" w:space="0" w:color="auto"/>
              <w:left w:val="single" w:sz="4" w:space="0" w:color="auto"/>
              <w:bottom w:val="single" w:sz="4" w:space="0" w:color="auto"/>
              <w:right w:val="single" w:sz="4" w:space="0" w:color="auto"/>
            </w:tcBorders>
            <w:hideMark/>
          </w:tcPr>
          <w:p w14:paraId="3E5AFD4A" w14:textId="77777777" w:rsidR="003A3D51" w:rsidRDefault="003A3D51">
            <w:pPr>
              <w:spacing w:after="0"/>
              <w:jc w:val="center"/>
              <w:rPr>
                <w:rFonts w:ascii="Times New Roman" w:eastAsia="Times New Roman" w:hAnsi="Times New Roman" w:cs="Times New Roman"/>
                <w:b/>
                <w:noProof/>
              </w:rPr>
            </w:pPr>
          </w:p>
        </w:tc>
        <w:tc>
          <w:tcPr>
            <w:tcW w:w="835" w:type="dxa"/>
            <w:vMerge/>
            <w:tcBorders>
              <w:top w:val="single" w:sz="4" w:space="0" w:color="auto"/>
              <w:left w:val="single" w:sz="4" w:space="0" w:color="auto"/>
              <w:bottom w:val="single" w:sz="4" w:space="0" w:color="auto"/>
              <w:right w:val="single" w:sz="4" w:space="0" w:color="auto"/>
            </w:tcBorders>
            <w:hideMark/>
          </w:tcPr>
          <w:p w14:paraId="43B3E57C" w14:textId="77777777" w:rsidR="003A3D51" w:rsidRDefault="003A3D51">
            <w:pPr>
              <w:spacing w:after="0"/>
              <w:jc w:val="center"/>
              <w:rPr>
                <w:rFonts w:ascii="Times New Roman" w:eastAsia="Times New Roman" w:hAnsi="Times New Roman" w:cs="Times New Roman"/>
                <w:b/>
                <w:noProof/>
              </w:rPr>
            </w:pPr>
          </w:p>
        </w:tc>
        <w:tc>
          <w:tcPr>
            <w:tcW w:w="1668" w:type="dxa"/>
            <w:vMerge/>
            <w:tcBorders>
              <w:top w:val="single" w:sz="4" w:space="0" w:color="auto"/>
              <w:left w:val="single" w:sz="4" w:space="0" w:color="auto"/>
              <w:bottom w:val="single" w:sz="4" w:space="0" w:color="auto"/>
              <w:right w:val="single" w:sz="4" w:space="0" w:color="auto"/>
            </w:tcBorders>
            <w:hideMark/>
          </w:tcPr>
          <w:p w14:paraId="6777AB93" w14:textId="77777777" w:rsidR="003A3D51" w:rsidRDefault="003A3D51">
            <w:pPr>
              <w:spacing w:after="0"/>
              <w:rPr>
                <w:rFonts w:ascii="Times New Roman" w:eastAsia="Times New Roman" w:hAnsi="Times New Roman" w:cs="Times New Roman"/>
                <w:b/>
                <w:noProof/>
              </w:rPr>
            </w:pPr>
          </w:p>
        </w:tc>
        <w:tc>
          <w:tcPr>
            <w:tcW w:w="3292" w:type="dxa"/>
            <w:vMerge/>
            <w:tcBorders>
              <w:top w:val="single" w:sz="4" w:space="0" w:color="auto"/>
              <w:left w:val="single" w:sz="4" w:space="0" w:color="auto"/>
              <w:bottom w:val="single" w:sz="4" w:space="0" w:color="auto"/>
              <w:right w:val="single" w:sz="4" w:space="0" w:color="auto"/>
            </w:tcBorders>
            <w:hideMark/>
          </w:tcPr>
          <w:p w14:paraId="74FE04F5" w14:textId="77777777" w:rsidR="003A3D51" w:rsidRDefault="003A3D51">
            <w:pPr>
              <w:spacing w:after="0"/>
              <w:rPr>
                <w:rFonts w:ascii="Times New Roman" w:eastAsia="Times New Roman" w:hAnsi="Times New Roman" w:cs="Times New Roman"/>
                <w:b/>
                <w:noProof/>
              </w:rPr>
            </w:pPr>
          </w:p>
        </w:tc>
        <w:tc>
          <w:tcPr>
            <w:tcW w:w="992" w:type="dxa"/>
            <w:tcBorders>
              <w:top w:val="nil"/>
              <w:left w:val="single" w:sz="4" w:space="0" w:color="auto"/>
              <w:bottom w:val="single" w:sz="4" w:space="0" w:color="auto"/>
              <w:right w:val="single" w:sz="4" w:space="0" w:color="auto"/>
            </w:tcBorders>
            <w:shd w:val="clear" w:color="auto" w:fill="BDD7EE"/>
            <w:hideMark/>
          </w:tcPr>
          <w:p w14:paraId="5011340C" w14:textId="77777777" w:rsidR="003A3D51" w:rsidRDefault="0002775A">
            <w:pPr>
              <w:pStyle w:val="P68B1DB1-Normal6"/>
              <w:spacing w:after="0"/>
              <w:jc w:val="center"/>
              <w:rPr>
                <w:noProof/>
              </w:rPr>
            </w:pPr>
            <w:r>
              <w:rPr>
                <w:noProof/>
              </w:rPr>
              <w:t>Enhet</w:t>
            </w:r>
          </w:p>
        </w:tc>
        <w:tc>
          <w:tcPr>
            <w:tcW w:w="992" w:type="dxa"/>
            <w:tcBorders>
              <w:top w:val="nil"/>
              <w:left w:val="nil"/>
              <w:bottom w:val="single" w:sz="4" w:space="0" w:color="auto"/>
              <w:right w:val="single" w:sz="4" w:space="0" w:color="auto"/>
            </w:tcBorders>
            <w:shd w:val="clear" w:color="auto" w:fill="BDD7EE"/>
            <w:hideMark/>
          </w:tcPr>
          <w:p w14:paraId="3F0692BE" w14:textId="77777777" w:rsidR="003A3D51" w:rsidRDefault="0002775A">
            <w:pPr>
              <w:pStyle w:val="P68B1DB1-Normal6"/>
              <w:spacing w:after="0"/>
              <w:jc w:val="center"/>
              <w:rPr>
                <w:noProof/>
              </w:rPr>
            </w:pPr>
            <w:r>
              <w:rPr>
                <w:noProof/>
              </w:rPr>
              <w:t>Baslinjen</w:t>
            </w:r>
          </w:p>
        </w:tc>
        <w:tc>
          <w:tcPr>
            <w:tcW w:w="709" w:type="dxa"/>
            <w:tcBorders>
              <w:top w:val="nil"/>
              <w:left w:val="nil"/>
              <w:bottom w:val="single" w:sz="4" w:space="0" w:color="auto"/>
              <w:right w:val="single" w:sz="4" w:space="0" w:color="auto"/>
            </w:tcBorders>
            <w:shd w:val="clear" w:color="auto" w:fill="BDD7EE"/>
            <w:hideMark/>
          </w:tcPr>
          <w:p w14:paraId="7A384974" w14:textId="77777777" w:rsidR="003A3D51" w:rsidRDefault="0002775A">
            <w:pPr>
              <w:pStyle w:val="P68B1DB1-Normal6"/>
              <w:spacing w:after="0"/>
              <w:jc w:val="center"/>
              <w:rPr>
                <w:noProof/>
              </w:rPr>
            </w:pPr>
            <w:r>
              <w:rPr>
                <w:noProof/>
              </w:rPr>
              <w:t>Mål</w:t>
            </w:r>
          </w:p>
        </w:tc>
        <w:tc>
          <w:tcPr>
            <w:tcW w:w="425" w:type="dxa"/>
            <w:tcBorders>
              <w:top w:val="nil"/>
              <w:left w:val="nil"/>
              <w:bottom w:val="single" w:sz="4" w:space="0" w:color="auto"/>
              <w:right w:val="single" w:sz="4" w:space="0" w:color="auto"/>
            </w:tcBorders>
            <w:shd w:val="clear" w:color="auto" w:fill="BDD7EE"/>
            <w:hideMark/>
          </w:tcPr>
          <w:p w14:paraId="5C66DD73" w14:textId="77777777" w:rsidR="003A3D51" w:rsidRDefault="0002775A">
            <w:pPr>
              <w:pStyle w:val="P68B1DB1-Normal6"/>
              <w:spacing w:after="0"/>
              <w:jc w:val="center"/>
              <w:rPr>
                <w:noProof/>
              </w:rPr>
            </w:pPr>
            <w:r>
              <w:rPr>
                <w:noProof/>
              </w:rPr>
              <w:t>Q</w:t>
            </w:r>
          </w:p>
        </w:tc>
        <w:tc>
          <w:tcPr>
            <w:tcW w:w="709" w:type="dxa"/>
            <w:tcBorders>
              <w:top w:val="nil"/>
              <w:left w:val="nil"/>
              <w:bottom w:val="single" w:sz="4" w:space="0" w:color="auto"/>
              <w:right w:val="single" w:sz="4" w:space="0" w:color="auto"/>
            </w:tcBorders>
            <w:shd w:val="clear" w:color="auto" w:fill="BDD7EE"/>
            <w:hideMark/>
          </w:tcPr>
          <w:p w14:paraId="714A7DC9" w14:textId="77777777" w:rsidR="003A3D51" w:rsidRDefault="0002775A">
            <w:pPr>
              <w:pStyle w:val="P68B1DB1-Normal6"/>
              <w:spacing w:after="0"/>
              <w:jc w:val="center"/>
              <w:rPr>
                <w:noProof/>
              </w:rPr>
            </w:pPr>
            <w:r>
              <w:rPr>
                <w:noProof/>
              </w:rPr>
              <w:t>Året</w:t>
            </w:r>
          </w:p>
        </w:tc>
        <w:tc>
          <w:tcPr>
            <w:tcW w:w="3497" w:type="dxa"/>
            <w:vMerge/>
            <w:tcBorders>
              <w:top w:val="single" w:sz="4" w:space="0" w:color="auto"/>
              <w:bottom w:val="single" w:sz="4" w:space="0" w:color="auto"/>
              <w:right w:val="single" w:sz="4" w:space="0" w:color="auto"/>
            </w:tcBorders>
            <w:hideMark/>
          </w:tcPr>
          <w:p w14:paraId="51C86F45" w14:textId="77777777" w:rsidR="003A3D51" w:rsidRDefault="003A3D51">
            <w:pPr>
              <w:spacing w:after="0"/>
              <w:rPr>
                <w:rFonts w:ascii="Times New Roman" w:eastAsia="Times New Roman" w:hAnsi="Times New Roman" w:cs="Times New Roman"/>
                <w:b/>
                <w:noProof/>
              </w:rPr>
            </w:pPr>
          </w:p>
        </w:tc>
      </w:tr>
      <w:tr w:rsidR="003A3D51" w14:paraId="2A27D876"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tcPr>
          <w:p w14:paraId="66CE98C7" w14:textId="77777777" w:rsidR="003A3D51" w:rsidRDefault="0002775A">
            <w:pPr>
              <w:pStyle w:val="P68B1DB1-Normal41"/>
              <w:spacing w:after="0"/>
              <w:jc w:val="center"/>
              <w:rPr>
                <w:rFonts w:ascii="Times New Roman" w:hAnsi="Times New Roman" w:cs="Times New Roman"/>
                <w:noProof/>
              </w:rPr>
            </w:pPr>
            <w:r>
              <w:rPr>
                <w:noProof/>
              </w:rPr>
              <w:t>250</w:t>
            </w:r>
          </w:p>
        </w:tc>
        <w:tc>
          <w:tcPr>
            <w:tcW w:w="835" w:type="dxa"/>
            <w:tcBorders>
              <w:top w:val="single" w:sz="4" w:space="0" w:color="auto"/>
              <w:left w:val="nil"/>
              <w:bottom w:val="single" w:sz="4" w:space="0" w:color="auto"/>
              <w:right w:val="single" w:sz="4" w:space="0" w:color="auto"/>
            </w:tcBorders>
            <w:shd w:val="clear" w:color="auto" w:fill="C6EFCE"/>
            <w:noWrap/>
          </w:tcPr>
          <w:p w14:paraId="1EC7ECFA" w14:textId="77777777" w:rsidR="003A3D51" w:rsidRDefault="0002775A">
            <w:pPr>
              <w:pStyle w:val="P68B1DB1-Normal41"/>
              <w:jc w:val="center"/>
              <w:rPr>
                <w:rFonts w:ascii="Times New Roman" w:hAnsi="Times New Roman" w:cs="Times New Roman"/>
                <w:noProof/>
              </w:rPr>
            </w:pPr>
            <w:r>
              <w:rPr>
                <w:noProof/>
              </w:rPr>
              <w:t>C2.8 R1</w:t>
            </w:r>
          </w:p>
        </w:tc>
        <w:tc>
          <w:tcPr>
            <w:tcW w:w="835" w:type="dxa"/>
            <w:tcBorders>
              <w:top w:val="single" w:sz="4" w:space="0" w:color="auto"/>
              <w:left w:val="nil"/>
              <w:bottom w:val="single" w:sz="4" w:space="0" w:color="auto"/>
              <w:right w:val="single" w:sz="4" w:space="0" w:color="auto"/>
            </w:tcBorders>
            <w:shd w:val="clear" w:color="auto" w:fill="C6EFCE"/>
            <w:noWrap/>
          </w:tcPr>
          <w:p w14:paraId="76DAEEC3" w14:textId="77777777" w:rsidR="003A3D51" w:rsidRDefault="0002775A">
            <w:pPr>
              <w:pStyle w:val="P68B1DB1-Normal41"/>
              <w:jc w:val="center"/>
              <w:rPr>
                <w:rFonts w:ascii="Times New Roman" w:hAnsi="Times New Roman" w:cs="Times New Roman"/>
                <w:noProof/>
              </w:rPr>
            </w:pPr>
            <w:r>
              <w:rPr>
                <w:noProof/>
              </w:rPr>
              <w:t>M</w:t>
            </w:r>
          </w:p>
        </w:tc>
        <w:tc>
          <w:tcPr>
            <w:tcW w:w="1668" w:type="dxa"/>
            <w:tcBorders>
              <w:top w:val="single" w:sz="4" w:space="0" w:color="auto"/>
              <w:left w:val="nil"/>
              <w:bottom w:val="single" w:sz="4" w:space="0" w:color="auto"/>
              <w:right w:val="single" w:sz="4" w:space="0" w:color="auto"/>
            </w:tcBorders>
            <w:shd w:val="clear" w:color="auto" w:fill="C6EFCE"/>
            <w:noWrap/>
          </w:tcPr>
          <w:p w14:paraId="480694AB" w14:textId="77777777" w:rsidR="003A3D51" w:rsidRDefault="0002775A">
            <w:pPr>
              <w:pStyle w:val="P68B1DB1-Normal41"/>
              <w:rPr>
                <w:rFonts w:ascii="Times New Roman" w:hAnsi="Times New Roman" w:cs="Times New Roman"/>
                <w:noProof/>
              </w:rPr>
            </w:pPr>
            <w:r>
              <w:rPr>
                <w:noProof/>
              </w:rPr>
              <w:t>Öka medvetenheten hos alla ansvariga parter genom regelbunden utbildning.</w:t>
            </w:r>
          </w:p>
        </w:tc>
        <w:tc>
          <w:tcPr>
            <w:tcW w:w="3292" w:type="dxa"/>
            <w:tcBorders>
              <w:top w:val="single" w:sz="4" w:space="0" w:color="auto"/>
              <w:left w:val="nil"/>
              <w:bottom w:val="single" w:sz="4" w:space="0" w:color="auto"/>
              <w:right w:val="single" w:sz="4" w:space="0" w:color="auto"/>
            </w:tcBorders>
            <w:shd w:val="clear" w:color="auto" w:fill="C6EFCE"/>
            <w:noWrap/>
          </w:tcPr>
          <w:p w14:paraId="3F823844" w14:textId="77777777" w:rsidR="003A3D51" w:rsidRDefault="0002775A">
            <w:pPr>
              <w:pStyle w:val="P68B1DB1-Normal41"/>
              <w:rPr>
                <w:rFonts w:ascii="Times New Roman" w:hAnsi="Times New Roman" w:cs="Times New Roman"/>
                <w:noProof/>
              </w:rPr>
            </w:pPr>
            <w:r>
              <w:rPr>
                <w:noProof/>
              </w:rPr>
              <w:t>Ram för fortbildning av personal som är skyldig att rapportera om förebyggande av penningtvätt och finansiering av terrorism</w:t>
            </w:r>
          </w:p>
        </w:tc>
        <w:tc>
          <w:tcPr>
            <w:tcW w:w="992" w:type="dxa"/>
            <w:tcBorders>
              <w:top w:val="nil"/>
              <w:left w:val="nil"/>
              <w:bottom w:val="single" w:sz="4" w:space="0" w:color="auto"/>
              <w:right w:val="single" w:sz="4" w:space="0" w:color="auto"/>
            </w:tcBorders>
            <w:shd w:val="clear" w:color="auto" w:fill="C6EFCE"/>
            <w:noWrap/>
          </w:tcPr>
          <w:p w14:paraId="01B561DF" w14:textId="77777777" w:rsidR="003A3D51" w:rsidRDefault="0002775A">
            <w:pPr>
              <w:pStyle w:val="P68B1DB1-Normal41"/>
              <w:jc w:val="center"/>
              <w:rPr>
                <w:rFonts w:ascii="Times New Roman" w:hAnsi="Times New Roman" w:cs="Times New Roman"/>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26786155" w14:textId="77777777" w:rsidR="003A3D51" w:rsidRDefault="0002775A">
            <w:pPr>
              <w:pStyle w:val="P68B1DB1-Normal41"/>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733AD1FE" w14:textId="77777777" w:rsidR="003A3D51" w:rsidRDefault="0002775A">
            <w:pPr>
              <w:pStyle w:val="P68B1DB1-Normal41"/>
              <w:jc w:val="center"/>
              <w:rPr>
                <w:rFonts w:ascii="Times New Roman" w:hAnsi="Times New Roman" w:cs="Times New Roman"/>
                <w:noProof/>
              </w:rPr>
            </w:pPr>
            <w:r>
              <w:rPr>
                <w:noProof/>
              </w:rPr>
              <w:t> </w:t>
            </w:r>
          </w:p>
        </w:tc>
        <w:tc>
          <w:tcPr>
            <w:tcW w:w="425" w:type="dxa"/>
            <w:tcBorders>
              <w:top w:val="nil"/>
              <w:left w:val="nil"/>
              <w:bottom w:val="single" w:sz="4" w:space="0" w:color="auto"/>
              <w:right w:val="single" w:sz="4" w:space="0" w:color="auto"/>
            </w:tcBorders>
            <w:shd w:val="clear" w:color="auto" w:fill="C6EFCE"/>
            <w:noWrap/>
          </w:tcPr>
          <w:p w14:paraId="3297057F"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66BA954D" w14:textId="77777777" w:rsidR="003A3D51" w:rsidRDefault="0002775A">
            <w:pPr>
              <w:pStyle w:val="P68B1DB1-Normal41"/>
              <w:jc w:val="center"/>
              <w:rPr>
                <w:rFonts w:ascii="Times New Roman" w:hAnsi="Times New Roman" w:cs="Times New Roman"/>
                <w:noProof/>
              </w:rPr>
            </w:pPr>
            <w:r>
              <w:rPr>
                <w:noProof/>
              </w:rPr>
              <w:t>2020</w:t>
            </w:r>
          </w:p>
        </w:tc>
        <w:tc>
          <w:tcPr>
            <w:tcW w:w="3497" w:type="dxa"/>
            <w:tcBorders>
              <w:top w:val="single" w:sz="4" w:space="0" w:color="auto"/>
              <w:left w:val="nil"/>
              <w:bottom w:val="single" w:sz="4" w:space="0" w:color="auto"/>
              <w:right w:val="single" w:sz="4" w:space="0" w:color="auto"/>
            </w:tcBorders>
            <w:shd w:val="clear" w:color="auto" w:fill="C6EFCE"/>
            <w:noWrap/>
          </w:tcPr>
          <w:p w14:paraId="1EFEA5B5" w14:textId="77777777" w:rsidR="003A3D51" w:rsidRDefault="0002775A">
            <w:pPr>
              <w:pStyle w:val="P68B1DB1-Normal41"/>
              <w:rPr>
                <w:rFonts w:ascii="Times New Roman" w:hAnsi="Times New Roman" w:cs="Times New Roman"/>
                <w:noProof/>
              </w:rPr>
            </w:pPr>
            <w:r>
              <w:rPr>
                <w:noProof/>
              </w:rPr>
              <w:t>Den befintliga ramen för tillsynsorganens och penningtvättsmyndighetens fortbildning av personal vid alla rapporterande institut och myndigheter, inbegripet regelefterlevnadsansvariga för bekämpning av penningtvätt och kreditinstitutens ledning. Utbildningsinitiativ som planeras inom ramen ska inriktas på att öka medvetenheten om den riskbaserade metoden för att genomföra åtgärder för kundkännedom och på skyldigheten att rapportera misstänkt verksamhet. Som en del av ramen ska tillsynsorganen och byrån för bekämpning av penningtvätt regelbundet förse institut och myndigheter med aktuell information om penningtvättens utveckling.</w:t>
            </w:r>
          </w:p>
        </w:tc>
      </w:tr>
      <w:tr w:rsidR="003A3D51" w14:paraId="655589DA" w14:textId="77777777">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55A7FA30" w14:textId="77777777" w:rsidR="003A3D51" w:rsidRDefault="0002775A">
            <w:pPr>
              <w:pStyle w:val="P68B1DB1-Normal41"/>
              <w:jc w:val="center"/>
              <w:rPr>
                <w:rFonts w:ascii="Times New Roman" w:hAnsi="Times New Roman" w:cs="Times New Roman"/>
                <w:noProof/>
              </w:rPr>
            </w:pPr>
            <w:r>
              <w:rPr>
                <w:noProof/>
              </w:rPr>
              <w:t>251</w:t>
            </w:r>
          </w:p>
        </w:tc>
        <w:tc>
          <w:tcPr>
            <w:tcW w:w="835" w:type="dxa"/>
            <w:tcBorders>
              <w:top w:val="nil"/>
              <w:left w:val="nil"/>
              <w:bottom w:val="single" w:sz="4" w:space="0" w:color="auto"/>
              <w:right w:val="single" w:sz="4" w:space="0" w:color="auto"/>
            </w:tcBorders>
            <w:shd w:val="clear" w:color="auto" w:fill="C6EFCE"/>
            <w:noWrap/>
          </w:tcPr>
          <w:p w14:paraId="2835DCAE" w14:textId="77777777" w:rsidR="003A3D51" w:rsidRDefault="0002775A">
            <w:pPr>
              <w:pStyle w:val="P68B1DB1-Normal41"/>
              <w:jc w:val="center"/>
              <w:rPr>
                <w:rFonts w:ascii="Times New Roman" w:hAnsi="Times New Roman" w:cs="Times New Roman"/>
                <w:noProof/>
              </w:rPr>
            </w:pPr>
            <w:r>
              <w:rPr>
                <w:noProof/>
              </w:rPr>
              <w:t>C2.8 R2</w:t>
            </w:r>
          </w:p>
        </w:tc>
        <w:tc>
          <w:tcPr>
            <w:tcW w:w="835" w:type="dxa"/>
            <w:tcBorders>
              <w:top w:val="nil"/>
              <w:left w:val="nil"/>
              <w:bottom w:val="single" w:sz="4" w:space="0" w:color="auto"/>
              <w:right w:val="single" w:sz="4" w:space="0" w:color="auto"/>
            </w:tcBorders>
            <w:shd w:val="clear" w:color="auto" w:fill="C6EFCE"/>
            <w:noWrap/>
          </w:tcPr>
          <w:p w14:paraId="355FBF80" w14:textId="77777777" w:rsidR="003A3D51" w:rsidRDefault="0002775A">
            <w:pPr>
              <w:pStyle w:val="P68B1DB1-Normal41"/>
              <w:jc w:val="center"/>
              <w:rPr>
                <w:rFonts w:ascii="Times New Roman" w:hAnsi="Times New Roman" w:cs="Times New Roman"/>
                <w:noProof/>
              </w:rPr>
            </w:pPr>
            <w:r>
              <w:rPr>
                <w:noProof/>
              </w:rPr>
              <w:t>M</w:t>
            </w:r>
          </w:p>
        </w:tc>
        <w:tc>
          <w:tcPr>
            <w:tcW w:w="1668" w:type="dxa"/>
            <w:tcBorders>
              <w:top w:val="nil"/>
              <w:left w:val="nil"/>
              <w:bottom w:val="single" w:sz="4" w:space="0" w:color="auto"/>
              <w:right w:val="single" w:sz="4" w:space="0" w:color="auto"/>
            </w:tcBorders>
            <w:shd w:val="clear" w:color="auto" w:fill="C6EFCE"/>
            <w:noWrap/>
          </w:tcPr>
          <w:p w14:paraId="3542657F" w14:textId="77777777" w:rsidR="003A3D51" w:rsidRDefault="0002775A">
            <w:pPr>
              <w:pStyle w:val="P68B1DB1-Normal41"/>
              <w:rPr>
                <w:rFonts w:ascii="Times New Roman" w:hAnsi="Times New Roman" w:cs="Times New Roman"/>
                <w:noProof/>
              </w:rPr>
            </w:pPr>
            <w:r>
              <w:rPr>
                <w:noProof/>
              </w:rPr>
              <w:t xml:space="preserve">Fortsatt samarbete mellan penningtvättsmyndigheten och tillsynsmyndigheterna </w:t>
            </w:r>
          </w:p>
        </w:tc>
        <w:tc>
          <w:tcPr>
            <w:tcW w:w="3292" w:type="dxa"/>
            <w:tcBorders>
              <w:top w:val="nil"/>
              <w:left w:val="nil"/>
              <w:bottom w:val="single" w:sz="4" w:space="0" w:color="auto"/>
              <w:right w:val="single" w:sz="4" w:space="0" w:color="auto"/>
            </w:tcBorders>
            <w:shd w:val="clear" w:color="auto" w:fill="C6EFCE"/>
            <w:noWrap/>
          </w:tcPr>
          <w:p w14:paraId="4F3C845D" w14:textId="77777777" w:rsidR="003A3D51" w:rsidRDefault="0002775A">
            <w:pPr>
              <w:pStyle w:val="P68B1DB1-Normal41"/>
              <w:rPr>
                <w:rFonts w:ascii="Times New Roman" w:hAnsi="Times New Roman" w:cs="Times New Roman"/>
                <w:noProof/>
              </w:rPr>
            </w:pPr>
            <w:r>
              <w:rPr>
                <w:noProof/>
              </w:rPr>
              <w:t>Ett uppdaterat samarbetsavtal undertecknas mellan penningtvättsmyndigheten och tillsynsmyndigheterna om informationsutbyte och samarbete.</w:t>
            </w:r>
          </w:p>
        </w:tc>
        <w:tc>
          <w:tcPr>
            <w:tcW w:w="992" w:type="dxa"/>
            <w:tcBorders>
              <w:top w:val="nil"/>
              <w:left w:val="nil"/>
              <w:bottom w:val="single" w:sz="4" w:space="0" w:color="auto"/>
              <w:right w:val="single" w:sz="4" w:space="0" w:color="auto"/>
            </w:tcBorders>
            <w:shd w:val="clear" w:color="auto" w:fill="C6EFCE"/>
            <w:noWrap/>
          </w:tcPr>
          <w:p w14:paraId="5FAECBB6" w14:textId="77777777" w:rsidR="003A3D51" w:rsidRDefault="0002775A">
            <w:pPr>
              <w:pStyle w:val="P68B1DB1-Normal41"/>
              <w:jc w:val="center"/>
              <w:rPr>
                <w:rFonts w:ascii="Times New Roman" w:hAnsi="Times New Roman" w:cs="Times New Roman"/>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4FC9DC7C" w14:textId="77777777" w:rsidR="003A3D51" w:rsidRDefault="0002775A">
            <w:pPr>
              <w:pStyle w:val="P68B1DB1-Normal41"/>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0E1C52F2" w14:textId="77777777" w:rsidR="003A3D51" w:rsidRDefault="0002775A">
            <w:pPr>
              <w:pStyle w:val="P68B1DB1-Normal41"/>
              <w:jc w:val="center"/>
              <w:rPr>
                <w:rFonts w:ascii="Times New Roman" w:hAnsi="Times New Roman" w:cs="Times New Roman"/>
                <w:noProof/>
              </w:rPr>
            </w:pPr>
            <w:r>
              <w:rPr>
                <w:noProof/>
              </w:rPr>
              <w:t> </w:t>
            </w:r>
          </w:p>
        </w:tc>
        <w:tc>
          <w:tcPr>
            <w:tcW w:w="425" w:type="dxa"/>
            <w:tcBorders>
              <w:top w:val="nil"/>
              <w:left w:val="nil"/>
              <w:bottom w:val="single" w:sz="4" w:space="0" w:color="auto"/>
              <w:right w:val="single" w:sz="4" w:space="0" w:color="auto"/>
            </w:tcBorders>
            <w:shd w:val="clear" w:color="auto" w:fill="C6EFCE"/>
            <w:noWrap/>
          </w:tcPr>
          <w:p w14:paraId="6FA6D5D8"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6E66A7B1" w14:textId="77777777" w:rsidR="003A3D51" w:rsidRDefault="0002775A">
            <w:pPr>
              <w:pStyle w:val="P68B1DB1-Normal41"/>
              <w:jc w:val="center"/>
              <w:rPr>
                <w:rFonts w:ascii="Times New Roman" w:hAnsi="Times New Roman" w:cs="Times New Roman"/>
                <w:noProof/>
              </w:rPr>
            </w:pPr>
            <w:r>
              <w:rPr>
                <w:noProof/>
              </w:rPr>
              <w:t>2020</w:t>
            </w:r>
          </w:p>
        </w:tc>
        <w:tc>
          <w:tcPr>
            <w:tcW w:w="3497" w:type="dxa"/>
            <w:tcBorders>
              <w:top w:val="nil"/>
              <w:left w:val="nil"/>
              <w:bottom w:val="single" w:sz="4" w:space="0" w:color="auto"/>
              <w:right w:val="single" w:sz="4" w:space="0" w:color="auto"/>
            </w:tcBorders>
            <w:shd w:val="clear" w:color="auto" w:fill="C6EFCE"/>
            <w:noWrap/>
          </w:tcPr>
          <w:p w14:paraId="733C249D" w14:textId="1ED5B5FF" w:rsidR="003A3D51" w:rsidRDefault="0002775A">
            <w:pPr>
              <w:pStyle w:val="P68B1DB1-Normal41"/>
              <w:spacing w:after="0"/>
              <w:rPr>
                <w:rFonts w:ascii="Times New Roman" w:hAnsi="Times New Roman" w:cs="Times New Roman"/>
                <w:noProof/>
              </w:rPr>
            </w:pPr>
            <w:r>
              <w:rPr>
                <w:noProof/>
              </w:rPr>
              <w:t xml:space="preserve">Uppdaterat samarbetsavtal mellan byrån för bekämpning av penningtvätt och tillsynsmyndigheterna om informationsutbyte och samarbete, som ska omfatta följande: </w:t>
            </w:r>
            <w:r>
              <w:rPr>
                <w:noProof/>
              </w:rPr>
              <w:br/>
              <w:t xml:space="preserve">utbyte av uppgifter och information som är nödvändig för tillsynsförfarandena, </w:t>
            </w:r>
            <w:r>
              <w:rPr>
                <w:noProof/>
              </w:rPr>
              <w:br/>
              <w:t xml:space="preserve">II) Utbyte av information om oriktigheter som upptäcks hos rapporterande enheter. </w:t>
            </w:r>
            <w:r>
              <w:rPr>
                <w:noProof/>
              </w:rPr>
              <w:br/>
              <w:t xml:space="preserve">III) Utbyte av information om de senaste typologier som identifierats av penningtvättsmyndigheten och tillsynsmyndigheterna. </w:t>
            </w:r>
            <w:r>
              <w:rPr>
                <w:noProof/>
              </w:rPr>
              <w:br/>
              <w:t xml:space="preserve">ökningen av tillsynsverksamheten på grundval av de identifierade riskerna för penningtvätt och finansiering av terrorism. </w:t>
            </w:r>
            <w:r>
              <w:rPr>
                <w:noProof/>
              </w:rPr>
              <w:br/>
              <w:t>V) Utbyte av statistiska uppgifter för den nationella riskbedömningen av penningtvätt och finansiering av terrorism och bedömning av effektiviteten i systemets insatser för att förebygga och upptäcka penningtvätt och finansiering av terrorism.</w:t>
            </w:r>
          </w:p>
        </w:tc>
      </w:tr>
      <w:tr w:rsidR="003A3D51" w14:paraId="0E57A719" w14:textId="77777777">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1D9662EA" w14:textId="77777777" w:rsidR="003A3D51" w:rsidRDefault="0002775A">
            <w:pPr>
              <w:pStyle w:val="P68B1DB1-Normal41"/>
              <w:jc w:val="center"/>
              <w:rPr>
                <w:rFonts w:ascii="Times New Roman" w:hAnsi="Times New Roman" w:cs="Times New Roman"/>
                <w:noProof/>
              </w:rPr>
            </w:pPr>
            <w:r>
              <w:rPr>
                <w:noProof/>
              </w:rPr>
              <w:t>252</w:t>
            </w:r>
          </w:p>
        </w:tc>
        <w:tc>
          <w:tcPr>
            <w:tcW w:w="835" w:type="dxa"/>
            <w:tcBorders>
              <w:top w:val="nil"/>
              <w:left w:val="nil"/>
              <w:bottom w:val="single" w:sz="4" w:space="0" w:color="auto"/>
              <w:right w:val="single" w:sz="4" w:space="0" w:color="auto"/>
            </w:tcBorders>
            <w:shd w:val="clear" w:color="auto" w:fill="C6EFCE"/>
            <w:noWrap/>
          </w:tcPr>
          <w:p w14:paraId="2D5D6202" w14:textId="77777777" w:rsidR="003A3D51" w:rsidRDefault="0002775A">
            <w:pPr>
              <w:pStyle w:val="P68B1DB1-Normal41"/>
              <w:jc w:val="center"/>
              <w:rPr>
                <w:rFonts w:ascii="Times New Roman" w:hAnsi="Times New Roman" w:cs="Times New Roman"/>
                <w:noProof/>
              </w:rPr>
            </w:pPr>
            <w:r>
              <w:rPr>
                <w:noProof/>
              </w:rPr>
              <w:t>C2.8 R2</w:t>
            </w:r>
          </w:p>
        </w:tc>
        <w:tc>
          <w:tcPr>
            <w:tcW w:w="835" w:type="dxa"/>
            <w:tcBorders>
              <w:top w:val="nil"/>
              <w:left w:val="nil"/>
              <w:bottom w:val="single" w:sz="4" w:space="0" w:color="auto"/>
              <w:right w:val="single" w:sz="4" w:space="0" w:color="auto"/>
            </w:tcBorders>
            <w:shd w:val="clear" w:color="auto" w:fill="C6EFCE"/>
            <w:noWrap/>
          </w:tcPr>
          <w:p w14:paraId="7285A6A3" w14:textId="77777777" w:rsidR="003A3D51" w:rsidRDefault="0002775A">
            <w:pPr>
              <w:pStyle w:val="P68B1DB1-Normal41"/>
              <w:jc w:val="center"/>
              <w:rPr>
                <w:rFonts w:ascii="Times New Roman" w:hAnsi="Times New Roman" w:cs="Times New Roman"/>
                <w:noProof/>
              </w:rPr>
            </w:pPr>
            <w:r>
              <w:rPr>
                <w:noProof/>
              </w:rPr>
              <w:t>T</w:t>
            </w:r>
          </w:p>
        </w:tc>
        <w:tc>
          <w:tcPr>
            <w:tcW w:w="1668" w:type="dxa"/>
            <w:tcBorders>
              <w:top w:val="nil"/>
              <w:left w:val="nil"/>
              <w:bottom w:val="single" w:sz="4" w:space="0" w:color="auto"/>
              <w:right w:val="single" w:sz="4" w:space="0" w:color="auto"/>
            </w:tcBorders>
            <w:shd w:val="clear" w:color="auto" w:fill="C6EFCE"/>
            <w:noWrap/>
          </w:tcPr>
          <w:p w14:paraId="0C56B919" w14:textId="77777777" w:rsidR="003A3D51" w:rsidRDefault="0002775A">
            <w:pPr>
              <w:pStyle w:val="P68B1DB1-Normal41"/>
              <w:rPr>
                <w:rFonts w:ascii="Times New Roman" w:hAnsi="Times New Roman" w:cs="Times New Roman"/>
                <w:noProof/>
              </w:rPr>
            </w:pPr>
            <w:r>
              <w:rPr>
                <w:noProof/>
              </w:rPr>
              <w:t xml:space="preserve">Stärka tillsynen genom regelbundna möten i den interinstitutionella arbetsgruppen för tillsyn </w:t>
            </w:r>
          </w:p>
        </w:tc>
        <w:tc>
          <w:tcPr>
            <w:tcW w:w="3292" w:type="dxa"/>
            <w:tcBorders>
              <w:top w:val="nil"/>
              <w:left w:val="nil"/>
              <w:bottom w:val="single" w:sz="4" w:space="0" w:color="auto"/>
              <w:right w:val="single" w:sz="4" w:space="0" w:color="auto"/>
            </w:tcBorders>
            <w:shd w:val="clear" w:color="auto" w:fill="C6EFCE"/>
            <w:noWrap/>
          </w:tcPr>
          <w:p w14:paraId="7607AD8D" w14:textId="77777777" w:rsidR="003A3D51" w:rsidRDefault="0002775A">
            <w:pPr>
              <w:pStyle w:val="P68B1DB1-Normal41"/>
              <w:rPr>
                <w:rFonts w:ascii="Times New Roman" w:hAnsi="Times New Roman" w:cs="Times New Roman"/>
                <w:noProof/>
              </w:rPr>
            </w:pPr>
            <w:r>
              <w:rPr>
                <w:noProof/>
              </w:rPr>
              <w:t xml:space="preserve"> </w:t>
            </w:r>
          </w:p>
        </w:tc>
        <w:tc>
          <w:tcPr>
            <w:tcW w:w="992" w:type="dxa"/>
            <w:tcBorders>
              <w:top w:val="nil"/>
              <w:left w:val="nil"/>
              <w:bottom w:val="single" w:sz="4" w:space="0" w:color="auto"/>
              <w:right w:val="single" w:sz="4" w:space="0" w:color="auto"/>
            </w:tcBorders>
            <w:shd w:val="clear" w:color="auto" w:fill="C6EFCE"/>
            <w:noWrap/>
          </w:tcPr>
          <w:p w14:paraId="1F99E047" w14:textId="77777777" w:rsidR="003A3D51" w:rsidRDefault="0002775A">
            <w:pPr>
              <w:pStyle w:val="P68B1DB1-Normal41"/>
              <w:jc w:val="center"/>
              <w:rPr>
                <w:rFonts w:ascii="Times New Roman" w:hAnsi="Times New Roman" w:cs="Times New Roman"/>
                <w:noProof/>
              </w:rPr>
            </w:pPr>
            <w:r>
              <w:rPr>
                <w:noProof/>
              </w:rPr>
              <w:t>Antal</w:t>
            </w:r>
          </w:p>
        </w:tc>
        <w:tc>
          <w:tcPr>
            <w:tcW w:w="992" w:type="dxa"/>
            <w:tcBorders>
              <w:top w:val="nil"/>
              <w:left w:val="nil"/>
              <w:bottom w:val="single" w:sz="4" w:space="0" w:color="auto"/>
              <w:right w:val="single" w:sz="4" w:space="0" w:color="auto"/>
            </w:tcBorders>
            <w:shd w:val="clear" w:color="auto" w:fill="C6EFCE"/>
            <w:noWrap/>
          </w:tcPr>
          <w:p w14:paraId="6D3DC68D" w14:textId="77777777" w:rsidR="003A3D51" w:rsidRDefault="0002775A">
            <w:pPr>
              <w:pStyle w:val="P68B1DB1-Normal41"/>
              <w:jc w:val="center"/>
              <w:rPr>
                <w:rFonts w:ascii="Times New Roman" w:hAnsi="Times New Roman" w:cs="Times New Roman"/>
                <w:noProof/>
              </w:rPr>
            </w:pPr>
            <w:r>
              <w:rPr>
                <w:noProof/>
              </w:rPr>
              <w:t>0</w:t>
            </w:r>
          </w:p>
        </w:tc>
        <w:tc>
          <w:tcPr>
            <w:tcW w:w="709" w:type="dxa"/>
            <w:tcBorders>
              <w:top w:val="nil"/>
              <w:left w:val="nil"/>
              <w:bottom w:val="single" w:sz="4" w:space="0" w:color="auto"/>
              <w:right w:val="single" w:sz="4" w:space="0" w:color="auto"/>
            </w:tcBorders>
            <w:shd w:val="clear" w:color="auto" w:fill="C6EFCE"/>
            <w:noWrap/>
          </w:tcPr>
          <w:p w14:paraId="75F7095A" w14:textId="77777777" w:rsidR="003A3D51" w:rsidRDefault="0002775A">
            <w:pPr>
              <w:pStyle w:val="P68B1DB1-Normal41"/>
              <w:jc w:val="center"/>
              <w:rPr>
                <w:rFonts w:ascii="Times New Roman" w:hAnsi="Times New Roman" w:cs="Times New Roman"/>
                <w:noProof/>
              </w:rPr>
            </w:pPr>
            <w:r>
              <w:rPr>
                <w:noProof/>
              </w:rPr>
              <w:t>12</w:t>
            </w:r>
          </w:p>
        </w:tc>
        <w:tc>
          <w:tcPr>
            <w:tcW w:w="425" w:type="dxa"/>
            <w:tcBorders>
              <w:top w:val="nil"/>
              <w:left w:val="nil"/>
              <w:bottom w:val="single" w:sz="4" w:space="0" w:color="auto"/>
              <w:right w:val="single" w:sz="4" w:space="0" w:color="auto"/>
            </w:tcBorders>
            <w:shd w:val="clear" w:color="auto" w:fill="C6EFCE"/>
            <w:noWrap/>
          </w:tcPr>
          <w:p w14:paraId="212EC4E6"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1A446122" w14:textId="77777777" w:rsidR="003A3D51" w:rsidRDefault="0002775A">
            <w:pPr>
              <w:pStyle w:val="P68B1DB1-Normal41"/>
              <w:jc w:val="center"/>
              <w:rPr>
                <w:rFonts w:ascii="Times New Roman" w:hAnsi="Times New Roman" w:cs="Times New Roman"/>
                <w:noProof/>
              </w:rPr>
            </w:pPr>
            <w:r>
              <w:rPr>
                <w:noProof/>
              </w:rPr>
              <w:t>2024</w:t>
            </w:r>
          </w:p>
        </w:tc>
        <w:tc>
          <w:tcPr>
            <w:tcW w:w="3497" w:type="dxa"/>
            <w:tcBorders>
              <w:top w:val="nil"/>
              <w:left w:val="nil"/>
              <w:bottom w:val="single" w:sz="4" w:space="0" w:color="auto"/>
              <w:right w:val="single" w:sz="4" w:space="0" w:color="auto"/>
            </w:tcBorders>
            <w:shd w:val="clear" w:color="auto" w:fill="C6EFCE"/>
            <w:noWrap/>
          </w:tcPr>
          <w:p w14:paraId="4C4F03F5" w14:textId="77777777" w:rsidR="003A3D51" w:rsidRDefault="0002775A">
            <w:pPr>
              <w:pStyle w:val="P68B1DB1-Normal41"/>
              <w:rPr>
                <w:rFonts w:ascii="Times New Roman" w:hAnsi="Times New Roman" w:cs="Times New Roman"/>
                <w:noProof/>
              </w:rPr>
            </w:pPr>
            <w:r>
              <w:rPr>
                <w:noProof/>
              </w:rPr>
              <w:t>För att harmonisera tillsynspraxis, förbättra utbytet av erfarenheter och kunskaper mellan tillsynsmyndigheterna och utbyta information ska den interinstitutionella arbetsgruppen för tillsyn (MIRS) ha minst 12 möten mellan slutet av 2020 och slutet av 2024. Den interinstitutionella arbetsgruppen för tillsyn ska stärka samarbetet mellan alla tillsynsmyndigheter som ansvarar för att övervaka genomförandet av åtgärderna och åtgärderna i lagen om bekämpning av penningtvätt och finansiering av terrorism. Den interinstitutionella arbetsgruppen för tillsyn ska särskilt övervaka i) effektivt utbyte av statistiska uppgifter om övervakning, ii) utbyte av erfarenheter av övervakning (bästa praxis), iii) utbyte av information om oegentligheter som upptäcks vid tillämpningen av lagen, iv) förstärkning och samordning av övervakningsverksamhet och v) utbyte av information om övervakningsplaner.</w:t>
            </w:r>
          </w:p>
        </w:tc>
      </w:tr>
      <w:tr w:rsidR="003A3D51" w14:paraId="3BE27AEF" w14:textId="77777777">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53B21C6F" w14:textId="77777777" w:rsidR="003A3D51" w:rsidRDefault="0002775A">
            <w:pPr>
              <w:pStyle w:val="P68B1DB1-Normal41"/>
              <w:jc w:val="center"/>
              <w:rPr>
                <w:rFonts w:ascii="Times New Roman" w:hAnsi="Times New Roman" w:cs="Times New Roman"/>
                <w:noProof/>
              </w:rPr>
            </w:pPr>
            <w:r>
              <w:rPr>
                <w:noProof/>
              </w:rPr>
              <w:t>253</w:t>
            </w:r>
          </w:p>
        </w:tc>
        <w:tc>
          <w:tcPr>
            <w:tcW w:w="835" w:type="dxa"/>
            <w:tcBorders>
              <w:top w:val="nil"/>
              <w:left w:val="nil"/>
              <w:bottom w:val="single" w:sz="4" w:space="0" w:color="auto"/>
              <w:right w:val="single" w:sz="4" w:space="0" w:color="auto"/>
            </w:tcBorders>
            <w:shd w:val="clear" w:color="auto" w:fill="C6EFCE"/>
            <w:noWrap/>
          </w:tcPr>
          <w:p w14:paraId="72F9AA8F" w14:textId="77777777" w:rsidR="003A3D51" w:rsidRDefault="0002775A">
            <w:pPr>
              <w:pStyle w:val="P68B1DB1-Normal41"/>
              <w:jc w:val="center"/>
              <w:rPr>
                <w:rFonts w:ascii="Times New Roman" w:hAnsi="Times New Roman" w:cs="Times New Roman"/>
                <w:noProof/>
              </w:rPr>
            </w:pPr>
            <w:r>
              <w:rPr>
                <w:noProof/>
              </w:rPr>
              <w:t>C2.8 R3</w:t>
            </w:r>
          </w:p>
        </w:tc>
        <w:tc>
          <w:tcPr>
            <w:tcW w:w="835" w:type="dxa"/>
            <w:tcBorders>
              <w:top w:val="nil"/>
              <w:left w:val="nil"/>
              <w:bottom w:val="single" w:sz="4" w:space="0" w:color="auto"/>
              <w:right w:val="single" w:sz="4" w:space="0" w:color="auto"/>
            </w:tcBorders>
            <w:shd w:val="clear" w:color="auto" w:fill="C6EFCE"/>
            <w:noWrap/>
          </w:tcPr>
          <w:p w14:paraId="6F1120CA" w14:textId="77777777" w:rsidR="003A3D51" w:rsidRDefault="0002775A">
            <w:pPr>
              <w:pStyle w:val="P68B1DB1-Normal41"/>
              <w:jc w:val="center"/>
              <w:rPr>
                <w:rFonts w:ascii="Times New Roman" w:hAnsi="Times New Roman" w:cs="Times New Roman"/>
                <w:noProof/>
              </w:rPr>
            </w:pPr>
            <w:r>
              <w:rPr>
                <w:noProof/>
              </w:rPr>
              <w:t>M</w:t>
            </w:r>
          </w:p>
        </w:tc>
        <w:tc>
          <w:tcPr>
            <w:tcW w:w="1668" w:type="dxa"/>
            <w:tcBorders>
              <w:top w:val="nil"/>
              <w:left w:val="nil"/>
              <w:bottom w:val="single" w:sz="4" w:space="0" w:color="auto"/>
              <w:right w:val="single" w:sz="4" w:space="0" w:color="auto"/>
            </w:tcBorders>
            <w:shd w:val="clear" w:color="auto" w:fill="C6EFCE"/>
            <w:noWrap/>
          </w:tcPr>
          <w:p w14:paraId="7F23D47F" w14:textId="77777777" w:rsidR="003A3D51" w:rsidRDefault="0002775A">
            <w:pPr>
              <w:pStyle w:val="P68B1DB1-Normal41"/>
              <w:rPr>
                <w:rFonts w:ascii="Times New Roman" w:hAnsi="Times New Roman" w:cs="Times New Roman"/>
                <w:noProof/>
              </w:rPr>
            </w:pPr>
            <w:r>
              <w:rPr>
                <w:noProof/>
              </w:rPr>
              <w:t>Slutföra genomförandet av den nya handlingsplanen för att minska identifierade risker för penningtvätt och finansiering av terrorism på grundval av en uppdaterad nationell riskbedömning.</w:t>
            </w:r>
          </w:p>
        </w:tc>
        <w:tc>
          <w:tcPr>
            <w:tcW w:w="3292" w:type="dxa"/>
            <w:tcBorders>
              <w:top w:val="nil"/>
              <w:left w:val="nil"/>
              <w:bottom w:val="single" w:sz="4" w:space="0" w:color="auto"/>
              <w:right w:val="single" w:sz="4" w:space="0" w:color="auto"/>
            </w:tcBorders>
            <w:shd w:val="clear" w:color="auto" w:fill="C6EFCE"/>
            <w:noWrap/>
          </w:tcPr>
          <w:p w14:paraId="1C9C1ABA" w14:textId="77777777" w:rsidR="003A3D51" w:rsidRDefault="0002775A">
            <w:pPr>
              <w:pStyle w:val="P68B1DB1-Normal41"/>
              <w:rPr>
                <w:rFonts w:ascii="Times New Roman" w:hAnsi="Times New Roman" w:cs="Times New Roman"/>
                <w:noProof/>
              </w:rPr>
            </w:pPr>
            <w:r>
              <w:rPr>
                <w:noProof/>
              </w:rPr>
              <w:t xml:space="preserve">Slutföra genomförandet av den nya handlingsplanen för att minska identifierade risker för penningtvätt och finansiering av terrorism genom att ytterligare stärka samarbetet och informationsutbytet </w:t>
            </w:r>
          </w:p>
        </w:tc>
        <w:tc>
          <w:tcPr>
            <w:tcW w:w="992" w:type="dxa"/>
            <w:tcBorders>
              <w:top w:val="nil"/>
              <w:left w:val="nil"/>
              <w:bottom w:val="single" w:sz="4" w:space="0" w:color="auto"/>
              <w:right w:val="single" w:sz="4" w:space="0" w:color="auto"/>
            </w:tcBorders>
            <w:shd w:val="clear" w:color="auto" w:fill="C6EFCE"/>
            <w:noWrap/>
          </w:tcPr>
          <w:p w14:paraId="2BBA1E86" w14:textId="77777777" w:rsidR="003A3D51" w:rsidRDefault="0002775A">
            <w:pPr>
              <w:pStyle w:val="P68B1DB1-Normal41"/>
              <w:jc w:val="center"/>
              <w:rPr>
                <w:rFonts w:ascii="Times New Roman" w:hAnsi="Times New Roman" w:cs="Times New Roman"/>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1E31C310" w14:textId="77777777" w:rsidR="003A3D51" w:rsidRDefault="0002775A">
            <w:pPr>
              <w:pStyle w:val="P68B1DB1-Normal41"/>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7615021E" w14:textId="77777777" w:rsidR="003A3D51" w:rsidRDefault="0002775A">
            <w:pPr>
              <w:pStyle w:val="P68B1DB1-Normal41"/>
              <w:jc w:val="center"/>
              <w:rPr>
                <w:rFonts w:ascii="Times New Roman" w:hAnsi="Times New Roman" w:cs="Times New Roman"/>
                <w:noProof/>
              </w:rPr>
            </w:pPr>
            <w:r>
              <w:rPr>
                <w:noProof/>
              </w:rPr>
              <w:t> </w:t>
            </w:r>
          </w:p>
        </w:tc>
        <w:tc>
          <w:tcPr>
            <w:tcW w:w="425" w:type="dxa"/>
            <w:tcBorders>
              <w:top w:val="nil"/>
              <w:left w:val="nil"/>
              <w:bottom w:val="single" w:sz="4" w:space="0" w:color="auto"/>
              <w:right w:val="single" w:sz="4" w:space="0" w:color="auto"/>
            </w:tcBorders>
            <w:shd w:val="clear" w:color="auto" w:fill="C6EFCE"/>
            <w:noWrap/>
          </w:tcPr>
          <w:p w14:paraId="1EFF39C7"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40584AF4" w14:textId="77777777" w:rsidR="003A3D51" w:rsidRDefault="0002775A">
            <w:pPr>
              <w:pStyle w:val="P68B1DB1-Normal41"/>
              <w:jc w:val="center"/>
              <w:rPr>
                <w:rFonts w:ascii="Times New Roman" w:hAnsi="Times New Roman" w:cs="Times New Roman"/>
                <w:noProof/>
              </w:rPr>
            </w:pPr>
            <w:r>
              <w:rPr>
                <w:noProof/>
              </w:rPr>
              <w:t>2021</w:t>
            </w:r>
          </w:p>
        </w:tc>
        <w:tc>
          <w:tcPr>
            <w:tcW w:w="3497" w:type="dxa"/>
            <w:tcBorders>
              <w:top w:val="nil"/>
              <w:left w:val="nil"/>
              <w:bottom w:val="single" w:sz="4" w:space="0" w:color="auto"/>
              <w:right w:val="single" w:sz="4" w:space="0" w:color="auto"/>
            </w:tcBorders>
            <w:shd w:val="clear" w:color="auto" w:fill="C6EFCE"/>
            <w:noWrap/>
          </w:tcPr>
          <w:p w14:paraId="16404D4F" w14:textId="77777777" w:rsidR="003A3D51" w:rsidRDefault="0002775A">
            <w:pPr>
              <w:pStyle w:val="P68B1DB1-Normal41"/>
              <w:rPr>
                <w:rFonts w:ascii="Times New Roman" w:hAnsi="Times New Roman" w:cs="Times New Roman"/>
                <w:noProof/>
              </w:rPr>
            </w:pPr>
            <w:r>
              <w:rPr>
                <w:noProof/>
              </w:rPr>
              <w:t>På grundval av den nationella riskbedömningen för penningtvätt och finansiering av terrorism i Republiken Kroatien ska en handlingsplan för att minska de identifierade riskerna för penningtvätt och finansiering av terrorism genomföras fullt ut senast den 31 december 2021. Handlingsplanen ska innehålla åtgärder för att minska de identifierade riskerna, offentligrättsliga organ och andra organ som utsetts av innehavarna för genomförandet av de enskilda åtgärderna samt tidsfristen för genomförandet av åtgärderna. Planen ska ta hänsyn till de risker som identifierats av tillsynsmyndigheter (Kroatiens nationalbank, finansinspektionen, det kroatiska organet för övervakning av finansiella tjänster), byrån för bekämpning av penningtvätt, Republiken Kroatiens åklagarämbete och juridiska ansvariga enheter (banker och andra). Den ska ytterligare stärka samarbetet och informationsutbytet mellan alla ansvariga institutioner och myndigheter.</w:t>
            </w:r>
          </w:p>
        </w:tc>
      </w:tr>
      <w:tr w:rsidR="003A3D51" w14:paraId="7F0F120F" w14:textId="77777777">
        <w:trPr>
          <w:jc w:val="center"/>
        </w:trPr>
        <w:tc>
          <w:tcPr>
            <w:tcW w:w="696" w:type="dxa"/>
            <w:tcBorders>
              <w:top w:val="nil"/>
              <w:left w:val="single" w:sz="4" w:space="0" w:color="auto"/>
              <w:bottom w:val="single" w:sz="4" w:space="0" w:color="auto"/>
              <w:right w:val="single" w:sz="4" w:space="0" w:color="auto"/>
            </w:tcBorders>
            <w:shd w:val="clear" w:color="auto" w:fill="C6EFCE"/>
            <w:noWrap/>
          </w:tcPr>
          <w:p w14:paraId="7A92F53E" w14:textId="77777777" w:rsidR="003A3D51" w:rsidRDefault="0002775A">
            <w:pPr>
              <w:pStyle w:val="P68B1DB1-Normal41"/>
              <w:jc w:val="center"/>
              <w:rPr>
                <w:rFonts w:ascii="Times New Roman" w:hAnsi="Times New Roman" w:cs="Times New Roman"/>
                <w:noProof/>
              </w:rPr>
            </w:pPr>
            <w:r>
              <w:rPr>
                <w:noProof/>
              </w:rPr>
              <w:t>254</w:t>
            </w:r>
          </w:p>
        </w:tc>
        <w:tc>
          <w:tcPr>
            <w:tcW w:w="835" w:type="dxa"/>
            <w:tcBorders>
              <w:top w:val="nil"/>
              <w:left w:val="nil"/>
              <w:bottom w:val="single" w:sz="4" w:space="0" w:color="auto"/>
              <w:right w:val="single" w:sz="4" w:space="0" w:color="auto"/>
            </w:tcBorders>
            <w:shd w:val="clear" w:color="auto" w:fill="C6EFCE"/>
            <w:noWrap/>
          </w:tcPr>
          <w:p w14:paraId="72D7443B" w14:textId="77777777" w:rsidR="003A3D51" w:rsidRDefault="0002775A">
            <w:pPr>
              <w:pStyle w:val="P68B1DB1-Normal41"/>
              <w:jc w:val="center"/>
              <w:rPr>
                <w:rFonts w:ascii="Times New Roman" w:hAnsi="Times New Roman" w:cs="Times New Roman"/>
                <w:noProof/>
              </w:rPr>
            </w:pPr>
            <w:r>
              <w:rPr>
                <w:noProof/>
              </w:rPr>
              <w:t>C2.8 R4</w:t>
            </w:r>
          </w:p>
        </w:tc>
        <w:tc>
          <w:tcPr>
            <w:tcW w:w="835" w:type="dxa"/>
            <w:tcBorders>
              <w:top w:val="nil"/>
              <w:left w:val="nil"/>
              <w:bottom w:val="single" w:sz="4" w:space="0" w:color="auto"/>
              <w:right w:val="single" w:sz="4" w:space="0" w:color="auto"/>
            </w:tcBorders>
            <w:shd w:val="clear" w:color="auto" w:fill="C6EFCE"/>
            <w:noWrap/>
          </w:tcPr>
          <w:p w14:paraId="47617D40" w14:textId="77777777" w:rsidR="003A3D51" w:rsidRDefault="0002775A">
            <w:pPr>
              <w:pStyle w:val="P68B1DB1-Normal41"/>
              <w:jc w:val="center"/>
              <w:rPr>
                <w:rFonts w:ascii="Times New Roman" w:hAnsi="Times New Roman" w:cs="Times New Roman"/>
                <w:noProof/>
              </w:rPr>
            </w:pPr>
            <w:r>
              <w:rPr>
                <w:noProof/>
              </w:rPr>
              <w:t>M</w:t>
            </w:r>
          </w:p>
        </w:tc>
        <w:tc>
          <w:tcPr>
            <w:tcW w:w="1668" w:type="dxa"/>
            <w:tcBorders>
              <w:top w:val="nil"/>
              <w:left w:val="nil"/>
              <w:bottom w:val="single" w:sz="4" w:space="0" w:color="auto"/>
              <w:right w:val="single" w:sz="4" w:space="0" w:color="auto"/>
            </w:tcBorders>
            <w:shd w:val="clear" w:color="auto" w:fill="C6EFCE"/>
            <w:noWrap/>
          </w:tcPr>
          <w:p w14:paraId="020ED6CC" w14:textId="77777777" w:rsidR="003A3D51" w:rsidRDefault="0002775A">
            <w:pPr>
              <w:pStyle w:val="P68B1DB1-Normal41"/>
              <w:rPr>
                <w:rFonts w:ascii="Times New Roman" w:hAnsi="Times New Roman" w:cs="Times New Roman"/>
                <w:noProof/>
              </w:rPr>
            </w:pPr>
            <w:r>
              <w:rPr>
                <w:noProof/>
              </w:rPr>
              <w:t>Stärka tillsynen av den finansiella sektorn på grundval av en riskbedömning på området för bekämpning av penningtvätt och finansiering av terrorism</w:t>
            </w:r>
          </w:p>
        </w:tc>
        <w:tc>
          <w:tcPr>
            <w:tcW w:w="3292" w:type="dxa"/>
            <w:tcBorders>
              <w:top w:val="nil"/>
              <w:left w:val="nil"/>
              <w:bottom w:val="single" w:sz="4" w:space="0" w:color="auto"/>
              <w:right w:val="single" w:sz="4" w:space="0" w:color="auto"/>
            </w:tcBorders>
            <w:shd w:val="clear" w:color="auto" w:fill="C6EFCE"/>
            <w:noWrap/>
          </w:tcPr>
          <w:p w14:paraId="0E52FBB9" w14:textId="77777777" w:rsidR="003A3D51" w:rsidRDefault="0002775A">
            <w:pPr>
              <w:pStyle w:val="P68B1DB1-Normal41"/>
              <w:rPr>
                <w:rFonts w:ascii="Times New Roman" w:hAnsi="Times New Roman" w:cs="Times New Roman"/>
                <w:noProof/>
              </w:rPr>
            </w:pPr>
            <w:r>
              <w:rPr>
                <w:noProof/>
              </w:rPr>
              <w:t>Fullständigt genomförande av förbättrade förfaranden och metoder för riskbaserad tillsyn, som utvecklats inom ramen för instrumentet för tekniskt stöd, ”Riskbaserad tillsyn mot penningtvätt och finansiering av terrorism inom den finansiella sektorn i Kroatien”, för att effektivt minska identifierade risker för penningtvätt och finansiering av terrorism.</w:t>
            </w:r>
          </w:p>
        </w:tc>
        <w:tc>
          <w:tcPr>
            <w:tcW w:w="992" w:type="dxa"/>
            <w:tcBorders>
              <w:top w:val="nil"/>
              <w:left w:val="nil"/>
              <w:bottom w:val="single" w:sz="4" w:space="0" w:color="auto"/>
              <w:right w:val="single" w:sz="4" w:space="0" w:color="auto"/>
            </w:tcBorders>
            <w:shd w:val="clear" w:color="auto" w:fill="C6EFCE"/>
            <w:noWrap/>
          </w:tcPr>
          <w:p w14:paraId="208F90BF" w14:textId="77777777" w:rsidR="003A3D51" w:rsidRDefault="0002775A">
            <w:pPr>
              <w:pStyle w:val="P68B1DB1-Normal41"/>
              <w:jc w:val="center"/>
              <w:rPr>
                <w:rFonts w:ascii="Times New Roman" w:hAnsi="Times New Roman" w:cs="Times New Roman"/>
                <w:noProof/>
              </w:rPr>
            </w:pPr>
            <w:r>
              <w:rPr>
                <w:noProof/>
              </w:rPr>
              <w:t> </w:t>
            </w:r>
          </w:p>
        </w:tc>
        <w:tc>
          <w:tcPr>
            <w:tcW w:w="992" w:type="dxa"/>
            <w:tcBorders>
              <w:top w:val="nil"/>
              <w:left w:val="nil"/>
              <w:bottom w:val="single" w:sz="4" w:space="0" w:color="auto"/>
              <w:right w:val="single" w:sz="4" w:space="0" w:color="auto"/>
            </w:tcBorders>
            <w:shd w:val="clear" w:color="auto" w:fill="C6EFCE"/>
            <w:noWrap/>
          </w:tcPr>
          <w:p w14:paraId="3EB0C422" w14:textId="77777777" w:rsidR="003A3D51" w:rsidRDefault="0002775A">
            <w:pPr>
              <w:pStyle w:val="P68B1DB1-Normal41"/>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1E61108A" w14:textId="77777777" w:rsidR="003A3D51" w:rsidRDefault="0002775A">
            <w:pPr>
              <w:pStyle w:val="P68B1DB1-Normal41"/>
              <w:jc w:val="center"/>
              <w:rPr>
                <w:rFonts w:ascii="Times New Roman" w:hAnsi="Times New Roman" w:cs="Times New Roman"/>
                <w:noProof/>
              </w:rPr>
            </w:pPr>
            <w:r>
              <w:rPr>
                <w:noProof/>
              </w:rPr>
              <w:t> </w:t>
            </w:r>
          </w:p>
        </w:tc>
        <w:tc>
          <w:tcPr>
            <w:tcW w:w="425" w:type="dxa"/>
            <w:tcBorders>
              <w:top w:val="nil"/>
              <w:left w:val="nil"/>
              <w:bottom w:val="single" w:sz="4" w:space="0" w:color="auto"/>
              <w:right w:val="single" w:sz="4" w:space="0" w:color="auto"/>
            </w:tcBorders>
            <w:shd w:val="clear" w:color="auto" w:fill="C6EFCE"/>
            <w:noWrap/>
          </w:tcPr>
          <w:p w14:paraId="0CC43CDA"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nil"/>
              <w:left w:val="nil"/>
              <w:bottom w:val="single" w:sz="4" w:space="0" w:color="auto"/>
              <w:right w:val="single" w:sz="4" w:space="0" w:color="auto"/>
            </w:tcBorders>
            <w:shd w:val="clear" w:color="auto" w:fill="C6EFCE"/>
            <w:noWrap/>
          </w:tcPr>
          <w:p w14:paraId="5F5F2BF1" w14:textId="77777777" w:rsidR="003A3D51" w:rsidRDefault="0002775A">
            <w:pPr>
              <w:pStyle w:val="P68B1DB1-Normal41"/>
              <w:jc w:val="center"/>
              <w:rPr>
                <w:rFonts w:ascii="Times New Roman" w:hAnsi="Times New Roman" w:cs="Times New Roman"/>
                <w:noProof/>
              </w:rPr>
            </w:pPr>
            <w:r>
              <w:rPr>
                <w:noProof/>
              </w:rPr>
              <w:t>2023</w:t>
            </w:r>
          </w:p>
        </w:tc>
        <w:tc>
          <w:tcPr>
            <w:tcW w:w="3497" w:type="dxa"/>
            <w:tcBorders>
              <w:top w:val="nil"/>
              <w:left w:val="nil"/>
              <w:bottom w:val="single" w:sz="4" w:space="0" w:color="auto"/>
              <w:right w:val="single" w:sz="4" w:space="0" w:color="auto"/>
            </w:tcBorders>
            <w:shd w:val="clear" w:color="auto" w:fill="C6EFCE"/>
            <w:noWrap/>
          </w:tcPr>
          <w:p w14:paraId="6125B7F5" w14:textId="77777777" w:rsidR="003A3D51" w:rsidRDefault="0002775A">
            <w:pPr>
              <w:pStyle w:val="P68B1DB1-Normal41"/>
              <w:rPr>
                <w:rFonts w:ascii="Times New Roman" w:hAnsi="Times New Roman" w:cs="Times New Roman"/>
                <w:noProof/>
              </w:rPr>
            </w:pPr>
            <w:r>
              <w:rPr>
                <w:noProof/>
              </w:rPr>
              <w:t>Myndigheterna ska vidta åtgärder, vid behov genom att anta lagstiftning, för att stärka tillsynen över den finansiella sektorn, på grundval av en riskbedömning utförd av Kroatiens centralbank och den kroatiska tillsynsmyndigheten för finansiella tjänster och med hjälp av en riskbaserad metod som utvecklats i linje med resultaten av det tekniska bistånd som tillhandahålls inom ramen för instrumentet för tekniskt stöd. Åtgärderna ska stärka den institutionella och administrativa kapaciteten och bidra till att effektivisera hela systemet för bekämpning av penningtvätt och finansiering av terrorism i Kroatien och i slutändan förbättra den övergripande ramen för bekämpning av penningtvätt i Kroatien.</w:t>
            </w:r>
          </w:p>
        </w:tc>
      </w:tr>
      <w:tr w:rsidR="003A3D51" w14:paraId="60D19F06" w14:textId="77777777">
        <w:trPr>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tcPr>
          <w:p w14:paraId="0034C469" w14:textId="77777777" w:rsidR="003A3D51" w:rsidRDefault="0002775A">
            <w:pPr>
              <w:pStyle w:val="P68B1DB1-Normal41"/>
              <w:jc w:val="center"/>
              <w:rPr>
                <w:rFonts w:ascii="Times New Roman" w:hAnsi="Times New Roman" w:cs="Times New Roman"/>
                <w:noProof/>
              </w:rPr>
            </w:pPr>
            <w:r>
              <w:rPr>
                <w:noProof/>
              </w:rPr>
              <w:t>255</w:t>
            </w:r>
          </w:p>
        </w:tc>
        <w:tc>
          <w:tcPr>
            <w:tcW w:w="835" w:type="dxa"/>
            <w:tcBorders>
              <w:top w:val="single" w:sz="4" w:space="0" w:color="auto"/>
              <w:left w:val="nil"/>
              <w:bottom w:val="single" w:sz="4" w:space="0" w:color="auto"/>
              <w:right w:val="single" w:sz="4" w:space="0" w:color="auto"/>
            </w:tcBorders>
            <w:shd w:val="clear" w:color="auto" w:fill="C6EFCE"/>
            <w:noWrap/>
          </w:tcPr>
          <w:p w14:paraId="035FA679" w14:textId="77777777" w:rsidR="003A3D51" w:rsidRDefault="0002775A">
            <w:pPr>
              <w:pStyle w:val="P68B1DB1-Normal41"/>
              <w:jc w:val="center"/>
              <w:rPr>
                <w:rFonts w:ascii="Times New Roman" w:hAnsi="Times New Roman" w:cs="Times New Roman"/>
                <w:noProof/>
              </w:rPr>
            </w:pPr>
            <w:r>
              <w:rPr>
                <w:noProof/>
              </w:rPr>
              <w:t>C2.8 R4</w:t>
            </w:r>
          </w:p>
        </w:tc>
        <w:tc>
          <w:tcPr>
            <w:tcW w:w="835" w:type="dxa"/>
            <w:tcBorders>
              <w:top w:val="single" w:sz="4" w:space="0" w:color="auto"/>
              <w:left w:val="nil"/>
              <w:bottom w:val="single" w:sz="4" w:space="0" w:color="auto"/>
              <w:right w:val="single" w:sz="4" w:space="0" w:color="auto"/>
            </w:tcBorders>
            <w:shd w:val="clear" w:color="auto" w:fill="C6EFCE"/>
            <w:noWrap/>
          </w:tcPr>
          <w:p w14:paraId="07821786" w14:textId="77777777" w:rsidR="003A3D51" w:rsidRDefault="0002775A">
            <w:pPr>
              <w:pStyle w:val="P68B1DB1-Normal41"/>
              <w:jc w:val="center"/>
              <w:rPr>
                <w:rFonts w:ascii="Times New Roman" w:hAnsi="Times New Roman" w:cs="Times New Roman"/>
                <w:noProof/>
              </w:rPr>
            </w:pPr>
            <w:r>
              <w:rPr>
                <w:noProof/>
              </w:rPr>
              <w:t>T</w:t>
            </w:r>
          </w:p>
        </w:tc>
        <w:tc>
          <w:tcPr>
            <w:tcW w:w="1668" w:type="dxa"/>
            <w:tcBorders>
              <w:top w:val="single" w:sz="4" w:space="0" w:color="auto"/>
              <w:left w:val="nil"/>
              <w:bottom w:val="single" w:sz="4" w:space="0" w:color="auto"/>
              <w:right w:val="single" w:sz="4" w:space="0" w:color="auto"/>
            </w:tcBorders>
            <w:shd w:val="clear" w:color="auto" w:fill="C6EFCE"/>
            <w:noWrap/>
          </w:tcPr>
          <w:p w14:paraId="24CD2DEF" w14:textId="77777777" w:rsidR="003A3D51" w:rsidRDefault="0002775A">
            <w:pPr>
              <w:pStyle w:val="P68B1DB1-Normal41"/>
              <w:rPr>
                <w:rFonts w:ascii="Times New Roman" w:hAnsi="Times New Roman" w:cs="Times New Roman"/>
                <w:noProof/>
              </w:rPr>
            </w:pPr>
            <w:r>
              <w:rPr>
                <w:noProof/>
              </w:rPr>
              <w:t>Ökad tillsyn på plats baserad på identifierade risker för penningtvätt och finansiering av terrorism.</w:t>
            </w:r>
          </w:p>
        </w:tc>
        <w:tc>
          <w:tcPr>
            <w:tcW w:w="3292" w:type="dxa"/>
            <w:tcBorders>
              <w:top w:val="single" w:sz="4" w:space="0" w:color="auto"/>
              <w:left w:val="nil"/>
              <w:bottom w:val="single" w:sz="4" w:space="0" w:color="auto"/>
              <w:right w:val="single" w:sz="4" w:space="0" w:color="auto"/>
            </w:tcBorders>
            <w:shd w:val="clear" w:color="auto" w:fill="C6EFCE"/>
            <w:noWrap/>
          </w:tcPr>
          <w:p w14:paraId="6E67EA99" w14:textId="77777777" w:rsidR="003A3D51" w:rsidRDefault="0002775A">
            <w:pPr>
              <w:pStyle w:val="P68B1DB1-Normal41"/>
              <w:rPr>
                <w:rFonts w:ascii="Times New Roman" w:hAnsi="Times New Roman" w:cs="Times New Roman"/>
                <w:noProof/>
              </w:rPr>
            </w:pPr>
            <w:r>
              <w:rPr>
                <w:noProof/>
              </w:rPr>
              <w:t xml:space="preserve"> </w:t>
            </w:r>
          </w:p>
        </w:tc>
        <w:tc>
          <w:tcPr>
            <w:tcW w:w="992" w:type="dxa"/>
            <w:tcBorders>
              <w:top w:val="single" w:sz="4" w:space="0" w:color="auto"/>
              <w:left w:val="nil"/>
              <w:bottom w:val="single" w:sz="4" w:space="0" w:color="auto"/>
              <w:right w:val="single" w:sz="4" w:space="0" w:color="auto"/>
            </w:tcBorders>
            <w:shd w:val="clear" w:color="auto" w:fill="C6EFCE"/>
            <w:noWrap/>
          </w:tcPr>
          <w:p w14:paraId="239FDDB1" w14:textId="77777777" w:rsidR="003A3D51" w:rsidRDefault="0002775A">
            <w:pPr>
              <w:pStyle w:val="P68B1DB1-Normal41"/>
              <w:jc w:val="center"/>
              <w:rPr>
                <w:rFonts w:ascii="Times New Roman" w:hAnsi="Times New Roman" w:cs="Times New Roman"/>
                <w:noProof/>
              </w:rPr>
            </w:pPr>
            <w:r>
              <w:rPr>
                <w:noProof/>
              </w:rPr>
              <w:t>% (i procent)</w:t>
            </w:r>
          </w:p>
        </w:tc>
        <w:tc>
          <w:tcPr>
            <w:tcW w:w="992" w:type="dxa"/>
            <w:tcBorders>
              <w:top w:val="single" w:sz="4" w:space="0" w:color="auto"/>
              <w:left w:val="nil"/>
              <w:bottom w:val="single" w:sz="4" w:space="0" w:color="auto"/>
              <w:right w:val="single" w:sz="4" w:space="0" w:color="auto"/>
            </w:tcBorders>
            <w:shd w:val="clear" w:color="auto" w:fill="C6EFCE"/>
            <w:noWrap/>
          </w:tcPr>
          <w:p w14:paraId="470892F6" w14:textId="77777777" w:rsidR="003A3D51" w:rsidRDefault="0002775A">
            <w:pPr>
              <w:pStyle w:val="P68B1DB1-Normal41"/>
              <w:jc w:val="center"/>
              <w:rPr>
                <w:rFonts w:ascii="Times New Roman" w:hAnsi="Times New Roman" w:cs="Times New Roman"/>
                <w:noProof/>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2EFAC208" w14:textId="77777777" w:rsidR="003A3D51" w:rsidRDefault="0002775A">
            <w:pPr>
              <w:pStyle w:val="P68B1DB1-Normal41"/>
              <w:jc w:val="center"/>
              <w:rPr>
                <w:rFonts w:ascii="Times New Roman" w:hAnsi="Times New Roman" w:cs="Times New Roman"/>
                <w:noProof/>
              </w:rPr>
            </w:pPr>
            <w:r>
              <w:rPr>
                <w:noProof/>
              </w:rPr>
              <w:t>25</w:t>
            </w:r>
          </w:p>
        </w:tc>
        <w:tc>
          <w:tcPr>
            <w:tcW w:w="425" w:type="dxa"/>
            <w:tcBorders>
              <w:top w:val="single" w:sz="4" w:space="0" w:color="auto"/>
              <w:left w:val="nil"/>
              <w:bottom w:val="single" w:sz="4" w:space="0" w:color="auto"/>
              <w:right w:val="single" w:sz="4" w:space="0" w:color="auto"/>
            </w:tcBorders>
            <w:shd w:val="clear" w:color="auto" w:fill="C6EFCE"/>
            <w:noWrap/>
          </w:tcPr>
          <w:p w14:paraId="64F27E80" w14:textId="77777777" w:rsidR="003A3D51" w:rsidRDefault="0002775A">
            <w:pPr>
              <w:pStyle w:val="P68B1DB1-Normal41"/>
              <w:jc w:val="center"/>
              <w:rPr>
                <w:rFonts w:ascii="Times New Roman" w:hAnsi="Times New Roman" w:cs="Times New Roman"/>
                <w:noProof/>
              </w:rPr>
            </w:pPr>
            <w:r>
              <w:rPr>
                <w:noProof/>
              </w:rPr>
              <w:t>KVARTAL 4</w:t>
            </w:r>
          </w:p>
        </w:tc>
        <w:tc>
          <w:tcPr>
            <w:tcW w:w="709" w:type="dxa"/>
            <w:tcBorders>
              <w:top w:val="single" w:sz="4" w:space="0" w:color="auto"/>
              <w:left w:val="nil"/>
              <w:bottom w:val="single" w:sz="4" w:space="0" w:color="auto"/>
              <w:right w:val="single" w:sz="4" w:space="0" w:color="auto"/>
            </w:tcBorders>
            <w:shd w:val="clear" w:color="auto" w:fill="C6EFCE"/>
            <w:noWrap/>
          </w:tcPr>
          <w:p w14:paraId="45EBED49" w14:textId="77777777" w:rsidR="003A3D51" w:rsidRDefault="0002775A">
            <w:pPr>
              <w:pStyle w:val="P68B1DB1-Normal41"/>
              <w:jc w:val="center"/>
              <w:rPr>
                <w:rFonts w:ascii="Times New Roman" w:hAnsi="Times New Roman" w:cs="Times New Roman"/>
                <w:noProof/>
              </w:rPr>
            </w:pPr>
            <w:r>
              <w:rPr>
                <w:noProof/>
              </w:rPr>
              <w:t>2025</w:t>
            </w:r>
          </w:p>
        </w:tc>
        <w:tc>
          <w:tcPr>
            <w:tcW w:w="3497" w:type="dxa"/>
            <w:tcBorders>
              <w:top w:val="single" w:sz="4" w:space="0" w:color="auto"/>
              <w:left w:val="nil"/>
              <w:bottom w:val="single" w:sz="4" w:space="0" w:color="auto"/>
              <w:right w:val="single" w:sz="4" w:space="0" w:color="auto"/>
            </w:tcBorders>
            <w:shd w:val="clear" w:color="auto" w:fill="C6EFCE"/>
            <w:noWrap/>
          </w:tcPr>
          <w:p w14:paraId="06FADBDF" w14:textId="77777777" w:rsidR="003A3D51" w:rsidRDefault="0002775A">
            <w:pPr>
              <w:pStyle w:val="P68B1DB1-Normal41"/>
              <w:rPr>
                <w:rFonts w:ascii="Times New Roman" w:hAnsi="Times New Roman" w:cs="Times New Roman"/>
                <w:noProof/>
              </w:rPr>
            </w:pPr>
            <w:r>
              <w:rPr>
                <w:noProof/>
              </w:rPr>
              <w:t xml:space="preserve">Som en del av en starkare riskbaserad strategi för förebyggande och tillsyn av bekämpning av penningtvätt och finansiering av terrorism ska tillsynsmyndigheterna öka sin tillsynsverksamhet på plats med 25 % på grundval av de identifierade riskerna för penningtvätt och finansiering av terrorism, jämfört med 2019. </w:t>
            </w:r>
          </w:p>
        </w:tc>
      </w:tr>
    </w:tbl>
    <w:p w14:paraId="7390046E" w14:textId="77777777" w:rsidR="003A3D51" w:rsidRDefault="003A3D51">
      <w:pPr>
        <w:rPr>
          <w:noProof/>
        </w:rPr>
        <w:sectPr w:rsidR="003A3D51" w:rsidSect="00EF0713">
          <w:headerReference w:type="even" r:id="rId252"/>
          <w:headerReference w:type="default" r:id="rId253"/>
          <w:footerReference w:type="even" r:id="rId254"/>
          <w:footerReference w:type="default" r:id="rId255"/>
          <w:headerReference w:type="first" r:id="rId256"/>
          <w:footerReference w:type="first" r:id="rId257"/>
          <w:pgSz w:w="15840" w:h="12240" w:orient="landscape"/>
          <w:pgMar w:top="1440" w:right="1098" w:bottom="1440" w:left="1418" w:header="708" w:footer="708" w:gutter="0"/>
          <w:cols w:space="708"/>
          <w:docGrid w:linePitch="360"/>
        </w:sectPr>
      </w:pPr>
    </w:p>
    <w:p w14:paraId="055894B1" w14:textId="77777777" w:rsidR="003A3D51" w:rsidRDefault="0002775A">
      <w:pPr>
        <w:pStyle w:val="P68B1DB1-Normal36"/>
        <w:keepNext/>
        <w:tabs>
          <w:tab w:val="left" w:pos="850"/>
        </w:tabs>
        <w:spacing w:before="360" w:after="120" w:line="240" w:lineRule="auto"/>
        <w:ind w:left="850" w:firstLine="1"/>
        <w:jc w:val="both"/>
        <w:outlineLvl w:val="0"/>
        <w:rPr>
          <w:noProof/>
        </w:rPr>
      </w:pPr>
      <w:r>
        <w:rPr>
          <w:noProof/>
        </w:rPr>
        <w:t>O. KOMPONENT 2.9: STÄRKA RAMEN FÖR OFFENTLIG UPPHANDLING</w:t>
      </w:r>
    </w:p>
    <w:p w14:paraId="324CF862" w14:textId="77777777" w:rsidR="003A3D51" w:rsidRDefault="0002775A">
      <w:pPr>
        <w:pStyle w:val="Text1"/>
        <w:ind w:left="0"/>
        <w:rPr>
          <w:noProof/>
        </w:rPr>
      </w:pPr>
      <w:r>
        <w:rPr>
          <w:noProof/>
        </w:rPr>
        <w:t xml:space="preserve">För att förbättra ramen för offentlig upphandling och anpassa den till EU:s bästa praxis innehåller denna del av Kroatiens återhämtnings- och resiliensplan åtgärder för att förbättra utbildningssystemet för offentlig upphandling, stärka granskningssystemet genom att införa obligatoriska e-överklaganden och uppmuntra användningen av innovativ upphandling. Det förbättrade systemet för offentlig upphandling ska </w:t>
      </w:r>
      <w:r>
        <w:rPr>
          <w:i/>
          <w:noProof/>
        </w:rPr>
        <w:t>bland annat</w:t>
      </w:r>
      <w:r>
        <w:rPr>
          <w:noProof/>
        </w:rPr>
        <w:t xml:space="preserve"> bidra till kampen mot korruption och leda till ett bättre utnyttjande av EU-medel, vilket förväntas leda till ett förbättrat företagsklimat, ökade privata investeringar, produktivitet och skapande av nya arbetstillfällen.  </w:t>
      </w:r>
    </w:p>
    <w:p w14:paraId="4DE19647" w14:textId="77777777" w:rsidR="003A3D51" w:rsidRDefault="0002775A">
      <w:pPr>
        <w:pStyle w:val="Text1"/>
        <w:ind w:left="0"/>
        <w:rPr>
          <w:noProof/>
        </w:rPr>
      </w:pPr>
      <w:r>
        <w:rPr>
          <w:noProof/>
        </w:rPr>
        <w:t xml:space="preserve">Komponenten omfattar tre reformer och en investering som syftar till att öka insynen och effektiviteten i systemet för offentlig upphandling i Kroatien. Dessa ska också bidra till bättre förebyggande av korruption, särskilt på lokal nivå (landsspecifik rekommendation 2019) och förbättra den kroatiska offentliga förvaltningens kapacitet och effektivitet (landsspecifik rekommendation 2020).  </w:t>
      </w:r>
    </w:p>
    <w:p w14:paraId="624EF0FE" w14:textId="77777777" w:rsidR="003A3D51" w:rsidRDefault="0002775A">
      <w:pPr>
        <w:pStyle w:val="P68B1DB1-Normal37"/>
        <w:keepNext/>
        <w:tabs>
          <w:tab w:val="num" w:pos="850"/>
        </w:tabs>
        <w:spacing w:before="40" w:after="0"/>
        <w:ind w:left="851"/>
        <w:jc w:val="both"/>
        <w:outlineLvl w:val="1"/>
        <w:rPr>
          <w:noProof/>
        </w:rPr>
      </w:pPr>
      <w:r>
        <w:rPr>
          <w:noProof/>
        </w:rPr>
        <w:t xml:space="preserve">O.1. </w:t>
      </w:r>
      <w:r>
        <w:rPr>
          <w:noProof/>
        </w:rPr>
        <w:tab/>
        <w:t>Beskrivning av reformer och investeringar avseende icke återbetalningspliktigt ekonomiskt stöd</w:t>
      </w:r>
    </w:p>
    <w:p w14:paraId="098019E4" w14:textId="77777777" w:rsidR="003A3D51" w:rsidRDefault="0002775A">
      <w:pPr>
        <w:pStyle w:val="P68B1DB1-Normal9"/>
        <w:keepNext/>
        <w:spacing w:before="120" w:after="120" w:line="240" w:lineRule="auto"/>
        <w:ind w:left="850"/>
        <w:jc w:val="both"/>
        <w:rPr>
          <w:noProof/>
        </w:rPr>
      </w:pPr>
      <w:r>
        <w:rPr>
          <w:noProof/>
        </w:rPr>
        <w:t xml:space="preserve">Reform: C2.9.R1: Kontinuerligt tillhandahållande av utbildning i offentlig upphandling </w:t>
      </w:r>
    </w:p>
    <w:p w14:paraId="126DFC99" w14:textId="77777777" w:rsidR="003A3D51" w:rsidRDefault="0002775A">
      <w:pPr>
        <w:pStyle w:val="NormalWeb"/>
        <w:spacing w:before="120" w:after="120" w:line="240" w:lineRule="auto"/>
        <w:jc w:val="both"/>
        <w:rPr>
          <w:noProof/>
        </w:rPr>
      </w:pPr>
      <w:r>
        <w:rPr>
          <w:noProof/>
        </w:rPr>
        <w:t>Syftet med reformen är att förbättra utbildningssystemet för offentlig upphandling genom att utveckla nya verktyg för att förvärva teoretiska och praktiska kunskaper, yrkesmässiga färdigheter och kompetenser för yrkesmässigt, kostnadseffektivt, effektivt och ändamålsenligt genomförande av förfaranden för offentlig upphandling på alla nivåer. Den ska bygga på en övergripande strategi för att stärka konkurrenskraften hos berörda parter i systemet för offentlig upphandling genom att integrera resultaten av analysen av arbetsbelastningen inom ramen för investeringsåtgärd C2.9.R1-I1. Analysen ska särskilt definiera behoven av kontinuerlig och planerad utbildning av nyckelanställda inom offentlig upphandling på grundval av den kompetensmatris som definierar 30 kompetenser och färdigheter.</w:t>
      </w:r>
    </w:p>
    <w:p w14:paraId="208038F9" w14:textId="77777777" w:rsidR="003A3D51" w:rsidRDefault="0002775A">
      <w:pPr>
        <w:pStyle w:val="NormalWeb"/>
        <w:spacing w:before="120" w:after="120" w:line="240" w:lineRule="auto"/>
        <w:jc w:val="both"/>
        <w:rPr>
          <w:noProof/>
        </w:rPr>
      </w:pPr>
      <w:r>
        <w:rPr>
          <w:noProof/>
        </w:rPr>
        <w:t xml:space="preserve">Dessutom ska den europeiska kompetensramen för yrkesverksamma inom offentlig upphandling, ProcurCompEU, som fungerar som en gemensam referensram för dem som arbetar med offentlig upphandling, införas i det kroatiska utbildningssystemet senast den 31 december 2023. För det första underlättar ramen för enskilda personer identifiering och utformning av personlig och yrkesmässig kompetens. För det andra ska upphandlande enheter använda den för att bedöma och förbättra effektiviteten i den offentliga upphandlingen i sin organisation. Slutligen ska utbildningsanordnare inom offentlig upphandling kunna använda ramen ProcurCompEU för att utveckla omfattande utbildnings- och utbildningsprogram. </w:t>
      </w:r>
    </w:p>
    <w:p w14:paraId="7216758E" w14:textId="77777777" w:rsidR="003A3D51" w:rsidRDefault="0002775A">
      <w:pPr>
        <w:pStyle w:val="NormalWeb"/>
        <w:spacing w:before="120" w:after="120" w:line="240" w:lineRule="auto"/>
        <w:jc w:val="both"/>
        <w:rPr>
          <w:noProof/>
        </w:rPr>
      </w:pPr>
      <w:r>
        <w:rPr>
          <w:noProof/>
        </w:rPr>
        <w:t>För det tredje ska de allmänna utbildningsprogrammen, som också ska vara öppna för anbudsgivarna, öka anbudsgivarnas kunskaper och färdigheter när det gäller att genomföra förfaranden för offentlig upphandling och förbättra de små och medelstora företagens deltagande och framgång i offentlig upphandling.</w:t>
      </w:r>
    </w:p>
    <w:p w14:paraId="62A8C544" w14:textId="77777777" w:rsidR="003A3D51" w:rsidRDefault="0002775A">
      <w:pPr>
        <w:pStyle w:val="NormalWeb"/>
        <w:spacing w:before="120" w:after="120" w:line="240" w:lineRule="auto"/>
        <w:jc w:val="both"/>
        <w:rPr>
          <w:noProof/>
        </w:rPr>
      </w:pPr>
      <w:r>
        <w:rPr>
          <w:noProof/>
        </w:rPr>
        <w:t>Denna reform ska vara slutförd senast den 31 december 2023.</w:t>
      </w:r>
    </w:p>
    <w:p w14:paraId="7FA4A521" w14:textId="77777777" w:rsidR="003A3D51" w:rsidRDefault="0002775A">
      <w:pPr>
        <w:pStyle w:val="P68B1DB1-Normal9"/>
        <w:keepNext/>
        <w:spacing w:before="120" w:after="120" w:line="240" w:lineRule="auto"/>
        <w:ind w:left="850"/>
        <w:jc w:val="both"/>
        <w:rPr>
          <w:noProof/>
        </w:rPr>
      </w:pPr>
      <w:r>
        <w:rPr>
          <w:noProof/>
        </w:rPr>
        <w:t>Investeringarna: C2.9.R1-I1: Analys av arbetsbördan för anställda vid centrala institutioner i systemet för offentlig upphandling</w:t>
      </w:r>
    </w:p>
    <w:p w14:paraId="6A5FE49D" w14:textId="77777777" w:rsidR="003A3D51" w:rsidRDefault="0002775A">
      <w:pPr>
        <w:pStyle w:val="Text1"/>
        <w:ind w:left="0"/>
        <w:rPr>
          <w:noProof/>
        </w:rPr>
      </w:pPr>
      <w:r>
        <w:rPr>
          <w:noProof/>
        </w:rPr>
        <w:t>Denna investering ska ge en analys av arbetsbördan för att fastställa antalet aktörer, personalens nödvändiga kompetens och de nödvändiga förbättringarna av ersättningssystemet. Genomförandet av rekommendationen i analysen förväntas leda till och upprätthålla ett optimalt antal högkvalificerad, motiverad personal som svarar mot behoven hos centrala institutioner för offentlig upphandling.</w:t>
      </w:r>
    </w:p>
    <w:p w14:paraId="7BD23E29" w14:textId="77777777" w:rsidR="003A3D51" w:rsidRDefault="0002775A">
      <w:pPr>
        <w:pStyle w:val="Text1"/>
        <w:ind w:left="0"/>
        <w:rPr>
          <w:noProof/>
        </w:rPr>
      </w:pPr>
      <w:r>
        <w:rPr>
          <w:noProof/>
        </w:rPr>
        <w:t>Åtgärden inkluderar</w:t>
      </w:r>
    </w:p>
    <w:p w14:paraId="4BA7B703" w14:textId="77777777" w:rsidR="003A3D51" w:rsidRDefault="0002775A">
      <w:pPr>
        <w:pStyle w:val="Text1"/>
        <w:numPr>
          <w:ilvl w:val="0"/>
          <w:numId w:val="37"/>
        </w:numPr>
        <w:ind w:left="720"/>
        <w:rPr>
          <w:noProof/>
        </w:rPr>
      </w:pPr>
      <w:r>
        <w:rPr>
          <w:noProof/>
        </w:rPr>
        <w:t>analysen av arbetsbördan i de offentliga upphandlingsorganen, som ingår i förvaltningen av EU-medel.</w:t>
      </w:r>
    </w:p>
    <w:p w14:paraId="7C24BB56" w14:textId="77777777" w:rsidR="003A3D51" w:rsidRDefault="0002775A">
      <w:pPr>
        <w:pStyle w:val="Text1"/>
        <w:numPr>
          <w:ilvl w:val="0"/>
          <w:numId w:val="37"/>
        </w:numPr>
        <w:ind w:left="720"/>
        <w:rPr>
          <w:noProof/>
        </w:rPr>
      </w:pPr>
      <w:r>
        <w:rPr>
          <w:noProof/>
        </w:rPr>
        <w:t>en beskrivning av de uppgifter som de utför.</w:t>
      </w:r>
    </w:p>
    <w:p w14:paraId="2833DCDC" w14:textId="77777777" w:rsidR="003A3D51" w:rsidRDefault="0002775A">
      <w:pPr>
        <w:pStyle w:val="Text1"/>
        <w:numPr>
          <w:ilvl w:val="0"/>
          <w:numId w:val="37"/>
        </w:numPr>
        <w:ind w:left="720"/>
        <w:rPr>
          <w:noProof/>
        </w:rPr>
      </w:pPr>
      <w:r>
        <w:rPr>
          <w:noProof/>
        </w:rPr>
        <w:t>fastställande av de kompetenser som krävs.</w:t>
      </w:r>
    </w:p>
    <w:p w14:paraId="68ACBF42" w14:textId="77777777" w:rsidR="003A3D51" w:rsidRDefault="0002775A">
      <w:pPr>
        <w:pStyle w:val="Text1"/>
        <w:ind w:left="0"/>
        <w:rPr>
          <w:noProof/>
        </w:rPr>
      </w:pPr>
      <w:r>
        <w:rPr>
          <w:noProof/>
        </w:rPr>
        <w:t xml:space="preserve">Analysen av arbetsbördan ska baseras på historiska uppgifter om arbetsbördan, även med beaktande av förväntade trender i arbetsbördan, inbegripet behovet av kontinuerlig och planerad utbildning av personal i specifika upphandlingsrelaterade ämnen såsom strategisk, socialt ansvarsfull och hållbar upphandling, innovativ upphandling och små och medelstora företags tillträde till denna upphandlingsmarknad. </w:t>
      </w:r>
    </w:p>
    <w:p w14:paraId="463230ED" w14:textId="77777777" w:rsidR="003A3D51" w:rsidRDefault="0002775A">
      <w:pPr>
        <w:pStyle w:val="Text1"/>
        <w:ind w:left="0"/>
        <w:rPr>
          <w:noProof/>
        </w:rPr>
      </w:pPr>
      <w:r>
        <w:rPr>
          <w:noProof/>
        </w:rPr>
        <w:t>Analysresultaten ska användas för att fastställa de kontinuerliga och planerade utbildningsbehoven för personalen vid centrala institutioner i systemet för offentlig upphandling (MINGOR- ministeriet för ekonomi och hållbar utveckling, SAFU – Centrala finansierings- och upphandlingsbyrån och DKOM- den statliga kommissionen för tillsyn av offentlig upphandling).</w:t>
      </w:r>
    </w:p>
    <w:p w14:paraId="0E8BC7CC" w14:textId="77777777" w:rsidR="003A3D51" w:rsidRDefault="0002775A">
      <w:pPr>
        <w:pStyle w:val="Text1"/>
        <w:ind w:left="0"/>
        <w:rPr>
          <w:noProof/>
        </w:rPr>
      </w:pPr>
      <w:r>
        <w:rPr>
          <w:noProof/>
        </w:rPr>
        <w:t>Denna åtgärd ska vara slutförd senast den 30 september 2022.</w:t>
      </w:r>
    </w:p>
    <w:p w14:paraId="237C8C77" w14:textId="77777777" w:rsidR="003A3D51" w:rsidRDefault="0002775A">
      <w:pPr>
        <w:pStyle w:val="P68B1DB1-Normal9"/>
        <w:keepNext/>
        <w:spacing w:before="120" w:after="120" w:line="240" w:lineRule="auto"/>
        <w:ind w:left="850"/>
        <w:jc w:val="both"/>
        <w:rPr>
          <w:noProof/>
        </w:rPr>
      </w:pPr>
      <w:r>
        <w:rPr>
          <w:noProof/>
        </w:rPr>
        <w:t xml:space="preserve">Reform: C2.9.R2: Förstärkning av översynssystemet vid offentlig upphandling </w:t>
      </w:r>
    </w:p>
    <w:p w14:paraId="7C258346" w14:textId="77777777" w:rsidR="003A3D51" w:rsidRDefault="0002775A">
      <w:pPr>
        <w:pStyle w:val="Text1"/>
        <w:ind w:left="0"/>
        <w:rPr>
          <w:noProof/>
        </w:rPr>
      </w:pPr>
      <w:r>
        <w:rPr>
          <w:noProof/>
        </w:rPr>
        <w:t>Syftet med reformen är att bidra till att minska den administrativa bördan i samband med översynssystemet och bidra till kampen mot korruption genom att förkorta den genomsnittliga tidsfristen för överklaganden och uppgradera och ytterligare utvidga funktionerna i det nuvarande systemet för offentlig upphandling.</w:t>
      </w:r>
    </w:p>
    <w:p w14:paraId="462A10A9" w14:textId="77777777" w:rsidR="003A3D51" w:rsidRDefault="0002775A">
      <w:pPr>
        <w:pStyle w:val="Text1"/>
        <w:ind w:left="0"/>
        <w:rPr>
          <w:noProof/>
        </w:rPr>
      </w:pPr>
      <w:r>
        <w:rPr>
          <w:noProof/>
        </w:rPr>
        <w:t>Reformen omfattar ändringar av den rättsliga ramen för offentlig upphandling för att införa e-överklagan som ett obligatoriskt verktyg i systemet för offentlig upphandling och för att minska de genomsnittliga tidsfristerna för handläggning av överklaganden. Åtgärden inom ramen för denna komponent ska förbättra e-överklagandesystemets funktion genom standardisering av data och vidareutveckling av den befintliga it-plattformen.</w:t>
      </w:r>
    </w:p>
    <w:p w14:paraId="56CE0387" w14:textId="77777777" w:rsidR="003A3D51" w:rsidRDefault="0002775A">
      <w:pPr>
        <w:pStyle w:val="Text1"/>
        <w:ind w:left="0"/>
        <w:rPr>
          <w:noProof/>
        </w:rPr>
      </w:pPr>
      <w:r>
        <w:rPr>
          <w:noProof/>
        </w:rPr>
        <w:t>Denna åtgärd ska vara slutförd senast den 30 juni 2026.</w:t>
      </w:r>
    </w:p>
    <w:p w14:paraId="386A2D9B" w14:textId="77777777" w:rsidR="003A3D51" w:rsidRDefault="0002775A">
      <w:pPr>
        <w:pStyle w:val="P68B1DB1-Text139"/>
        <w:keepNext/>
        <w:rPr>
          <w:noProof/>
        </w:rPr>
      </w:pPr>
      <w:r>
        <w:rPr>
          <w:noProof/>
        </w:rPr>
        <w:t>Reform: C2.9.R3: Innovativ upphandling</w:t>
      </w:r>
    </w:p>
    <w:p w14:paraId="5C646BCC" w14:textId="77777777" w:rsidR="003A3D51" w:rsidRDefault="0002775A">
      <w:pPr>
        <w:pStyle w:val="Text1"/>
        <w:ind w:left="0"/>
        <w:rPr>
          <w:noProof/>
        </w:rPr>
      </w:pPr>
      <w:r>
        <w:rPr>
          <w:noProof/>
        </w:rPr>
        <w:t xml:space="preserve">Syftet med reformen är att uppmuntra användningen av innovativa produkter och tjänster för offentlig upphandling, vilket ska bidra till ökad insyn i de offentliga upphandlingsprocesserna, locka fler privata aktörer och slutligen skapa ett rättvisare och mer konkurrenskraftigt system för offentlig upphandling i Kroatien. </w:t>
      </w:r>
    </w:p>
    <w:p w14:paraId="13885ECF" w14:textId="77777777" w:rsidR="003A3D51" w:rsidRDefault="0002775A">
      <w:pPr>
        <w:pStyle w:val="Text1"/>
        <w:ind w:left="0"/>
        <w:rPr>
          <w:noProof/>
        </w:rPr>
      </w:pPr>
      <w:r>
        <w:rPr>
          <w:noProof/>
        </w:rPr>
        <w:t>Inom ramen för denna reform ska ekonomiministeriet och HAMAG BICRO (Kroatiens byrå för småföretag, innovation och investeringar) göra följande:</w:t>
      </w:r>
    </w:p>
    <w:p w14:paraId="71A9DBAD" w14:textId="77777777" w:rsidR="003A3D51" w:rsidRDefault="0002775A">
      <w:pPr>
        <w:pStyle w:val="Text1"/>
        <w:numPr>
          <w:ilvl w:val="0"/>
          <w:numId w:val="37"/>
        </w:numPr>
        <w:ind w:left="720"/>
        <w:rPr>
          <w:noProof/>
        </w:rPr>
      </w:pPr>
      <w:r>
        <w:rPr>
          <w:noProof/>
        </w:rPr>
        <w:t>anta en innovativ upphandlingsplan som kommer att ge upphandlarna en färdplan för hur de ska genomföra de innovativa kraven genom sina planerade upphandlingar.</w:t>
      </w:r>
    </w:p>
    <w:p w14:paraId="1C5D69B2" w14:textId="77777777" w:rsidR="003A3D51" w:rsidRDefault="0002775A">
      <w:pPr>
        <w:pStyle w:val="Text1"/>
        <w:numPr>
          <w:ilvl w:val="0"/>
          <w:numId w:val="37"/>
        </w:numPr>
        <w:ind w:left="720"/>
        <w:rPr>
          <w:noProof/>
        </w:rPr>
      </w:pPr>
      <w:r>
        <w:rPr>
          <w:noProof/>
        </w:rPr>
        <w:t>inrätta ett övervaknings- och utvärderingssystem för innovativ upphandling.</w:t>
      </w:r>
    </w:p>
    <w:p w14:paraId="46AC903B" w14:textId="77777777" w:rsidR="003A3D51" w:rsidRDefault="0002775A">
      <w:pPr>
        <w:pStyle w:val="Text1"/>
        <w:numPr>
          <w:ilvl w:val="0"/>
          <w:numId w:val="37"/>
        </w:numPr>
        <w:ind w:left="720"/>
        <w:rPr>
          <w:noProof/>
        </w:rPr>
      </w:pPr>
      <w:r>
        <w:rPr>
          <w:noProof/>
        </w:rPr>
        <w:t>anta en handbok för upphandlande enheter med vägledning om hur innovationsrelaterade upphandlingsförfaranden ska genomföras.</w:t>
      </w:r>
    </w:p>
    <w:p w14:paraId="6525F49C" w14:textId="77777777" w:rsidR="003A3D51" w:rsidRDefault="0002775A">
      <w:pPr>
        <w:pStyle w:val="Text1"/>
        <w:numPr>
          <w:ilvl w:val="0"/>
          <w:numId w:val="37"/>
        </w:numPr>
        <w:ind w:left="720"/>
        <w:rPr>
          <w:noProof/>
        </w:rPr>
      </w:pPr>
      <w:r>
        <w:rPr>
          <w:noProof/>
        </w:rPr>
        <w:t>stärka de kroatiska upphandlarnas kapacitet i innovationsrelaterade upphandlingsförfaranden genom att tillhandahålla utbildning.</w:t>
      </w:r>
    </w:p>
    <w:p w14:paraId="7C25E1F4" w14:textId="77777777" w:rsidR="003A3D51" w:rsidRDefault="0002775A">
      <w:pPr>
        <w:pStyle w:val="Text1"/>
        <w:numPr>
          <w:ilvl w:val="0"/>
          <w:numId w:val="37"/>
        </w:numPr>
        <w:ind w:left="720"/>
        <w:rPr>
          <w:noProof/>
        </w:rPr>
      </w:pPr>
      <w:r>
        <w:rPr>
          <w:noProof/>
        </w:rPr>
        <w:t>öka medvetenheten hos berörda parter i den privata sektorn om innovationsrelaterade förfaranden för offentlig upphandling.</w:t>
      </w:r>
    </w:p>
    <w:p w14:paraId="545A5350" w14:textId="77777777" w:rsidR="003A3D51" w:rsidRDefault="0002775A">
      <w:pPr>
        <w:pStyle w:val="NormalWeb"/>
        <w:spacing w:before="120" w:after="120" w:line="240" w:lineRule="auto"/>
        <w:jc w:val="both"/>
        <w:rPr>
          <w:noProof/>
        </w:rPr>
      </w:pPr>
      <w:r>
        <w:rPr>
          <w:noProof/>
        </w:rPr>
        <w:t>Denna åtgärd ska vara slutförd senast den 31 december 2025.</w:t>
      </w:r>
    </w:p>
    <w:p w14:paraId="2CA1FB1A" w14:textId="77777777" w:rsidR="003A3D51" w:rsidRDefault="003A3D51">
      <w:pPr>
        <w:rPr>
          <w:noProof/>
        </w:rPr>
        <w:sectPr w:rsidR="003A3D51" w:rsidSect="00BD1A7F">
          <w:headerReference w:type="even" r:id="rId258"/>
          <w:headerReference w:type="default" r:id="rId259"/>
          <w:footerReference w:type="even" r:id="rId260"/>
          <w:footerReference w:type="default" r:id="rId261"/>
          <w:headerReference w:type="first" r:id="rId262"/>
          <w:footerReference w:type="first" r:id="rId263"/>
          <w:pgSz w:w="12240" w:h="15840"/>
          <w:pgMar w:top="1098" w:right="1440" w:bottom="1418" w:left="1440" w:header="708" w:footer="708" w:gutter="0"/>
          <w:cols w:space="708"/>
          <w:docGrid w:linePitch="360"/>
        </w:sectPr>
      </w:pPr>
    </w:p>
    <w:p w14:paraId="4B64BE6E" w14:textId="77777777" w:rsidR="003A3D51" w:rsidRDefault="0002775A">
      <w:pPr>
        <w:pStyle w:val="P68B1DB1-Normal37"/>
        <w:keepNext/>
        <w:tabs>
          <w:tab w:val="num" w:pos="426"/>
        </w:tabs>
        <w:spacing w:before="40" w:after="0"/>
        <w:ind w:left="284" w:firstLine="567"/>
        <w:jc w:val="both"/>
        <w:outlineLvl w:val="1"/>
        <w:rPr>
          <w:noProof/>
        </w:rPr>
      </w:pPr>
      <w:r>
        <w:rPr>
          <w:noProof/>
        </w:rPr>
        <w:t xml:space="preserve">O.2. </w:t>
      </w:r>
      <w:r>
        <w:rPr>
          <w:noProof/>
        </w:rPr>
        <w:tab/>
        <w:t>Delmål, mål, indikatorer och tidsplan för övervakning och genomförande avseende icke återbetalningspliktigt ekonomiskt stöd</w:t>
      </w:r>
    </w:p>
    <w:p w14:paraId="72EA664A" w14:textId="77777777" w:rsidR="003A3D51" w:rsidRDefault="003A3D51">
      <w:pPr>
        <w:keepNext/>
        <w:tabs>
          <w:tab w:val="num" w:pos="850"/>
        </w:tabs>
        <w:spacing w:before="40" w:after="0"/>
        <w:ind w:left="851"/>
        <w:jc w:val="both"/>
        <w:outlineLvl w:val="1"/>
        <w:rPr>
          <w:rFonts w:ascii="Times New Roman" w:eastAsiaTheme="minorEastAsia" w:hAnsi="Times New Roman" w:cs="Times New Roman"/>
          <w:b/>
          <w:noProof/>
          <w:sz w:val="24"/>
          <w:u w:val="singl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12"/>
        <w:gridCol w:w="207"/>
        <w:gridCol w:w="218"/>
        <w:gridCol w:w="3119"/>
        <w:gridCol w:w="3579"/>
        <w:gridCol w:w="245"/>
        <w:gridCol w:w="187"/>
        <w:gridCol w:w="113"/>
        <w:gridCol w:w="217"/>
        <w:gridCol w:w="130"/>
        <w:gridCol w:w="5820"/>
      </w:tblGrid>
      <w:tr w:rsidR="003A3D51" w14:paraId="02377639" w14:textId="77777777" w:rsidTr="007F6DD6">
        <w:trPr>
          <w:trHeight w:val="635"/>
          <w:tblHeader/>
          <w:jc w:val="center"/>
        </w:trPr>
        <w:tc>
          <w:tcPr>
            <w:tcW w:w="188" w:type="pct"/>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2563070A" w14:textId="77777777" w:rsidR="003A3D51" w:rsidRDefault="0002775A">
            <w:pPr>
              <w:pStyle w:val="P68B1DB1-Normal6"/>
              <w:spacing w:after="0"/>
              <w:ind w:left="-255" w:firstLine="113"/>
              <w:jc w:val="center"/>
              <w:rPr>
                <w:noProof/>
              </w:rPr>
            </w:pPr>
            <w:r>
              <w:rPr>
                <w:noProof/>
              </w:rPr>
              <w:t>Antal</w:t>
            </w:r>
          </w:p>
        </w:tc>
        <w:tc>
          <w:tcPr>
            <w:tcW w:w="247" w:type="pct"/>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311E2AC" w14:textId="77777777" w:rsidR="003A3D51" w:rsidRDefault="0002775A">
            <w:pPr>
              <w:pStyle w:val="P68B1DB1-Normal6"/>
              <w:spacing w:after="0"/>
              <w:jc w:val="center"/>
              <w:rPr>
                <w:noProof/>
              </w:rPr>
            </w:pPr>
            <w:r>
              <w:rPr>
                <w:noProof/>
              </w:rPr>
              <w:t>Åtgärd</w:t>
            </w:r>
          </w:p>
        </w:tc>
        <w:tc>
          <w:tcPr>
            <w:tcW w:w="300" w:type="pct"/>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4031CABC" w14:textId="77777777" w:rsidR="003A3D51" w:rsidRDefault="0002775A">
            <w:pPr>
              <w:pStyle w:val="P68B1DB1-Normal6"/>
              <w:spacing w:after="0"/>
              <w:jc w:val="center"/>
              <w:rPr>
                <w:noProof/>
              </w:rPr>
            </w:pPr>
            <w:r>
              <w:rPr>
                <w:noProof/>
              </w:rPr>
              <w:t>Delmål/mål</w:t>
            </w:r>
          </w:p>
        </w:tc>
        <w:tc>
          <w:tcPr>
            <w:tcW w:w="633" w:type="pct"/>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513B5780" w14:textId="77777777" w:rsidR="003A3D51" w:rsidRDefault="0002775A">
            <w:pPr>
              <w:pStyle w:val="P68B1DB1-Normal6"/>
              <w:spacing w:after="0"/>
              <w:jc w:val="center"/>
              <w:rPr>
                <w:noProof/>
              </w:rPr>
            </w:pPr>
            <w:r>
              <w:rPr>
                <w:noProof/>
              </w:rPr>
              <w:t>Namn</w:t>
            </w:r>
          </w:p>
        </w:tc>
        <w:tc>
          <w:tcPr>
            <w:tcW w:w="745" w:type="pct"/>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C98B518" w14:textId="77777777" w:rsidR="003A3D51" w:rsidRDefault="0002775A">
            <w:pPr>
              <w:pStyle w:val="P68B1DB1-Normal6"/>
              <w:spacing w:after="0"/>
              <w:jc w:val="center"/>
              <w:rPr>
                <w:noProof/>
              </w:rPr>
            </w:pPr>
            <w:r>
              <w:rPr>
                <w:noProof/>
              </w:rPr>
              <w:t xml:space="preserve">Kvalitativa indikatorer </w:t>
            </w:r>
            <w:r>
              <w:rPr>
                <w:noProof/>
              </w:rPr>
              <w:br/>
              <w:t>(för delmål)</w:t>
            </w:r>
          </w:p>
        </w:tc>
        <w:tc>
          <w:tcPr>
            <w:tcW w:w="949" w:type="pct"/>
            <w:gridSpan w:val="3"/>
            <w:tcBorders>
              <w:top w:val="single" w:sz="4" w:space="0" w:color="auto"/>
              <w:left w:val="nil"/>
              <w:bottom w:val="single" w:sz="4" w:space="0" w:color="auto"/>
              <w:right w:val="single" w:sz="4" w:space="0" w:color="auto"/>
            </w:tcBorders>
            <w:shd w:val="clear" w:color="auto" w:fill="BDD7EE"/>
            <w:vAlign w:val="center"/>
            <w:hideMark/>
          </w:tcPr>
          <w:p w14:paraId="396853A1" w14:textId="77777777" w:rsidR="003A3D51" w:rsidRDefault="0002775A">
            <w:pPr>
              <w:pStyle w:val="P68B1DB1-Normal6"/>
              <w:spacing w:after="0"/>
              <w:jc w:val="center"/>
              <w:rPr>
                <w:noProof/>
              </w:rPr>
            </w:pPr>
            <w:r>
              <w:rPr>
                <w:noProof/>
              </w:rPr>
              <w:t xml:space="preserve">Kvantitativa indikatorer </w:t>
            </w:r>
            <w:r>
              <w:rPr>
                <w:noProof/>
              </w:rPr>
              <w:br/>
              <w:t>(för mål)</w:t>
            </w:r>
          </w:p>
        </w:tc>
        <w:tc>
          <w:tcPr>
            <w:tcW w:w="557" w:type="pct"/>
            <w:gridSpan w:val="2"/>
            <w:tcBorders>
              <w:top w:val="single" w:sz="4" w:space="0" w:color="auto"/>
              <w:left w:val="nil"/>
              <w:bottom w:val="single" w:sz="4" w:space="0" w:color="auto"/>
              <w:right w:val="single" w:sz="4" w:space="0" w:color="auto"/>
            </w:tcBorders>
            <w:shd w:val="clear" w:color="auto" w:fill="BDD7EE"/>
            <w:vAlign w:val="center"/>
            <w:hideMark/>
          </w:tcPr>
          <w:p w14:paraId="725D0F57" w14:textId="77777777" w:rsidR="003A3D51" w:rsidRDefault="0002775A">
            <w:pPr>
              <w:pStyle w:val="P68B1DB1-Normal6"/>
              <w:spacing w:after="0"/>
              <w:jc w:val="center"/>
              <w:rPr>
                <w:noProof/>
              </w:rPr>
            </w:pPr>
            <w:r>
              <w:rPr>
                <w:noProof/>
              </w:rPr>
              <w:t>Tid</w:t>
            </w:r>
          </w:p>
        </w:tc>
        <w:tc>
          <w:tcPr>
            <w:tcW w:w="1380"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228439" w14:textId="77777777" w:rsidR="003A3D51" w:rsidRDefault="0002775A">
            <w:pPr>
              <w:pStyle w:val="P68B1DB1-Normal6"/>
              <w:spacing w:after="0"/>
              <w:jc w:val="center"/>
              <w:rPr>
                <w:noProof/>
              </w:rPr>
            </w:pPr>
            <w:r>
              <w:rPr>
                <w:noProof/>
              </w:rPr>
              <w:t>Beskrivning av varje delmål och mål</w:t>
            </w:r>
          </w:p>
        </w:tc>
      </w:tr>
      <w:tr w:rsidR="003A3D51" w14:paraId="193A6BB8" w14:textId="77777777" w:rsidTr="007F6DD6">
        <w:trPr>
          <w:trHeight w:val="503"/>
          <w:tblHeader/>
          <w:jc w:val="center"/>
        </w:trPr>
        <w:tc>
          <w:tcPr>
            <w:tcW w:w="188" w:type="pct"/>
            <w:vMerge/>
            <w:tcBorders>
              <w:top w:val="single" w:sz="4" w:space="0" w:color="auto"/>
              <w:left w:val="single" w:sz="4" w:space="0" w:color="auto"/>
              <w:bottom w:val="single" w:sz="4" w:space="0" w:color="000000"/>
              <w:right w:val="single" w:sz="4" w:space="0" w:color="auto"/>
            </w:tcBorders>
            <w:hideMark/>
          </w:tcPr>
          <w:p w14:paraId="24BF1165" w14:textId="77777777" w:rsidR="003A3D51" w:rsidRDefault="003A3D51">
            <w:pPr>
              <w:spacing w:after="0"/>
              <w:jc w:val="center"/>
              <w:rPr>
                <w:rFonts w:ascii="Times New Roman" w:eastAsia="Times New Roman" w:hAnsi="Times New Roman" w:cs="Times New Roman"/>
                <w:b/>
                <w:noProof/>
              </w:rPr>
            </w:pPr>
          </w:p>
        </w:tc>
        <w:tc>
          <w:tcPr>
            <w:tcW w:w="247" w:type="pct"/>
            <w:vMerge/>
            <w:tcBorders>
              <w:top w:val="single" w:sz="4" w:space="0" w:color="auto"/>
              <w:left w:val="single" w:sz="4" w:space="0" w:color="auto"/>
              <w:bottom w:val="single" w:sz="4" w:space="0" w:color="000000"/>
              <w:right w:val="single" w:sz="4" w:space="0" w:color="auto"/>
            </w:tcBorders>
            <w:hideMark/>
          </w:tcPr>
          <w:p w14:paraId="510B1B5F" w14:textId="77777777" w:rsidR="003A3D51" w:rsidRDefault="003A3D51">
            <w:pPr>
              <w:spacing w:after="0"/>
              <w:jc w:val="center"/>
              <w:rPr>
                <w:rFonts w:ascii="Times New Roman" w:eastAsia="Times New Roman" w:hAnsi="Times New Roman" w:cs="Times New Roman"/>
                <w:b/>
                <w:noProof/>
              </w:rPr>
            </w:pPr>
          </w:p>
        </w:tc>
        <w:tc>
          <w:tcPr>
            <w:tcW w:w="300" w:type="pct"/>
            <w:vMerge/>
            <w:tcBorders>
              <w:top w:val="single" w:sz="4" w:space="0" w:color="auto"/>
              <w:left w:val="single" w:sz="4" w:space="0" w:color="auto"/>
              <w:bottom w:val="single" w:sz="4" w:space="0" w:color="000000"/>
              <w:right w:val="single" w:sz="4" w:space="0" w:color="auto"/>
            </w:tcBorders>
            <w:hideMark/>
          </w:tcPr>
          <w:p w14:paraId="3225E786" w14:textId="77777777" w:rsidR="003A3D51" w:rsidRDefault="003A3D51">
            <w:pPr>
              <w:spacing w:after="0"/>
              <w:jc w:val="center"/>
              <w:rPr>
                <w:rFonts w:ascii="Times New Roman" w:eastAsia="Times New Roman" w:hAnsi="Times New Roman" w:cs="Times New Roman"/>
                <w:b/>
                <w:noProof/>
              </w:rPr>
            </w:pPr>
          </w:p>
        </w:tc>
        <w:tc>
          <w:tcPr>
            <w:tcW w:w="633" w:type="pct"/>
            <w:vMerge/>
            <w:tcBorders>
              <w:top w:val="single" w:sz="4" w:space="0" w:color="auto"/>
              <w:left w:val="nil"/>
              <w:bottom w:val="single" w:sz="4" w:space="0" w:color="000000"/>
              <w:right w:val="single" w:sz="4" w:space="0" w:color="auto"/>
            </w:tcBorders>
            <w:hideMark/>
          </w:tcPr>
          <w:p w14:paraId="732FDB9D" w14:textId="77777777" w:rsidR="003A3D51" w:rsidRDefault="003A3D51">
            <w:pPr>
              <w:spacing w:after="0"/>
              <w:rPr>
                <w:rFonts w:ascii="Times New Roman" w:eastAsia="Times New Roman" w:hAnsi="Times New Roman" w:cs="Times New Roman"/>
                <w:b/>
                <w:noProof/>
              </w:rPr>
            </w:pPr>
          </w:p>
        </w:tc>
        <w:tc>
          <w:tcPr>
            <w:tcW w:w="745" w:type="pct"/>
            <w:vMerge/>
            <w:tcBorders>
              <w:top w:val="single" w:sz="4" w:space="0" w:color="auto"/>
              <w:left w:val="single" w:sz="4" w:space="0" w:color="auto"/>
              <w:bottom w:val="single" w:sz="4" w:space="0" w:color="000000"/>
              <w:right w:val="single" w:sz="4" w:space="0" w:color="auto"/>
            </w:tcBorders>
            <w:hideMark/>
          </w:tcPr>
          <w:p w14:paraId="0E09115F" w14:textId="77777777" w:rsidR="003A3D51" w:rsidRDefault="003A3D51">
            <w:pPr>
              <w:spacing w:after="0"/>
              <w:rPr>
                <w:rFonts w:ascii="Times New Roman" w:eastAsia="Times New Roman" w:hAnsi="Times New Roman" w:cs="Times New Roman"/>
                <w:b/>
                <w:noProof/>
              </w:rPr>
            </w:pPr>
          </w:p>
        </w:tc>
        <w:tc>
          <w:tcPr>
            <w:tcW w:w="348" w:type="pct"/>
            <w:tcBorders>
              <w:top w:val="nil"/>
              <w:left w:val="nil"/>
              <w:bottom w:val="single" w:sz="4" w:space="0" w:color="auto"/>
              <w:right w:val="single" w:sz="4" w:space="0" w:color="auto"/>
            </w:tcBorders>
            <w:shd w:val="clear" w:color="auto" w:fill="BDD7EE"/>
            <w:vAlign w:val="center"/>
            <w:hideMark/>
          </w:tcPr>
          <w:p w14:paraId="0CEC1C64" w14:textId="77777777" w:rsidR="003A3D51" w:rsidRDefault="0002775A">
            <w:pPr>
              <w:pStyle w:val="P68B1DB1-Normal6"/>
              <w:spacing w:after="0"/>
              <w:jc w:val="center"/>
              <w:rPr>
                <w:noProof/>
              </w:rPr>
            </w:pPr>
            <w:r>
              <w:rPr>
                <w:noProof/>
              </w:rPr>
              <w:t>Enhet</w:t>
            </w:r>
          </w:p>
        </w:tc>
        <w:tc>
          <w:tcPr>
            <w:tcW w:w="307" w:type="pct"/>
            <w:tcBorders>
              <w:top w:val="nil"/>
              <w:left w:val="nil"/>
              <w:bottom w:val="single" w:sz="4" w:space="0" w:color="auto"/>
              <w:right w:val="single" w:sz="4" w:space="0" w:color="auto"/>
            </w:tcBorders>
            <w:shd w:val="clear" w:color="auto" w:fill="BDD7EE"/>
            <w:vAlign w:val="center"/>
            <w:hideMark/>
          </w:tcPr>
          <w:p w14:paraId="5909E89E" w14:textId="77777777" w:rsidR="003A3D51" w:rsidRDefault="0002775A">
            <w:pPr>
              <w:pStyle w:val="P68B1DB1-Normal6"/>
              <w:spacing w:after="0"/>
              <w:jc w:val="center"/>
              <w:rPr>
                <w:noProof/>
              </w:rPr>
            </w:pPr>
            <w:r>
              <w:rPr>
                <w:noProof/>
              </w:rPr>
              <w:t>Baslinjen</w:t>
            </w:r>
          </w:p>
        </w:tc>
        <w:tc>
          <w:tcPr>
            <w:tcW w:w="294" w:type="pct"/>
            <w:tcBorders>
              <w:top w:val="nil"/>
              <w:left w:val="nil"/>
              <w:bottom w:val="single" w:sz="4" w:space="0" w:color="auto"/>
              <w:right w:val="single" w:sz="4" w:space="0" w:color="auto"/>
            </w:tcBorders>
            <w:shd w:val="clear" w:color="auto" w:fill="BDD7EE"/>
            <w:vAlign w:val="center"/>
            <w:hideMark/>
          </w:tcPr>
          <w:p w14:paraId="6C2DC964" w14:textId="77777777" w:rsidR="003A3D51" w:rsidRDefault="0002775A">
            <w:pPr>
              <w:pStyle w:val="P68B1DB1-Normal6"/>
              <w:spacing w:after="0"/>
              <w:jc w:val="center"/>
              <w:rPr>
                <w:noProof/>
              </w:rPr>
            </w:pPr>
            <w:r>
              <w:rPr>
                <w:noProof/>
              </w:rPr>
              <w:t>Mål</w:t>
            </w:r>
          </w:p>
        </w:tc>
        <w:tc>
          <w:tcPr>
            <w:tcW w:w="252" w:type="pct"/>
            <w:tcBorders>
              <w:top w:val="nil"/>
              <w:left w:val="nil"/>
              <w:bottom w:val="single" w:sz="4" w:space="0" w:color="auto"/>
              <w:right w:val="single" w:sz="4" w:space="0" w:color="auto"/>
            </w:tcBorders>
            <w:shd w:val="clear" w:color="auto" w:fill="BDD7EE"/>
            <w:vAlign w:val="center"/>
            <w:hideMark/>
          </w:tcPr>
          <w:p w14:paraId="3393F2EC" w14:textId="77777777" w:rsidR="003A3D51" w:rsidRDefault="0002775A">
            <w:pPr>
              <w:pStyle w:val="P68B1DB1-Normal6"/>
              <w:spacing w:after="0"/>
              <w:jc w:val="center"/>
              <w:rPr>
                <w:noProof/>
              </w:rPr>
            </w:pPr>
            <w:r>
              <w:rPr>
                <w:noProof/>
              </w:rPr>
              <w:t>Q</w:t>
            </w:r>
          </w:p>
        </w:tc>
        <w:tc>
          <w:tcPr>
            <w:tcW w:w="305" w:type="pct"/>
            <w:tcBorders>
              <w:top w:val="nil"/>
              <w:left w:val="nil"/>
              <w:bottom w:val="single" w:sz="4" w:space="0" w:color="auto"/>
              <w:right w:val="single" w:sz="4" w:space="0" w:color="auto"/>
            </w:tcBorders>
            <w:shd w:val="clear" w:color="auto" w:fill="BDD7EE"/>
            <w:vAlign w:val="center"/>
            <w:hideMark/>
          </w:tcPr>
          <w:p w14:paraId="4DDB094C" w14:textId="77777777" w:rsidR="003A3D51" w:rsidRDefault="0002775A">
            <w:pPr>
              <w:pStyle w:val="P68B1DB1-Normal6"/>
              <w:spacing w:after="0"/>
              <w:jc w:val="center"/>
              <w:rPr>
                <w:noProof/>
              </w:rPr>
            </w:pPr>
            <w:r>
              <w:rPr>
                <w:noProof/>
              </w:rPr>
              <w:t>Året</w:t>
            </w:r>
          </w:p>
        </w:tc>
        <w:tc>
          <w:tcPr>
            <w:tcW w:w="1380" w:type="pct"/>
            <w:vMerge/>
            <w:tcBorders>
              <w:top w:val="single" w:sz="4" w:space="0" w:color="auto"/>
              <w:left w:val="single" w:sz="4" w:space="0" w:color="auto"/>
              <w:bottom w:val="single" w:sz="4" w:space="0" w:color="auto"/>
              <w:right w:val="single" w:sz="4" w:space="0" w:color="auto"/>
            </w:tcBorders>
            <w:hideMark/>
          </w:tcPr>
          <w:p w14:paraId="67007FF9" w14:textId="77777777" w:rsidR="003A3D51" w:rsidRDefault="003A3D51">
            <w:pPr>
              <w:spacing w:after="0"/>
              <w:rPr>
                <w:rFonts w:ascii="Times New Roman" w:eastAsia="Times New Roman" w:hAnsi="Times New Roman" w:cs="Times New Roman"/>
                <w:b/>
                <w:noProof/>
              </w:rPr>
            </w:pPr>
          </w:p>
        </w:tc>
      </w:tr>
      <w:tr w:rsidR="003A3D51" w14:paraId="55F49D71" w14:textId="77777777" w:rsidTr="007F6DD6">
        <w:trPr>
          <w:trHeight w:val="283"/>
          <w:jc w:val="center"/>
        </w:trPr>
        <w:tc>
          <w:tcPr>
            <w:tcW w:w="188" w:type="pct"/>
            <w:tcBorders>
              <w:top w:val="nil"/>
              <w:left w:val="single" w:sz="4" w:space="0" w:color="auto"/>
              <w:bottom w:val="single" w:sz="4" w:space="0" w:color="auto"/>
              <w:right w:val="single" w:sz="4" w:space="0" w:color="auto"/>
            </w:tcBorders>
            <w:shd w:val="clear" w:color="auto" w:fill="C6EFCE"/>
            <w:noWrap/>
          </w:tcPr>
          <w:p w14:paraId="714339C6" w14:textId="77777777" w:rsidR="003A3D51" w:rsidRDefault="0002775A">
            <w:pPr>
              <w:pStyle w:val="P68B1DB1-Normal41"/>
              <w:jc w:val="center"/>
              <w:rPr>
                <w:rFonts w:ascii="Times New Roman" w:hAnsi="Times New Roman" w:cs="Times New Roman"/>
                <w:noProof/>
              </w:rPr>
            </w:pPr>
            <w:r>
              <w:rPr>
                <w:noProof/>
              </w:rPr>
              <w:t>256</w:t>
            </w:r>
          </w:p>
        </w:tc>
        <w:tc>
          <w:tcPr>
            <w:tcW w:w="247" w:type="pct"/>
            <w:tcBorders>
              <w:top w:val="nil"/>
              <w:left w:val="nil"/>
              <w:bottom w:val="single" w:sz="4" w:space="0" w:color="auto"/>
              <w:right w:val="single" w:sz="4" w:space="0" w:color="auto"/>
            </w:tcBorders>
            <w:shd w:val="clear" w:color="auto" w:fill="C6EFCE"/>
            <w:noWrap/>
          </w:tcPr>
          <w:p w14:paraId="3B0C4928" w14:textId="77777777" w:rsidR="003A3D51" w:rsidRDefault="0002775A">
            <w:pPr>
              <w:pStyle w:val="P68B1DB1-Normal41"/>
              <w:jc w:val="center"/>
              <w:rPr>
                <w:rFonts w:ascii="Times New Roman" w:hAnsi="Times New Roman" w:cs="Times New Roman"/>
                <w:noProof/>
              </w:rPr>
            </w:pPr>
            <w:r>
              <w:rPr>
                <w:noProof/>
              </w:rPr>
              <w:t>C2.9 R1</w:t>
            </w:r>
          </w:p>
        </w:tc>
        <w:tc>
          <w:tcPr>
            <w:tcW w:w="300" w:type="pct"/>
            <w:tcBorders>
              <w:top w:val="nil"/>
              <w:left w:val="nil"/>
              <w:bottom w:val="single" w:sz="4" w:space="0" w:color="auto"/>
              <w:right w:val="single" w:sz="4" w:space="0" w:color="auto"/>
            </w:tcBorders>
            <w:shd w:val="clear" w:color="auto" w:fill="C6EFCE"/>
            <w:noWrap/>
          </w:tcPr>
          <w:p w14:paraId="615F507B" w14:textId="77777777" w:rsidR="003A3D51" w:rsidRDefault="0002775A">
            <w:pPr>
              <w:pStyle w:val="P68B1DB1-Normal41"/>
              <w:jc w:val="center"/>
              <w:rPr>
                <w:rFonts w:ascii="Times New Roman" w:hAnsi="Times New Roman" w:cs="Times New Roman"/>
                <w:noProof/>
              </w:rPr>
            </w:pPr>
            <w:r>
              <w:rPr>
                <w:noProof/>
              </w:rPr>
              <w:t>M</w:t>
            </w:r>
          </w:p>
        </w:tc>
        <w:tc>
          <w:tcPr>
            <w:tcW w:w="633" w:type="pct"/>
            <w:tcBorders>
              <w:top w:val="nil"/>
              <w:left w:val="nil"/>
              <w:bottom w:val="single" w:sz="4" w:space="0" w:color="auto"/>
              <w:right w:val="single" w:sz="4" w:space="0" w:color="auto"/>
            </w:tcBorders>
            <w:shd w:val="clear" w:color="auto" w:fill="C6EFCE"/>
            <w:noWrap/>
          </w:tcPr>
          <w:p w14:paraId="209F6D6E" w14:textId="77777777" w:rsidR="003A3D51" w:rsidRDefault="0002775A">
            <w:pPr>
              <w:pStyle w:val="P68B1DB1-Normal41"/>
              <w:rPr>
                <w:rFonts w:ascii="Times New Roman" w:hAnsi="Times New Roman" w:cs="Times New Roman"/>
                <w:noProof/>
              </w:rPr>
            </w:pPr>
            <w:r>
              <w:rPr>
                <w:noProof/>
              </w:rPr>
              <w:t xml:space="preserve">Vägledning för att förbättra små och medelstora företags deltagande i och sammanslagning av förfaranden för offentlig upphandling </w:t>
            </w:r>
          </w:p>
        </w:tc>
        <w:tc>
          <w:tcPr>
            <w:tcW w:w="745" w:type="pct"/>
            <w:tcBorders>
              <w:top w:val="nil"/>
              <w:left w:val="nil"/>
              <w:bottom w:val="single" w:sz="4" w:space="0" w:color="auto"/>
              <w:right w:val="single" w:sz="4" w:space="0" w:color="auto"/>
            </w:tcBorders>
            <w:shd w:val="clear" w:color="auto" w:fill="C6EFCE"/>
            <w:noWrap/>
          </w:tcPr>
          <w:p w14:paraId="1F35DA46" w14:textId="77777777" w:rsidR="003A3D51" w:rsidRDefault="0002775A">
            <w:pPr>
              <w:pStyle w:val="P68B1DB1-Normal41"/>
              <w:rPr>
                <w:rFonts w:ascii="Times New Roman" w:hAnsi="Times New Roman" w:cs="Times New Roman"/>
                <w:noProof/>
              </w:rPr>
            </w:pPr>
            <w:r>
              <w:rPr>
                <w:noProof/>
              </w:rPr>
              <w:t>Offentliggörande av riktlinjer på portalen för offentlig upphandling</w:t>
            </w:r>
          </w:p>
        </w:tc>
        <w:tc>
          <w:tcPr>
            <w:tcW w:w="348" w:type="pct"/>
            <w:tcBorders>
              <w:top w:val="nil"/>
              <w:left w:val="nil"/>
              <w:bottom w:val="single" w:sz="4" w:space="0" w:color="auto"/>
              <w:right w:val="single" w:sz="4" w:space="0" w:color="auto"/>
            </w:tcBorders>
            <w:shd w:val="clear" w:color="auto" w:fill="C6EFCE"/>
            <w:noWrap/>
          </w:tcPr>
          <w:p w14:paraId="70036394" w14:textId="77777777" w:rsidR="003A3D51" w:rsidRDefault="0002775A">
            <w:pPr>
              <w:pStyle w:val="P68B1DB1-Normal41"/>
              <w:jc w:val="center"/>
              <w:rPr>
                <w:rFonts w:ascii="Times New Roman" w:hAnsi="Times New Roman" w:cs="Times New Roman"/>
                <w:noProof/>
              </w:rPr>
            </w:pPr>
            <w:r>
              <w:rPr>
                <w:noProof/>
              </w:rPr>
              <w:t> </w:t>
            </w:r>
          </w:p>
        </w:tc>
        <w:tc>
          <w:tcPr>
            <w:tcW w:w="307" w:type="pct"/>
            <w:tcBorders>
              <w:top w:val="nil"/>
              <w:left w:val="nil"/>
              <w:bottom w:val="single" w:sz="4" w:space="0" w:color="auto"/>
              <w:right w:val="single" w:sz="4" w:space="0" w:color="auto"/>
            </w:tcBorders>
            <w:shd w:val="clear" w:color="auto" w:fill="C6EFCE"/>
            <w:noWrap/>
          </w:tcPr>
          <w:p w14:paraId="4D100ECA" w14:textId="77777777" w:rsidR="003A3D51" w:rsidRDefault="0002775A">
            <w:pPr>
              <w:pStyle w:val="P68B1DB1-Normal41"/>
              <w:jc w:val="center"/>
              <w:rPr>
                <w:rFonts w:ascii="Times New Roman" w:hAnsi="Times New Roman" w:cs="Times New Roman"/>
                <w:noProof/>
              </w:rPr>
            </w:pPr>
            <w:r>
              <w:rPr>
                <w:noProof/>
              </w:rPr>
              <w:t> </w:t>
            </w:r>
          </w:p>
        </w:tc>
        <w:tc>
          <w:tcPr>
            <w:tcW w:w="294" w:type="pct"/>
            <w:tcBorders>
              <w:top w:val="nil"/>
              <w:left w:val="nil"/>
              <w:bottom w:val="single" w:sz="4" w:space="0" w:color="auto"/>
              <w:right w:val="single" w:sz="4" w:space="0" w:color="auto"/>
            </w:tcBorders>
            <w:shd w:val="clear" w:color="auto" w:fill="C6EFCE"/>
            <w:noWrap/>
          </w:tcPr>
          <w:p w14:paraId="7C14361E" w14:textId="77777777" w:rsidR="003A3D51" w:rsidRDefault="0002775A">
            <w:pPr>
              <w:pStyle w:val="P68B1DB1-Normal41"/>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2E6D1BD4" w14:textId="77777777" w:rsidR="003A3D51" w:rsidRDefault="0002775A">
            <w:pPr>
              <w:pStyle w:val="P68B1DB1-Normal41"/>
              <w:jc w:val="center"/>
              <w:rPr>
                <w:rFonts w:ascii="Times New Roman" w:hAnsi="Times New Roman" w:cs="Times New Roman"/>
                <w:noProof/>
              </w:rPr>
            </w:pPr>
            <w:r>
              <w:rPr>
                <w:noProof/>
              </w:rPr>
              <w:t>KVARTAL 3</w:t>
            </w:r>
          </w:p>
        </w:tc>
        <w:tc>
          <w:tcPr>
            <w:tcW w:w="305" w:type="pct"/>
            <w:tcBorders>
              <w:top w:val="nil"/>
              <w:left w:val="nil"/>
              <w:bottom w:val="single" w:sz="4" w:space="0" w:color="auto"/>
              <w:right w:val="single" w:sz="4" w:space="0" w:color="auto"/>
            </w:tcBorders>
            <w:shd w:val="clear" w:color="auto" w:fill="C6EFCE"/>
            <w:noWrap/>
          </w:tcPr>
          <w:p w14:paraId="2AD16278" w14:textId="77777777" w:rsidR="003A3D51" w:rsidRDefault="0002775A">
            <w:pPr>
              <w:pStyle w:val="P68B1DB1-Normal41"/>
              <w:jc w:val="center"/>
              <w:rPr>
                <w:rFonts w:ascii="Times New Roman" w:hAnsi="Times New Roman" w:cs="Times New Roman"/>
                <w:noProof/>
              </w:rPr>
            </w:pPr>
            <w:r>
              <w:rPr>
                <w:noProof/>
              </w:rPr>
              <w:t>2022</w:t>
            </w:r>
          </w:p>
        </w:tc>
        <w:tc>
          <w:tcPr>
            <w:tcW w:w="1380" w:type="pct"/>
            <w:tcBorders>
              <w:top w:val="nil"/>
              <w:left w:val="nil"/>
              <w:bottom w:val="single" w:sz="4" w:space="0" w:color="auto"/>
              <w:right w:val="single" w:sz="4" w:space="0" w:color="auto"/>
            </w:tcBorders>
            <w:shd w:val="clear" w:color="auto" w:fill="C6EFCE"/>
            <w:noWrap/>
          </w:tcPr>
          <w:p w14:paraId="3DBB4FE3" w14:textId="77777777" w:rsidR="003A3D51" w:rsidRDefault="0002775A">
            <w:pPr>
              <w:pStyle w:val="P68B1DB1-Normal41"/>
              <w:rPr>
                <w:rFonts w:ascii="Times New Roman" w:hAnsi="Times New Roman" w:cs="Times New Roman"/>
                <w:noProof/>
              </w:rPr>
            </w:pPr>
            <w:r>
              <w:rPr>
                <w:noProof/>
              </w:rPr>
              <w:t xml:space="preserve">För att ytterligare uppmuntra små och medelstora företags deltagande i förfaranden för offentlig upphandling ska riktlinjer utarbetas och offentliggöras för upphandlande enheter och anbudsgivare för att uppmuntra små och medelstora företag att delta på marknaden för offentlig upphandling. Riktlinjerna ska också innehålla de viktigaste bestämmelserna i lagen om offentlig upphandling som syftar till att göra det lättare för små och medelstora företag att konkurrera om offentliga kontrakt. Samarbetet med näringslivsorganisationer för att tillhandahålla riktad utbildning till anbudsgivare i förfaranden för offentlig upphandling ska fortsätta. Vägledningen kommer att utarbetas på grundval av resultatet av stödprogrammet för strukturreformer. </w:t>
            </w:r>
          </w:p>
        </w:tc>
      </w:tr>
      <w:tr w:rsidR="003A3D51" w14:paraId="33BBF7CB" w14:textId="77777777" w:rsidTr="007F6DD6">
        <w:trPr>
          <w:trHeight w:val="283"/>
          <w:jc w:val="center"/>
        </w:trPr>
        <w:tc>
          <w:tcPr>
            <w:tcW w:w="188" w:type="pct"/>
            <w:tcBorders>
              <w:top w:val="nil"/>
              <w:left w:val="single" w:sz="4" w:space="0" w:color="auto"/>
              <w:bottom w:val="single" w:sz="4" w:space="0" w:color="auto"/>
              <w:right w:val="single" w:sz="4" w:space="0" w:color="auto"/>
            </w:tcBorders>
            <w:shd w:val="clear" w:color="auto" w:fill="C6EFCE"/>
            <w:noWrap/>
          </w:tcPr>
          <w:p w14:paraId="2448DA0F" w14:textId="77777777" w:rsidR="003A3D51" w:rsidRDefault="0002775A">
            <w:pPr>
              <w:pStyle w:val="P68B1DB1-Normal41"/>
              <w:spacing w:after="0"/>
              <w:jc w:val="center"/>
              <w:rPr>
                <w:rFonts w:ascii="Times New Roman" w:hAnsi="Times New Roman" w:cs="Times New Roman"/>
                <w:noProof/>
              </w:rPr>
            </w:pPr>
            <w:r>
              <w:rPr>
                <w:noProof/>
              </w:rPr>
              <w:t>257</w:t>
            </w:r>
          </w:p>
        </w:tc>
        <w:tc>
          <w:tcPr>
            <w:tcW w:w="247" w:type="pct"/>
            <w:tcBorders>
              <w:top w:val="nil"/>
              <w:left w:val="nil"/>
              <w:bottom w:val="single" w:sz="4" w:space="0" w:color="auto"/>
              <w:right w:val="single" w:sz="4" w:space="0" w:color="auto"/>
            </w:tcBorders>
            <w:shd w:val="clear" w:color="auto" w:fill="C6EFCE"/>
            <w:noWrap/>
          </w:tcPr>
          <w:p w14:paraId="19E23B68" w14:textId="77777777" w:rsidR="003A3D51" w:rsidRDefault="0002775A">
            <w:pPr>
              <w:pStyle w:val="P68B1DB1-Normal41"/>
              <w:jc w:val="center"/>
              <w:rPr>
                <w:rFonts w:ascii="Times New Roman" w:hAnsi="Times New Roman" w:cs="Times New Roman"/>
                <w:noProof/>
              </w:rPr>
            </w:pPr>
            <w:r>
              <w:rPr>
                <w:noProof/>
              </w:rPr>
              <w:t>C2.9 R1</w:t>
            </w:r>
          </w:p>
        </w:tc>
        <w:tc>
          <w:tcPr>
            <w:tcW w:w="300" w:type="pct"/>
            <w:tcBorders>
              <w:top w:val="nil"/>
              <w:left w:val="nil"/>
              <w:bottom w:val="single" w:sz="4" w:space="0" w:color="auto"/>
              <w:right w:val="single" w:sz="4" w:space="0" w:color="auto"/>
            </w:tcBorders>
            <w:shd w:val="clear" w:color="auto" w:fill="C6EFCE"/>
            <w:noWrap/>
          </w:tcPr>
          <w:p w14:paraId="170DC2F9" w14:textId="77777777" w:rsidR="003A3D51" w:rsidRDefault="0002775A">
            <w:pPr>
              <w:pStyle w:val="P68B1DB1-Normal41"/>
              <w:jc w:val="center"/>
              <w:rPr>
                <w:rFonts w:ascii="Times New Roman" w:hAnsi="Times New Roman" w:cs="Times New Roman"/>
                <w:noProof/>
              </w:rPr>
            </w:pPr>
            <w:r>
              <w:rPr>
                <w:noProof/>
              </w:rPr>
              <w:t>M</w:t>
            </w:r>
          </w:p>
        </w:tc>
        <w:tc>
          <w:tcPr>
            <w:tcW w:w="633" w:type="pct"/>
            <w:tcBorders>
              <w:top w:val="nil"/>
              <w:left w:val="nil"/>
              <w:bottom w:val="single" w:sz="4" w:space="0" w:color="auto"/>
              <w:right w:val="single" w:sz="4" w:space="0" w:color="auto"/>
            </w:tcBorders>
            <w:shd w:val="clear" w:color="auto" w:fill="C6EFCE"/>
            <w:noWrap/>
          </w:tcPr>
          <w:p w14:paraId="05FD9B29" w14:textId="77777777" w:rsidR="003A3D51" w:rsidRDefault="0002775A">
            <w:pPr>
              <w:pStyle w:val="P68B1DB1-Normal41"/>
              <w:rPr>
                <w:rFonts w:ascii="Times New Roman" w:hAnsi="Times New Roman" w:cs="Times New Roman"/>
                <w:noProof/>
              </w:rPr>
            </w:pPr>
            <w:r>
              <w:rPr>
                <w:noProof/>
              </w:rPr>
              <w:t xml:space="preserve">Ändring av bestämmelserna om utbildning i offentlig upphandling </w:t>
            </w:r>
          </w:p>
        </w:tc>
        <w:tc>
          <w:tcPr>
            <w:tcW w:w="745" w:type="pct"/>
            <w:tcBorders>
              <w:top w:val="nil"/>
              <w:left w:val="nil"/>
              <w:bottom w:val="single" w:sz="4" w:space="0" w:color="auto"/>
              <w:right w:val="single" w:sz="4" w:space="0" w:color="auto"/>
            </w:tcBorders>
            <w:shd w:val="clear" w:color="auto" w:fill="C6EFCE"/>
            <w:noWrap/>
          </w:tcPr>
          <w:p w14:paraId="6D36190E" w14:textId="77777777" w:rsidR="003A3D51" w:rsidRDefault="0002775A">
            <w:pPr>
              <w:pStyle w:val="P68B1DB1-Normal41"/>
              <w:rPr>
                <w:rFonts w:ascii="Times New Roman" w:hAnsi="Times New Roman" w:cs="Times New Roman"/>
                <w:noProof/>
              </w:rPr>
            </w:pPr>
            <w:r>
              <w:rPr>
                <w:noProof/>
              </w:rPr>
              <w:t xml:space="preserve">Ikraftträdande av ändringarna av reglerna om utbildning i offentlig upphandling </w:t>
            </w:r>
          </w:p>
        </w:tc>
        <w:tc>
          <w:tcPr>
            <w:tcW w:w="348" w:type="pct"/>
            <w:tcBorders>
              <w:top w:val="nil"/>
              <w:left w:val="nil"/>
              <w:bottom w:val="single" w:sz="4" w:space="0" w:color="auto"/>
              <w:right w:val="single" w:sz="4" w:space="0" w:color="auto"/>
            </w:tcBorders>
            <w:shd w:val="clear" w:color="auto" w:fill="C6EFCE"/>
            <w:noWrap/>
          </w:tcPr>
          <w:p w14:paraId="4F6C31E2" w14:textId="77777777" w:rsidR="003A3D51" w:rsidRDefault="0002775A">
            <w:pPr>
              <w:pStyle w:val="P68B1DB1-Normal41"/>
              <w:jc w:val="center"/>
              <w:rPr>
                <w:rFonts w:ascii="Times New Roman" w:hAnsi="Times New Roman" w:cs="Times New Roman"/>
                <w:noProof/>
              </w:rPr>
            </w:pPr>
            <w:r>
              <w:rPr>
                <w:noProof/>
              </w:rPr>
              <w:t> </w:t>
            </w:r>
          </w:p>
        </w:tc>
        <w:tc>
          <w:tcPr>
            <w:tcW w:w="307" w:type="pct"/>
            <w:tcBorders>
              <w:top w:val="nil"/>
              <w:left w:val="nil"/>
              <w:bottom w:val="single" w:sz="4" w:space="0" w:color="auto"/>
              <w:right w:val="single" w:sz="4" w:space="0" w:color="auto"/>
            </w:tcBorders>
            <w:shd w:val="clear" w:color="auto" w:fill="C6EFCE"/>
            <w:noWrap/>
          </w:tcPr>
          <w:p w14:paraId="04C2986D" w14:textId="77777777" w:rsidR="003A3D51" w:rsidRDefault="0002775A">
            <w:pPr>
              <w:pStyle w:val="P68B1DB1-Normal41"/>
              <w:jc w:val="center"/>
              <w:rPr>
                <w:rFonts w:ascii="Times New Roman" w:hAnsi="Times New Roman" w:cs="Times New Roman"/>
                <w:noProof/>
              </w:rPr>
            </w:pPr>
            <w:r>
              <w:rPr>
                <w:noProof/>
              </w:rPr>
              <w:t> </w:t>
            </w:r>
          </w:p>
        </w:tc>
        <w:tc>
          <w:tcPr>
            <w:tcW w:w="294" w:type="pct"/>
            <w:tcBorders>
              <w:top w:val="nil"/>
              <w:left w:val="nil"/>
              <w:bottom w:val="single" w:sz="4" w:space="0" w:color="auto"/>
              <w:right w:val="single" w:sz="4" w:space="0" w:color="auto"/>
            </w:tcBorders>
            <w:shd w:val="clear" w:color="auto" w:fill="C6EFCE"/>
            <w:noWrap/>
          </w:tcPr>
          <w:p w14:paraId="385E4199" w14:textId="77777777" w:rsidR="003A3D51" w:rsidRDefault="0002775A">
            <w:pPr>
              <w:pStyle w:val="P68B1DB1-Normal41"/>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130766AC" w14:textId="77777777" w:rsidR="003A3D51" w:rsidRDefault="0002775A">
            <w:pPr>
              <w:pStyle w:val="P68B1DB1-Normal41"/>
              <w:jc w:val="center"/>
              <w:rPr>
                <w:rFonts w:ascii="Times New Roman" w:hAnsi="Times New Roman" w:cs="Times New Roman"/>
                <w:noProof/>
              </w:rPr>
            </w:pPr>
            <w:r>
              <w:rPr>
                <w:noProof/>
              </w:rPr>
              <w:t>KVARTAL 1</w:t>
            </w:r>
          </w:p>
        </w:tc>
        <w:tc>
          <w:tcPr>
            <w:tcW w:w="305" w:type="pct"/>
            <w:tcBorders>
              <w:top w:val="nil"/>
              <w:left w:val="nil"/>
              <w:bottom w:val="single" w:sz="4" w:space="0" w:color="auto"/>
              <w:right w:val="single" w:sz="4" w:space="0" w:color="auto"/>
            </w:tcBorders>
            <w:shd w:val="clear" w:color="auto" w:fill="C6EFCE"/>
            <w:noWrap/>
          </w:tcPr>
          <w:p w14:paraId="1DFA9107" w14:textId="77777777" w:rsidR="003A3D51" w:rsidRDefault="0002775A">
            <w:pPr>
              <w:pStyle w:val="P68B1DB1-Normal41"/>
              <w:jc w:val="center"/>
              <w:rPr>
                <w:rFonts w:ascii="Times New Roman" w:hAnsi="Times New Roman" w:cs="Times New Roman"/>
                <w:noProof/>
              </w:rPr>
            </w:pPr>
            <w:r>
              <w:rPr>
                <w:noProof/>
              </w:rPr>
              <w:t>2023</w:t>
            </w:r>
          </w:p>
        </w:tc>
        <w:tc>
          <w:tcPr>
            <w:tcW w:w="1380" w:type="pct"/>
            <w:tcBorders>
              <w:top w:val="nil"/>
              <w:left w:val="nil"/>
              <w:bottom w:val="single" w:sz="4" w:space="0" w:color="auto"/>
              <w:right w:val="single" w:sz="4" w:space="0" w:color="auto"/>
            </w:tcBorders>
            <w:shd w:val="clear" w:color="auto" w:fill="C6EFCE"/>
            <w:noWrap/>
          </w:tcPr>
          <w:p w14:paraId="309A8A64" w14:textId="77777777" w:rsidR="003A3D51" w:rsidRDefault="0002775A">
            <w:pPr>
              <w:pStyle w:val="P68B1DB1-Normal41"/>
              <w:rPr>
                <w:rFonts w:ascii="Times New Roman" w:hAnsi="Times New Roman" w:cs="Times New Roman"/>
                <w:noProof/>
              </w:rPr>
            </w:pPr>
            <w:r>
              <w:rPr>
                <w:noProof/>
              </w:rPr>
              <w:t xml:space="preserve">Ändringarna av den rättsliga ramen för att förbättra utbildningen i offentlig upphandling ska omfatta i) fastställande av en läroplan för kompetenshöjningsprogram, fastställande av kompetens och lärandemål, ii) integrering av ProcurCompEU i det obligatoriska utbildnings- och certifieringssystemet för offentlig upphandling. III) Ett krav på att genomföra en kvalitativ bedömning av utbildningen. </w:t>
            </w:r>
            <w:r>
              <w:rPr>
                <w:noProof/>
              </w:rPr>
              <w:br/>
              <w:t xml:space="preserve">Ändringarna förväntas ge en övergripande strategi som är nödvändig för att säkerställa en förstärkning av den administrativa kapaciteten hos personalen vid centrala institutioner för offentlig upphandling, även med hjälp av rekommendationerna från analysen av arbetsbördan (R1-I1). På grundval av resultaten av den organisatoriska bedömningen och de strategiska prioriteringarna ska utbildning prioriteras som kan ge störst effekt när det gäller att uppnå mål såsom integritets- och öppenhetsfrågor, korrekt planering av förfaranden, rättvisa och öppna tekniska specifikationer, tydliga urvals- och utvärderingskriterier för anbud, kontraktsförvaltning och ändringar. </w:t>
            </w:r>
          </w:p>
        </w:tc>
      </w:tr>
      <w:tr w:rsidR="003A3D51" w14:paraId="72A9B89B" w14:textId="77777777" w:rsidTr="007F6DD6">
        <w:trPr>
          <w:trHeight w:val="283"/>
          <w:jc w:val="center"/>
        </w:trPr>
        <w:tc>
          <w:tcPr>
            <w:tcW w:w="188" w:type="pct"/>
            <w:tcBorders>
              <w:top w:val="nil"/>
              <w:left w:val="single" w:sz="4" w:space="0" w:color="auto"/>
              <w:bottom w:val="single" w:sz="4" w:space="0" w:color="auto"/>
              <w:right w:val="single" w:sz="4" w:space="0" w:color="auto"/>
            </w:tcBorders>
            <w:shd w:val="clear" w:color="auto" w:fill="C6EFCE"/>
            <w:noWrap/>
          </w:tcPr>
          <w:p w14:paraId="4D1DFBF0" w14:textId="77777777" w:rsidR="003A3D51" w:rsidRDefault="0002775A">
            <w:pPr>
              <w:pStyle w:val="P68B1DB1-Normal41"/>
              <w:jc w:val="center"/>
              <w:rPr>
                <w:rFonts w:ascii="Times New Roman" w:hAnsi="Times New Roman" w:cs="Times New Roman"/>
                <w:noProof/>
              </w:rPr>
            </w:pPr>
            <w:r>
              <w:rPr>
                <w:noProof/>
              </w:rPr>
              <w:t>258</w:t>
            </w:r>
          </w:p>
        </w:tc>
        <w:tc>
          <w:tcPr>
            <w:tcW w:w="247" w:type="pct"/>
            <w:tcBorders>
              <w:top w:val="nil"/>
              <w:left w:val="nil"/>
              <w:bottom w:val="single" w:sz="4" w:space="0" w:color="auto"/>
              <w:right w:val="single" w:sz="4" w:space="0" w:color="auto"/>
            </w:tcBorders>
            <w:shd w:val="clear" w:color="auto" w:fill="C6EFCE"/>
            <w:noWrap/>
          </w:tcPr>
          <w:p w14:paraId="1257142F" w14:textId="77777777" w:rsidR="003A3D51" w:rsidRDefault="0002775A">
            <w:pPr>
              <w:pStyle w:val="P68B1DB1-Normal41"/>
              <w:jc w:val="center"/>
              <w:rPr>
                <w:rFonts w:ascii="Times New Roman" w:hAnsi="Times New Roman" w:cs="Times New Roman"/>
                <w:noProof/>
              </w:rPr>
            </w:pPr>
            <w:r>
              <w:rPr>
                <w:noProof/>
              </w:rPr>
              <w:t>C2.9 R1</w:t>
            </w:r>
          </w:p>
        </w:tc>
        <w:tc>
          <w:tcPr>
            <w:tcW w:w="300" w:type="pct"/>
            <w:tcBorders>
              <w:top w:val="nil"/>
              <w:left w:val="nil"/>
              <w:bottom w:val="single" w:sz="4" w:space="0" w:color="auto"/>
              <w:right w:val="single" w:sz="4" w:space="0" w:color="auto"/>
            </w:tcBorders>
            <w:shd w:val="clear" w:color="auto" w:fill="C6EFCE"/>
            <w:noWrap/>
          </w:tcPr>
          <w:p w14:paraId="31AE1B6D" w14:textId="77777777" w:rsidR="003A3D51" w:rsidRDefault="0002775A">
            <w:pPr>
              <w:pStyle w:val="P68B1DB1-Normal41"/>
              <w:jc w:val="center"/>
              <w:rPr>
                <w:rFonts w:ascii="Times New Roman" w:hAnsi="Times New Roman" w:cs="Times New Roman"/>
                <w:noProof/>
              </w:rPr>
            </w:pPr>
            <w:r>
              <w:rPr>
                <w:noProof/>
              </w:rPr>
              <w:t>M</w:t>
            </w:r>
          </w:p>
        </w:tc>
        <w:tc>
          <w:tcPr>
            <w:tcW w:w="633" w:type="pct"/>
            <w:tcBorders>
              <w:top w:val="nil"/>
              <w:left w:val="nil"/>
              <w:bottom w:val="single" w:sz="4" w:space="0" w:color="auto"/>
              <w:right w:val="single" w:sz="4" w:space="0" w:color="auto"/>
            </w:tcBorders>
            <w:shd w:val="clear" w:color="auto" w:fill="C6EFCE"/>
            <w:noWrap/>
          </w:tcPr>
          <w:p w14:paraId="7F5F01F4" w14:textId="77777777" w:rsidR="003A3D51" w:rsidRDefault="0002775A">
            <w:pPr>
              <w:pStyle w:val="P68B1DB1-Normal41"/>
              <w:rPr>
                <w:rFonts w:ascii="Times New Roman" w:hAnsi="Times New Roman" w:cs="Times New Roman"/>
                <w:noProof/>
              </w:rPr>
            </w:pPr>
            <w:r>
              <w:rPr>
                <w:noProof/>
              </w:rPr>
              <w:t>Integrering av en skräddarsydd ram för fortbildning av upphandlingsansvariga inom ProcurCompEU i det obligatoriska utbildnings- och certifieringssystemet för offentlig upphandling.</w:t>
            </w:r>
          </w:p>
        </w:tc>
        <w:tc>
          <w:tcPr>
            <w:tcW w:w="745" w:type="pct"/>
            <w:tcBorders>
              <w:top w:val="nil"/>
              <w:left w:val="nil"/>
              <w:bottom w:val="single" w:sz="4" w:space="0" w:color="auto"/>
              <w:right w:val="single" w:sz="4" w:space="0" w:color="auto"/>
            </w:tcBorders>
            <w:shd w:val="clear" w:color="auto" w:fill="C6EFCE"/>
            <w:noWrap/>
          </w:tcPr>
          <w:p w14:paraId="7ADAFA47" w14:textId="77777777" w:rsidR="003A3D51" w:rsidRDefault="0002775A">
            <w:pPr>
              <w:pStyle w:val="P68B1DB1-Normal41"/>
              <w:rPr>
                <w:rFonts w:ascii="Times New Roman" w:hAnsi="Times New Roman" w:cs="Times New Roman"/>
                <w:noProof/>
              </w:rPr>
            </w:pPr>
            <w:r>
              <w:rPr>
                <w:noProof/>
              </w:rPr>
              <w:t xml:space="preserve">Ikraftträdande av ramen för fortbildning av tjänstemän inom offentlig upphandling i linje med ProcurCompEU. </w:t>
            </w:r>
          </w:p>
        </w:tc>
        <w:tc>
          <w:tcPr>
            <w:tcW w:w="348" w:type="pct"/>
            <w:tcBorders>
              <w:top w:val="nil"/>
              <w:left w:val="nil"/>
              <w:bottom w:val="single" w:sz="4" w:space="0" w:color="auto"/>
              <w:right w:val="single" w:sz="4" w:space="0" w:color="auto"/>
            </w:tcBorders>
            <w:shd w:val="clear" w:color="auto" w:fill="C6EFCE"/>
            <w:noWrap/>
          </w:tcPr>
          <w:p w14:paraId="3DC073BF" w14:textId="77777777" w:rsidR="003A3D51" w:rsidRDefault="0002775A">
            <w:pPr>
              <w:pStyle w:val="P68B1DB1-Normal41"/>
              <w:jc w:val="center"/>
              <w:rPr>
                <w:rFonts w:ascii="Times New Roman" w:hAnsi="Times New Roman" w:cs="Times New Roman"/>
                <w:noProof/>
              </w:rPr>
            </w:pPr>
            <w:r>
              <w:rPr>
                <w:noProof/>
              </w:rPr>
              <w:t> </w:t>
            </w:r>
          </w:p>
        </w:tc>
        <w:tc>
          <w:tcPr>
            <w:tcW w:w="307" w:type="pct"/>
            <w:tcBorders>
              <w:top w:val="nil"/>
              <w:left w:val="nil"/>
              <w:bottom w:val="single" w:sz="4" w:space="0" w:color="auto"/>
              <w:right w:val="single" w:sz="4" w:space="0" w:color="auto"/>
            </w:tcBorders>
            <w:shd w:val="clear" w:color="auto" w:fill="C6EFCE"/>
            <w:noWrap/>
          </w:tcPr>
          <w:p w14:paraId="1B254D44" w14:textId="77777777" w:rsidR="003A3D51" w:rsidRDefault="0002775A">
            <w:pPr>
              <w:pStyle w:val="P68B1DB1-Normal41"/>
              <w:jc w:val="center"/>
              <w:rPr>
                <w:rFonts w:ascii="Times New Roman" w:hAnsi="Times New Roman" w:cs="Times New Roman"/>
                <w:noProof/>
              </w:rPr>
            </w:pPr>
            <w:r>
              <w:rPr>
                <w:noProof/>
              </w:rPr>
              <w:t> </w:t>
            </w:r>
          </w:p>
        </w:tc>
        <w:tc>
          <w:tcPr>
            <w:tcW w:w="294" w:type="pct"/>
            <w:tcBorders>
              <w:top w:val="nil"/>
              <w:left w:val="nil"/>
              <w:bottom w:val="single" w:sz="4" w:space="0" w:color="auto"/>
              <w:right w:val="single" w:sz="4" w:space="0" w:color="auto"/>
            </w:tcBorders>
            <w:shd w:val="clear" w:color="auto" w:fill="C6EFCE"/>
            <w:noWrap/>
          </w:tcPr>
          <w:p w14:paraId="0111EC3E" w14:textId="77777777" w:rsidR="003A3D51" w:rsidRDefault="0002775A">
            <w:pPr>
              <w:pStyle w:val="P68B1DB1-Normal41"/>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27A0C564" w14:textId="77777777" w:rsidR="003A3D51" w:rsidRDefault="0002775A">
            <w:pPr>
              <w:pStyle w:val="P68B1DB1-Normal41"/>
              <w:jc w:val="center"/>
              <w:rPr>
                <w:rFonts w:ascii="Times New Roman" w:hAnsi="Times New Roman" w:cs="Times New Roman"/>
                <w:noProof/>
              </w:rPr>
            </w:pPr>
            <w:r>
              <w:rPr>
                <w:noProof/>
              </w:rPr>
              <w:t>KVARTAL 4</w:t>
            </w:r>
          </w:p>
        </w:tc>
        <w:tc>
          <w:tcPr>
            <w:tcW w:w="305" w:type="pct"/>
            <w:tcBorders>
              <w:top w:val="nil"/>
              <w:left w:val="nil"/>
              <w:bottom w:val="single" w:sz="4" w:space="0" w:color="auto"/>
              <w:right w:val="single" w:sz="4" w:space="0" w:color="auto"/>
            </w:tcBorders>
            <w:shd w:val="clear" w:color="auto" w:fill="C6EFCE"/>
            <w:noWrap/>
          </w:tcPr>
          <w:p w14:paraId="5DC15004" w14:textId="77777777" w:rsidR="003A3D51" w:rsidRDefault="0002775A">
            <w:pPr>
              <w:pStyle w:val="P68B1DB1-Normal41"/>
              <w:jc w:val="center"/>
              <w:rPr>
                <w:rFonts w:ascii="Times New Roman" w:hAnsi="Times New Roman" w:cs="Times New Roman"/>
                <w:noProof/>
              </w:rPr>
            </w:pPr>
            <w:r>
              <w:rPr>
                <w:noProof/>
              </w:rPr>
              <w:t>2023</w:t>
            </w:r>
          </w:p>
        </w:tc>
        <w:tc>
          <w:tcPr>
            <w:tcW w:w="1380" w:type="pct"/>
            <w:tcBorders>
              <w:top w:val="nil"/>
              <w:left w:val="nil"/>
              <w:bottom w:val="single" w:sz="4" w:space="0" w:color="auto"/>
              <w:right w:val="single" w:sz="4" w:space="0" w:color="auto"/>
            </w:tcBorders>
            <w:shd w:val="clear" w:color="auto" w:fill="C6EFCE"/>
            <w:noWrap/>
          </w:tcPr>
          <w:p w14:paraId="5C2781C1" w14:textId="77777777" w:rsidR="003A3D51" w:rsidRDefault="0002775A">
            <w:pPr>
              <w:pStyle w:val="P68B1DB1-Normal41"/>
              <w:rPr>
                <w:rFonts w:ascii="Times New Roman" w:hAnsi="Times New Roman" w:cs="Times New Roman"/>
                <w:noProof/>
              </w:rPr>
            </w:pPr>
            <w:r>
              <w:rPr>
                <w:noProof/>
              </w:rPr>
              <w:t>ProcurCompEU-verktyget ska anpassas till Kroatiens särdrag och integreras i det befintliga obligatoriska utbildnings- och certifieringssystemet för offentlig upphandling. En undersida på portalen för offentlig upphandling kommer att skapas där ProcurCompEU-verktyg är tillgängliga och gratis att använda för alla berörda parter i systemet för offentlig upphandling, och det behöriga politiska organet för offentlig upphandling stöder dess praktiska genomförande och tillsyn.</w:t>
            </w:r>
          </w:p>
        </w:tc>
      </w:tr>
      <w:tr w:rsidR="003A3D51" w14:paraId="5A2872B7" w14:textId="77777777" w:rsidTr="007F6DD6">
        <w:trPr>
          <w:trHeight w:val="283"/>
          <w:jc w:val="center"/>
        </w:trPr>
        <w:tc>
          <w:tcPr>
            <w:tcW w:w="188" w:type="pct"/>
            <w:tcBorders>
              <w:top w:val="nil"/>
              <w:left w:val="single" w:sz="4" w:space="0" w:color="auto"/>
              <w:bottom w:val="single" w:sz="4" w:space="0" w:color="auto"/>
              <w:right w:val="single" w:sz="4" w:space="0" w:color="auto"/>
            </w:tcBorders>
            <w:shd w:val="clear" w:color="auto" w:fill="C6EFCE"/>
            <w:noWrap/>
          </w:tcPr>
          <w:p w14:paraId="741BF6EF" w14:textId="77777777" w:rsidR="003A3D51" w:rsidRDefault="0002775A">
            <w:pPr>
              <w:pStyle w:val="P68B1DB1-Normal41"/>
              <w:jc w:val="center"/>
              <w:rPr>
                <w:rFonts w:ascii="Times New Roman" w:hAnsi="Times New Roman" w:cs="Times New Roman"/>
                <w:noProof/>
              </w:rPr>
            </w:pPr>
            <w:r>
              <w:rPr>
                <w:noProof/>
              </w:rPr>
              <w:t>259</w:t>
            </w:r>
          </w:p>
        </w:tc>
        <w:tc>
          <w:tcPr>
            <w:tcW w:w="247" w:type="pct"/>
            <w:tcBorders>
              <w:top w:val="nil"/>
              <w:left w:val="nil"/>
              <w:bottom w:val="single" w:sz="4" w:space="0" w:color="auto"/>
              <w:right w:val="single" w:sz="4" w:space="0" w:color="auto"/>
            </w:tcBorders>
            <w:shd w:val="clear" w:color="auto" w:fill="C6EFCE"/>
            <w:noWrap/>
          </w:tcPr>
          <w:p w14:paraId="6FDD2CED" w14:textId="77777777" w:rsidR="003A3D51" w:rsidRDefault="0002775A">
            <w:pPr>
              <w:pStyle w:val="P68B1DB1-Normal41"/>
              <w:jc w:val="center"/>
              <w:rPr>
                <w:rFonts w:ascii="Times New Roman" w:hAnsi="Times New Roman" w:cs="Times New Roman"/>
                <w:noProof/>
              </w:rPr>
            </w:pPr>
            <w:r>
              <w:rPr>
                <w:noProof/>
              </w:rPr>
              <w:t>C2.9 R1-I1</w:t>
            </w:r>
          </w:p>
        </w:tc>
        <w:tc>
          <w:tcPr>
            <w:tcW w:w="300" w:type="pct"/>
            <w:tcBorders>
              <w:top w:val="nil"/>
              <w:left w:val="nil"/>
              <w:bottom w:val="single" w:sz="4" w:space="0" w:color="auto"/>
              <w:right w:val="single" w:sz="4" w:space="0" w:color="auto"/>
            </w:tcBorders>
            <w:shd w:val="clear" w:color="auto" w:fill="C6EFCE"/>
            <w:noWrap/>
          </w:tcPr>
          <w:p w14:paraId="131174EA" w14:textId="77777777" w:rsidR="003A3D51" w:rsidRDefault="0002775A">
            <w:pPr>
              <w:pStyle w:val="P68B1DB1-Normal41"/>
              <w:jc w:val="center"/>
              <w:rPr>
                <w:rFonts w:ascii="Times New Roman" w:hAnsi="Times New Roman" w:cs="Times New Roman"/>
                <w:noProof/>
              </w:rPr>
            </w:pPr>
            <w:r>
              <w:rPr>
                <w:noProof/>
              </w:rPr>
              <w:t>M</w:t>
            </w:r>
          </w:p>
        </w:tc>
        <w:tc>
          <w:tcPr>
            <w:tcW w:w="633" w:type="pct"/>
            <w:tcBorders>
              <w:top w:val="nil"/>
              <w:left w:val="nil"/>
              <w:bottom w:val="single" w:sz="4" w:space="0" w:color="auto"/>
              <w:right w:val="single" w:sz="4" w:space="0" w:color="auto"/>
            </w:tcBorders>
            <w:shd w:val="clear" w:color="auto" w:fill="C6EFCE"/>
            <w:noWrap/>
          </w:tcPr>
          <w:p w14:paraId="1FBEEF61" w14:textId="77777777" w:rsidR="003A3D51" w:rsidRDefault="0002775A">
            <w:pPr>
              <w:pStyle w:val="P68B1DB1-Normal41"/>
              <w:rPr>
                <w:rFonts w:ascii="Times New Roman" w:hAnsi="Times New Roman" w:cs="Times New Roman"/>
                <w:noProof/>
              </w:rPr>
            </w:pPr>
            <w:r>
              <w:rPr>
                <w:noProof/>
              </w:rPr>
              <w:t>Offentliggörande av oberoende analyser och konkreta rekommendationer för att förbättra hanteringen av bördorna för all personal vid centrala institutioner i upphandlingssystemet (MINGOR, SAFU, DKOM).</w:t>
            </w:r>
          </w:p>
        </w:tc>
        <w:tc>
          <w:tcPr>
            <w:tcW w:w="745" w:type="pct"/>
            <w:tcBorders>
              <w:top w:val="nil"/>
              <w:left w:val="nil"/>
              <w:bottom w:val="single" w:sz="4" w:space="0" w:color="auto"/>
              <w:right w:val="single" w:sz="4" w:space="0" w:color="auto"/>
            </w:tcBorders>
            <w:shd w:val="clear" w:color="auto" w:fill="C6EFCE"/>
            <w:noWrap/>
          </w:tcPr>
          <w:p w14:paraId="7AF222D1" w14:textId="77777777" w:rsidR="003A3D51" w:rsidRDefault="0002775A">
            <w:pPr>
              <w:pStyle w:val="P68B1DB1-Normal41"/>
              <w:rPr>
                <w:rFonts w:ascii="Times New Roman" w:hAnsi="Times New Roman" w:cs="Times New Roman"/>
                <w:noProof/>
              </w:rPr>
            </w:pPr>
            <w:r>
              <w:rPr>
                <w:noProof/>
              </w:rPr>
              <w:t>Offentliggörande av en analys av arbetsbördan för anställda vid centrala institutioner i systemet för offentlig upphandling (MINGOR, SAFU och DKOM), inklusive en handlingsplan för att genomföra personalrekommendationer och åtgärder</w:t>
            </w:r>
          </w:p>
        </w:tc>
        <w:tc>
          <w:tcPr>
            <w:tcW w:w="348" w:type="pct"/>
            <w:tcBorders>
              <w:top w:val="nil"/>
              <w:left w:val="nil"/>
              <w:bottom w:val="single" w:sz="4" w:space="0" w:color="auto"/>
              <w:right w:val="single" w:sz="4" w:space="0" w:color="auto"/>
            </w:tcBorders>
            <w:shd w:val="clear" w:color="auto" w:fill="C6EFCE"/>
            <w:noWrap/>
          </w:tcPr>
          <w:p w14:paraId="362EB02D" w14:textId="77777777" w:rsidR="003A3D51" w:rsidRDefault="0002775A">
            <w:pPr>
              <w:pStyle w:val="P68B1DB1-Normal41"/>
              <w:jc w:val="center"/>
              <w:rPr>
                <w:rFonts w:ascii="Times New Roman" w:hAnsi="Times New Roman" w:cs="Times New Roman"/>
                <w:noProof/>
              </w:rPr>
            </w:pPr>
            <w:r>
              <w:rPr>
                <w:noProof/>
              </w:rPr>
              <w:t> </w:t>
            </w:r>
          </w:p>
        </w:tc>
        <w:tc>
          <w:tcPr>
            <w:tcW w:w="307" w:type="pct"/>
            <w:tcBorders>
              <w:top w:val="nil"/>
              <w:left w:val="nil"/>
              <w:bottom w:val="single" w:sz="4" w:space="0" w:color="auto"/>
              <w:right w:val="single" w:sz="4" w:space="0" w:color="auto"/>
            </w:tcBorders>
            <w:shd w:val="clear" w:color="auto" w:fill="C6EFCE"/>
            <w:noWrap/>
          </w:tcPr>
          <w:p w14:paraId="382978C1" w14:textId="77777777" w:rsidR="003A3D51" w:rsidRDefault="0002775A">
            <w:pPr>
              <w:pStyle w:val="P68B1DB1-Normal41"/>
              <w:jc w:val="center"/>
              <w:rPr>
                <w:rFonts w:ascii="Times New Roman" w:hAnsi="Times New Roman" w:cs="Times New Roman"/>
                <w:noProof/>
              </w:rPr>
            </w:pPr>
            <w:r>
              <w:rPr>
                <w:noProof/>
              </w:rPr>
              <w:t> </w:t>
            </w:r>
          </w:p>
        </w:tc>
        <w:tc>
          <w:tcPr>
            <w:tcW w:w="294" w:type="pct"/>
            <w:tcBorders>
              <w:top w:val="nil"/>
              <w:left w:val="nil"/>
              <w:bottom w:val="single" w:sz="4" w:space="0" w:color="auto"/>
              <w:right w:val="single" w:sz="4" w:space="0" w:color="auto"/>
            </w:tcBorders>
            <w:shd w:val="clear" w:color="auto" w:fill="C6EFCE"/>
            <w:noWrap/>
          </w:tcPr>
          <w:p w14:paraId="2A0A45C1" w14:textId="77777777" w:rsidR="003A3D51" w:rsidRDefault="0002775A">
            <w:pPr>
              <w:pStyle w:val="P68B1DB1-Normal41"/>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6722B515" w14:textId="77777777" w:rsidR="003A3D51" w:rsidRDefault="0002775A">
            <w:pPr>
              <w:pStyle w:val="P68B1DB1-Normal41"/>
              <w:jc w:val="center"/>
              <w:rPr>
                <w:rFonts w:ascii="Times New Roman" w:hAnsi="Times New Roman" w:cs="Times New Roman"/>
                <w:noProof/>
              </w:rPr>
            </w:pPr>
            <w:r>
              <w:rPr>
                <w:noProof/>
              </w:rPr>
              <w:t>KVARTAL 3</w:t>
            </w:r>
          </w:p>
        </w:tc>
        <w:tc>
          <w:tcPr>
            <w:tcW w:w="305" w:type="pct"/>
            <w:tcBorders>
              <w:top w:val="nil"/>
              <w:left w:val="nil"/>
              <w:bottom w:val="single" w:sz="4" w:space="0" w:color="auto"/>
              <w:right w:val="single" w:sz="4" w:space="0" w:color="auto"/>
            </w:tcBorders>
            <w:shd w:val="clear" w:color="auto" w:fill="C6EFCE"/>
            <w:noWrap/>
          </w:tcPr>
          <w:p w14:paraId="3989DAC5" w14:textId="77777777" w:rsidR="003A3D51" w:rsidRDefault="0002775A">
            <w:pPr>
              <w:pStyle w:val="P68B1DB1-Normal41"/>
              <w:jc w:val="center"/>
              <w:rPr>
                <w:rFonts w:ascii="Times New Roman" w:hAnsi="Times New Roman" w:cs="Times New Roman"/>
                <w:noProof/>
              </w:rPr>
            </w:pPr>
            <w:r>
              <w:rPr>
                <w:noProof/>
              </w:rPr>
              <w:t>2022</w:t>
            </w:r>
          </w:p>
        </w:tc>
        <w:tc>
          <w:tcPr>
            <w:tcW w:w="1380" w:type="pct"/>
            <w:tcBorders>
              <w:top w:val="nil"/>
              <w:left w:val="nil"/>
              <w:bottom w:val="single" w:sz="4" w:space="0" w:color="auto"/>
              <w:right w:val="single" w:sz="4" w:space="0" w:color="auto"/>
            </w:tcBorders>
            <w:shd w:val="clear" w:color="auto" w:fill="C6EFCE"/>
            <w:noWrap/>
          </w:tcPr>
          <w:p w14:paraId="789A7FDE" w14:textId="77777777" w:rsidR="003A3D51" w:rsidRDefault="0002775A">
            <w:pPr>
              <w:pStyle w:val="P68B1DB1-Normal41"/>
              <w:rPr>
                <w:rFonts w:ascii="Times New Roman" w:hAnsi="Times New Roman" w:cs="Times New Roman"/>
                <w:noProof/>
              </w:rPr>
            </w:pPr>
            <w:r>
              <w:rPr>
                <w:noProof/>
              </w:rPr>
              <w:t>Oberoende externa experter ska göra en omfattande analys av arbetsbördan för personal vid centrala institutioner inom det system för offentlig upphandling som ingår i EU-fonderna, inbegripet en beskrivning av de uppgifter de utför och nödvändig kompetens och ersättningssystem. Den offentliggjorda oberoende rapporten kommer att bygga på en omfattande analys av rollerna i systemet för offentlig upphandling och arbetsbelastningen, med beaktande av historiska uppgifter om arbetsbördan och en jämförelse av dem med trender i den ökande arbetsbördan, inbegripet utbildningsbehov i specifika frågor såsom hållbar upphandling och tillgång till små och medelstora företag. Rapporten ska innehålla en handlingsplan för att genomföra åtgärder och rekommendationer för förbättringar för att säkerställa rekrytering och bibehållande av högkvalificerad personal.</w:t>
            </w:r>
          </w:p>
        </w:tc>
      </w:tr>
      <w:tr w:rsidR="003A3D51" w14:paraId="46531F65" w14:textId="77777777" w:rsidTr="007F6DD6">
        <w:trPr>
          <w:trHeight w:val="283"/>
          <w:jc w:val="center"/>
        </w:trPr>
        <w:tc>
          <w:tcPr>
            <w:tcW w:w="188" w:type="pct"/>
            <w:tcBorders>
              <w:top w:val="nil"/>
              <w:left w:val="single" w:sz="4" w:space="0" w:color="auto"/>
              <w:bottom w:val="single" w:sz="4" w:space="0" w:color="auto"/>
              <w:right w:val="single" w:sz="4" w:space="0" w:color="auto"/>
            </w:tcBorders>
            <w:shd w:val="clear" w:color="auto" w:fill="C6EFCE"/>
            <w:noWrap/>
          </w:tcPr>
          <w:p w14:paraId="5CC5B51D" w14:textId="77777777" w:rsidR="003A3D51" w:rsidRDefault="0002775A">
            <w:pPr>
              <w:pStyle w:val="P68B1DB1-Normal41"/>
              <w:jc w:val="center"/>
              <w:rPr>
                <w:rFonts w:ascii="Times New Roman" w:hAnsi="Times New Roman" w:cs="Times New Roman"/>
                <w:noProof/>
              </w:rPr>
            </w:pPr>
            <w:r>
              <w:rPr>
                <w:noProof/>
              </w:rPr>
              <w:t>260</w:t>
            </w:r>
          </w:p>
        </w:tc>
        <w:tc>
          <w:tcPr>
            <w:tcW w:w="247" w:type="pct"/>
            <w:tcBorders>
              <w:top w:val="nil"/>
              <w:left w:val="nil"/>
              <w:bottom w:val="single" w:sz="4" w:space="0" w:color="auto"/>
              <w:right w:val="single" w:sz="4" w:space="0" w:color="auto"/>
            </w:tcBorders>
            <w:shd w:val="clear" w:color="auto" w:fill="C6EFCE"/>
            <w:noWrap/>
          </w:tcPr>
          <w:p w14:paraId="27C20330" w14:textId="77777777" w:rsidR="003A3D51" w:rsidRDefault="0002775A">
            <w:pPr>
              <w:pStyle w:val="P68B1DB1-Normal41"/>
              <w:jc w:val="center"/>
              <w:rPr>
                <w:rFonts w:ascii="Times New Roman" w:hAnsi="Times New Roman" w:cs="Times New Roman"/>
                <w:noProof/>
              </w:rPr>
            </w:pPr>
            <w:r>
              <w:rPr>
                <w:noProof/>
              </w:rPr>
              <w:t>C2.9 R2</w:t>
            </w:r>
          </w:p>
        </w:tc>
        <w:tc>
          <w:tcPr>
            <w:tcW w:w="300" w:type="pct"/>
            <w:tcBorders>
              <w:top w:val="nil"/>
              <w:left w:val="nil"/>
              <w:bottom w:val="single" w:sz="4" w:space="0" w:color="auto"/>
              <w:right w:val="single" w:sz="4" w:space="0" w:color="auto"/>
            </w:tcBorders>
            <w:shd w:val="clear" w:color="auto" w:fill="C6EFCE"/>
            <w:noWrap/>
          </w:tcPr>
          <w:p w14:paraId="59010042" w14:textId="77777777" w:rsidR="003A3D51" w:rsidRDefault="0002775A">
            <w:pPr>
              <w:pStyle w:val="P68B1DB1-Normal41"/>
              <w:jc w:val="center"/>
              <w:rPr>
                <w:rFonts w:ascii="Times New Roman" w:hAnsi="Times New Roman" w:cs="Times New Roman"/>
                <w:noProof/>
              </w:rPr>
            </w:pPr>
            <w:r>
              <w:rPr>
                <w:noProof/>
              </w:rPr>
              <w:t>M</w:t>
            </w:r>
          </w:p>
        </w:tc>
        <w:tc>
          <w:tcPr>
            <w:tcW w:w="633" w:type="pct"/>
            <w:tcBorders>
              <w:top w:val="nil"/>
              <w:left w:val="nil"/>
              <w:bottom w:val="single" w:sz="4" w:space="0" w:color="auto"/>
              <w:right w:val="single" w:sz="4" w:space="0" w:color="auto"/>
            </w:tcBorders>
            <w:shd w:val="clear" w:color="auto" w:fill="C6EFCE"/>
            <w:noWrap/>
          </w:tcPr>
          <w:p w14:paraId="1673CA2E" w14:textId="77777777" w:rsidR="003A3D51" w:rsidRDefault="0002775A">
            <w:pPr>
              <w:pStyle w:val="P68B1DB1-Normal41"/>
              <w:rPr>
                <w:rFonts w:ascii="Times New Roman" w:hAnsi="Times New Roman" w:cs="Times New Roman"/>
                <w:noProof/>
              </w:rPr>
            </w:pPr>
            <w:r>
              <w:rPr>
                <w:noProof/>
              </w:rPr>
              <w:t>Ändring av den rättsliga ramen för offentlig upphandling som gör användningen av e-överklagande till ett obligatoriskt sätt att överklaga</w:t>
            </w:r>
          </w:p>
        </w:tc>
        <w:tc>
          <w:tcPr>
            <w:tcW w:w="745" w:type="pct"/>
            <w:tcBorders>
              <w:top w:val="nil"/>
              <w:left w:val="nil"/>
              <w:bottom w:val="single" w:sz="4" w:space="0" w:color="auto"/>
              <w:right w:val="single" w:sz="4" w:space="0" w:color="auto"/>
            </w:tcBorders>
            <w:shd w:val="clear" w:color="auto" w:fill="C6EFCE"/>
            <w:noWrap/>
          </w:tcPr>
          <w:p w14:paraId="73201742" w14:textId="77777777" w:rsidR="003A3D51" w:rsidRDefault="0002775A">
            <w:pPr>
              <w:pStyle w:val="P68B1DB1-Normal41"/>
              <w:rPr>
                <w:rFonts w:ascii="Times New Roman" w:hAnsi="Times New Roman" w:cs="Times New Roman"/>
                <w:noProof/>
              </w:rPr>
            </w:pPr>
            <w:r>
              <w:rPr>
                <w:noProof/>
              </w:rPr>
              <w:t xml:space="preserve">Ikraftträdande av ändringarna i lagen om offentlig upphandling och i stadgarna (förordningen om överklaganden i offentliga upphandlingsförfaranden) </w:t>
            </w:r>
          </w:p>
        </w:tc>
        <w:tc>
          <w:tcPr>
            <w:tcW w:w="348" w:type="pct"/>
            <w:tcBorders>
              <w:top w:val="nil"/>
              <w:left w:val="nil"/>
              <w:bottom w:val="single" w:sz="4" w:space="0" w:color="auto"/>
              <w:right w:val="single" w:sz="4" w:space="0" w:color="auto"/>
            </w:tcBorders>
            <w:shd w:val="clear" w:color="auto" w:fill="C6EFCE"/>
            <w:noWrap/>
          </w:tcPr>
          <w:p w14:paraId="312922EF" w14:textId="77777777" w:rsidR="003A3D51" w:rsidRDefault="0002775A">
            <w:pPr>
              <w:pStyle w:val="P68B1DB1-Normal41"/>
              <w:jc w:val="center"/>
              <w:rPr>
                <w:rFonts w:ascii="Times New Roman" w:hAnsi="Times New Roman" w:cs="Times New Roman"/>
                <w:noProof/>
              </w:rPr>
            </w:pPr>
            <w:r>
              <w:rPr>
                <w:noProof/>
              </w:rPr>
              <w:t> </w:t>
            </w:r>
          </w:p>
        </w:tc>
        <w:tc>
          <w:tcPr>
            <w:tcW w:w="307" w:type="pct"/>
            <w:tcBorders>
              <w:top w:val="nil"/>
              <w:left w:val="nil"/>
              <w:bottom w:val="single" w:sz="4" w:space="0" w:color="auto"/>
              <w:right w:val="single" w:sz="4" w:space="0" w:color="auto"/>
            </w:tcBorders>
            <w:shd w:val="clear" w:color="auto" w:fill="C6EFCE"/>
            <w:noWrap/>
          </w:tcPr>
          <w:p w14:paraId="122DEA4B" w14:textId="77777777" w:rsidR="003A3D51" w:rsidRDefault="0002775A">
            <w:pPr>
              <w:pStyle w:val="P68B1DB1-Normal41"/>
              <w:jc w:val="center"/>
              <w:rPr>
                <w:rFonts w:ascii="Times New Roman" w:hAnsi="Times New Roman" w:cs="Times New Roman"/>
                <w:noProof/>
              </w:rPr>
            </w:pPr>
            <w:r>
              <w:rPr>
                <w:noProof/>
              </w:rPr>
              <w:t> </w:t>
            </w:r>
          </w:p>
        </w:tc>
        <w:tc>
          <w:tcPr>
            <w:tcW w:w="294" w:type="pct"/>
            <w:tcBorders>
              <w:top w:val="nil"/>
              <w:left w:val="nil"/>
              <w:bottom w:val="single" w:sz="4" w:space="0" w:color="auto"/>
              <w:right w:val="single" w:sz="4" w:space="0" w:color="auto"/>
            </w:tcBorders>
            <w:shd w:val="clear" w:color="auto" w:fill="C6EFCE"/>
            <w:noWrap/>
          </w:tcPr>
          <w:p w14:paraId="0681ECF5" w14:textId="77777777" w:rsidR="003A3D51" w:rsidRDefault="0002775A">
            <w:pPr>
              <w:pStyle w:val="P68B1DB1-Normal41"/>
              <w:jc w:val="center"/>
              <w:rPr>
                <w:rFonts w:ascii="Times New Roman" w:hAnsi="Times New Roman" w:cs="Times New Roman"/>
                <w:noProof/>
              </w:rPr>
            </w:pPr>
            <w:r>
              <w:rPr>
                <w:noProof/>
              </w:rPr>
              <w:t> </w:t>
            </w:r>
          </w:p>
        </w:tc>
        <w:tc>
          <w:tcPr>
            <w:tcW w:w="252" w:type="pct"/>
            <w:tcBorders>
              <w:top w:val="nil"/>
              <w:left w:val="nil"/>
              <w:bottom w:val="single" w:sz="4" w:space="0" w:color="auto"/>
              <w:right w:val="single" w:sz="4" w:space="0" w:color="auto"/>
            </w:tcBorders>
            <w:shd w:val="clear" w:color="auto" w:fill="C6EFCE"/>
            <w:noWrap/>
          </w:tcPr>
          <w:p w14:paraId="416C1ED6" w14:textId="77777777" w:rsidR="003A3D51" w:rsidRDefault="0002775A">
            <w:pPr>
              <w:pStyle w:val="P68B1DB1-Normal41"/>
              <w:jc w:val="center"/>
              <w:rPr>
                <w:rFonts w:ascii="Times New Roman" w:hAnsi="Times New Roman" w:cs="Times New Roman"/>
                <w:noProof/>
              </w:rPr>
            </w:pPr>
            <w:r>
              <w:rPr>
                <w:noProof/>
              </w:rPr>
              <w:t>KVARTAL 3</w:t>
            </w:r>
          </w:p>
        </w:tc>
        <w:tc>
          <w:tcPr>
            <w:tcW w:w="305" w:type="pct"/>
            <w:tcBorders>
              <w:top w:val="nil"/>
              <w:left w:val="nil"/>
              <w:bottom w:val="single" w:sz="4" w:space="0" w:color="auto"/>
              <w:right w:val="single" w:sz="4" w:space="0" w:color="auto"/>
            </w:tcBorders>
            <w:shd w:val="clear" w:color="auto" w:fill="C6EFCE"/>
            <w:noWrap/>
          </w:tcPr>
          <w:p w14:paraId="6BE7DB8B" w14:textId="77777777" w:rsidR="003A3D51" w:rsidRDefault="0002775A">
            <w:pPr>
              <w:pStyle w:val="P68B1DB1-Normal41"/>
              <w:jc w:val="center"/>
              <w:rPr>
                <w:rFonts w:ascii="Times New Roman" w:hAnsi="Times New Roman" w:cs="Times New Roman"/>
                <w:noProof/>
              </w:rPr>
            </w:pPr>
            <w:r>
              <w:rPr>
                <w:noProof/>
              </w:rPr>
              <w:t>2022</w:t>
            </w:r>
          </w:p>
        </w:tc>
        <w:tc>
          <w:tcPr>
            <w:tcW w:w="1380" w:type="pct"/>
            <w:tcBorders>
              <w:top w:val="nil"/>
              <w:left w:val="nil"/>
              <w:bottom w:val="single" w:sz="4" w:space="0" w:color="auto"/>
              <w:right w:val="single" w:sz="4" w:space="0" w:color="auto"/>
            </w:tcBorders>
            <w:shd w:val="clear" w:color="auto" w:fill="C6EFCE"/>
            <w:noWrap/>
          </w:tcPr>
          <w:p w14:paraId="38DE619A" w14:textId="77777777" w:rsidR="003A3D51" w:rsidRDefault="0002775A">
            <w:pPr>
              <w:pStyle w:val="P68B1DB1-Normal41"/>
              <w:rPr>
                <w:rFonts w:ascii="Times New Roman" w:hAnsi="Times New Roman" w:cs="Times New Roman"/>
                <w:noProof/>
              </w:rPr>
            </w:pPr>
            <w:r>
              <w:rPr>
                <w:noProof/>
              </w:rPr>
              <w:t>Den rättsliga ramen för offentlig upphandling (lagen om offentlig upphandling och relevanta förordningar) ska ändras så att e-överklagande införs som ett obligatoriskt medel för att få rättelse i systemet för offentlig upphandling.</w:t>
            </w:r>
          </w:p>
        </w:tc>
      </w:tr>
      <w:tr w:rsidR="003A3D51" w14:paraId="7499E5B8" w14:textId="77777777" w:rsidTr="007F6DD6">
        <w:trPr>
          <w:trHeight w:val="283"/>
          <w:jc w:val="center"/>
        </w:trPr>
        <w:tc>
          <w:tcPr>
            <w:tcW w:w="188" w:type="pct"/>
            <w:tcBorders>
              <w:top w:val="single" w:sz="4" w:space="0" w:color="auto"/>
              <w:left w:val="single" w:sz="4" w:space="0" w:color="auto"/>
              <w:bottom w:val="single" w:sz="4" w:space="0" w:color="auto"/>
              <w:right w:val="single" w:sz="4" w:space="0" w:color="auto"/>
            </w:tcBorders>
            <w:shd w:val="clear" w:color="auto" w:fill="C6EFCE"/>
            <w:noWrap/>
          </w:tcPr>
          <w:p w14:paraId="7DE84658" w14:textId="77777777" w:rsidR="003A3D51" w:rsidRDefault="0002775A">
            <w:pPr>
              <w:pStyle w:val="P68B1DB1-Normal41"/>
              <w:jc w:val="center"/>
              <w:rPr>
                <w:rFonts w:ascii="Times New Roman" w:hAnsi="Times New Roman" w:cs="Times New Roman"/>
                <w:noProof/>
              </w:rPr>
            </w:pPr>
            <w:r>
              <w:rPr>
                <w:noProof/>
              </w:rPr>
              <w:t>261</w:t>
            </w:r>
          </w:p>
        </w:tc>
        <w:tc>
          <w:tcPr>
            <w:tcW w:w="247" w:type="pct"/>
            <w:tcBorders>
              <w:top w:val="single" w:sz="4" w:space="0" w:color="auto"/>
              <w:left w:val="nil"/>
              <w:bottom w:val="single" w:sz="4" w:space="0" w:color="auto"/>
              <w:right w:val="single" w:sz="4" w:space="0" w:color="auto"/>
            </w:tcBorders>
            <w:shd w:val="clear" w:color="auto" w:fill="C6EFCE"/>
            <w:noWrap/>
          </w:tcPr>
          <w:p w14:paraId="52DFAA4F" w14:textId="77777777" w:rsidR="003A3D51" w:rsidRDefault="0002775A">
            <w:pPr>
              <w:pStyle w:val="P68B1DB1-Normal41"/>
              <w:jc w:val="center"/>
              <w:rPr>
                <w:rFonts w:ascii="Times New Roman" w:hAnsi="Times New Roman" w:cs="Times New Roman"/>
                <w:noProof/>
              </w:rPr>
            </w:pPr>
            <w:r>
              <w:rPr>
                <w:noProof/>
              </w:rPr>
              <w:t>C2.9 R2</w:t>
            </w:r>
          </w:p>
        </w:tc>
        <w:tc>
          <w:tcPr>
            <w:tcW w:w="300" w:type="pct"/>
            <w:tcBorders>
              <w:top w:val="single" w:sz="4" w:space="0" w:color="auto"/>
              <w:left w:val="nil"/>
              <w:bottom w:val="single" w:sz="4" w:space="0" w:color="auto"/>
              <w:right w:val="single" w:sz="4" w:space="0" w:color="auto"/>
            </w:tcBorders>
            <w:shd w:val="clear" w:color="auto" w:fill="C6EFCE"/>
            <w:noWrap/>
          </w:tcPr>
          <w:p w14:paraId="69957AC7" w14:textId="77777777" w:rsidR="003A3D51" w:rsidRDefault="0002775A">
            <w:pPr>
              <w:pStyle w:val="P68B1DB1-Normal41"/>
              <w:jc w:val="center"/>
              <w:rPr>
                <w:rFonts w:ascii="Times New Roman" w:hAnsi="Times New Roman" w:cs="Times New Roman"/>
                <w:noProof/>
              </w:rPr>
            </w:pPr>
            <w:r>
              <w:rPr>
                <w:noProof/>
              </w:rPr>
              <w:t>T</w:t>
            </w:r>
          </w:p>
        </w:tc>
        <w:tc>
          <w:tcPr>
            <w:tcW w:w="633" w:type="pct"/>
            <w:tcBorders>
              <w:top w:val="single" w:sz="4" w:space="0" w:color="auto"/>
              <w:left w:val="nil"/>
              <w:bottom w:val="single" w:sz="4" w:space="0" w:color="auto"/>
              <w:right w:val="single" w:sz="4" w:space="0" w:color="auto"/>
            </w:tcBorders>
            <w:shd w:val="clear" w:color="auto" w:fill="C6EFCE"/>
            <w:noWrap/>
          </w:tcPr>
          <w:p w14:paraId="26941B95" w14:textId="77777777" w:rsidR="003A3D51" w:rsidRDefault="0002775A">
            <w:pPr>
              <w:pStyle w:val="P68B1DB1-Normal41"/>
              <w:rPr>
                <w:rFonts w:ascii="Times New Roman" w:hAnsi="Times New Roman" w:cs="Times New Roman"/>
                <w:noProof/>
              </w:rPr>
            </w:pPr>
            <w:r>
              <w:rPr>
                <w:noProof/>
              </w:rPr>
              <w:t xml:space="preserve">Att minska de genomsnittliga tidsfristerna för handläggning av överklaganden och beslut till 28 dagar från och med dagen för mottagandet av överklagandet.                         </w:t>
            </w:r>
          </w:p>
        </w:tc>
        <w:tc>
          <w:tcPr>
            <w:tcW w:w="745" w:type="pct"/>
            <w:tcBorders>
              <w:top w:val="single" w:sz="4" w:space="0" w:color="auto"/>
              <w:left w:val="nil"/>
              <w:bottom w:val="single" w:sz="4" w:space="0" w:color="auto"/>
              <w:right w:val="single" w:sz="4" w:space="0" w:color="auto"/>
            </w:tcBorders>
            <w:shd w:val="clear" w:color="auto" w:fill="C6EFCE"/>
            <w:noWrap/>
          </w:tcPr>
          <w:p w14:paraId="1AF2DD33" w14:textId="77777777" w:rsidR="003A3D51" w:rsidRDefault="0002775A">
            <w:pPr>
              <w:pStyle w:val="P68B1DB1-Normal41"/>
              <w:rPr>
                <w:rFonts w:ascii="Times New Roman" w:hAnsi="Times New Roman" w:cs="Times New Roman"/>
                <w:noProof/>
              </w:rPr>
            </w:pPr>
            <w:r>
              <w:rPr>
                <w:noProof/>
              </w:rPr>
              <w:t xml:space="preserve"> </w:t>
            </w:r>
          </w:p>
        </w:tc>
        <w:tc>
          <w:tcPr>
            <w:tcW w:w="348" w:type="pct"/>
            <w:tcBorders>
              <w:top w:val="single" w:sz="4" w:space="0" w:color="auto"/>
              <w:left w:val="nil"/>
              <w:bottom w:val="single" w:sz="4" w:space="0" w:color="auto"/>
              <w:right w:val="single" w:sz="4" w:space="0" w:color="auto"/>
            </w:tcBorders>
            <w:shd w:val="clear" w:color="auto" w:fill="C6EFCE"/>
            <w:noWrap/>
          </w:tcPr>
          <w:p w14:paraId="721CBE99" w14:textId="77777777" w:rsidR="003A3D51" w:rsidRDefault="0002775A">
            <w:pPr>
              <w:pStyle w:val="P68B1DB1-Normal41"/>
              <w:jc w:val="center"/>
              <w:rPr>
                <w:rFonts w:ascii="Times New Roman" w:hAnsi="Times New Roman" w:cs="Times New Roman"/>
                <w:noProof/>
              </w:rPr>
            </w:pPr>
            <w:r>
              <w:rPr>
                <w:noProof/>
              </w:rPr>
              <w:t>Antal</w:t>
            </w:r>
          </w:p>
        </w:tc>
        <w:tc>
          <w:tcPr>
            <w:tcW w:w="307" w:type="pct"/>
            <w:tcBorders>
              <w:top w:val="single" w:sz="4" w:space="0" w:color="auto"/>
              <w:left w:val="nil"/>
              <w:bottom w:val="single" w:sz="4" w:space="0" w:color="auto"/>
              <w:right w:val="single" w:sz="4" w:space="0" w:color="auto"/>
            </w:tcBorders>
            <w:shd w:val="clear" w:color="auto" w:fill="C6EFCE"/>
            <w:noWrap/>
          </w:tcPr>
          <w:p w14:paraId="53C8E1F3" w14:textId="77777777" w:rsidR="003A3D51" w:rsidRDefault="0002775A">
            <w:pPr>
              <w:pStyle w:val="P68B1DB1-Normal41"/>
              <w:jc w:val="center"/>
              <w:rPr>
                <w:rFonts w:ascii="Times New Roman" w:hAnsi="Times New Roman" w:cs="Times New Roman"/>
                <w:noProof/>
              </w:rPr>
            </w:pPr>
            <w:r>
              <w:rPr>
                <w:noProof/>
              </w:rPr>
              <w:t>34</w:t>
            </w:r>
          </w:p>
        </w:tc>
        <w:tc>
          <w:tcPr>
            <w:tcW w:w="294" w:type="pct"/>
            <w:tcBorders>
              <w:top w:val="single" w:sz="4" w:space="0" w:color="auto"/>
              <w:left w:val="nil"/>
              <w:bottom w:val="single" w:sz="4" w:space="0" w:color="auto"/>
              <w:right w:val="single" w:sz="4" w:space="0" w:color="auto"/>
            </w:tcBorders>
            <w:shd w:val="clear" w:color="auto" w:fill="C6EFCE"/>
            <w:noWrap/>
          </w:tcPr>
          <w:p w14:paraId="5C91168B" w14:textId="77777777" w:rsidR="003A3D51" w:rsidRDefault="0002775A">
            <w:pPr>
              <w:pStyle w:val="P68B1DB1-Normal41"/>
              <w:jc w:val="center"/>
              <w:rPr>
                <w:rFonts w:ascii="Times New Roman" w:hAnsi="Times New Roman" w:cs="Times New Roman"/>
                <w:noProof/>
              </w:rPr>
            </w:pPr>
            <w:r>
              <w:rPr>
                <w:noProof/>
              </w:rPr>
              <w:t>28</w:t>
            </w:r>
          </w:p>
        </w:tc>
        <w:tc>
          <w:tcPr>
            <w:tcW w:w="252" w:type="pct"/>
            <w:tcBorders>
              <w:top w:val="single" w:sz="4" w:space="0" w:color="auto"/>
              <w:left w:val="nil"/>
              <w:bottom w:val="single" w:sz="4" w:space="0" w:color="auto"/>
              <w:right w:val="single" w:sz="4" w:space="0" w:color="auto"/>
            </w:tcBorders>
            <w:shd w:val="clear" w:color="auto" w:fill="C6EFCE"/>
            <w:noWrap/>
          </w:tcPr>
          <w:p w14:paraId="451AC895" w14:textId="77777777" w:rsidR="003A3D51" w:rsidRDefault="0002775A">
            <w:pPr>
              <w:pStyle w:val="P68B1DB1-Normal41"/>
              <w:jc w:val="center"/>
              <w:rPr>
                <w:rFonts w:ascii="Times New Roman" w:hAnsi="Times New Roman" w:cs="Times New Roman"/>
                <w:noProof/>
              </w:rPr>
            </w:pPr>
            <w:r>
              <w:rPr>
                <w:noProof/>
              </w:rPr>
              <w:t>KVARTAL 2</w:t>
            </w:r>
          </w:p>
        </w:tc>
        <w:tc>
          <w:tcPr>
            <w:tcW w:w="305" w:type="pct"/>
            <w:tcBorders>
              <w:top w:val="single" w:sz="4" w:space="0" w:color="auto"/>
              <w:left w:val="nil"/>
              <w:bottom w:val="single" w:sz="4" w:space="0" w:color="auto"/>
              <w:right w:val="single" w:sz="4" w:space="0" w:color="auto"/>
            </w:tcBorders>
            <w:shd w:val="clear" w:color="auto" w:fill="C6EFCE"/>
            <w:noWrap/>
          </w:tcPr>
          <w:p w14:paraId="2F8DE029" w14:textId="77777777" w:rsidR="003A3D51" w:rsidRDefault="0002775A">
            <w:pPr>
              <w:pStyle w:val="P68B1DB1-Normal41"/>
              <w:jc w:val="center"/>
              <w:rPr>
                <w:rFonts w:ascii="Times New Roman" w:hAnsi="Times New Roman" w:cs="Times New Roman"/>
                <w:noProof/>
              </w:rPr>
            </w:pPr>
            <w:r>
              <w:rPr>
                <w:noProof/>
              </w:rPr>
              <w:t>2026</w:t>
            </w:r>
          </w:p>
        </w:tc>
        <w:tc>
          <w:tcPr>
            <w:tcW w:w="1380" w:type="pct"/>
            <w:tcBorders>
              <w:top w:val="single" w:sz="4" w:space="0" w:color="auto"/>
              <w:left w:val="nil"/>
              <w:bottom w:val="single" w:sz="4" w:space="0" w:color="auto"/>
              <w:right w:val="single" w:sz="4" w:space="0" w:color="auto"/>
            </w:tcBorders>
            <w:shd w:val="clear" w:color="auto" w:fill="C6EFCE"/>
            <w:noWrap/>
          </w:tcPr>
          <w:p w14:paraId="70DD4B2D" w14:textId="77777777" w:rsidR="003A3D51" w:rsidRDefault="0002775A">
            <w:pPr>
              <w:pStyle w:val="P68B1DB1-Normal41"/>
              <w:rPr>
                <w:rFonts w:ascii="Times New Roman" w:hAnsi="Times New Roman" w:cs="Times New Roman"/>
                <w:noProof/>
              </w:rPr>
            </w:pPr>
            <w:r>
              <w:rPr>
                <w:noProof/>
              </w:rPr>
              <w:t>Införandet av ett obligatoriskt e-överklagande förväntas förkorta de genomsnittliga tidsfristerna för handläggning av överklaganden och förfarandemissbruk från DKOM (den statliga kommissionen för tillsyn av offentlig upphandling). Det förenklar och påskyndar delgivningen av handlingar genom direkt elektronisk kommunikation med parterna, vilket skapar förutsättningar för att förbättra effektiviteten och minska överklagandeförfarandenas längd, utan att detta påverkar kvaliteten på DKOM (den statliga kommissionen för övervakning av offentlig upphandling) beslut. Antalet dagar från dagen för mottagande av överklagandet ska därför minskas med minst 6 dagar från baslinjen på 34 dagar.</w:t>
            </w:r>
          </w:p>
        </w:tc>
      </w:tr>
      <w:tr w:rsidR="003A3D51" w14:paraId="491F6C50" w14:textId="77777777" w:rsidTr="007F6DD6">
        <w:trPr>
          <w:trHeight w:val="283"/>
          <w:jc w:val="center"/>
        </w:trPr>
        <w:tc>
          <w:tcPr>
            <w:tcW w:w="188" w:type="pct"/>
            <w:tcBorders>
              <w:top w:val="single" w:sz="4" w:space="0" w:color="auto"/>
              <w:left w:val="single" w:sz="4" w:space="0" w:color="auto"/>
              <w:bottom w:val="single" w:sz="4" w:space="0" w:color="auto"/>
              <w:right w:val="single" w:sz="4" w:space="0" w:color="auto"/>
            </w:tcBorders>
            <w:shd w:val="clear" w:color="auto" w:fill="C6EFCE"/>
            <w:noWrap/>
          </w:tcPr>
          <w:p w14:paraId="4F0EC518" w14:textId="77777777" w:rsidR="003A3D51" w:rsidRDefault="0002775A">
            <w:pPr>
              <w:pStyle w:val="P68B1DB1-Normal41"/>
              <w:jc w:val="center"/>
              <w:rPr>
                <w:rFonts w:ascii="Times New Roman" w:hAnsi="Times New Roman" w:cs="Times New Roman"/>
                <w:noProof/>
              </w:rPr>
            </w:pPr>
            <w:r>
              <w:rPr>
                <w:noProof/>
              </w:rPr>
              <w:t>262</w:t>
            </w:r>
          </w:p>
        </w:tc>
        <w:tc>
          <w:tcPr>
            <w:tcW w:w="247" w:type="pct"/>
            <w:tcBorders>
              <w:top w:val="single" w:sz="4" w:space="0" w:color="auto"/>
              <w:left w:val="nil"/>
              <w:bottom w:val="single" w:sz="4" w:space="0" w:color="auto"/>
              <w:right w:val="single" w:sz="4" w:space="0" w:color="auto"/>
            </w:tcBorders>
            <w:shd w:val="clear" w:color="auto" w:fill="C6EFCE"/>
            <w:noWrap/>
          </w:tcPr>
          <w:p w14:paraId="04AC104D" w14:textId="77777777" w:rsidR="003A3D51" w:rsidRDefault="0002775A">
            <w:pPr>
              <w:pStyle w:val="P68B1DB1-Normal41"/>
              <w:jc w:val="center"/>
              <w:rPr>
                <w:rFonts w:ascii="Times New Roman" w:hAnsi="Times New Roman" w:cs="Times New Roman"/>
                <w:noProof/>
              </w:rPr>
            </w:pPr>
            <w:r>
              <w:rPr>
                <w:noProof/>
              </w:rPr>
              <w:t>C2.9 R2</w:t>
            </w:r>
          </w:p>
        </w:tc>
        <w:tc>
          <w:tcPr>
            <w:tcW w:w="300" w:type="pct"/>
            <w:tcBorders>
              <w:top w:val="single" w:sz="4" w:space="0" w:color="auto"/>
              <w:left w:val="nil"/>
              <w:bottom w:val="single" w:sz="4" w:space="0" w:color="auto"/>
              <w:right w:val="single" w:sz="4" w:space="0" w:color="auto"/>
            </w:tcBorders>
            <w:shd w:val="clear" w:color="auto" w:fill="C6EFCE"/>
            <w:noWrap/>
          </w:tcPr>
          <w:p w14:paraId="57FA00A2" w14:textId="77777777" w:rsidR="003A3D51" w:rsidRDefault="0002775A">
            <w:pPr>
              <w:pStyle w:val="P68B1DB1-Normal41"/>
              <w:jc w:val="center"/>
              <w:rPr>
                <w:rFonts w:ascii="Times New Roman" w:hAnsi="Times New Roman" w:cs="Times New Roman"/>
                <w:noProof/>
              </w:rPr>
            </w:pPr>
            <w:r>
              <w:rPr>
                <w:noProof/>
              </w:rPr>
              <w:t>T</w:t>
            </w:r>
          </w:p>
        </w:tc>
        <w:tc>
          <w:tcPr>
            <w:tcW w:w="633" w:type="pct"/>
            <w:tcBorders>
              <w:top w:val="single" w:sz="4" w:space="0" w:color="auto"/>
              <w:left w:val="nil"/>
              <w:bottom w:val="single" w:sz="4" w:space="0" w:color="auto"/>
              <w:right w:val="single" w:sz="4" w:space="0" w:color="auto"/>
            </w:tcBorders>
            <w:shd w:val="clear" w:color="auto" w:fill="C6EFCE"/>
            <w:noWrap/>
          </w:tcPr>
          <w:p w14:paraId="2CF73C91" w14:textId="77777777" w:rsidR="003A3D51" w:rsidRDefault="0002775A">
            <w:pPr>
              <w:pStyle w:val="P68B1DB1-Normal41"/>
              <w:rPr>
                <w:rFonts w:ascii="Times New Roman" w:hAnsi="Times New Roman" w:cs="Times New Roman"/>
                <w:noProof/>
              </w:rPr>
            </w:pPr>
            <w:r>
              <w:rPr>
                <w:noProof/>
              </w:rPr>
              <w:t xml:space="preserve">Att minska de genomsnittliga tidsfristerna till 14 dagar från den dag då överklagandeakten lämnades in </w:t>
            </w:r>
          </w:p>
        </w:tc>
        <w:tc>
          <w:tcPr>
            <w:tcW w:w="745" w:type="pct"/>
            <w:tcBorders>
              <w:top w:val="single" w:sz="4" w:space="0" w:color="auto"/>
              <w:left w:val="nil"/>
              <w:bottom w:val="single" w:sz="4" w:space="0" w:color="auto"/>
              <w:right w:val="single" w:sz="4" w:space="0" w:color="auto"/>
            </w:tcBorders>
            <w:shd w:val="clear" w:color="auto" w:fill="C6EFCE"/>
            <w:noWrap/>
          </w:tcPr>
          <w:p w14:paraId="23DB47DE" w14:textId="77777777" w:rsidR="003A3D51" w:rsidRDefault="0002775A">
            <w:pPr>
              <w:pStyle w:val="P68B1DB1-Normal41"/>
              <w:rPr>
                <w:rFonts w:ascii="Times New Roman" w:hAnsi="Times New Roman" w:cs="Times New Roman"/>
                <w:noProof/>
              </w:rPr>
            </w:pPr>
            <w:r>
              <w:rPr>
                <w:noProof/>
              </w:rPr>
              <w:t xml:space="preserve"> </w:t>
            </w:r>
          </w:p>
        </w:tc>
        <w:tc>
          <w:tcPr>
            <w:tcW w:w="348" w:type="pct"/>
            <w:tcBorders>
              <w:top w:val="single" w:sz="4" w:space="0" w:color="auto"/>
              <w:left w:val="nil"/>
              <w:bottom w:val="single" w:sz="4" w:space="0" w:color="auto"/>
              <w:right w:val="single" w:sz="4" w:space="0" w:color="auto"/>
            </w:tcBorders>
            <w:shd w:val="clear" w:color="auto" w:fill="C6EFCE"/>
            <w:noWrap/>
          </w:tcPr>
          <w:p w14:paraId="2E60C42D" w14:textId="77777777" w:rsidR="003A3D51" w:rsidRDefault="0002775A">
            <w:pPr>
              <w:pStyle w:val="P68B1DB1-Normal41"/>
              <w:jc w:val="center"/>
              <w:rPr>
                <w:rFonts w:ascii="Times New Roman" w:hAnsi="Times New Roman" w:cs="Times New Roman"/>
                <w:noProof/>
              </w:rPr>
            </w:pPr>
            <w:r>
              <w:rPr>
                <w:noProof/>
              </w:rPr>
              <w:t>Antal</w:t>
            </w:r>
          </w:p>
        </w:tc>
        <w:tc>
          <w:tcPr>
            <w:tcW w:w="307" w:type="pct"/>
            <w:tcBorders>
              <w:top w:val="single" w:sz="4" w:space="0" w:color="auto"/>
              <w:left w:val="nil"/>
              <w:bottom w:val="single" w:sz="4" w:space="0" w:color="auto"/>
              <w:right w:val="single" w:sz="4" w:space="0" w:color="auto"/>
            </w:tcBorders>
            <w:shd w:val="clear" w:color="auto" w:fill="C6EFCE"/>
            <w:noWrap/>
          </w:tcPr>
          <w:p w14:paraId="5152B27C" w14:textId="77777777" w:rsidR="003A3D51" w:rsidRDefault="0002775A">
            <w:pPr>
              <w:pStyle w:val="P68B1DB1-Normal41"/>
              <w:jc w:val="center"/>
              <w:rPr>
                <w:rFonts w:ascii="Times New Roman" w:hAnsi="Times New Roman" w:cs="Times New Roman"/>
                <w:noProof/>
              </w:rPr>
            </w:pPr>
            <w:r>
              <w:rPr>
                <w:noProof/>
              </w:rPr>
              <w:t>16</w:t>
            </w:r>
          </w:p>
        </w:tc>
        <w:tc>
          <w:tcPr>
            <w:tcW w:w="294" w:type="pct"/>
            <w:tcBorders>
              <w:top w:val="single" w:sz="4" w:space="0" w:color="auto"/>
              <w:left w:val="nil"/>
              <w:bottom w:val="single" w:sz="4" w:space="0" w:color="auto"/>
              <w:right w:val="single" w:sz="4" w:space="0" w:color="auto"/>
            </w:tcBorders>
            <w:shd w:val="clear" w:color="auto" w:fill="C6EFCE"/>
            <w:noWrap/>
          </w:tcPr>
          <w:p w14:paraId="6C962B77" w14:textId="77777777" w:rsidR="003A3D51" w:rsidRDefault="0002775A">
            <w:pPr>
              <w:pStyle w:val="P68B1DB1-Normal41"/>
              <w:jc w:val="center"/>
              <w:rPr>
                <w:rFonts w:ascii="Times New Roman" w:hAnsi="Times New Roman" w:cs="Times New Roman"/>
                <w:noProof/>
              </w:rPr>
            </w:pPr>
            <w:r>
              <w:rPr>
                <w:noProof/>
              </w:rPr>
              <w:t>14</w:t>
            </w:r>
          </w:p>
        </w:tc>
        <w:tc>
          <w:tcPr>
            <w:tcW w:w="252" w:type="pct"/>
            <w:tcBorders>
              <w:top w:val="single" w:sz="4" w:space="0" w:color="auto"/>
              <w:left w:val="nil"/>
              <w:bottom w:val="single" w:sz="4" w:space="0" w:color="auto"/>
              <w:right w:val="single" w:sz="4" w:space="0" w:color="auto"/>
            </w:tcBorders>
            <w:shd w:val="clear" w:color="auto" w:fill="C6EFCE"/>
            <w:noWrap/>
          </w:tcPr>
          <w:p w14:paraId="580E6E10" w14:textId="77777777" w:rsidR="003A3D51" w:rsidRDefault="0002775A">
            <w:pPr>
              <w:pStyle w:val="P68B1DB1-Normal41"/>
              <w:jc w:val="center"/>
              <w:rPr>
                <w:rFonts w:ascii="Times New Roman" w:hAnsi="Times New Roman" w:cs="Times New Roman"/>
                <w:noProof/>
              </w:rPr>
            </w:pPr>
            <w:r>
              <w:rPr>
                <w:noProof/>
              </w:rPr>
              <w:t>KVARTAL 2</w:t>
            </w:r>
          </w:p>
        </w:tc>
        <w:tc>
          <w:tcPr>
            <w:tcW w:w="305" w:type="pct"/>
            <w:tcBorders>
              <w:top w:val="single" w:sz="4" w:space="0" w:color="auto"/>
              <w:left w:val="nil"/>
              <w:bottom w:val="single" w:sz="4" w:space="0" w:color="auto"/>
              <w:right w:val="single" w:sz="4" w:space="0" w:color="auto"/>
            </w:tcBorders>
            <w:shd w:val="clear" w:color="auto" w:fill="C6EFCE"/>
            <w:noWrap/>
          </w:tcPr>
          <w:p w14:paraId="3CA14324" w14:textId="77777777" w:rsidR="003A3D51" w:rsidRDefault="0002775A">
            <w:pPr>
              <w:pStyle w:val="P68B1DB1-Normal41"/>
              <w:jc w:val="center"/>
              <w:rPr>
                <w:rFonts w:ascii="Times New Roman" w:hAnsi="Times New Roman" w:cs="Times New Roman"/>
                <w:noProof/>
              </w:rPr>
            </w:pPr>
            <w:r>
              <w:rPr>
                <w:noProof/>
              </w:rPr>
              <w:t>2026</w:t>
            </w:r>
          </w:p>
        </w:tc>
        <w:tc>
          <w:tcPr>
            <w:tcW w:w="1380" w:type="pct"/>
            <w:tcBorders>
              <w:top w:val="single" w:sz="4" w:space="0" w:color="auto"/>
              <w:left w:val="nil"/>
              <w:bottom w:val="single" w:sz="4" w:space="0" w:color="auto"/>
              <w:right w:val="single" w:sz="4" w:space="0" w:color="auto"/>
            </w:tcBorders>
            <w:shd w:val="clear" w:color="auto" w:fill="C6EFCE"/>
            <w:noWrap/>
          </w:tcPr>
          <w:p w14:paraId="11998210" w14:textId="77777777" w:rsidR="003A3D51" w:rsidRDefault="0002775A">
            <w:pPr>
              <w:pStyle w:val="P68B1DB1-Normal41"/>
              <w:rPr>
                <w:rFonts w:ascii="Times New Roman" w:hAnsi="Times New Roman" w:cs="Times New Roman"/>
                <w:noProof/>
              </w:rPr>
            </w:pPr>
            <w:r>
              <w:rPr>
                <w:noProof/>
              </w:rPr>
              <w:t>Införandet av ett obligatoriskt e-överklagande förväntas förkorta de genomsnittliga tidsfristerna för handläggning av överklaganden och förfarandemissbruk från DKOM (den statliga kommissionen för tillsyn av offentlig upphandling). Det förenklar och påskyndar delgivningen av handlingar genom direkt elektronisk kommunikation med parterna, vilket skapar förutsättningar för att förbättra effektiviteten och minska överklagandeförfarandenas längd, utan att detta påverkar kvaliteten på DKOM beslut, vilket minskar antalet dagar från dagen för mottagandet av överklagandet med minst 6 dagar.</w:t>
            </w:r>
          </w:p>
        </w:tc>
      </w:tr>
      <w:tr w:rsidR="003A3D51" w14:paraId="011369FA" w14:textId="77777777" w:rsidTr="007F6DD6">
        <w:trPr>
          <w:trHeight w:val="283"/>
          <w:jc w:val="center"/>
        </w:trPr>
        <w:tc>
          <w:tcPr>
            <w:tcW w:w="188" w:type="pct"/>
            <w:tcBorders>
              <w:top w:val="single" w:sz="4" w:space="0" w:color="auto"/>
              <w:left w:val="single" w:sz="4" w:space="0" w:color="auto"/>
              <w:bottom w:val="single" w:sz="4" w:space="0" w:color="auto"/>
              <w:right w:val="single" w:sz="4" w:space="0" w:color="auto"/>
            </w:tcBorders>
            <w:shd w:val="clear" w:color="auto" w:fill="C6EFCE"/>
            <w:noWrap/>
          </w:tcPr>
          <w:p w14:paraId="558B245C" w14:textId="77777777" w:rsidR="003A3D51" w:rsidRDefault="0002775A">
            <w:pPr>
              <w:pStyle w:val="P68B1DB1-Normal41"/>
              <w:jc w:val="center"/>
              <w:rPr>
                <w:rFonts w:ascii="Times New Roman" w:hAnsi="Times New Roman" w:cs="Times New Roman"/>
                <w:noProof/>
              </w:rPr>
            </w:pPr>
            <w:r>
              <w:rPr>
                <w:noProof/>
              </w:rPr>
              <w:t>263</w:t>
            </w:r>
          </w:p>
        </w:tc>
        <w:tc>
          <w:tcPr>
            <w:tcW w:w="247" w:type="pct"/>
            <w:tcBorders>
              <w:top w:val="single" w:sz="4" w:space="0" w:color="auto"/>
              <w:left w:val="nil"/>
              <w:bottom w:val="single" w:sz="4" w:space="0" w:color="auto"/>
              <w:right w:val="single" w:sz="4" w:space="0" w:color="auto"/>
            </w:tcBorders>
            <w:shd w:val="clear" w:color="auto" w:fill="C6EFCE"/>
            <w:noWrap/>
          </w:tcPr>
          <w:p w14:paraId="55FEBB75" w14:textId="77777777" w:rsidR="003A3D51" w:rsidRDefault="0002775A">
            <w:pPr>
              <w:pStyle w:val="P68B1DB1-Normal41"/>
              <w:jc w:val="center"/>
              <w:rPr>
                <w:rFonts w:ascii="Times New Roman" w:hAnsi="Times New Roman" w:cs="Times New Roman"/>
                <w:noProof/>
              </w:rPr>
            </w:pPr>
            <w:r>
              <w:rPr>
                <w:noProof/>
              </w:rPr>
              <w:t>C2.9 R3</w:t>
            </w:r>
          </w:p>
        </w:tc>
        <w:tc>
          <w:tcPr>
            <w:tcW w:w="300" w:type="pct"/>
            <w:tcBorders>
              <w:top w:val="single" w:sz="4" w:space="0" w:color="auto"/>
              <w:left w:val="nil"/>
              <w:bottom w:val="single" w:sz="4" w:space="0" w:color="auto"/>
              <w:right w:val="single" w:sz="4" w:space="0" w:color="auto"/>
            </w:tcBorders>
            <w:shd w:val="clear" w:color="auto" w:fill="C6EFCE"/>
            <w:noWrap/>
          </w:tcPr>
          <w:p w14:paraId="286A4FC5" w14:textId="77777777" w:rsidR="003A3D51" w:rsidRDefault="0002775A">
            <w:pPr>
              <w:pStyle w:val="P68B1DB1-Normal41"/>
              <w:jc w:val="center"/>
              <w:rPr>
                <w:rFonts w:ascii="Times New Roman" w:hAnsi="Times New Roman" w:cs="Times New Roman"/>
                <w:noProof/>
              </w:rPr>
            </w:pPr>
            <w:r>
              <w:rPr>
                <w:noProof/>
              </w:rPr>
              <w:t>M</w:t>
            </w:r>
          </w:p>
        </w:tc>
        <w:tc>
          <w:tcPr>
            <w:tcW w:w="633" w:type="pct"/>
            <w:tcBorders>
              <w:top w:val="single" w:sz="4" w:space="0" w:color="auto"/>
              <w:left w:val="nil"/>
              <w:bottom w:val="single" w:sz="4" w:space="0" w:color="auto"/>
              <w:right w:val="single" w:sz="4" w:space="0" w:color="auto"/>
            </w:tcBorders>
            <w:shd w:val="clear" w:color="auto" w:fill="C6EFCE"/>
            <w:noWrap/>
          </w:tcPr>
          <w:p w14:paraId="1183115C" w14:textId="77777777" w:rsidR="003A3D51" w:rsidRDefault="0002775A">
            <w:pPr>
              <w:pStyle w:val="P68B1DB1-Normal41"/>
              <w:rPr>
                <w:rFonts w:ascii="Times New Roman" w:hAnsi="Times New Roman" w:cs="Times New Roman"/>
                <w:noProof/>
              </w:rPr>
            </w:pPr>
            <w:r>
              <w:rPr>
                <w:noProof/>
              </w:rPr>
              <w:t>Program och verksamheter som syftar till att utforma och förvalta innovativ offentlig upphandling</w:t>
            </w:r>
          </w:p>
        </w:tc>
        <w:tc>
          <w:tcPr>
            <w:tcW w:w="745" w:type="pct"/>
            <w:tcBorders>
              <w:top w:val="single" w:sz="4" w:space="0" w:color="auto"/>
              <w:left w:val="nil"/>
              <w:bottom w:val="single" w:sz="4" w:space="0" w:color="auto"/>
              <w:right w:val="single" w:sz="4" w:space="0" w:color="auto"/>
            </w:tcBorders>
            <w:shd w:val="clear" w:color="auto" w:fill="C6EFCE"/>
            <w:noWrap/>
          </w:tcPr>
          <w:p w14:paraId="6C3DB343" w14:textId="77777777" w:rsidR="003A3D51" w:rsidRDefault="0002775A">
            <w:pPr>
              <w:pStyle w:val="P68B1DB1-Normal41"/>
              <w:rPr>
                <w:rFonts w:ascii="Times New Roman" w:hAnsi="Times New Roman" w:cs="Times New Roman"/>
                <w:noProof/>
              </w:rPr>
            </w:pPr>
            <w:r>
              <w:rPr>
                <w:noProof/>
              </w:rPr>
              <w:t>Inrättat program för att tillhandahålla professionellt stöd och utbildning till upphandlare i innovationsupphandling.</w:t>
            </w:r>
          </w:p>
        </w:tc>
        <w:tc>
          <w:tcPr>
            <w:tcW w:w="348" w:type="pct"/>
            <w:tcBorders>
              <w:top w:val="single" w:sz="4" w:space="0" w:color="auto"/>
              <w:left w:val="nil"/>
              <w:bottom w:val="single" w:sz="4" w:space="0" w:color="auto"/>
              <w:right w:val="single" w:sz="4" w:space="0" w:color="auto"/>
            </w:tcBorders>
            <w:shd w:val="clear" w:color="auto" w:fill="C6EFCE"/>
            <w:noWrap/>
          </w:tcPr>
          <w:p w14:paraId="1612FE10" w14:textId="77777777" w:rsidR="003A3D51" w:rsidRDefault="0002775A">
            <w:pPr>
              <w:pStyle w:val="P68B1DB1-Normal41"/>
              <w:jc w:val="center"/>
              <w:rPr>
                <w:rFonts w:ascii="Times New Roman" w:hAnsi="Times New Roman" w:cs="Times New Roman"/>
                <w:noProof/>
              </w:rPr>
            </w:pPr>
            <w:r>
              <w:rPr>
                <w:noProof/>
              </w:rPr>
              <w:t> </w:t>
            </w:r>
          </w:p>
        </w:tc>
        <w:tc>
          <w:tcPr>
            <w:tcW w:w="307" w:type="pct"/>
            <w:tcBorders>
              <w:top w:val="single" w:sz="4" w:space="0" w:color="auto"/>
              <w:left w:val="nil"/>
              <w:bottom w:val="single" w:sz="4" w:space="0" w:color="auto"/>
              <w:right w:val="single" w:sz="4" w:space="0" w:color="auto"/>
            </w:tcBorders>
            <w:shd w:val="clear" w:color="auto" w:fill="C6EFCE"/>
            <w:noWrap/>
          </w:tcPr>
          <w:p w14:paraId="71A974DD" w14:textId="77777777" w:rsidR="003A3D51" w:rsidRDefault="0002775A">
            <w:pPr>
              <w:pStyle w:val="P68B1DB1-Normal41"/>
              <w:jc w:val="center"/>
              <w:rPr>
                <w:rFonts w:ascii="Times New Roman" w:hAnsi="Times New Roman" w:cs="Times New Roman"/>
                <w:noProof/>
              </w:rPr>
            </w:pPr>
            <w:r>
              <w:rPr>
                <w:noProof/>
              </w:rPr>
              <w:t> </w:t>
            </w:r>
          </w:p>
        </w:tc>
        <w:tc>
          <w:tcPr>
            <w:tcW w:w="294" w:type="pct"/>
            <w:tcBorders>
              <w:top w:val="single" w:sz="4" w:space="0" w:color="auto"/>
              <w:left w:val="nil"/>
              <w:bottom w:val="single" w:sz="4" w:space="0" w:color="auto"/>
              <w:right w:val="single" w:sz="4" w:space="0" w:color="auto"/>
            </w:tcBorders>
            <w:shd w:val="clear" w:color="auto" w:fill="C6EFCE"/>
            <w:noWrap/>
          </w:tcPr>
          <w:p w14:paraId="0CF54650" w14:textId="77777777" w:rsidR="003A3D51" w:rsidRDefault="0002775A">
            <w:pPr>
              <w:pStyle w:val="P68B1DB1-Normal41"/>
              <w:jc w:val="center"/>
              <w:rPr>
                <w:rFonts w:ascii="Times New Roman" w:hAnsi="Times New Roman" w:cs="Times New Roman"/>
                <w:noProof/>
              </w:rPr>
            </w:pPr>
            <w:r>
              <w:rPr>
                <w:noProof/>
              </w:rPr>
              <w:t> </w:t>
            </w:r>
          </w:p>
        </w:tc>
        <w:tc>
          <w:tcPr>
            <w:tcW w:w="252" w:type="pct"/>
            <w:tcBorders>
              <w:top w:val="single" w:sz="4" w:space="0" w:color="auto"/>
              <w:left w:val="nil"/>
              <w:bottom w:val="single" w:sz="4" w:space="0" w:color="auto"/>
              <w:right w:val="single" w:sz="4" w:space="0" w:color="auto"/>
            </w:tcBorders>
            <w:shd w:val="clear" w:color="auto" w:fill="C6EFCE"/>
            <w:noWrap/>
          </w:tcPr>
          <w:p w14:paraId="389720A3" w14:textId="77777777" w:rsidR="003A3D51" w:rsidRDefault="0002775A">
            <w:pPr>
              <w:pStyle w:val="P68B1DB1-Normal41"/>
              <w:jc w:val="center"/>
              <w:rPr>
                <w:rFonts w:ascii="Times New Roman" w:hAnsi="Times New Roman" w:cs="Times New Roman"/>
                <w:noProof/>
              </w:rPr>
            </w:pPr>
            <w:r>
              <w:rPr>
                <w:noProof/>
              </w:rPr>
              <w:t>KVARTAL 1</w:t>
            </w:r>
          </w:p>
        </w:tc>
        <w:tc>
          <w:tcPr>
            <w:tcW w:w="305" w:type="pct"/>
            <w:tcBorders>
              <w:top w:val="single" w:sz="4" w:space="0" w:color="auto"/>
              <w:left w:val="nil"/>
              <w:bottom w:val="single" w:sz="4" w:space="0" w:color="auto"/>
              <w:right w:val="single" w:sz="4" w:space="0" w:color="auto"/>
            </w:tcBorders>
            <w:shd w:val="clear" w:color="auto" w:fill="C6EFCE"/>
            <w:noWrap/>
          </w:tcPr>
          <w:p w14:paraId="18CBE230" w14:textId="77777777" w:rsidR="003A3D51" w:rsidRDefault="0002775A">
            <w:pPr>
              <w:pStyle w:val="P68B1DB1-Normal41"/>
              <w:jc w:val="center"/>
              <w:rPr>
                <w:rFonts w:ascii="Times New Roman" w:hAnsi="Times New Roman" w:cs="Times New Roman"/>
                <w:noProof/>
              </w:rPr>
            </w:pPr>
            <w:r>
              <w:rPr>
                <w:noProof/>
              </w:rPr>
              <w:t>2024</w:t>
            </w:r>
          </w:p>
        </w:tc>
        <w:tc>
          <w:tcPr>
            <w:tcW w:w="1380" w:type="pct"/>
            <w:tcBorders>
              <w:top w:val="single" w:sz="4" w:space="0" w:color="auto"/>
              <w:left w:val="nil"/>
              <w:bottom w:val="single" w:sz="4" w:space="0" w:color="auto"/>
              <w:right w:val="single" w:sz="4" w:space="0" w:color="auto"/>
            </w:tcBorders>
            <w:shd w:val="clear" w:color="auto" w:fill="C6EFCE"/>
            <w:noWrap/>
          </w:tcPr>
          <w:p w14:paraId="60B0FE2A" w14:textId="77777777" w:rsidR="003A3D51" w:rsidRDefault="0002775A">
            <w:pPr>
              <w:pStyle w:val="P68B1DB1-Normal41"/>
              <w:rPr>
                <w:rFonts w:ascii="Times New Roman" w:hAnsi="Times New Roman" w:cs="Times New Roman"/>
                <w:noProof/>
              </w:rPr>
            </w:pPr>
            <w:r>
              <w:rPr>
                <w:noProof/>
              </w:rPr>
              <w:t xml:space="preserve">Med hjälp av tekniskt bistånd ska de kroatiska institutionerna inrätta program för att tillhandahålla professionellt bistånd till upphandlare i innovationsrelaterade upphandlingsförfaranden. Konkurrenscentrumet för innovativ offentlig upphandling, som inrättats i HAMAG-BICRO (Kroatiens byrå för småföretag, innovation och investeringar), ska stärkas och dess personal ska utbildas för att tillhandahålla utbildning om offentlig upphandling av innovation på egen hand. MINGOR:s (ministeriet för ekonomi och hållbar utveckling) administrativa kapacitet ska också stärkas på samma sätt. En lägesrapport om denna kapacitetsökning ska utarbetas senast första kvartalet 1 2024.   </w:t>
            </w:r>
          </w:p>
        </w:tc>
      </w:tr>
      <w:tr w:rsidR="003A3D51" w14:paraId="6C449ABA" w14:textId="77777777" w:rsidTr="007F6DD6">
        <w:trPr>
          <w:trHeight w:val="283"/>
          <w:jc w:val="center"/>
        </w:trPr>
        <w:tc>
          <w:tcPr>
            <w:tcW w:w="188" w:type="pct"/>
            <w:tcBorders>
              <w:top w:val="single" w:sz="4" w:space="0" w:color="auto"/>
              <w:left w:val="single" w:sz="4" w:space="0" w:color="auto"/>
              <w:bottom w:val="single" w:sz="4" w:space="0" w:color="auto"/>
              <w:right w:val="single" w:sz="4" w:space="0" w:color="auto"/>
            </w:tcBorders>
            <w:shd w:val="clear" w:color="auto" w:fill="C6EFCE"/>
            <w:noWrap/>
          </w:tcPr>
          <w:p w14:paraId="60D551B1" w14:textId="77777777" w:rsidR="003A3D51" w:rsidRDefault="0002775A">
            <w:pPr>
              <w:pStyle w:val="P68B1DB1-Normal41"/>
              <w:jc w:val="center"/>
              <w:rPr>
                <w:rFonts w:ascii="Times New Roman" w:hAnsi="Times New Roman" w:cs="Times New Roman"/>
                <w:noProof/>
              </w:rPr>
            </w:pPr>
            <w:r>
              <w:rPr>
                <w:noProof/>
              </w:rPr>
              <w:t>264</w:t>
            </w:r>
          </w:p>
        </w:tc>
        <w:tc>
          <w:tcPr>
            <w:tcW w:w="247" w:type="pct"/>
            <w:tcBorders>
              <w:top w:val="single" w:sz="4" w:space="0" w:color="auto"/>
              <w:left w:val="nil"/>
              <w:bottom w:val="single" w:sz="4" w:space="0" w:color="auto"/>
              <w:right w:val="single" w:sz="4" w:space="0" w:color="auto"/>
            </w:tcBorders>
            <w:shd w:val="clear" w:color="auto" w:fill="C6EFCE"/>
            <w:noWrap/>
          </w:tcPr>
          <w:p w14:paraId="72ABE424" w14:textId="77777777" w:rsidR="003A3D51" w:rsidRDefault="0002775A">
            <w:pPr>
              <w:pStyle w:val="P68B1DB1-Normal41"/>
              <w:jc w:val="center"/>
              <w:rPr>
                <w:rFonts w:ascii="Times New Roman" w:hAnsi="Times New Roman" w:cs="Times New Roman"/>
                <w:noProof/>
              </w:rPr>
            </w:pPr>
            <w:r>
              <w:rPr>
                <w:noProof/>
              </w:rPr>
              <w:t>C2.9 R3</w:t>
            </w:r>
          </w:p>
        </w:tc>
        <w:tc>
          <w:tcPr>
            <w:tcW w:w="300" w:type="pct"/>
            <w:tcBorders>
              <w:top w:val="single" w:sz="4" w:space="0" w:color="auto"/>
              <w:left w:val="nil"/>
              <w:bottom w:val="single" w:sz="4" w:space="0" w:color="auto"/>
              <w:right w:val="single" w:sz="4" w:space="0" w:color="auto"/>
            </w:tcBorders>
            <w:shd w:val="clear" w:color="auto" w:fill="C6EFCE"/>
            <w:noWrap/>
          </w:tcPr>
          <w:p w14:paraId="475C3383" w14:textId="77777777" w:rsidR="003A3D51" w:rsidRDefault="0002775A">
            <w:pPr>
              <w:pStyle w:val="P68B1DB1-Normal41"/>
              <w:jc w:val="center"/>
              <w:rPr>
                <w:rFonts w:ascii="Times New Roman" w:hAnsi="Times New Roman" w:cs="Times New Roman"/>
                <w:noProof/>
              </w:rPr>
            </w:pPr>
            <w:r>
              <w:rPr>
                <w:noProof/>
              </w:rPr>
              <w:t>T</w:t>
            </w:r>
          </w:p>
        </w:tc>
        <w:tc>
          <w:tcPr>
            <w:tcW w:w="633" w:type="pct"/>
            <w:tcBorders>
              <w:top w:val="single" w:sz="4" w:space="0" w:color="auto"/>
              <w:left w:val="nil"/>
              <w:bottom w:val="single" w:sz="4" w:space="0" w:color="auto"/>
              <w:right w:val="single" w:sz="4" w:space="0" w:color="auto"/>
            </w:tcBorders>
            <w:shd w:val="clear" w:color="auto" w:fill="C6EFCE"/>
            <w:noWrap/>
          </w:tcPr>
          <w:p w14:paraId="3730FAF0" w14:textId="77777777" w:rsidR="003A3D51" w:rsidRDefault="0002775A">
            <w:pPr>
              <w:pStyle w:val="P68B1DB1-Normal41"/>
              <w:rPr>
                <w:rFonts w:ascii="Times New Roman" w:hAnsi="Times New Roman" w:cs="Times New Roman"/>
                <w:noProof/>
              </w:rPr>
            </w:pPr>
            <w:r>
              <w:rPr>
                <w:noProof/>
              </w:rPr>
              <w:t xml:space="preserve">Utbildning av upphandlingsansvariga i innovativa förfaranden för offentlig upphandling  </w:t>
            </w:r>
          </w:p>
        </w:tc>
        <w:tc>
          <w:tcPr>
            <w:tcW w:w="745" w:type="pct"/>
            <w:tcBorders>
              <w:top w:val="single" w:sz="4" w:space="0" w:color="auto"/>
              <w:left w:val="nil"/>
              <w:bottom w:val="single" w:sz="4" w:space="0" w:color="auto"/>
              <w:right w:val="single" w:sz="4" w:space="0" w:color="auto"/>
            </w:tcBorders>
            <w:shd w:val="clear" w:color="auto" w:fill="C6EFCE"/>
            <w:noWrap/>
          </w:tcPr>
          <w:p w14:paraId="6D179490" w14:textId="77777777" w:rsidR="003A3D51" w:rsidRDefault="0002775A">
            <w:pPr>
              <w:pStyle w:val="P68B1DB1-Normal41"/>
              <w:rPr>
                <w:rFonts w:ascii="Times New Roman" w:hAnsi="Times New Roman" w:cs="Times New Roman"/>
                <w:noProof/>
              </w:rPr>
            </w:pPr>
            <w:r>
              <w:rPr>
                <w:noProof/>
              </w:rPr>
              <w:t xml:space="preserve"> </w:t>
            </w:r>
          </w:p>
        </w:tc>
        <w:tc>
          <w:tcPr>
            <w:tcW w:w="348" w:type="pct"/>
            <w:tcBorders>
              <w:top w:val="single" w:sz="4" w:space="0" w:color="auto"/>
              <w:left w:val="nil"/>
              <w:bottom w:val="single" w:sz="4" w:space="0" w:color="auto"/>
              <w:right w:val="single" w:sz="4" w:space="0" w:color="auto"/>
            </w:tcBorders>
            <w:shd w:val="clear" w:color="auto" w:fill="C6EFCE"/>
            <w:noWrap/>
          </w:tcPr>
          <w:p w14:paraId="3CAB4E2D" w14:textId="77777777" w:rsidR="003A3D51" w:rsidRDefault="0002775A">
            <w:pPr>
              <w:pStyle w:val="P68B1DB1-Normal41"/>
              <w:jc w:val="center"/>
              <w:rPr>
                <w:rFonts w:ascii="Times New Roman" w:hAnsi="Times New Roman" w:cs="Times New Roman"/>
                <w:noProof/>
              </w:rPr>
            </w:pPr>
            <w:r>
              <w:rPr>
                <w:noProof/>
              </w:rPr>
              <w:t>% (i procent)</w:t>
            </w:r>
          </w:p>
        </w:tc>
        <w:tc>
          <w:tcPr>
            <w:tcW w:w="307" w:type="pct"/>
            <w:tcBorders>
              <w:top w:val="single" w:sz="4" w:space="0" w:color="auto"/>
              <w:left w:val="nil"/>
              <w:bottom w:val="single" w:sz="4" w:space="0" w:color="auto"/>
              <w:right w:val="single" w:sz="4" w:space="0" w:color="auto"/>
            </w:tcBorders>
            <w:shd w:val="clear" w:color="auto" w:fill="C6EFCE"/>
            <w:noWrap/>
          </w:tcPr>
          <w:p w14:paraId="12E2E38D" w14:textId="77777777" w:rsidR="003A3D51" w:rsidRDefault="0002775A">
            <w:pPr>
              <w:pStyle w:val="P68B1DB1-Normal41"/>
              <w:jc w:val="center"/>
              <w:rPr>
                <w:rFonts w:ascii="Times New Roman" w:hAnsi="Times New Roman" w:cs="Times New Roman"/>
                <w:noProof/>
              </w:rPr>
            </w:pPr>
            <w:r>
              <w:rPr>
                <w:noProof/>
              </w:rPr>
              <w:t>0</w:t>
            </w:r>
          </w:p>
        </w:tc>
        <w:tc>
          <w:tcPr>
            <w:tcW w:w="294" w:type="pct"/>
            <w:tcBorders>
              <w:top w:val="single" w:sz="4" w:space="0" w:color="auto"/>
              <w:left w:val="nil"/>
              <w:bottom w:val="single" w:sz="4" w:space="0" w:color="auto"/>
              <w:right w:val="single" w:sz="4" w:space="0" w:color="auto"/>
            </w:tcBorders>
            <w:shd w:val="clear" w:color="auto" w:fill="C6EFCE"/>
            <w:noWrap/>
          </w:tcPr>
          <w:p w14:paraId="25404B7A" w14:textId="77777777" w:rsidR="003A3D51" w:rsidRDefault="0002775A">
            <w:pPr>
              <w:pStyle w:val="P68B1DB1-Normal41"/>
              <w:jc w:val="center"/>
              <w:rPr>
                <w:rFonts w:ascii="Times New Roman" w:hAnsi="Times New Roman" w:cs="Times New Roman"/>
                <w:noProof/>
              </w:rPr>
            </w:pPr>
            <w:r>
              <w:rPr>
                <w:noProof/>
              </w:rPr>
              <w:t>75</w:t>
            </w:r>
          </w:p>
        </w:tc>
        <w:tc>
          <w:tcPr>
            <w:tcW w:w="252" w:type="pct"/>
            <w:tcBorders>
              <w:top w:val="single" w:sz="4" w:space="0" w:color="auto"/>
              <w:left w:val="nil"/>
              <w:bottom w:val="single" w:sz="4" w:space="0" w:color="auto"/>
              <w:right w:val="single" w:sz="4" w:space="0" w:color="auto"/>
            </w:tcBorders>
            <w:shd w:val="clear" w:color="auto" w:fill="C6EFCE"/>
            <w:noWrap/>
          </w:tcPr>
          <w:p w14:paraId="2E9C4417" w14:textId="77777777" w:rsidR="003A3D51" w:rsidRDefault="0002775A">
            <w:pPr>
              <w:pStyle w:val="P68B1DB1-Normal41"/>
              <w:jc w:val="center"/>
              <w:rPr>
                <w:rFonts w:ascii="Times New Roman" w:hAnsi="Times New Roman" w:cs="Times New Roman"/>
                <w:noProof/>
              </w:rPr>
            </w:pPr>
            <w:r>
              <w:rPr>
                <w:noProof/>
              </w:rPr>
              <w:t>KVARTAL 4</w:t>
            </w:r>
          </w:p>
        </w:tc>
        <w:tc>
          <w:tcPr>
            <w:tcW w:w="305" w:type="pct"/>
            <w:tcBorders>
              <w:top w:val="single" w:sz="4" w:space="0" w:color="auto"/>
              <w:left w:val="nil"/>
              <w:bottom w:val="single" w:sz="4" w:space="0" w:color="auto"/>
              <w:right w:val="single" w:sz="4" w:space="0" w:color="auto"/>
            </w:tcBorders>
            <w:shd w:val="clear" w:color="auto" w:fill="C6EFCE"/>
            <w:noWrap/>
          </w:tcPr>
          <w:p w14:paraId="3BECE5BF" w14:textId="77777777" w:rsidR="003A3D51" w:rsidRDefault="0002775A">
            <w:pPr>
              <w:pStyle w:val="P68B1DB1-Normal41"/>
              <w:jc w:val="center"/>
              <w:rPr>
                <w:rFonts w:ascii="Times New Roman" w:hAnsi="Times New Roman" w:cs="Times New Roman"/>
                <w:noProof/>
              </w:rPr>
            </w:pPr>
            <w:r>
              <w:rPr>
                <w:noProof/>
              </w:rPr>
              <w:t>2025</w:t>
            </w:r>
          </w:p>
        </w:tc>
        <w:tc>
          <w:tcPr>
            <w:tcW w:w="1380" w:type="pct"/>
            <w:tcBorders>
              <w:top w:val="single" w:sz="4" w:space="0" w:color="auto"/>
              <w:left w:val="nil"/>
              <w:bottom w:val="single" w:sz="4" w:space="0" w:color="auto"/>
              <w:right w:val="single" w:sz="4" w:space="0" w:color="auto"/>
            </w:tcBorders>
            <w:shd w:val="clear" w:color="auto" w:fill="C6EFCE"/>
            <w:noWrap/>
          </w:tcPr>
          <w:p w14:paraId="0A369D7E" w14:textId="77777777" w:rsidR="003A3D51" w:rsidRDefault="0002775A">
            <w:pPr>
              <w:pStyle w:val="P68B1DB1-Normal41"/>
              <w:rPr>
                <w:rFonts w:ascii="Times New Roman" w:hAnsi="Times New Roman" w:cs="Times New Roman"/>
                <w:noProof/>
              </w:rPr>
            </w:pPr>
            <w:r>
              <w:rPr>
                <w:noProof/>
              </w:rPr>
              <w:t xml:space="preserve">På grundval av det utbildningsmaterial för tekniskt stöd som utarbetats, samt utbildning som genomförts av externa experter inom ramen för delmål 252, ska HAMAG-BICRO (den kroatiska byrån för småföretag, innovation och investeringar) i samarbete med ministeriet för ekonomi och hållbar utveckling (MINGOR) utbilda minst 75 % av de upphandlingsansvariga vid de upphandlande enheter som förtecknas i planen, på grundval av genomförandeplanen för utbildning 2024–2025. </w:t>
            </w:r>
          </w:p>
        </w:tc>
      </w:tr>
    </w:tbl>
    <w:p w14:paraId="195A0630" w14:textId="77777777" w:rsidR="003A3D51" w:rsidRDefault="003A3D51">
      <w:pPr>
        <w:rPr>
          <w:noProof/>
        </w:rPr>
        <w:sectPr w:rsidR="003A3D51" w:rsidSect="00BD1A7F">
          <w:headerReference w:type="even" r:id="rId264"/>
          <w:headerReference w:type="default" r:id="rId265"/>
          <w:footerReference w:type="even" r:id="rId266"/>
          <w:footerReference w:type="default" r:id="rId267"/>
          <w:headerReference w:type="first" r:id="rId268"/>
          <w:footerReference w:type="first" r:id="rId269"/>
          <w:pgSz w:w="15840" w:h="12240" w:orient="landscape"/>
          <w:pgMar w:top="1440" w:right="1098" w:bottom="1440" w:left="851" w:header="708" w:footer="708" w:gutter="0"/>
          <w:cols w:space="708"/>
          <w:docGrid w:linePitch="360"/>
        </w:sectPr>
      </w:pPr>
    </w:p>
    <w:p w14:paraId="19C5A9D2" w14:textId="77777777" w:rsidR="003A3D51" w:rsidRDefault="0002775A">
      <w:pPr>
        <w:pStyle w:val="P68B1DB1-Normal2"/>
        <w:keepNext/>
        <w:tabs>
          <w:tab w:val="left" w:pos="850"/>
        </w:tabs>
        <w:spacing w:before="360" w:after="120" w:line="240" w:lineRule="auto"/>
        <w:ind w:left="851"/>
        <w:jc w:val="both"/>
        <w:outlineLvl w:val="0"/>
        <w:rPr>
          <w:noProof/>
        </w:rPr>
      </w:pPr>
      <w:r>
        <w:rPr>
          <w:noProof/>
        </w:rPr>
        <w:t>P. KOMPONENT 3.1: REFORM AV UTBILDNINGSSYSTEMET</w:t>
      </w:r>
    </w:p>
    <w:p w14:paraId="4F10A96A" w14:textId="77777777" w:rsidR="003A3D51" w:rsidRDefault="0002775A">
      <w:pPr>
        <w:pStyle w:val="P68B1DB1-Normal3"/>
        <w:spacing w:after="240" w:line="240" w:lineRule="auto"/>
        <w:jc w:val="both"/>
        <w:rPr>
          <w:noProof/>
        </w:rPr>
      </w:pPr>
      <w:r>
        <w:rPr>
          <w:noProof/>
        </w:rPr>
        <w:t>Utbildningssystemet i Kroatien står inför ett antal betydande utmaningar. Deltagandet i formell barnomsorg och deltagande i förskoleverksamhet och barnomsorg är bland de lägsta i EU, vilket till stor del beror på brist på förskoleinfrastruktur och brist på lärare, med stora regionala skillnader som förvärrar ojämlikheten. Den obligatoriska skolgången (åtta år) är ett år kortare än EU-standarden. Den årliga utbildningstiden i grundskolan är också lägre än EU-genomsnittet, eftersom många skolor arbetar i skift på grund av bristande infrastruktur. Elevernas resultat när det gäller alla grundläggande färdigheter ligger under EU-genomsnittet. Andelen personer med eftergymnasial utbildning är en av de lägsta i EU. Deltagandet i vuxenutbildning är också mycket lågt.</w:t>
      </w:r>
    </w:p>
    <w:p w14:paraId="4D403654" w14:textId="77777777" w:rsidR="003A3D51" w:rsidRDefault="0002775A">
      <w:pPr>
        <w:pStyle w:val="P68B1DB1-Normal3"/>
        <w:spacing w:before="120" w:after="120" w:line="240" w:lineRule="auto"/>
        <w:jc w:val="both"/>
        <w:rPr>
          <w:noProof/>
        </w:rPr>
      </w:pPr>
      <w:r>
        <w:rPr>
          <w:noProof/>
        </w:rPr>
        <w:t xml:space="preserve">Syftet med denna del är att ta itu med alla dessa utmaningar. Den omfattar en omfattande reform av utbildningssystemet, som syftar till att stödja tillgången till och kvaliteten på utbildning på alla utbildningsnivåer. Det omfattar också kompletterande investeringar i infrastruktur för förskoleverksamhet och barnomsorg, skolor och digital infrastruktur för högre utbildning. </w:t>
      </w:r>
    </w:p>
    <w:p w14:paraId="337100CB" w14:textId="77777777" w:rsidR="003A3D51" w:rsidRDefault="0002775A">
      <w:pPr>
        <w:pStyle w:val="P68B1DB1-Normal3"/>
        <w:spacing w:before="120" w:after="120" w:line="240" w:lineRule="auto"/>
        <w:jc w:val="both"/>
        <w:rPr>
          <w:noProof/>
        </w:rPr>
      </w:pPr>
      <w:r>
        <w:rPr>
          <w:noProof/>
        </w:rPr>
        <w:t>Denna del bidrar till att ta itu med de landsspecifika rekommendationer som riktats till Kroatien under de senaste två åren, behovet av att ”</w:t>
      </w:r>
      <w:r>
        <w:rPr>
          <w:i/>
          <w:noProof/>
        </w:rPr>
        <w:t>genomföra utbildningsreformen och förbättra både tillgången till utbildning på alla nivåer och deras kvalitet och relevans för arbetsmarknaden</w:t>
      </w:r>
      <w:r>
        <w:rPr>
          <w:noProof/>
        </w:rPr>
        <w:t>” (landsspecifik rekommendation 2 2019) och ”</w:t>
      </w:r>
      <w:r>
        <w:rPr>
          <w:i/>
          <w:noProof/>
        </w:rPr>
        <w:t>främja förvärvandet av färdigheter</w:t>
      </w:r>
      <w:r>
        <w:rPr>
          <w:noProof/>
        </w:rPr>
        <w:t>” (landsspecifik rekommendation 2 2020).</w:t>
      </w:r>
    </w:p>
    <w:p w14:paraId="11384224" w14:textId="77777777" w:rsidR="003A3D51" w:rsidRDefault="0002775A">
      <w:pPr>
        <w:pStyle w:val="P68B1DB1-Normal4"/>
        <w:keepNext/>
        <w:tabs>
          <w:tab w:val="num" w:pos="850"/>
        </w:tabs>
        <w:spacing w:before="40" w:after="0"/>
        <w:ind w:left="851"/>
        <w:jc w:val="both"/>
        <w:outlineLvl w:val="1"/>
        <w:rPr>
          <w:noProof/>
        </w:rPr>
      </w:pPr>
      <w:r>
        <w:rPr>
          <w:noProof/>
        </w:rPr>
        <w:t xml:space="preserve">P.1. </w:t>
      </w:r>
      <w:r>
        <w:rPr>
          <w:noProof/>
        </w:rPr>
        <w:tab/>
        <w:t>Beskrivning av reformer och investeringar avseende icke återbetalningspliktigt ekonomiskt stöd</w:t>
      </w:r>
    </w:p>
    <w:p w14:paraId="364E231D" w14:textId="77777777" w:rsidR="003A3D51" w:rsidRDefault="0002775A">
      <w:pPr>
        <w:pStyle w:val="P68B1DB1-Normal18"/>
        <w:keepNext/>
        <w:tabs>
          <w:tab w:val="num" w:pos="850"/>
        </w:tabs>
        <w:spacing w:before="240" w:after="0"/>
        <w:ind w:left="851"/>
        <w:jc w:val="both"/>
        <w:outlineLvl w:val="2"/>
        <w:rPr>
          <w:noProof/>
        </w:rPr>
      </w:pPr>
      <w:r>
        <w:rPr>
          <w:noProof/>
        </w:rPr>
        <w:t>Reform C3.1 R1: Strukturreform av utbildningssystemet</w:t>
      </w:r>
    </w:p>
    <w:p w14:paraId="6EA5E6AD" w14:textId="77777777" w:rsidR="003A3D51" w:rsidRDefault="0002775A">
      <w:pPr>
        <w:pStyle w:val="P68B1DB1-Normal3"/>
        <w:spacing w:before="120" w:after="120" w:line="240" w:lineRule="auto"/>
        <w:jc w:val="both"/>
        <w:rPr>
          <w:noProof/>
        </w:rPr>
      </w:pPr>
      <w:r>
        <w:rPr>
          <w:noProof/>
        </w:rPr>
        <w:t xml:space="preserve">Denna reform syftar till att stödja tillgången till utbildning och dess kvalitet på alla utbildningsnivåer. </w:t>
      </w:r>
    </w:p>
    <w:p w14:paraId="6D8F5E33" w14:textId="77777777" w:rsidR="003A3D51" w:rsidRDefault="0002775A">
      <w:pPr>
        <w:pStyle w:val="P68B1DB1-Normal3"/>
        <w:numPr>
          <w:ilvl w:val="0"/>
          <w:numId w:val="23"/>
        </w:numPr>
        <w:spacing w:before="120" w:after="120" w:line="240" w:lineRule="auto"/>
        <w:jc w:val="both"/>
        <w:rPr>
          <w:noProof/>
        </w:rPr>
      </w:pPr>
      <w:r>
        <w:rPr>
          <w:noProof/>
        </w:rPr>
        <w:t>Förskola och barnomsorg</w:t>
      </w:r>
    </w:p>
    <w:p w14:paraId="301DC556" w14:textId="77777777" w:rsidR="003A3D51" w:rsidRDefault="0002775A">
      <w:pPr>
        <w:pStyle w:val="P68B1DB1-Normal3"/>
        <w:spacing w:before="120" w:after="120" w:line="240" w:lineRule="auto"/>
        <w:jc w:val="both"/>
        <w:rPr>
          <w:noProof/>
        </w:rPr>
      </w:pPr>
      <w:r>
        <w:rPr>
          <w:noProof/>
        </w:rPr>
        <w:t>Syftet med reformen är att förbättra tillgången till förskoleverksamhet och barnomsorg för barn från tre års ålder till början av grundskolan. Målet är att se till att alla barn, särskilt de från socioekonomiskt missgynnade grupper</w:t>
      </w:r>
      <w:r>
        <w:rPr>
          <w:noProof/>
        </w:rPr>
        <w:footnoteReference w:id="19"/>
      </w:r>
      <w:r>
        <w:rPr>
          <w:noProof/>
        </w:rPr>
        <w:t xml:space="preserve">, kan delta i förskoleverksamhet. </w:t>
      </w:r>
    </w:p>
    <w:p w14:paraId="012842FF" w14:textId="77777777" w:rsidR="003A3D51" w:rsidRDefault="0002775A">
      <w:pPr>
        <w:pStyle w:val="P68B1DB1-Normal3"/>
        <w:spacing w:before="120" w:after="120" w:line="240" w:lineRule="auto"/>
        <w:jc w:val="both"/>
        <w:rPr>
          <w:noProof/>
        </w:rPr>
      </w:pPr>
      <w:r>
        <w:rPr>
          <w:noProof/>
        </w:rPr>
        <w:t>Syftet med reformen är att tillhandahålla ytterligare lärare för förskoleverksamhet och barnomsorg med särskild utbildning i förskoleverksamhet och barnomsorg och ska bidra till att säkerställa ett tillräckligt antal lärare på medellång sikt. Reformen ska också omfatta en ny finansieringsmodell för att säkerställa att finansieringen av förskoleverksamhet och barnomsorg är långsiktigt hållbar, med ett ökat bidrag från staten till finansieringen av förskoleverksamhet och barnomsorg, med beaktande av de lokala kommunernas finansiella kapacitet, vilket också förväntas ha en positiv inverkan på förskoleverksamhetens och barnomsorgens överkomlighet.</w:t>
      </w:r>
    </w:p>
    <w:p w14:paraId="009EE072" w14:textId="77777777" w:rsidR="003A3D51" w:rsidRDefault="0002775A">
      <w:pPr>
        <w:pStyle w:val="P68B1DB1-Normal3"/>
        <w:spacing w:before="120" w:after="120" w:line="240" w:lineRule="auto"/>
        <w:jc w:val="both"/>
        <w:rPr>
          <w:noProof/>
        </w:rPr>
      </w:pPr>
      <w:r>
        <w:rPr>
          <w:noProof/>
        </w:rPr>
        <w:t xml:space="preserve">Reformen förväntas öka antalet timmar i förskoleverksamhet för barn som är ett år innan de påbörjar grundskolan samt införa rätten till en garanterad plats i förskoleverksamhet och barnomsorg för barn mellan fyra års ålder och grundskoleåldern. </w:t>
      </w:r>
    </w:p>
    <w:p w14:paraId="6A15248B" w14:textId="77777777" w:rsidR="003A3D51" w:rsidRDefault="0002775A">
      <w:pPr>
        <w:pStyle w:val="P68B1DB1-Normal3"/>
        <w:keepNext/>
        <w:numPr>
          <w:ilvl w:val="0"/>
          <w:numId w:val="23"/>
        </w:numPr>
        <w:spacing w:before="120" w:after="120" w:line="240" w:lineRule="auto"/>
        <w:ind w:left="357" w:hanging="357"/>
        <w:jc w:val="both"/>
        <w:rPr>
          <w:noProof/>
        </w:rPr>
      </w:pPr>
      <w:r>
        <w:rPr>
          <w:noProof/>
        </w:rPr>
        <w:t>Årskurs 1–6</w:t>
      </w:r>
    </w:p>
    <w:p w14:paraId="4827D780" w14:textId="77777777" w:rsidR="003A3D51" w:rsidRDefault="0002775A">
      <w:pPr>
        <w:pStyle w:val="P68B1DB1-Normal3"/>
        <w:spacing w:before="120" w:after="120" w:line="240" w:lineRule="auto"/>
        <w:jc w:val="both"/>
        <w:rPr>
          <w:noProof/>
        </w:rPr>
      </w:pPr>
      <w:r>
        <w:rPr>
          <w:noProof/>
        </w:rPr>
        <w:t>Syftet med reformen är att höja kvaliteten på undervisnings- och läranderesultaten, särskilt för barn med missgynnad socioekonomisk bakgrund, genom att införa enskift, heldagsundervisning i grundskolan och öka antalet obligatoriska undervisningstimmar. Reformen syftar också till att stödja kontinuerlig lärarutveckling och systematisk extern utvärdering av läranderesultat i grundskolan.</w:t>
      </w:r>
    </w:p>
    <w:p w14:paraId="3B83236A" w14:textId="77777777" w:rsidR="003A3D51" w:rsidRDefault="0002775A">
      <w:pPr>
        <w:pStyle w:val="P68B1DB1-Normal3"/>
        <w:spacing w:before="120" w:after="120" w:line="240" w:lineRule="auto"/>
        <w:jc w:val="both"/>
        <w:rPr>
          <w:noProof/>
        </w:rPr>
      </w:pPr>
      <w:r>
        <w:rPr>
          <w:noProof/>
        </w:rPr>
        <w:t>Reformen ska ändra utbildningslagen för att införa den nya heldagsundervisningsmodellen i grundskolan och ändra minimiantalet obligatoriska undervisningstimmar och läroplanen för grundskolan, och ska åtföljas av systematiska utbildningsprogram för lärare.</w:t>
      </w:r>
    </w:p>
    <w:p w14:paraId="30F27226" w14:textId="77777777" w:rsidR="003A3D51" w:rsidRDefault="0002775A">
      <w:pPr>
        <w:pStyle w:val="P68B1DB1-Normal3"/>
        <w:spacing w:before="120" w:after="120" w:line="240" w:lineRule="auto"/>
        <w:jc w:val="both"/>
        <w:rPr>
          <w:noProof/>
        </w:rPr>
      </w:pPr>
      <w:r>
        <w:rPr>
          <w:noProof/>
        </w:rPr>
        <w:t>Denna deluppsättning av åtgärder i reformen ska vara slutförd senast den 31 december 2023.</w:t>
      </w:r>
    </w:p>
    <w:p w14:paraId="6011F112" w14:textId="77777777" w:rsidR="003A3D51" w:rsidRDefault="0002775A">
      <w:pPr>
        <w:pStyle w:val="P68B1DB1-Normal3"/>
        <w:numPr>
          <w:ilvl w:val="0"/>
          <w:numId w:val="23"/>
        </w:numPr>
        <w:spacing w:before="120" w:after="120" w:line="240" w:lineRule="auto"/>
        <w:jc w:val="both"/>
        <w:rPr>
          <w:noProof/>
        </w:rPr>
      </w:pPr>
      <w:r>
        <w:rPr>
          <w:noProof/>
        </w:rPr>
        <w:t>Högstadium, gymnasium</w:t>
      </w:r>
    </w:p>
    <w:p w14:paraId="2B5A3481" w14:textId="77777777" w:rsidR="003A3D51" w:rsidRDefault="0002775A">
      <w:pPr>
        <w:pStyle w:val="P68B1DB1-Normal3"/>
        <w:spacing w:before="120" w:after="120" w:line="240" w:lineRule="auto"/>
        <w:jc w:val="both"/>
        <w:rPr>
          <w:noProof/>
        </w:rPr>
      </w:pPr>
      <w:r>
        <w:rPr>
          <w:noProof/>
        </w:rPr>
        <w:t xml:space="preserve">Syftet med reformen är att öka sekundärutbildningens relevans genom att öka studenternas inskrivning i allmän gymnasieutbildning (”gimnazija-program”), samtidigt som andelen yrkesutbildning minskas och yrkesprogrammens relevans för arbetsmarknaden förbättras. </w:t>
      </w:r>
    </w:p>
    <w:p w14:paraId="3E9D0118" w14:textId="77777777" w:rsidR="003A3D51" w:rsidRDefault="0002775A">
      <w:pPr>
        <w:pStyle w:val="P68B1DB1-Normal3"/>
        <w:spacing w:before="120" w:after="120" w:line="240" w:lineRule="auto"/>
        <w:jc w:val="both"/>
        <w:rPr>
          <w:noProof/>
        </w:rPr>
      </w:pPr>
      <w:r>
        <w:rPr>
          <w:noProof/>
        </w:rPr>
        <w:t>Reformen ska bidra till att konsolidera de många befintliga sekundära yrkesprogrammen genom att minska överskottet av yrkesprogram och öka programmens relevans för arbetsmarknadens behov. Reformen ska införa nya läroplaner baserade på kvalifikations- och yrkesstandarder i den kroatiska referensramen för kvalifikationer (CROQF), som ska åtföljas av utveckling av nytt undervisningsmaterial och yrkesutbildning för yrkeslärare.</w:t>
      </w:r>
    </w:p>
    <w:p w14:paraId="283FD375" w14:textId="77777777" w:rsidR="003A3D51" w:rsidRDefault="0002775A">
      <w:pPr>
        <w:pStyle w:val="P68B1DB1-Normal3"/>
        <w:spacing w:before="120" w:after="120" w:line="240" w:lineRule="auto"/>
        <w:jc w:val="both"/>
        <w:rPr>
          <w:noProof/>
        </w:rPr>
      </w:pPr>
      <w:r>
        <w:rPr>
          <w:noProof/>
        </w:rPr>
        <w:t>Denna deluppsättning av åtgärder i reformen ska vara slutförd senast den 31 december 2023.</w:t>
      </w:r>
    </w:p>
    <w:p w14:paraId="339FEBE6" w14:textId="77777777" w:rsidR="003A3D51" w:rsidRDefault="0002775A">
      <w:pPr>
        <w:pStyle w:val="P68B1DB1-Normal3"/>
        <w:numPr>
          <w:ilvl w:val="0"/>
          <w:numId w:val="23"/>
        </w:numPr>
        <w:spacing w:before="120" w:after="120" w:line="240" w:lineRule="auto"/>
        <w:jc w:val="both"/>
        <w:rPr>
          <w:noProof/>
        </w:rPr>
      </w:pPr>
      <w:r>
        <w:rPr>
          <w:noProof/>
        </w:rPr>
        <w:t>Vuxenutbildning</w:t>
      </w:r>
    </w:p>
    <w:p w14:paraId="19299978" w14:textId="77777777" w:rsidR="003A3D51" w:rsidRDefault="0002775A">
      <w:pPr>
        <w:pStyle w:val="P68B1DB1-Normal3"/>
        <w:spacing w:before="120" w:after="120" w:line="240" w:lineRule="auto"/>
        <w:jc w:val="both"/>
        <w:rPr>
          <w:noProof/>
        </w:rPr>
      </w:pPr>
      <w:r>
        <w:rPr>
          <w:noProof/>
        </w:rPr>
        <w:t>Syftet med reformen är att höja vuxenutbildningens kvalitet och relevans. Den nya lagen om vuxenutbildning ska anpassa vuxenutbildningsprogrammen till kvalifikationsnormerna i den kroatiska referensramen för kvalifikationer (CROQF), vilket förväntas underlätta erkännandet av förvärvade kunskaper och färdigheter. Reformen ska också innehålla bestämmelser om införande av individuella utbildningskonton för att göra det möjligt för var och en att delta i livslångt lärande. Reformen ska också införa ett system för utvärdering av anordnare av vuxenutbildning.</w:t>
      </w:r>
    </w:p>
    <w:p w14:paraId="6BF14BEF" w14:textId="77777777" w:rsidR="003A3D51" w:rsidRDefault="0002775A">
      <w:pPr>
        <w:pStyle w:val="P68B1DB1-Normal3"/>
        <w:spacing w:before="120" w:after="120" w:line="240" w:lineRule="auto"/>
        <w:jc w:val="both"/>
        <w:rPr>
          <w:noProof/>
        </w:rPr>
      </w:pPr>
      <w:r>
        <w:rPr>
          <w:noProof/>
        </w:rPr>
        <w:t>Denna deluppsättning av åtgärder i reformen ska vara slutförd senast den 31 december 2023.</w:t>
      </w:r>
    </w:p>
    <w:p w14:paraId="22FB0AA2" w14:textId="77777777" w:rsidR="003A3D51" w:rsidRDefault="0002775A">
      <w:pPr>
        <w:pStyle w:val="P68B1DB1-Normal3"/>
        <w:spacing w:before="120" w:after="120" w:line="240" w:lineRule="auto"/>
        <w:jc w:val="both"/>
        <w:rPr>
          <w:noProof/>
        </w:rPr>
      </w:pPr>
      <w:r>
        <w:rPr>
          <w:noProof/>
        </w:rPr>
        <w:t xml:space="preserve">Denna reform stöds av tre investeringar (C3.1 R1 – I1, C3.1 R1 – I2 och C3.1 R1 – I3). </w:t>
      </w:r>
    </w:p>
    <w:p w14:paraId="13D3B79B" w14:textId="77777777" w:rsidR="003A3D51" w:rsidRDefault="0002775A">
      <w:pPr>
        <w:pStyle w:val="P68B1DB1-Normal18"/>
        <w:keepNext/>
        <w:tabs>
          <w:tab w:val="num" w:pos="850"/>
        </w:tabs>
        <w:spacing w:before="240" w:after="0"/>
        <w:ind w:left="851"/>
        <w:jc w:val="both"/>
        <w:outlineLvl w:val="2"/>
        <w:rPr>
          <w:noProof/>
        </w:rPr>
      </w:pPr>
      <w:r>
        <w:rPr>
          <w:noProof/>
        </w:rPr>
        <w:t>Investering C3.1 R1 – I1: Uppförande, uppgradering, ombyggnad och utrustning av förskoleverksamhet och barnomsorg</w:t>
      </w:r>
    </w:p>
    <w:p w14:paraId="3C37651D" w14:textId="77777777" w:rsidR="003A3D51" w:rsidRDefault="0002775A">
      <w:pPr>
        <w:pStyle w:val="P68B1DB1-Normal3"/>
        <w:spacing w:before="120" w:after="120" w:line="240" w:lineRule="auto"/>
        <w:jc w:val="both"/>
        <w:rPr>
          <w:noProof/>
        </w:rPr>
      </w:pPr>
      <w:r>
        <w:rPr>
          <w:noProof/>
        </w:rPr>
        <w:t xml:space="preserve">Syftet med denna investering är att stödja tillgången till förskoleverksamhet och barnomsorg i Kroatien. Det omfattar uppförande av nya förskole- och barnomsorgsanläggningar och renovering av befintliga anläggningar, med målet att skapa 22 500 nya platser inom förskoleverksamhet och barnomsorg. Investeringen förväntas minska de regionala skillnaderna i tillgången till förskoleverksamhet och barnomsorg. </w:t>
      </w:r>
    </w:p>
    <w:p w14:paraId="342EDF08" w14:textId="77777777" w:rsidR="003A3D51" w:rsidRDefault="0002775A">
      <w:pPr>
        <w:pStyle w:val="P68B1DB1-Normal3"/>
        <w:spacing w:before="120" w:after="120" w:line="240" w:lineRule="auto"/>
        <w:jc w:val="both"/>
        <w:rPr>
          <w:noProof/>
        </w:rPr>
      </w:pPr>
      <w:r>
        <w:rPr>
          <w:noProof/>
        </w:rPr>
        <w:t xml:space="preserve">Uppförande och renovering av anläggningar för förskoleverksamhet och barnomsorg ska baseras på resultaten av en behovsanalys, med beaktande av befintlig infrastrukturkapacitet och demografisk utveckling, med en detaljerad kartläggning av det befintliga nätverket av anläggningar för förskoleverksamhet och barnomsorg och en prognos över framtida behov. </w:t>
      </w:r>
    </w:p>
    <w:p w14:paraId="052EF30D" w14:textId="77777777" w:rsidR="003A3D51" w:rsidRDefault="0002775A">
      <w:pPr>
        <w:pStyle w:val="P68B1DB1-Normal3"/>
        <w:spacing w:before="120" w:after="120" w:line="240" w:lineRule="auto"/>
        <w:jc w:val="both"/>
        <w:rPr>
          <w:noProof/>
        </w:rPr>
      </w:pPr>
      <w:r>
        <w:rPr>
          <w:noProof/>
        </w:rPr>
        <w:t>Investeringarna ska genomföras på lokal nivå, och städer och kommuner förväntas delta i ansökningsomgångar för genomförande av infrastrukturprojekt på deras territorium.</w:t>
      </w:r>
    </w:p>
    <w:p w14:paraId="752EF596"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59080B7" w14:textId="77777777" w:rsidR="003A3D51" w:rsidRDefault="0002775A">
      <w:pPr>
        <w:pStyle w:val="P68B1DB1-Normal18"/>
        <w:keepNext/>
        <w:numPr>
          <w:ilvl w:val="2"/>
          <w:numId w:val="0"/>
        </w:numPr>
        <w:spacing w:before="240" w:after="0"/>
        <w:ind w:left="850"/>
        <w:jc w:val="both"/>
        <w:outlineLvl w:val="2"/>
        <w:rPr>
          <w:noProof/>
        </w:rPr>
      </w:pPr>
      <w:r>
        <w:rPr>
          <w:noProof/>
        </w:rPr>
        <w:t>Investering C3.1 R1 – I2: Byggande, uppgradering, ombyggnad och utrustning av grundskolor för heldagsundervisning i enkelskift</w:t>
      </w:r>
    </w:p>
    <w:p w14:paraId="33A6C4D2" w14:textId="77777777" w:rsidR="003A3D51" w:rsidRDefault="0002775A">
      <w:pPr>
        <w:pStyle w:val="P68B1DB1-Normal3"/>
        <w:spacing w:before="120" w:after="120" w:line="240" w:lineRule="auto"/>
        <w:jc w:val="both"/>
        <w:rPr>
          <w:noProof/>
        </w:rPr>
      </w:pPr>
      <w:r>
        <w:rPr>
          <w:noProof/>
        </w:rPr>
        <w:t xml:space="preserve">Syftet med denna åtgärd är att stödja övergången till heldagsundervisning i grundskolan i Kroatien. Det omfattar byggande av nya grundskolor och uppgradering av befintliga grundskolor, med målet att alla grundskoleelever ska få undervisning under hela dagen. </w:t>
      </w:r>
    </w:p>
    <w:p w14:paraId="1FD98C0D" w14:textId="77777777" w:rsidR="003A3D51" w:rsidRDefault="0002775A">
      <w:pPr>
        <w:pStyle w:val="P68B1DB1-Normal3"/>
        <w:spacing w:before="120" w:after="120" w:line="240" w:lineRule="auto"/>
        <w:jc w:val="both"/>
        <w:rPr>
          <w:noProof/>
        </w:rPr>
      </w:pPr>
      <w:r>
        <w:rPr>
          <w:noProof/>
        </w:rPr>
        <w:t>Uppförande och renovering av grundskolor ska baseras på en bedömning av behovet av infrastrukturinvesteringar, med beaktande av skolornas kapacitet och demografiska utveckling. Dessa investeringar ska genomföras på lokal nivå, och städer och kommuner förväntas delta i ansökningsomgångar för genomförande av infrastrukturprojekt på deras territorium.</w:t>
      </w:r>
    </w:p>
    <w:p w14:paraId="77DE8771"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EFEE726" w14:textId="77777777" w:rsidR="003A3D51" w:rsidRDefault="0002775A">
      <w:pPr>
        <w:pStyle w:val="P68B1DB1-Normal18"/>
        <w:keepNext/>
        <w:numPr>
          <w:ilvl w:val="2"/>
          <w:numId w:val="0"/>
        </w:numPr>
        <w:spacing w:before="240" w:after="0"/>
        <w:ind w:left="851"/>
        <w:jc w:val="both"/>
        <w:outlineLvl w:val="2"/>
        <w:rPr>
          <w:noProof/>
        </w:rPr>
      </w:pPr>
      <w:r>
        <w:rPr>
          <w:noProof/>
        </w:rPr>
        <w:t xml:space="preserve">Investering C3.1 R1 – I3: Byggande, uppgradering, renovering och utrustning av högstadie- och gymnasieskolor </w:t>
      </w:r>
    </w:p>
    <w:p w14:paraId="03F66244" w14:textId="77777777" w:rsidR="003A3D51" w:rsidRDefault="0002775A">
      <w:pPr>
        <w:pStyle w:val="P68B1DB1-Normal3"/>
        <w:spacing w:before="120" w:after="120" w:line="240" w:lineRule="auto"/>
        <w:jc w:val="both"/>
        <w:rPr>
          <w:noProof/>
        </w:rPr>
      </w:pPr>
      <w:r>
        <w:rPr>
          <w:noProof/>
        </w:rPr>
        <w:t xml:space="preserve">Syftet med denna åtgärd är att öka studenternas inskrivning i allmän gymnasieutbildning (”gimnazija-program”) genom att öka den fysiska infrastrukturkapaciteten. Det omfattar byggande av nya gymnasieskolor och uppgradering av befintliga skolor, inklusive skolornas idrottsinfrastruktur, för att stödja målet att ytterligare 9 000 elever ska gå i allmän gymnasieutbildning. </w:t>
      </w:r>
    </w:p>
    <w:p w14:paraId="1E248CCB" w14:textId="77777777" w:rsidR="003A3D51" w:rsidRDefault="0002775A">
      <w:pPr>
        <w:pStyle w:val="P68B1DB1-Normal3"/>
        <w:spacing w:before="120" w:after="120" w:line="240" w:lineRule="auto"/>
        <w:jc w:val="both"/>
        <w:rPr>
          <w:noProof/>
        </w:rPr>
      </w:pPr>
      <w:r>
        <w:rPr>
          <w:noProof/>
        </w:rPr>
        <w:t xml:space="preserve">Byggande och renovering av skolor som driver gymnasieutbildningsprogram ska baseras på en bedömning av befintlig kapacitet och behov av ytterligare fysisk infrastruktur. </w:t>
      </w:r>
    </w:p>
    <w:p w14:paraId="7B3A0329"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7B983DAB" w14:textId="77777777" w:rsidR="003A3D51" w:rsidRDefault="0002775A">
      <w:pPr>
        <w:pStyle w:val="P68B1DB1-Normal18"/>
        <w:keepNext/>
        <w:numPr>
          <w:ilvl w:val="2"/>
          <w:numId w:val="0"/>
        </w:numPr>
        <w:spacing w:before="240" w:after="0"/>
        <w:ind w:left="851"/>
        <w:jc w:val="both"/>
        <w:outlineLvl w:val="2"/>
        <w:rPr>
          <w:noProof/>
        </w:rPr>
      </w:pPr>
      <w:r>
        <w:rPr>
          <w:noProof/>
        </w:rPr>
        <w:t>Reform C3.1 R2: Modernisering av högre utbildning</w:t>
      </w:r>
    </w:p>
    <w:p w14:paraId="1A82BA0A" w14:textId="77777777" w:rsidR="003A3D51" w:rsidRDefault="0002775A">
      <w:pPr>
        <w:pStyle w:val="P68B1DB1-Normal3"/>
        <w:spacing w:before="120" w:after="120" w:line="240" w:lineRule="auto"/>
        <w:jc w:val="both"/>
        <w:rPr>
          <w:noProof/>
        </w:rPr>
      </w:pPr>
      <w:r>
        <w:rPr>
          <w:noProof/>
        </w:rPr>
        <w:t xml:space="preserve">Denna reform syftar till att förbättra den högre utbildningens tillgänglighet, kvalitet och relevans för arbetsmarknaden samt att öka andelen utexaminerade från högre utbildning, särskilt från utsatta och underrepresenterade grupper. </w:t>
      </w:r>
    </w:p>
    <w:p w14:paraId="2427E149" w14:textId="77777777" w:rsidR="003A3D51" w:rsidRDefault="0002775A">
      <w:pPr>
        <w:pStyle w:val="P68B1DB1-Normal3"/>
        <w:spacing w:before="120" w:after="120" w:line="240" w:lineRule="auto"/>
        <w:jc w:val="both"/>
        <w:rPr>
          <w:noProof/>
        </w:rPr>
      </w:pPr>
      <w:r>
        <w:rPr>
          <w:noProof/>
        </w:rPr>
        <w:t>Reformen ska omfatta antagandet av en ny lag om vetenskap och högre utbildning och en ny lag om kvalitetssäkring inom vetenskap och högre utbildning, i syfte att inrätta en ny effektiv finansieringsmodell för offentliga universitet och andra offentliga högre utbildningsanstalter. Den nya finansieringsmodellen ska baseras på transparenta kriterier och resultatindikatorer som är kopplade till institutets utvecklingsmål. Införandet av den nya finansieringsmodellen förväntas genomföras genom programavtal som omfattar universitetets/institutionens vetenskapliga forsknings- och undervisningsverksamhet under en period på två år.</w:t>
      </w:r>
    </w:p>
    <w:p w14:paraId="28FA6438" w14:textId="77777777" w:rsidR="003A3D51" w:rsidRDefault="0002775A">
      <w:pPr>
        <w:pStyle w:val="P68B1DB1-Normal3"/>
        <w:spacing w:before="120" w:after="120" w:line="240" w:lineRule="auto"/>
        <w:jc w:val="both"/>
        <w:rPr>
          <w:noProof/>
        </w:rPr>
      </w:pPr>
      <w:r>
        <w:rPr>
          <w:noProof/>
        </w:rPr>
        <w:t>Reformen syftar också till att bättre anpassa utbildningen till arbetsmarknadens behov. Den ska fortsätta att fastställa kvalifikationsnormer för alla kvalifikationer inom högre utbildning och inkludera dem i registret över den kroatiska referensramen för kvalifikationer (CROQF), som förväntas bättre anpassa kvalifikationer från högre utbildning till arbetsmarknadens behov.  Reformen ska också inrätta ett digitalt register över examensbevis, vilket är ett steg mot utvecklingen av ett system för uppföljning av utexaminerade som gör det möjligt att spåra utexaminerades anställbarhet.</w:t>
      </w:r>
    </w:p>
    <w:p w14:paraId="28E382C0" w14:textId="77777777" w:rsidR="003A3D51" w:rsidRDefault="0002775A">
      <w:pPr>
        <w:pStyle w:val="P68B1DB1-Normal3"/>
        <w:spacing w:before="120" w:after="120" w:line="240" w:lineRule="auto"/>
        <w:jc w:val="both"/>
        <w:rPr>
          <w:noProof/>
        </w:rPr>
      </w:pPr>
      <w:r>
        <w:rPr>
          <w:noProof/>
        </w:rPr>
        <w:t xml:space="preserve">Reformen ska också stödja närmare kopplingar mellan undervisning och vetenskaplig forskning, de kroatiska universitetens internationalisering och deltagande i framtida allianser mellan de europeiska universiteten och stödja den digitala omvandlingen av den högre utbildningen. </w:t>
      </w:r>
    </w:p>
    <w:p w14:paraId="3B1BC163" w14:textId="77777777" w:rsidR="003A3D51" w:rsidRDefault="0002775A">
      <w:pPr>
        <w:pStyle w:val="P68B1DB1-Normal3"/>
        <w:spacing w:before="120" w:after="120" w:line="240" w:lineRule="auto"/>
        <w:jc w:val="both"/>
        <w:rPr>
          <w:noProof/>
        </w:rPr>
      </w:pPr>
      <w:r>
        <w:rPr>
          <w:noProof/>
        </w:rPr>
        <w:t>Reformen ska vara genomförd senast den 31 december 2023.</w:t>
      </w:r>
    </w:p>
    <w:p w14:paraId="32D6D14D" w14:textId="77777777" w:rsidR="003A3D51" w:rsidRDefault="0002775A">
      <w:pPr>
        <w:pStyle w:val="P68B1DB1-Normal18"/>
        <w:keepNext/>
        <w:numPr>
          <w:ilvl w:val="2"/>
          <w:numId w:val="0"/>
        </w:numPr>
        <w:spacing w:before="240" w:after="0"/>
        <w:ind w:left="851"/>
        <w:jc w:val="both"/>
        <w:outlineLvl w:val="2"/>
        <w:rPr>
          <w:noProof/>
        </w:rPr>
      </w:pPr>
      <w:r>
        <w:rPr>
          <w:noProof/>
        </w:rPr>
        <w:t>Investering C3.1 R2 – I1: Digital omvandling av den högre utbildningen</w:t>
      </w:r>
    </w:p>
    <w:p w14:paraId="762844BF" w14:textId="77777777" w:rsidR="003A3D51" w:rsidRDefault="0002775A">
      <w:pPr>
        <w:pStyle w:val="P68B1DB1-Normal3"/>
        <w:spacing w:before="120" w:after="120" w:line="240" w:lineRule="auto"/>
        <w:jc w:val="both"/>
        <w:rPr>
          <w:noProof/>
        </w:rPr>
      </w:pPr>
      <w:r>
        <w:rPr>
          <w:noProof/>
        </w:rPr>
        <w:t>Syftet med investeringen är att stödja den digitala omvandlingen av den högre utbildningen och underlätta e-lärande. Det omfattar investeringar i digital infrastruktur för undervisning och digitala undervisningsverktyg.</w:t>
      </w:r>
    </w:p>
    <w:p w14:paraId="01E2420F" w14:textId="77777777" w:rsidR="003A3D51" w:rsidRDefault="0002775A">
      <w:pPr>
        <w:pStyle w:val="P68B1DB1-Normal3"/>
        <w:spacing w:before="120" w:after="120" w:line="240" w:lineRule="auto"/>
        <w:jc w:val="both"/>
        <w:rPr>
          <w:noProof/>
        </w:rPr>
      </w:pPr>
      <w:r>
        <w:rPr>
          <w:noProof/>
        </w:rPr>
        <w:t>Investeringen omfattar också inköp av klassrumsutrustning (t.ex. projektorer, videoinspelningssystem, ljudsystem, kameror och ljudutrustning för att spela in lektioner, programvaruutrustning för att arkivera digitala undervisningsresurser) och omfattar underliggande infrastrukturutrustning (t.ex. elektroinstallationer, LAN, wifi-nätverk) som behövs för att använda den digitala undervisningsutrustningen.</w:t>
      </w:r>
    </w:p>
    <w:p w14:paraId="600CF7DD" w14:textId="77777777" w:rsidR="003A3D51" w:rsidRDefault="0002775A">
      <w:pPr>
        <w:pStyle w:val="P68B1DB1-Normal3"/>
        <w:rPr>
          <w:noProof/>
        </w:rPr>
      </w:pPr>
      <w:r>
        <w:rPr>
          <w:noProof/>
        </w:rPr>
        <w:t>Investeringen ska vara slutförd senast den 30 juni 2026.</w:t>
      </w:r>
    </w:p>
    <w:p w14:paraId="6C8DBEE3" w14:textId="77777777" w:rsidR="003A3D51" w:rsidRDefault="003A3D51">
      <w:pPr>
        <w:rPr>
          <w:noProof/>
        </w:rPr>
        <w:sectPr w:rsidR="003A3D51" w:rsidSect="00BD1A7F">
          <w:headerReference w:type="even" r:id="rId270"/>
          <w:headerReference w:type="default" r:id="rId271"/>
          <w:footerReference w:type="even" r:id="rId272"/>
          <w:footerReference w:type="default" r:id="rId273"/>
          <w:headerReference w:type="first" r:id="rId274"/>
          <w:footerReference w:type="first" r:id="rId275"/>
          <w:pgSz w:w="12240" w:h="15840"/>
          <w:pgMar w:top="1098" w:right="1440" w:bottom="851" w:left="1440" w:header="708" w:footer="708" w:gutter="0"/>
          <w:cols w:space="708"/>
          <w:docGrid w:linePitch="360"/>
        </w:sectPr>
      </w:pPr>
    </w:p>
    <w:p w14:paraId="14E10700" w14:textId="77777777" w:rsidR="003A3D51" w:rsidRDefault="0002775A">
      <w:pPr>
        <w:pStyle w:val="P68B1DB1-Normal4"/>
        <w:keepNext/>
        <w:tabs>
          <w:tab w:val="num" w:pos="850"/>
        </w:tabs>
        <w:spacing w:before="40" w:after="0"/>
        <w:ind w:left="851"/>
        <w:jc w:val="both"/>
        <w:outlineLvl w:val="1"/>
        <w:rPr>
          <w:noProof/>
        </w:rPr>
      </w:pPr>
      <w:r>
        <w:rPr>
          <w:noProof/>
        </w:rPr>
        <w:t xml:space="preserve">P.2. </w:t>
      </w:r>
      <w:r>
        <w:rPr>
          <w:noProof/>
        </w:rPr>
        <w:tab/>
        <w:t>Delmål, mål, indikatorer och tidsplan för övervakning och genomförande avseende icke återbetalningspliktigt ekonomiskt stöd</w:t>
      </w:r>
    </w:p>
    <w:p w14:paraId="17D63A48" w14:textId="77777777" w:rsidR="003A3D51" w:rsidRDefault="003A3D51">
      <w:pPr>
        <w:keepNext/>
        <w:tabs>
          <w:tab w:val="num" w:pos="850"/>
        </w:tabs>
        <w:spacing w:before="40" w:after="0"/>
        <w:ind w:left="851"/>
        <w:jc w:val="both"/>
        <w:outlineLvl w:val="1"/>
        <w:rPr>
          <w:rFonts w:ascii="Times New Roman" w:eastAsia="SimSun" w:hAnsi="Times New Roman" w:cs="Times New Roman"/>
          <w:b/>
          <w:noProof/>
          <w:sz w:val="24"/>
          <w:u w:val="single"/>
        </w:rPr>
      </w:pPr>
    </w:p>
    <w:tbl>
      <w:tblPr>
        <w:tblW w:w="5000" w:type="pct"/>
        <w:tblCellMar>
          <w:top w:w="28" w:type="dxa"/>
          <w:left w:w="28" w:type="dxa"/>
          <w:bottom w:w="28" w:type="dxa"/>
          <w:right w:w="28" w:type="dxa"/>
        </w:tblCellMar>
        <w:tblLook w:val="04A0" w:firstRow="1" w:lastRow="0" w:firstColumn="1" w:lastColumn="0" w:noHBand="0" w:noVBand="1"/>
      </w:tblPr>
      <w:tblGrid>
        <w:gridCol w:w="153"/>
        <w:gridCol w:w="243"/>
        <w:gridCol w:w="256"/>
        <w:gridCol w:w="1512"/>
        <w:gridCol w:w="3031"/>
        <w:gridCol w:w="290"/>
        <w:gridCol w:w="218"/>
        <w:gridCol w:w="181"/>
        <w:gridCol w:w="255"/>
        <w:gridCol w:w="147"/>
        <w:gridCol w:w="6730"/>
      </w:tblGrid>
      <w:tr w:rsidR="003A3D51" w14:paraId="637C8B9F" w14:textId="77777777" w:rsidTr="00AF6E13">
        <w:trPr>
          <w:trHeight w:val="635"/>
          <w:tblHeader/>
        </w:trPr>
        <w:tc>
          <w:tcPr>
            <w:tcW w:w="352"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86A73D" w14:textId="77777777" w:rsidR="003A3D51" w:rsidRDefault="0002775A">
            <w:pPr>
              <w:pStyle w:val="P68B1DB1-Normal6"/>
              <w:spacing w:after="0" w:line="276" w:lineRule="auto"/>
              <w:jc w:val="center"/>
              <w:rPr>
                <w:noProof/>
              </w:rPr>
            </w:pPr>
            <w:r>
              <w:rPr>
                <w:noProof/>
              </w:rPr>
              <w:t>Antal</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CA82CA" w14:textId="77777777" w:rsidR="003A3D51" w:rsidRDefault="0002775A">
            <w:pPr>
              <w:pStyle w:val="P68B1DB1-Normal6"/>
              <w:spacing w:after="0" w:line="276" w:lineRule="auto"/>
              <w:jc w:val="center"/>
              <w:rPr>
                <w:noProof/>
              </w:rPr>
            </w:pPr>
            <w:r>
              <w:rPr>
                <w:noProof/>
              </w:rPr>
              <w:t>Åtgärd</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0838A1" w14:textId="77777777" w:rsidR="003A3D51" w:rsidRDefault="0002775A">
            <w:pPr>
              <w:pStyle w:val="P68B1DB1-Normal6"/>
              <w:spacing w:after="0" w:line="276" w:lineRule="auto"/>
              <w:jc w:val="center"/>
              <w:rPr>
                <w:noProof/>
              </w:rPr>
            </w:pPr>
            <w:r>
              <w:rPr>
                <w:noProof/>
              </w:rPr>
              <w:t>Delmål/mål</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7149A3" w14:textId="77777777" w:rsidR="003A3D51" w:rsidRDefault="0002775A">
            <w:pPr>
              <w:pStyle w:val="P68B1DB1-Normal6"/>
              <w:spacing w:after="0" w:line="276" w:lineRule="auto"/>
              <w:jc w:val="center"/>
              <w:rPr>
                <w:noProof/>
              </w:rPr>
            </w:pPr>
            <w:r>
              <w:rPr>
                <w:noProof/>
              </w:rPr>
              <w:t>Namn</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22C130"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882"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35A3982"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521" w:type="pct"/>
            <w:gridSpan w:val="2"/>
            <w:tcBorders>
              <w:top w:val="single" w:sz="4" w:space="0" w:color="auto"/>
              <w:left w:val="nil"/>
              <w:bottom w:val="single" w:sz="4" w:space="0" w:color="auto"/>
              <w:right w:val="single" w:sz="4" w:space="0" w:color="auto"/>
            </w:tcBorders>
            <w:shd w:val="clear" w:color="auto" w:fill="BDD7EE"/>
            <w:vAlign w:val="center"/>
            <w:hideMark/>
          </w:tcPr>
          <w:p w14:paraId="475D1FB8" w14:textId="77777777" w:rsidR="003A3D51" w:rsidRDefault="0002775A">
            <w:pPr>
              <w:pStyle w:val="P68B1DB1-Normal6"/>
              <w:spacing w:after="0" w:line="276" w:lineRule="auto"/>
              <w:jc w:val="center"/>
              <w:rPr>
                <w:noProof/>
              </w:rPr>
            </w:pPr>
            <w:r>
              <w:rPr>
                <w:noProof/>
              </w:rPr>
              <w:t>Tid</w:t>
            </w:r>
          </w:p>
        </w:tc>
        <w:tc>
          <w:tcPr>
            <w:tcW w:w="1099"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96BA79" w14:textId="77777777" w:rsidR="003A3D51" w:rsidRDefault="0002775A">
            <w:pPr>
              <w:pStyle w:val="P68B1DB1-Normal6"/>
              <w:spacing w:after="0" w:line="276" w:lineRule="auto"/>
              <w:jc w:val="center"/>
              <w:rPr>
                <w:noProof/>
              </w:rPr>
            </w:pPr>
            <w:r>
              <w:rPr>
                <w:noProof/>
              </w:rPr>
              <w:t>Beskrivning av varje delmål och mål</w:t>
            </w:r>
          </w:p>
        </w:tc>
      </w:tr>
      <w:tr w:rsidR="003A3D51" w14:paraId="1421D229" w14:textId="77777777" w:rsidTr="00AF6E13">
        <w:trPr>
          <w:trHeight w:val="645"/>
          <w:tblHeader/>
        </w:trPr>
        <w:tc>
          <w:tcPr>
            <w:tcW w:w="352" w:type="pct"/>
            <w:vMerge/>
            <w:tcBorders>
              <w:top w:val="single" w:sz="4" w:space="0" w:color="auto"/>
              <w:left w:val="single" w:sz="4" w:space="0" w:color="auto"/>
              <w:bottom w:val="single" w:sz="4" w:space="0" w:color="auto"/>
              <w:right w:val="single" w:sz="4" w:space="0" w:color="auto"/>
            </w:tcBorders>
            <w:hideMark/>
          </w:tcPr>
          <w:p w14:paraId="3C054088" w14:textId="77777777" w:rsidR="003A3D51" w:rsidRDefault="003A3D51">
            <w:pPr>
              <w:spacing w:after="0" w:line="276" w:lineRule="auto"/>
              <w:jc w:val="center"/>
              <w:rPr>
                <w:rFonts w:ascii="Times New Roman" w:eastAsia="Times New Roman" w:hAnsi="Times New Roman" w:cs="Times New Roman"/>
                <w:b/>
                <w:noProof/>
              </w:rPr>
            </w:pPr>
          </w:p>
        </w:tc>
        <w:tc>
          <w:tcPr>
            <w:tcW w:w="308" w:type="pct"/>
            <w:vMerge/>
            <w:tcBorders>
              <w:top w:val="single" w:sz="4" w:space="0" w:color="auto"/>
              <w:left w:val="single" w:sz="4" w:space="0" w:color="auto"/>
              <w:bottom w:val="single" w:sz="4" w:space="0" w:color="auto"/>
              <w:right w:val="single" w:sz="4" w:space="0" w:color="auto"/>
            </w:tcBorders>
            <w:hideMark/>
          </w:tcPr>
          <w:p w14:paraId="30897F38" w14:textId="77777777" w:rsidR="003A3D51" w:rsidRDefault="003A3D51">
            <w:pPr>
              <w:spacing w:after="0" w:line="276" w:lineRule="auto"/>
              <w:jc w:val="center"/>
              <w:rPr>
                <w:rFonts w:ascii="Times New Roman" w:eastAsia="Times New Roman" w:hAnsi="Times New Roman" w:cs="Times New Roman"/>
                <w:b/>
                <w:noProof/>
              </w:rPr>
            </w:pPr>
          </w:p>
        </w:tc>
        <w:tc>
          <w:tcPr>
            <w:tcW w:w="308" w:type="pct"/>
            <w:vMerge/>
            <w:tcBorders>
              <w:top w:val="single" w:sz="4" w:space="0" w:color="auto"/>
              <w:left w:val="single" w:sz="4" w:space="0" w:color="auto"/>
              <w:bottom w:val="single" w:sz="4" w:space="0" w:color="auto"/>
              <w:right w:val="single" w:sz="4" w:space="0" w:color="auto"/>
            </w:tcBorders>
            <w:hideMark/>
          </w:tcPr>
          <w:p w14:paraId="25E24AB5" w14:textId="77777777" w:rsidR="003A3D51" w:rsidRDefault="003A3D51">
            <w:pPr>
              <w:spacing w:after="0" w:line="276" w:lineRule="auto"/>
              <w:jc w:val="center"/>
              <w:rPr>
                <w:rFonts w:ascii="Times New Roman" w:eastAsia="Times New Roman" w:hAnsi="Times New Roman" w:cs="Times New Roman"/>
                <w:b/>
                <w:noProof/>
              </w:rPr>
            </w:pPr>
          </w:p>
        </w:tc>
        <w:tc>
          <w:tcPr>
            <w:tcW w:w="753" w:type="pct"/>
            <w:vMerge/>
            <w:tcBorders>
              <w:top w:val="single" w:sz="4" w:space="0" w:color="auto"/>
              <w:left w:val="single" w:sz="4" w:space="0" w:color="auto"/>
              <w:bottom w:val="single" w:sz="4" w:space="0" w:color="auto"/>
              <w:right w:val="single" w:sz="4" w:space="0" w:color="auto"/>
            </w:tcBorders>
            <w:hideMark/>
          </w:tcPr>
          <w:p w14:paraId="7558C08A" w14:textId="77777777" w:rsidR="003A3D51" w:rsidRDefault="003A3D51">
            <w:pPr>
              <w:spacing w:after="0" w:line="276" w:lineRule="auto"/>
              <w:rPr>
                <w:rFonts w:ascii="Times New Roman" w:eastAsia="Times New Roman" w:hAnsi="Times New Roman" w:cs="Times New Roman"/>
                <w:b/>
                <w:noProof/>
              </w:rPr>
            </w:pPr>
          </w:p>
        </w:tc>
        <w:tc>
          <w:tcPr>
            <w:tcW w:w="778" w:type="pct"/>
            <w:vMerge/>
            <w:tcBorders>
              <w:top w:val="single" w:sz="4" w:space="0" w:color="auto"/>
              <w:left w:val="single" w:sz="4" w:space="0" w:color="auto"/>
              <w:bottom w:val="single" w:sz="4" w:space="0" w:color="auto"/>
              <w:right w:val="single" w:sz="4" w:space="0" w:color="auto"/>
            </w:tcBorders>
            <w:hideMark/>
          </w:tcPr>
          <w:p w14:paraId="68DF7693" w14:textId="77777777" w:rsidR="003A3D51" w:rsidRDefault="003A3D51">
            <w:pPr>
              <w:spacing w:after="0" w:line="276" w:lineRule="auto"/>
              <w:rPr>
                <w:rFonts w:ascii="Times New Roman" w:eastAsia="Times New Roman" w:hAnsi="Times New Roman" w:cs="Times New Roman"/>
                <w:b/>
                <w:noProof/>
              </w:rPr>
            </w:pPr>
          </w:p>
        </w:tc>
        <w:tc>
          <w:tcPr>
            <w:tcW w:w="362" w:type="pct"/>
            <w:tcBorders>
              <w:top w:val="nil"/>
              <w:left w:val="single" w:sz="4" w:space="0" w:color="auto"/>
              <w:bottom w:val="single" w:sz="4" w:space="0" w:color="auto"/>
              <w:right w:val="single" w:sz="4" w:space="0" w:color="auto"/>
            </w:tcBorders>
            <w:shd w:val="clear" w:color="auto" w:fill="BDD7EE"/>
            <w:vAlign w:val="center"/>
            <w:hideMark/>
          </w:tcPr>
          <w:p w14:paraId="5FD4DCC3" w14:textId="77777777" w:rsidR="003A3D51" w:rsidRDefault="0002775A">
            <w:pPr>
              <w:pStyle w:val="P68B1DB1-Normal6"/>
              <w:spacing w:after="0" w:line="276" w:lineRule="auto"/>
              <w:jc w:val="center"/>
              <w:rPr>
                <w:noProof/>
              </w:rPr>
            </w:pPr>
            <w:r>
              <w:rPr>
                <w:noProof/>
              </w:rPr>
              <w:t>Enhet</w:t>
            </w:r>
          </w:p>
        </w:tc>
        <w:tc>
          <w:tcPr>
            <w:tcW w:w="256" w:type="pct"/>
            <w:tcBorders>
              <w:top w:val="nil"/>
              <w:left w:val="nil"/>
              <w:bottom w:val="single" w:sz="4" w:space="0" w:color="auto"/>
              <w:right w:val="single" w:sz="4" w:space="0" w:color="auto"/>
            </w:tcBorders>
            <w:shd w:val="clear" w:color="auto" w:fill="BDD7EE"/>
            <w:vAlign w:val="center"/>
            <w:hideMark/>
          </w:tcPr>
          <w:p w14:paraId="04260C3F" w14:textId="77777777" w:rsidR="003A3D51" w:rsidRDefault="0002775A">
            <w:pPr>
              <w:pStyle w:val="P68B1DB1-Normal6"/>
              <w:spacing w:after="0" w:line="276" w:lineRule="auto"/>
              <w:jc w:val="center"/>
              <w:rPr>
                <w:noProof/>
              </w:rPr>
            </w:pPr>
            <w:r>
              <w:rPr>
                <w:noProof/>
              </w:rPr>
              <w:t>Baslinjen</w:t>
            </w:r>
          </w:p>
        </w:tc>
        <w:tc>
          <w:tcPr>
            <w:tcW w:w="264" w:type="pct"/>
            <w:tcBorders>
              <w:top w:val="nil"/>
              <w:left w:val="nil"/>
              <w:bottom w:val="single" w:sz="4" w:space="0" w:color="auto"/>
              <w:right w:val="single" w:sz="4" w:space="0" w:color="auto"/>
            </w:tcBorders>
            <w:shd w:val="clear" w:color="auto" w:fill="BDD7EE"/>
            <w:vAlign w:val="center"/>
            <w:hideMark/>
          </w:tcPr>
          <w:p w14:paraId="42B0737A" w14:textId="77777777" w:rsidR="003A3D51" w:rsidRDefault="0002775A">
            <w:pPr>
              <w:pStyle w:val="P68B1DB1-Normal6"/>
              <w:spacing w:after="0" w:line="276" w:lineRule="auto"/>
              <w:jc w:val="center"/>
              <w:rPr>
                <w:noProof/>
              </w:rPr>
            </w:pPr>
            <w:r>
              <w:rPr>
                <w:noProof/>
              </w:rPr>
              <w:t>Mål</w:t>
            </w:r>
          </w:p>
        </w:tc>
        <w:tc>
          <w:tcPr>
            <w:tcW w:w="247" w:type="pct"/>
            <w:tcBorders>
              <w:top w:val="nil"/>
              <w:left w:val="nil"/>
              <w:bottom w:val="single" w:sz="4" w:space="0" w:color="auto"/>
              <w:right w:val="single" w:sz="4" w:space="0" w:color="auto"/>
            </w:tcBorders>
            <w:shd w:val="clear" w:color="auto" w:fill="BDD7EE"/>
            <w:vAlign w:val="center"/>
            <w:hideMark/>
          </w:tcPr>
          <w:p w14:paraId="064AD7B4" w14:textId="77777777" w:rsidR="003A3D51" w:rsidRDefault="0002775A">
            <w:pPr>
              <w:pStyle w:val="P68B1DB1-Normal6"/>
              <w:spacing w:after="0" w:line="276" w:lineRule="auto"/>
              <w:jc w:val="center"/>
              <w:rPr>
                <w:noProof/>
              </w:rPr>
            </w:pPr>
            <w:r>
              <w:rPr>
                <w:noProof/>
              </w:rPr>
              <w:t>Q</w:t>
            </w:r>
          </w:p>
        </w:tc>
        <w:tc>
          <w:tcPr>
            <w:tcW w:w="274" w:type="pct"/>
            <w:tcBorders>
              <w:top w:val="nil"/>
              <w:left w:val="nil"/>
              <w:bottom w:val="single" w:sz="4" w:space="0" w:color="auto"/>
              <w:right w:val="single" w:sz="4" w:space="0" w:color="auto"/>
            </w:tcBorders>
            <w:shd w:val="clear" w:color="auto" w:fill="BDD7EE"/>
            <w:vAlign w:val="center"/>
            <w:hideMark/>
          </w:tcPr>
          <w:p w14:paraId="0041D9B4" w14:textId="77777777" w:rsidR="003A3D51" w:rsidRDefault="0002775A">
            <w:pPr>
              <w:pStyle w:val="P68B1DB1-Normal6"/>
              <w:spacing w:after="0" w:line="276" w:lineRule="auto"/>
              <w:jc w:val="center"/>
              <w:rPr>
                <w:noProof/>
              </w:rPr>
            </w:pPr>
            <w:r>
              <w:rPr>
                <w:noProof/>
              </w:rPr>
              <w:t>Året</w:t>
            </w:r>
          </w:p>
        </w:tc>
        <w:tc>
          <w:tcPr>
            <w:tcW w:w="1099" w:type="pct"/>
            <w:vMerge/>
            <w:tcBorders>
              <w:top w:val="single" w:sz="4" w:space="0" w:color="auto"/>
              <w:bottom w:val="single" w:sz="4" w:space="0" w:color="auto"/>
              <w:right w:val="single" w:sz="4" w:space="0" w:color="auto"/>
            </w:tcBorders>
            <w:hideMark/>
          </w:tcPr>
          <w:p w14:paraId="7949828A" w14:textId="77777777" w:rsidR="003A3D51" w:rsidRDefault="003A3D51">
            <w:pPr>
              <w:spacing w:after="0" w:line="276" w:lineRule="auto"/>
              <w:rPr>
                <w:rFonts w:ascii="Times New Roman" w:eastAsia="Times New Roman" w:hAnsi="Times New Roman" w:cs="Times New Roman"/>
                <w:b/>
                <w:noProof/>
              </w:rPr>
            </w:pPr>
          </w:p>
        </w:tc>
      </w:tr>
      <w:tr w:rsidR="003A3D51" w14:paraId="6A7CEE28" w14:textId="77777777" w:rsidTr="00AF6E13">
        <w:trPr>
          <w:trHeight w:val="283"/>
        </w:trPr>
        <w:tc>
          <w:tcPr>
            <w:tcW w:w="352" w:type="pct"/>
            <w:tcBorders>
              <w:top w:val="single" w:sz="4" w:space="0" w:color="auto"/>
              <w:left w:val="single" w:sz="4" w:space="0" w:color="auto"/>
              <w:bottom w:val="single" w:sz="4" w:space="0" w:color="auto"/>
              <w:right w:val="single" w:sz="4" w:space="0" w:color="auto"/>
            </w:tcBorders>
            <w:shd w:val="clear" w:color="auto" w:fill="C6EFCE"/>
            <w:noWrap/>
          </w:tcPr>
          <w:p w14:paraId="708831A7" w14:textId="77777777" w:rsidR="003A3D51" w:rsidRDefault="0002775A">
            <w:pPr>
              <w:pStyle w:val="P68B1DB1-Normal7"/>
              <w:spacing w:after="0" w:line="276" w:lineRule="auto"/>
              <w:jc w:val="center"/>
              <w:rPr>
                <w:rFonts w:ascii="Times New Roman" w:hAnsi="Times New Roman" w:cs="Times New Roman"/>
                <w:noProof/>
              </w:rPr>
            </w:pPr>
            <w:r>
              <w:rPr>
                <w:noProof/>
              </w:rPr>
              <w:t>265</w:t>
            </w:r>
          </w:p>
        </w:tc>
        <w:tc>
          <w:tcPr>
            <w:tcW w:w="308" w:type="pct"/>
            <w:tcBorders>
              <w:top w:val="single" w:sz="4" w:space="0" w:color="auto"/>
              <w:left w:val="nil"/>
              <w:bottom w:val="single" w:sz="4" w:space="0" w:color="auto"/>
              <w:right w:val="single" w:sz="4" w:space="0" w:color="auto"/>
            </w:tcBorders>
            <w:shd w:val="clear" w:color="auto" w:fill="C6EFCE"/>
            <w:noWrap/>
          </w:tcPr>
          <w:p w14:paraId="33E5CDCD" w14:textId="77777777" w:rsidR="003A3D51" w:rsidRDefault="0002775A">
            <w:pPr>
              <w:pStyle w:val="P68B1DB1-Normal7"/>
              <w:spacing w:after="200" w:line="276" w:lineRule="auto"/>
              <w:jc w:val="center"/>
              <w:rPr>
                <w:rFonts w:ascii="Times New Roman" w:hAnsi="Times New Roman" w:cs="Times New Roman"/>
                <w:noProof/>
              </w:rPr>
            </w:pPr>
            <w:r>
              <w:rPr>
                <w:noProof/>
              </w:rPr>
              <w:t>C3.1 R1</w:t>
            </w:r>
          </w:p>
        </w:tc>
        <w:tc>
          <w:tcPr>
            <w:tcW w:w="308" w:type="pct"/>
            <w:tcBorders>
              <w:top w:val="single" w:sz="4" w:space="0" w:color="auto"/>
              <w:left w:val="nil"/>
              <w:bottom w:val="single" w:sz="4" w:space="0" w:color="auto"/>
              <w:right w:val="single" w:sz="4" w:space="0" w:color="auto"/>
            </w:tcBorders>
            <w:shd w:val="clear" w:color="auto" w:fill="C6EFCE"/>
            <w:noWrap/>
          </w:tcPr>
          <w:p w14:paraId="12150E50"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53" w:type="pct"/>
            <w:tcBorders>
              <w:top w:val="single" w:sz="4" w:space="0" w:color="auto"/>
              <w:left w:val="nil"/>
              <w:bottom w:val="single" w:sz="4" w:space="0" w:color="auto"/>
              <w:right w:val="single" w:sz="4" w:space="0" w:color="auto"/>
            </w:tcBorders>
            <w:shd w:val="clear" w:color="auto" w:fill="C6EFCE"/>
            <w:noWrap/>
          </w:tcPr>
          <w:p w14:paraId="4CD2C890"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den reviderade rättsliga ramen för vuxenutbildning </w:t>
            </w:r>
          </w:p>
        </w:tc>
        <w:tc>
          <w:tcPr>
            <w:tcW w:w="778" w:type="pct"/>
            <w:tcBorders>
              <w:top w:val="single" w:sz="4" w:space="0" w:color="auto"/>
              <w:left w:val="nil"/>
              <w:bottom w:val="single" w:sz="4" w:space="0" w:color="auto"/>
              <w:right w:val="single" w:sz="4" w:space="0" w:color="auto"/>
            </w:tcBorders>
            <w:shd w:val="clear" w:color="auto" w:fill="C6EFCE"/>
            <w:noWrap/>
          </w:tcPr>
          <w:p w14:paraId="4D650A50"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den reviderade rättsliga ramen för vuxenutbildning </w:t>
            </w:r>
          </w:p>
        </w:tc>
        <w:tc>
          <w:tcPr>
            <w:tcW w:w="362" w:type="pct"/>
            <w:tcBorders>
              <w:top w:val="nil"/>
              <w:left w:val="nil"/>
              <w:bottom w:val="single" w:sz="4" w:space="0" w:color="auto"/>
              <w:right w:val="single" w:sz="4" w:space="0" w:color="auto"/>
            </w:tcBorders>
            <w:shd w:val="clear" w:color="auto" w:fill="C6EFCE"/>
            <w:noWrap/>
          </w:tcPr>
          <w:p w14:paraId="38497C4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763161C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5F80A25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64E0296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4" w:type="pct"/>
            <w:tcBorders>
              <w:top w:val="nil"/>
              <w:left w:val="nil"/>
              <w:bottom w:val="single" w:sz="4" w:space="0" w:color="auto"/>
              <w:right w:val="single" w:sz="4" w:space="0" w:color="auto"/>
            </w:tcBorders>
            <w:shd w:val="clear" w:color="auto" w:fill="C6EFCE"/>
            <w:noWrap/>
          </w:tcPr>
          <w:p w14:paraId="06A08FA3"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099" w:type="pct"/>
            <w:tcBorders>
              <w:top w:val="single" w:sz="4" w:space="0" w:color="auto"/>
              <w:left w:val="nil"/>
              <w:bottom w:val="single" w:sz="4" w:space="0" w:color="auto"/>
              <w:right w:val="single" w:sz="4" w:space="0" w:color="auto"/>
            </w:tcBorders>
            <w:shd w:val="clear" w:color="auto" w:fill="C6EFCE"/>
            <w:noWrap/>
          </w:tcPr>
          <w:p w14:paraId="58B31D6E" w14:textId="77777777" w:rsidR="003A3D51" w:rsidRDefault="0002775A">
            <w:pPr>
              <w:pStyle w:val="P68B1DB1-Normal7"/>
              <w:spacing w:after="200" w:line="276" w:lineRule="auto"/>
              <w:rPr>
                <w:rFonts w:ascii="Times New Roman" w:hAnsi="Times New Roman" w:cs="Times New Roman"/>
                <w:noProof/>
              </w:rPr>
            </w:pPr>
            <w:r>
              <w:rPr>
                <w:noProof/>
              </w:rPr>
              <w:t xml:space="preserve">Den reviderade rättsliga ramen för vuxenutbildning ska stödja en bättre matchning mellan utbudet av program och arbetsmarknadens behov genom att anpassa vuxenutbildningsprogrammen till innehållet i den kroatiska referensramen för kvalifikationer (CROQF) och möjliggöra erkännande av informellt och icke-formellt lärande. </w:t>
            </w:r>
          </w:p>
        </w:tc>
      </w:tr>
      <w:tr w:rsidR="003A3D51" w14:paraId="2F11B655" w14:textId="77777777" w:rsidTr="00AF6E13">
        <w:trPr>
          <w:trHeight w:val="283"/>
        </w:trPr>
        <w:tc>
          <w:tcPr>
            <w:tcW w:w="352" w:type="pct"/>
            <w:tcBorders>
              <w:top w:val="nil"/>
              <w:left w:val="single" w:sz="4" w:space="0" w:color="auto"/>
              <w:bottom w:val="single" w:sz="4" w:space="0" w:color="auto"/>
              <w:right w:val="single" w:sz="4" w:space="0" w:color="auto"/>
            </w:tcBorders>
            <w:shd w:val="clear" w:color="auto" w:fill="C6EFCE"/>
            <w:noWrap/>
          </w:tcPr>
          <w:p w14:paraId="55C975A2" w14:textId="77777777" w:rsidR="003A3D51" w:rsidRDefault="0002775A">
            <w:pPr>
              <w:pStyle w:val="P68B1DB1-Normal7"/>
              <w:spacing w:after="200" w:line="276" w:lineRule="auto"/>
              <w:jc w:val="center"/>
              <w:rPr>
                <w:rFonts w:ascii="Times New Roman" w:hAnsi="Times New Roman" w:cs="Times New Roman"/>
                <w:noProof/>
              </w:rPr>
            </w:pPr>
            <w:r>
              <w:rPr>
                <w:noProof/>
              </w:rPr>
              <w:t>266</w:t>
            </w:r>
          </w:p>
        </w:tc>
        <w:tc>
          <w:tcPr>
            <w:tcW w:w="308" w:type="pct"/>
            <w:tcBorders>
              <w:top w:val="nil"/>
              <w:left w:val="nil"/>
              <w:bottom w:val="single" w:sz="4" w:space="0" w:color="auto"/>
              <w:right w:val="single" w:sz="4" w:space="0" w:color="auto"/>
            </w:tcBorders>
            <w:shd w:val="clear" w:color="auto" w:fill="C6EFCE"/>
            <w:noWrap/>
          </w:tcPr>
          <w:p w14:paraId="2CB2A06B" w14:textId="77777777" w:rsidR="003A3D51" w:rsidRDefault="0002775A">
            <w:pPr>
              <w:pStyle w:val="P68B1DB1-Normal7"/>
              <w:spacing w:after="200" w:line="276" w:lineRule="auto"/>
              <w:jc w:val="center"/>
              <w:rPr>
                <w:rFonts w:ascii="Times New Roman" w:hAnsi="Times New Roman" w:cs="Times New Roman"/>
                <w:noProof/>
              </w:rPr>
            </w:pPr>
            <w:r>
              <w:rPr>
                <w:noProof/>
              </w:rPr>
              <w:t>C3.1 R1</w:t>
            </w:r>
          </w:p>
        </w:tc>
        <w:tc>
          <w:tcPr>
            <w:tcW w:w="308" w:type="pct"/>
            <w:tcBorders>
              <w:top w:val="nil"/>
              <w:left w:val="nil"/>
              <w:bottom w:val="single" w:sz="4" w:space="0" w:color="auto"/>
              <w:right w:val="single" w:sz="4" w:space="0" w:color="auto"/>
            </w:tcBorders>
            <w:shd w:val="clear" w:color="auto" w:fill="C6EFCE"/>
            <w:noWrap/>
          </w:tcPr>
          <w:p w14:paraId="5BC0F72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53" w:type="pct"/>
            <w:tcBorders>
              <w:top w:val="nil"/>
              <w:left w:val="nil"/>
              <w:bottom w:val="single" w:sz="4" w:space="0" w:color="auto"/>
              <w:right w:val="single" w:sz="4" w:space="0" w:color="auto"/>
            </w:tcBorders>
            <w:shd w:val="clear" w:color="auto" w:fill="C6EFCE"/>
            <w:noWrap/>
          </w:tcPr>
          <w:p w14:paraId="14D725B5" w14:textId="77777777" w:rsidR="003A3D51" w:rsidRDefault="0002775A">
            <w:pPr>
              <w:pStyle w:val="P68B1DB1-Normal7"/>
              <w:spacing w:after="200" w:line="276" w:lineRule="auto"/>
              <w:rPr>
                <w:rFonts w:ascii="Times New Roman" w:hAnsi="Times New Roman" w:cs="Times New Roman"/>
                <w:noProof/>
              </w:rPr>
            </w:pPr>
            <w:r>
              <w:rPr>
                <w:noProof/>
              </w:rPr>
              <w:t>Omfattande analys av behoven av gymnasieutbildning</w:t>
            </w:r>
          </w:p>
        </w:tc>
        <w:tc>
          <w:tcPr>
            <w:tcW w:w="778" w:type="pct"/>
            <w:tcBorders>
              <w:top w:val="nil"/>
              <w:left w:val="nil"/>
              <w:bottom w:val="single" w:sz="4" w:space="0" w:color="auto"/>
              <w:right w:val="single" w:sz="4" w:space="0" w:color="auto"/>
            </w:tcBorders>
            <w:shd w:val="clear" w:color="auto" w:fill="C6EFCE"/>
            <w:noWrap/>
          </w:tcPr>
          <w:p w14:paraId="1CCE589D" w14:textId="77777777" w:rsidR="003A3D51" w:rsidRDefault="0002775A">
            <w:pPr>
              <w:pStyle w:val="P68B1DB1-Normal7"/>
              <w:spacing w:after="200" w:line="276" w:lineRule="auto"/>
              <w:rPr>
                <w:rFonts w:ascii="Times New Roman" w:hAnsi="Times New Roman" w:cs="Times New Roman"/>
                <w:noProof/>
              </w:rPr>
            </w:pPr>
            <w:r>
              <w:rPr>
                <w:noProof/>
              </w:rPr>
              <w:t>Offentliggörande på webbplatsen för ministeriet för vetenskap och utbildning av resultaten av den omfattande analysen av behoven av gymnasieutbildning</w:t>
            </w:r>
          </w:p>
        </w:tc>
        <w:tc>
          <w:tcPr>
            <w:tcW w:w="362" w:type="pct"/>
            <w:tcBorders>
              <w:top w:val="nil"/>
              <w:left w:val="nil"/>
              <w:bottom w:val="single" w:sz="4" w:space="0" w:color="auto"/>
              <w:right w:val="single" w:sz="4" w:space="0" w:color="auto"/>
            </w:tcBorders>
            <w:shd w:val="clear" w:color="auto" w:fill="C6EFCE"/>
            <w:noWrap/>
          </w:tcPr>
          <w:p w14:paraId="332A39E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75FD307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0D38DFE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59F2943B"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4" w:type="pct"/>
            <w:tcBorders>
              <w:top w:val="nil"/>
              <w:left w:val="nil"/>
              <w:bottom w:val="single" w:sz="4" w:space="0" w:color="auto"/>
              <w:right w:val="single" w:sz="4" w:space="0" w:color="auto"/>
            </w:tcBorders>
            <w:shd w:val="clear" w:color="auto" w:fill="C6EFCE"/>
            <w:noWrap/>
          </w:tcPr>
          <w:p w14:paraId="4A2D8A2D"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099" w:type="pct"/>
            <w:tcBorders>
              <w:top w:val="nil"/>
              <w:left w:val="nil"/>
              <w:bottom w:val="single" w:sz="4" w:space="0" w:color="auto"/>
              <w:right w:val="single" w:sz="4" w:space="0" w:color="auto"/>
            </w:tcBorders>
            <w:shd w:val="clear" w:color="auto" w:fill="C6EFCE"/>
            <w:noWrap/>
          </w:tcPr>
          <w:p w14:paraId="501ACC05" w14:textId="77777777" w:rsidR="003A3D51" w:rsidRDefault="0002775A">
            <w:pPr>
              <w:pStyle w:val="P68B1DB1-Normal7"/>
              <w:spacing w:after="200" w:line="276" w:lineRule="auto"/>
              <w:rPr>
                <w:rFonts w:ascii="Times New Roman" w:hAnsi="Times New Roman" w:cs="Times New Roman"/>
                <w:noProof/>
              </w:rPr>
            </w:pPr>
            <w:r>
              <w:rPr>
                <w:noProof/>
              </w:rPr>
              <w:t>En omfattande analys av behoven av gymnasieutbildning ska genomföras för att stödja åtgärder för att öka andelen studenter som är inskrivna i allmänna gymnasieutbildningsprogram, minska andelen studenter som är inskrivna i överskottsprogram inom yrkesutbildningen och anpassa yrkesprogrammen till arbetsmarknadens behov.</w:t>
            </w:r>
          </w:p>
        </w:tc>
      </w:tr>
      <w:tr w:rsidR="003A3D51" w14:paraId="1AAF1409" w14:textId="77777777" w:rsidTr="00AF6E13">
        <w:trPr>
          <w:trHeight w:val="283"/>
        </w:trPr>
        <w:tc>
          <w:tcPr>
            <w:tcW w:w="352" w:type="pct"/>
            <w:tcBorders>
              <w:top w:val="nil"/>
              <w:left w:val="single" w:sz="4" w:space="0" w:color="auto"/>
              <w:bottom w:val="single" w:sz="4" w:space="0" w:color="auto"/>
              <w:right w:val="single" w:sz="4" w:space="0" w:color="auto"/>
            </w:tcBorders>
            <w:shd w:val="clear" w:color="auto" w:fill="C6EFCE"/>
            <w:noWrap/>
          </w:tcPr>
          <w:p w14:paraId="558C9E8A" w14:textId="77777777" w:rsidR="003A3D51" w:rsidRDefault="0002775A">
            <w:pPr>
              <w:pStyle w:val="P68B1DB1-Normal7"/>
              <w:spacing w:after="200" w:line="276" w:lineRule="auto"/>
              <w:jc w:val="center"/>
              <w:rPr>
                <w:rFonts w:ascii="Times New Roman" w:hAnsi="Times New Roman" w:cs="Times New Roman"/>
                <w:noProof/>
              </w:rPr>
            </w:pPr>
            <w:r>
              <w:rPr>
                <w:noProof/>
              </w:rPr>
              <w:t>267</w:t>
            </w:r>
          </w:p>
        </w:tc>
        <w:tc>
          <w:tcPr>
            <w:tcW w:w="308" w:type="pct"/>
            <w:tcBorders>
              <w:top w:val="nil"/>
              <w:left w:val="nil"/>
              <w:bottom w:val="single" w:sz="4" w:space="0" w:color="auto"/>
              <w:right w:val="single" w:sz="4" w:space="0" w:color="auto"/>
            </w:tcBorders>
            <w:shd w:val="clear" w:color="auto" w:fill="C6EFCE"/>
            <w:noWrap/>
          </w:tcPr>
          <w:p w14:paraId="0EAAEECD" w14:textId="77777777" w:rsidR="003A3D51" w:rsidRDefault="0002775A">
            <w:pPr>
              <w:pStyle w:val="P68B1DB1-Normal7"/>
              <w:spacing w:after="200" w:line="276" w:lineRule="auto"/>
              <w:jc w:val="center"/>
              <w:rPr>
                <w:rFonts w:ascii="Times New Roman" w:hAnsi="Times New Roman" w:cs="Times New Roman"/>
                <w:noProof/>
              </w:rPr>
            </w:pPr>
            <w:r>
              <w:rPr>
                <w:noProof/>
              </w:rPr>
              <w:t>C3.1 R1</w:t>
            </w:r>
          </w:p>
        </w:tc>
        <w:tc>
          <w:tcPr>
            <w:tcW w:w="308" w:type="pct"/>
            <w:tcBorders>
              <w:top w:val="nil"/>
              <w:left w:val="nil"/>
              <w:bottom w:val="single" w:sz="4" w:space="0" w:color="auto"/>
              <w:right w:val="single" w:sz="4" w:space="0" w:color="auto"/>
            </w:tcBorders>
            <w:shd w:val="clear" w:color="auto" w:fill="C6EFCE"/>
            <w:noWrap/>
          </w:tcPr>
          <w:p w14:paraId="4E97D9B5"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53" w:type="pct"/>
            <w:tcBorders>
              <w:top w:val="nil"/>
              <w:left w:val="nil"/>
              <w:bottom w:val="single" w:sz="4" w:space="0" w:color="auto"/>
              <w:right w:val="single" w:sz="4" w:space="0" w:color="auto"/>
            </w:tcBorders>
            <w:shd w:val="clear" w:color="auto" w:fill="C6EFCE"/>
            <w:noWrap/>
          </w:tcPr>
          <w:p w14:paraId="3287C72D" w14:textId="77777777" w:rsidR="003A3D51" w:rsidRDefault="0002775A">
            <w:pPr>
              <w:pStyle w:val="P68B1DB1-Normal7"/>
              <w:spacing w:after="200" w:line="276" w:lineRule="auto"/>
              <w:rPr>
                <w:rFonts w:ascii="Times New Roman" w:hAnsi="Times New Roman" w:cs="Times New Roman"/>
                <w:noProof/>
              </w:rPr>
            </w:pPr>
            <w:r>
              <w:rPr>
                <w:noProof/>
              </w:rPr>
              <w:t>Antagande av modellen för finansiering av förskoleverksamhet och barnomsorg</w:t>
            </w:r>
          </w:p>
        </w:tc>
        <w:tc>
          <w:tcPr>
            <w:tcW w:w="778" w:type="pct"/>
            <w:tcBorders>
              <w:top w:val="nil"/>
              <w:left w:val="nil"/>
              <w:bottom w:val="single" w:sz="4" w:space="0" w:color="auto"/>
              <w:right w:val="single" w:sz="4" w:space="0" w:color="auto"/>
            </w:tcBorders>
            <w:shd w:val="clear" w:color="auto" w:fill="C6EFCE"/>
            <w:noWrap/>
          </w:tcPr>
          <w:p w14:paraId="1DF0DBB2"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finansieringsmodellen för förskoleverksamhet och barnomsorg </w:t>
            </w:r>
          </w:p>
        </w:tc>
        <w:tc>
          <w:tcPr>
            <w:tcW w:w="362" w:type="pct"/>
            <w:tcBorders>
              <w:top w:val="nil"/>
              <w:left w:val="nil"/>
              <w:bottom w:val="single" w:sz="4" w:space="0" w:color="auto"/>
              <w:right w:val="single" w:sz="4" w:space="0" w:color="auto"/>
            </w:tcBorders>
            <w:shd w:val="clear" w:color="auto" w:fill="C6EFCE"/>
            <w:noWrap/>
          </w:tcPr>
          <w:p w14:paraId="3C29070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0D00008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541FD74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6491F7FC"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4" w:type="pct"/>
            <w:tcBorders>
              <w:top w:val="nil"/>
              <w:left w:val="nil"/>
              <w:bottom w:val="single" w:sz="4" w:space="0" w:color="auto"/>
              <w:right w:val="single" w:sz="4" w:space="0" w:color="auto"/>
            </w:tcBorders>
            <w:shd w:val="clear" w:color="auto" w:fill="C6EFCE"/>
            <w:noWrap/>
          </w:tcPr>
          <w:p w14:paraId="4EE365CC"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099" w:type="pct"/>
            <w:tcBorders>
              <w:top w:val="nil"/>
              <w:left w:val="nil"/>
              <w:bottom w:val="single" w:sz="4" w:space="0" w:color="auto"/>
              <w:right w:val="single" w:sz="4" w:space="0" w:color="auto"/>
            </w:tcBorders>
            <w:shd w:val="clear" w:color="auto" w:fill="C6EFCE"/>
            <w:noWrap/>
          </w:tcPr>
          <w:p w14:paraId="04C5287E" w14:textId="77777777" w:rsidR="003A3D51" w:rsidRDefault="0002775A">
            <w:pPr>
              <w:pStyle w:val="P68B1DB1-Normal7"/>
              <w:spacing w:after="200" w:line="276" w:lineRule="auto"/>
              <w:rPr>
                <w:rFonts w:ascii="Times New Roman" w:hAnsi="Times New Roman" w:cs="Times New Roman"/>
                <w:noProof/>
              </w:rPr>
            </w:pPr>
            <w:r>
              <w:rPr>
                <w:noProof/>
              </w:rPr>
              <w:t xml:space="preserve">Den kroatiska regeringen ska anta en modell för finansiering av driftskostnaderna för förskoleverksamhet och barnomsorg för kommuner/lokala förvaltningsenheter med mindre finansiell kapacitet, i syfte att säkerställa hållbara investeringar efter renovering av befintliga eller uppförande av nya anläggningar för förskoleverksamhet och barnomsorg. </w:t>
            </w:r>
          </w:p>
        </w:tc>
      </w:tr>
      <w:tr w:rsidR="003A3D51" w14:paraId="66B8EE78" w14:textId="77777777" w:rsidTr="00AF6E13">
        <w:trPr>
          <w:trHeight w:val="283"/>
        </w:trPr>
        <w:tc>
          <w:tcPr>
            <w:tcW w:w="352" w:type="pct"/>
            <w:tcBorders>
              <w:top w:val="nil"/>
              <w:left w:val="single" w:sz="4" w:space="0" w:color="auto"/>
              <w:bottom w:val="single" w:sz="4" w:space="0" w:color="auto"/>
              <w:right w:val="single" w:sz="4" w:space="0" w:color="auto"/>
            </w:tcBorders>
            <w:shd w:val="clear" w:color="auto" w:fill="C6EFCE"/>
            <w:noWrap/>
          </w:tcPr>
          <w:p w14:paraId="49A061D4" w14:textId="77777777" w:rsidR="003A3D51" w:rsidRDefault="0002775A">
            <w:pPr>
              <w:pStyle w:val="P68B1DB1-Normal7"/>
              <w:spacing w:after="200" w:line="276" w:lineRule="auto"/>
              <w:jc w:val="center"/>
              <w:rPr>
                <w:rFonts w:ascii="Times New Roman" w:hAnsi="Times New Roman" w:cs="Times New Roman"/>
                <w:noProof/>
              </w:rPr>
            </w:pPr>
            <w:r>
              <w:rPr>
                <w:noProof/>
              </w:rPr>
              <w:t>268</w:t>
            </w:r>
          </w:p>
        </w:tc>
        <w:tc>
          <w:tcPr>
            <w:tcW w:w="308" w:type="pct"/>
            <w:tcBorders>
              <w:top w:val="nil"/>
              <w:left w:val="nil"/>
              <w:bottom w:val="single" w:sz="4" w:space="0" w:color="auto"/>
              <w:right w:val="single" w:sz="4" w:space="0" w:color="auto"/>
            </w:tcBorders>
            <w:shd w:val="clear" w:color="auto" w:fill="C6EFCE"/>
            <w:noWrap/>
          </w:tcPr>
          <w:p w14:paraId="28D5E393" w14:textId="77777777" w:rsidR="003A3D51" w:rsidRDefault="0002775A">
            <w:pPr>
              <w:pStyle w:val="P68B1DB1-Normal7"/>
              <w:spacing w:after="200" w:line="276" w:lineRule="auto"/>
              <w:jc w:val="center"/>
              <w:rPr>
                <w:rFonts w:ascii="Times New Roman" w:hAnsi="Times New Roman" w:cs="Times New Roman"/>
                <w:noProof/>
              </w:rPr>
            </w:pPr>
            <w:r>
              <w:rPr>
                <w:noProof/>
              </w:rPr>
              <w:t>C3.1 R1</w:t>
            </w:r>
          </w:p>
        </w:tc>
        <w:tc>
          <w:tcPr>
            <w:tcW w:w="308" w:type="pct"/>
            <w:tcBorders>
              <w:top w:val="nil"/>
              <w:left w:val="nil"/>
              <w:bottom w:val="single" w:sz="4" w:space="0" w:color="auto"/>
              <w:right w:val="single" w:sz="4" w:space="0" w:color="auto"/>
            </w:tcBorders>
            <w:shd w:val="clear" w:color="auto" w:fill="C6EFCE"/>
            <w:noWrap/>
          </w:tcPr>
          <w:p w14:paraId="308844E9"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53" w:type="pct"/>
            <w:tcBorders>
              <w:top w:val="nil"/>
              <w:left w:val="nil"/>
              <w:bottom w:val="single" w:sz="4" w:space="0" w:color="auto"/>
              <w:right w:val="single" w:sz="4" w:space="0" w:color="auto"/>
            </w:tcBorders>
            <w:shd w:val="clear" w:color="auto" w:fill="C6EFCE"/>
            <w:noWrap/>
          </w:tcPr>
          <w:p w14:paraId="76C8758F" w14:textId="77777777" w:rsidR="003A3D51" w:rsidRDefault="0002775A">
            <w:pPr>
              <w:pStyle w:val="P68B1DB1-Normal7"/>
              <w:spacing w:after="200" w:line="276" w:lineRule="auto"/>
              <w:rPr>
                <w:rFonts w:ascii="Times New Roman" w:hAnsi="Times New Roman" w:cs="Times New Roman"/>
                <w:noProof/>
              </w:rPr>
            </w:pPr>
            <w:r>
              <w:rPr>
                <w:noProof/>
              </w:rPr>
              <w:t>Antagande av ändringsförslagen till en modell för heldagsundervisning</w:t>
            </w:r>
          </w:p>
        </w:tc>
        <w:tc>
          <w:tcPr>
            <w:tcW w:w="778" w:type="pct"/>
            <w:tcBorders>
              <w:top w:val="nil"/>
              <w:left w:val="nil"/>
              <w:bottom w:val="single" w:sz="4" w:space="0" w:color="auto"/>
              <w:right w:val="single" w:sz="4" w:space="0" w:color="auto"/>
            </w:tcBorders>
            <w:shd w:val="clear" w:color="auto" w:fill="C6EFCE"/>
            <w:noWrap/>
          </w:tcPr>
          <w:p w14:paraId="0352E3C4" w14:textId="77777777" w:rsidR="003A3D51" w:rsidRDefault="0002775A">
            <w:pPr>
              <w:pStyle w:val="P68B1DB1-Normal7"/>
              <w:spacing w:after="200" w:line="276" w:lineRule="auto"/>
              <w:rPr>
                <w:rFonts w:ascii="Times New Roman" w:hAnsi="Times New Roman" w:cs="Times New Roman"/>
                <w:noProof/>
              </w:rPr>
            </w:pPr>
            <w:r>
              <w:rPr>
                <w:noProof/>
              </w:rPr>
              <w:t>Ikraftträdande av de antagna ändringarna av lagen om grundskole- och gymnasieutbildning för heldagsundervisning</w:t>
            </w:r>
          </w:p>
        </w:tc>
        <w:tc>
          <w:tcPr>
            <w:tcW w:w="362" w:type="pct"/>
            <w:tcBorders>
              <w:top w:val="nil"/>
              <w:left w:val="nil"/>
              <w:bottom w:val="single" w:sz="4" w:space="0" w:color="auto"/>
              <w:right w:val="single" w:sz="4" w:space="0" w:color="auto"/>
            </w:tcBorders>
            <w:shd w:val="clear" w:color="auto" w:fill="C6EFCE"/>
            <w:noWrap/>
          </w:tcPr>
          <w:p w14:paraId="1DF8909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nil"/>
              <w:left w:val="nil"/>
              <w:bottom w:val="single" w:sz="4" w:space="0" w:color="auto"/>
              <w:right w:val="single" w:sz="4" w:space="0" w:color="auto"/>
            </w:tcBorders>
            <w:shd w:val="clear" w:color="auto" w:fill="C6EFCE"/>
            <w:noWrap/>
          </w:tcPr>
          <w:p w14:paraId="63CF1DF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nil"/>
              <w:left w:val="nil"/>
              <w:bottom w:val="single" w:sz="4" w:space="0" w:color="auto"/>
              <w:right w:val="single" w:sz="4" w:space="0" w:color="auto"/>
            </w:tcBorders>
            <w:shd w:val="clear" w:color="auto" w:fill="C6EFCE"/>
            <w:noWrap/>
          </w:tcPr>
          <w:p w14:paraId="1BBE417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nil"/>
              <w:left w:val="nil"/>
              <w:bottom w:val="single" w:sz="4" w:space="0" w:color="auto"/>
              <w:right w:val="single" w:sz="4" w:space="0" w:color="auto"/>
            </w:tcBorders>
            <w:shd w:val="clear" w:color="auto" w:fill="C6EFCE"/>
            <w:noWrap/>
          </w:tcPr>
          <w:p w14:paraId="6CE126F3"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4" w:type="pct"/>
            <w:tcBorders>
              <w:top w:val="nil"/>
              <w:left w:val="nil"/>
              <w:bottom w:val="single" w:sz="4" w:space="0" w:color="auto"/>
              <w:right w:val="single" w:sz="4" w:space="0" w:color="auto"/>
            </w:tcBorders>
            <w:shd w:val="clear" w:color="auto" w:fill="C6EFCE"/>
            <w:noWrap/>
          </w:tcPr>
          <w:p w14:paraId="14A01A23"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099" w:type="pct"/>
            <w:tcBorders>
              <w:top w:val="nil"/>
              <w:left w:val="nil"/>
              <w:bottom w:val="single" w:sz="4" w:space="0" w:color="auto"/>
              <w:right w:val="single" w:sz="4" w:space="0" w:color="auto"/>
            </w:tcBorders>
            <w:shd w:val="clear" w:color="auto" w:fill="C6EFCE"/>
            <w:noWrap/>
          </w:tcPr>
          <w:p w14:paraId="5D176CE1" w14:textId="77777777" w:rsidR="003A3D51" w:rsidRDefault="0002775A">
            <w:pPr>
              <w:pStyle w:val="P68B1DB1-Normal7"/>
              <w:spacing w:after="200" w:line="276" w:lineRule="auto"/>
              <w:rPr>
                <w:rFonts w:ascii="Times New Roman" w:hAnsi="Times New Roman" w:cs="Times New Roman"/>
                <w:noProof/>
              </w:rPr>
            </w:pPr>
            <w:r>
              <w:rPr>
                <w:noProof/>
              </w:rPr>
              <w:t>Ändringarna av lagen om grundskole- och gymnasieutbildning ska fastställa villkoren för införande av heldagsundervisning.</w:t>
            </w:r>
          </w:p>
        </w:tc>
      </w:tr>
      <w:tr w:rsidR="003A3D51" w14:paraId="548A4B21" w14:textId="77777777" w:rsidTr="00AF6E13">
        <w:trPr>
          <w:trHeight w:val="283"/>
        </w:trPr>
        <w:tc>
          <w:tcPr>
            <w:tcW w:w="352" w:type="pct"/>
            <w:tcBorders>
              <w:top w:val="nil"/>
              <w:left w:val="single" w:sz="4" w:space="0" w:color="auto"/>
              <w:bottom w:val="single" w:sz="4" w:space="0" w:color="auto"/>
              <w:right w:val="single" w:sz="4" w:space="0" w:color="auto"/>
            </w:tcBorders>
            <w:shd w:val="clear" w:color="auto" w:fill="C6EFCE"/>
            <w:noWrap/>
          </w:tcPr>
          <w:p w14:paraId="5FA15FA9" w14:textId="77777777" w:rsidR="003A3D51" w:rsidRDefault="0002775A">
            <w:pPr>
              <w:pStyle w:val="P68B1DB1-Normal7"/>
              <w:spacing w:after="200" w:line="276" w:lineRule="auto"/>
              <w:jc w:val="center"/>
              <w:rPr>
                <w:rFonts w:ascii="Times New Roman" w:hAnsi="Times New Roman" w:cs="Times New Roman"/>
                <w:noProof/>
              </w:rPr>
            </w:pPr>
            <w:r>
              <w:rPr>
                <w:noProof/>
              </w:rPr>
              <w:t>269</w:t>
            </w:r>
          </w:p>
        </w:tc>
        <w:tc>
          <w:tcPr>
            <w:tcW w:w="308" w:type="pct"/>
            <w:tcBorders>
              <w:top w:val="nil"/>
              <w:left w:val="nil"/>
              <w:bottom w:val="single" w:sz="4" w:space="0" w:color="auto"/>
              <w:right w:val="single" w:sz="4" w:space="0" w:color="auto"/>
            </w:tcBorders>
            <w:shd w:val="clear" w:color="auto" w:fill="C6EFCE"/>
            <w:noWrap/>
          </w:tcPr>
          <w:p w14:paraId="4CDFD014" w14:textId="77777777" w:rsidR="003A3D51" w:rsidRDefault="0002775A">
            <w:pPr>
              <w:pStyle w:val="P68B1DB1-Normal7"/>
              <w:spacing w:after="200" w:line="276" w:lineRule="auto"/>
              <w:jc w:val="center"/>
              <w:rPr>
                <w:rFonts w:ascii="Times New Roman" w:hAnsi="Times New Roman" w:cs="Times New Roman"/>
                <w:noProof/>
              </w:rPr>
            </w:pPr>
            <w:r>
              <w:rPr>
                <w:noProof/>
              </w:rPr>
              <w:t>C3.1 R1</w:t>
            </w:r>
          </w:p>
        </w:tc>
        <w:tc>
          <w:tcPr>
            <w:tcW w:w="308" w:type="pct"/>
            <w:tcBorders>
              <w:top w:val="nil"/>
              <w:left w:val="nil"/>
              <w:bottom w:val="single" w:sz="4" w:space="0" w:color="auto"/>
              <w:right w:val="single" w:sz="4" w:space="0" w:color="auto"/>
            </w:tcBorders>
            <w:shd w:val="clear" w:color="auto" w:fill="C6EFCE"/>
            <w:noWrap/>
          </w:tcPr>
          <w:p w14:paraId="413E688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53" w:type="pct"/>
            <w:tcBorders>
              <w:top w:val="nil"/>
              <w:left w:val="nil"/>
              <w:bottom w:val="single" w:sz="4" w:space="0" w:color="auto"/>
              <w:right w:val="single" w:sz="4" w:space="0" w:color="auto"/>
            </w:tcBorders>
            <w:shd w:val="clear" w:color="auto" w:fill="C6EFCE"/>
            <w:noWrap/>
          </w:tcPr>
          <w:p w14:paraId="123C0385" w14:textId="77777777" w:rsidR="003A3D51" w:rsidRDefault="0002775A">
            <w:pPr>
              <w:pStyle w:val="P68B1DB1-Normal7"/>
              <w:spacing w:after="200" w:line="276" w:lineRule="auto"/>
              <w:rPr>
                <w:rFonts w:ascii="Times New Roman" w:hAnsi="Times New Roman" w:cs="Times New Roman"/>
                <w:noProof/>
              </w:rPr>
            </w:pPr>
            <w:r>
              <w:rPr>
                <w:noProof/>
              </w:rPr>
              <w:t xml:space="preserve">Deltagande i förskoleverksamhet och barnomsorg </w:t>
            </w:r>
          </w:p>
        </w:tc>
        <w:tc>
          <w:tcPr>
            <w:tcW w:w="778" w:type="pct"/>
            <w:tcBorders>
              <w:top w:val="nil"/>
              <w:left w:val="nil"/>
              <w:bottom w:val="single" w:sz="4" w:space="0" w:color="auto"/>
              <w:right w:val="single" w:sz="4" w:space="0" w:color="auto"/>
            </w:tcBorders>
            <w:shd w:val="clear" w:color="auto" w:fill="C6EFCE"/>
            <w:noWrap/>
          </w:tcPr>
          <w:p w14:paraId="235FB2F3" w14:textId="77777777" w:rsidR="003A3D51" w:rsidRDefault="0002775A">
            <w:pPr>
              <w:pStyle w:val="P68B1DB1-Normal7"/>
              <w:spacing w:after="200" w:line="276" w:lineRule="auto"/>
              <w:rPr>
                <w:rFonts w:ascii="Times New Roman" w:hAnsi="Times New Roman" w:cs="Times New Roman"/>
                <w:noProof/>
              </w:rPr>
            </w:pPr>
            <w:r>
              <w:rPr>
                <w:noProof/>
              </w:rPr>
              <w:t>Rapport från ministeriet för vetenskap och utbildning (MZO)</w:t>
            </w:r>
          </w:p>
        </w:tc>
        <w:tc>
          <w:tcPr>
            <w:tcW w:w="362" w:type="pct"/>
            <w:tcBorders>
              <w:top w:val="nil"/>
              <w:left w:val="nil"/>
              <w:bottom w:val="single" w:sz="4" w:space="0" w:color="auto"/>
              <w:right w:val="single" w:sz="4" w:space="0" w:color="auto"/>
            </w:tcBorders>
            <w:shd w:val="clear" w:color="auto" w:fill="C6EFCE"/>
            <w:noWrap/>
          </w:tcPr>
          <w:p w14:paraId="2960DF82"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6" w:type="pct"/>
            <w:tcBorders>
              <w:top w:val="nil"/>
              <w:left w:val="nil"/>
              <w:bottom w:val="single" w:sz="4" w:space="0" w:color="auto"/>
              <w:right w:val="single" w:sz="4" w:space="0" w:color="auto"/>
            </w:tcBorders>
            <w:shd w:val="clear" w:color="auto" w:fill="C6EFCE"/>
            <w:noWrap/>
          </w:tcPr>
          <w:p w14:paraId="046B3FCB" w14:textId="77777777" w:rsidR="003A3D51" w:rsidRDefault="0002775A">
            <w:pPr>
              <w:pStyle w:val="P68B1DB1-Normal7"/>
              <w:spacing w:after="200" w:line="276" w:lineRule="auto"/>
              <w:jc w:val="center"/>
              <w:rPr>
                <w:rFonts w:ascii="Times New Roman" w:hAnsi="Times New Roman" w:cs="Times New Roman"/>
                <w:noProof/>
              </w:rPr>
            </w:pPr>
            <w:r>
              <w:rPr>
                <w:noProof/>
              </w:rPr>
              <w:t>76,3</w:t>
            </w:r>
          </w:p>
        </w:tc>
        <w:tc>
          <w:tcPr>
            <w:tcW w:w="264" w:type="pct"/>
            <w:tcBorders>
              <w:top w:val="nil"/>
              <w:left w:val="nil"/>
              <w:bottom w:val="single" w:sz="4" w:space="0" w:color="auto"/>
              <w:right w:val="single" w:sz="4" w:space="0" w:color="auto"/>
            </w:tcBorders>
            <w:shd w:val="clear" w:color="auto" w:fill="C6EFCE"/>
            <w:noWrap/>
          </w:tcPr>
          <w:p w14:paraId="217AFFC0" w14:textId="77777777" w:rsidR="003A3D51" w:rsidRDefault="0002775A">
            <w:pPr>
              <w:pStyle w:val="P68B1DB1-Normal7"/>
              <w:spacing w:after="200" w:line="276" w:lineRule="auto"/>
              <w:jc w:val="center"/>
              <w:rPr>
                <w:rFonts w:ascii="Times New Roman" w:hAnsi="Times New Roman" w:cs="Times New Roman"/>
                <w:noProof/>
              </w:rPr>
            </w:pPr>
            <w:r>
              <w:rPr>
                <w:noProof/>
              </w:rPr>
              <w:t>90</w:t>
            </w:r>
          </w:p>
        </w:tc>
        <w:tc>
          <w:tcPr>
            <w:tcW w:w="247" w:type="pct"/>
            <w:tcBorders>
              <w:top w:val="nil"/>
              <w:left w:val="nil"/>
              <w:bottom w:val="single" w:sz="4" w:space="0" w:color="auto"/>
              <w:right w:val="single" w:sz="4" w:space="0" w:color="auto"/>
            </w:tcBorders>
            <w:shd w:val="clear" w:color="auto" w:fill="C6EFCE"/>
            <w:noWrap/>
          </w:tcPr>
          <w:p w14:paraId="06B23AA7"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4" w:type="pct"/>
            <w:tcBorders>
              <w:top w:val="nil"/>
              <w:left w:val="nil"/>
              <w:bottom w:val="single" w:sz="4" w:space="0" w:color="auto"/>
              <w:right w:val="single" w:sz="4" w:space="0" w:color="auto"/>
            </w:tcBorders>
            <w:shd w:val="clear" w:color="auto" w:fill="C6EFCE"/>
            <w:noWrap/>
          </w:tcPr>
          <w:p w14:paraId="7E80BA3B"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099" w:type="pct"/>
            <w:tcBorders>
              <w:top w:val="nil"/>
              <w:left w:val="nil"/>
              <w:bottom w:val="single" w:sz="4" w:space="0" w:color="auto"/>
              <w:right w:val="single" w:sz="4" w:space="0" w:color="auto"/>
            </w:tcBorders>
            <w:shd w:val="clear" w:color="auto" w:fill="C6EFCE"/>
            <w:noWrap/>
          </w:tcPr>
          <w:p w14:paraId="2B757806" w14:textId="77777777" w:rsidR="003A3D51" w:rsidRDefault="0002775A">
            <w:pPr>
              <w:pStyle w:val="P68B1DB1-Normal7"/>
              <w:spacing w:after="200" w:line="276" w:lineRule="auto"/>
              <w:rPr>
                <w:rFonts w:ascii="Times New Roman" w:hAnsi="Times New Roman" w:cs="Times New Roman"/>
                <w:noProof/>
              </w:rPr>
            </w:pPr>
            <w:r>
              <w:rPr>
                <w:noProof/>
              </w:rPr>
              <w:t xml:space="preserve">Öka täckningen för barn från 3 år till skolåldern som deltar i förskoleverksamhet och barnomsorg till 90 % (jämfört med 2018). </w:t>
            </w:r>
          </w:p>
        </w:tc>
      </w:tr>
      <w:tr w:rsidR="003A3D51" w14:paraId="4FD61F61" w14:textId="77777777" w:rsidTr="00AF6E13">
        <w:trPr>
          <w:trHeight w:val="283"/>
        </w:trPr>
        <w:tc>
          <w:tcPr>
            <w:tcW w:w="352" w:type="pct"/>
            <w:tcBorders>
              <w:top w:val="nil"/>
              <w:left w:val="single" w:sz="4" w:space="0" w:color="auto"/>
              <w:bottom w:val="single" w:sz="4" w:space="0" w:color="auto"/>
              <w:right w:val="single" w:sz="4" w:space="0" w:color="auto"/>
            </w:tcBorders>
            <w:shd w:val="clear" w:color="auto" w:fill="C6EFCE"/>
            <w:noWrap/>
          </w:tcPr>
          <w:p w14:paraId="58711FBB" w14:textId="77777777" w:rsidR="003A3D51" w:rsidRDefault="0002775A">
            <w:pPr>
              <w:pStyle w:val="P68B1DB1-Normal7"/>
              <w:spacing w:after="200" w:line="276" w:lineRule="auto"/>
              <w:jc w:val="center"/>
              <w:rPr>
                <w:rFonts w:ascii="Times New Roman" w:hAnsi="Times New Roman" w:cs="Times New Roman"/>
                <w:noProof/>
              </w:rPr>
            </w:pPr>
            <w:r>
              <w:rPr>
                <w:noProof/>
              </w:rPr>
              <w:t>270</w:t>
            </w:r>
          </w:p>
        </w:tc>
        <w:tc>
          <w:tcPr>
            <w:tcW w:w="308" w:type="pct"/>
            <w:tcBorders>
              <w:top w:val="nil"/>
              <w:left w:val="nil"/>
              <w:bottom w:val="single" w:sz="4" w:space="0" w:color="auto"/>
              <w:right w:val="single" w:sz="4" w:space="0" w:color="auto"/>
            </w:tcBorders>
            <w:shd w:val="clear" w:color="auto" w:fill="C6EFCE"/>
            <w:noWrap/>
          </w:tcPr>
          <w:p w14:paraId="06DB349C" w14:textId="77777777" w:rsidR="003A3D51" w:rsidRDefault="0002775A">
            <w:pPr>
              <w:pStyle w:val="P68B1DB1-Normal7"/>
              <w:spacing w:after="200" w:line="276" w:lineRule="auto"/>
              <w:jc w:val="center"/>
              <w:rPr>
                <w:rFonts w:ascii="Times New Roman" w:hAnsi="Times New Roman" w:cs="Times New Roman"/>
                <w:noProof/>
              </w:rPr>
            </w:pPr>
            <w:r>
              <w:rPr>
                <w:noProof/>
              </w:rPr>
              <w:t>C3.1 R1-I1</w:t>
            </w:r>
          </w:p>
        </w:tc>
        <w:tc>
          <w:tcPr>
            <w:tcW w:w="308" w:type="pct"/>
            <w:tcBorders>
              <w:top w:val="nil"/>
              <w:left w:val="nil"/>
              <w:bottom w:val="single" w:sz="4" w:space="0" w:color="auto"/>
              <w:right w:val="single" w:sz="4" w:space="0" w:color="auto"/>
            </w:tcBorders>
            <w:shd w:val="clear" w:color="auto" w:fill="C6EFCE"/>
            <w:noWrap/>
          </w:tcPr>
          <w:p w14:paraId="227DF8D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53" w:type="pct"/>
            <w:tcBorders>
              <w:top w:val="nil"/>
              <w:left w:val="nil"/>
              <w:bottom w:val="single" w:sz="4" w:space="0" w:color="auto"/>
              <w:right w:val="single" w:sz="4" w:space="0" w:color="auto"/>
            </w:tcBorders>
            <w:shd w:val="clear" w:color="auto" w:fill="C6EFCE"/>
            <w:noWrap/>
          </w:tcPr>
          <w:p w14:paraId="55BF7A50" w14:textId="77777777" w:rsidR="003A3D51" w:rsidRDefault="0002775A">
            <w:pPr>
              <w:pStyle w:val="P68B1DB1-Normal7"/>
              <w:spacing w:after="200" w:line="276" w:lineRule="auto"/>
              <w:rPr>
                <w:rFonts w:ascii="Times New Roman" w:hAnsi="Times New Roman" w:cs="Times New Roman"/>
                <w:noProof/>
              </w:rPr>
            </w:pPr>
            <w:r>
              <w:rPr>
                <w:noProof/>
              </w:rPr>
              <w:t>Antal platser som byggts i förskoleverksamhet och barnomsorg</w:t>
            </w:r>
          </w:p>
        </w:tc>
        <w:tc>
          <w:tcPr>
            <w:tcW w:w="778" w:type="pct"/>
            <w:tcBorders>
              <w:top w:val="nil"/>
              <w:left w:val="nil"/>
              <w:bottom w:val="single" w:sz="4" w:space="0" w:color="auto"/>
              <w:right w:val="single" w:sz="4" w:space="0" w:color="auto"/>
            </w:tcBorders>
            <w:shd w:val="clear" w:color="auto" w:fill="C6EFCE"/>
            <w:noWrap/>
          </w:tcPr>
          <w:p w14:paraId="2DC429BA" w14:textId="77777777" w:rsidR="003A3D51" w:rsidRDefault="0002775A">
            <w:pPr>
              <w:pStyle w:val="P68B1DB1-Normal7"/>
              <w:spacing w:after="200" w:line="276" w:lineRule="auto"/>
              <w:rPr>
                <w:rFonts w:ascii="Times New Roman" w:hAnsi="Times New Roman" w:cs="Times New Roman"/>
                <w:noProof/>
              </w:rPr>
            </w:pPr>
            <w:r>
              <w:rPr>
                <w:noProof/>
              </w:rPr>
              <w:t>Offentliggörande av rapporter från ministeriet för vetenskap och utbildning (MZO) om infrastrukturprojekt, inklusive en sammanfattande rapport med en översikt.</w:t>
            </w:r>
          </w:p>
        </w:tc>
        <w:tc>
          <w:tcPr>
            <w:tcW w:w="362" w:type="pct"/>
            <w:tcBorders>
              <w:top w:val="nil"/>
              <w:left w:val="nil"/>
              <w:bottom w:val="single" w:sz="4" w:space="0" w:color="auto"/>
              <w:right w:val="single" w:sz="4" w:space="0" w:color="auto"/>
            </w:tcBorders>
            <w:shd w:val="clear" w:color="auto" w:fill="C6EFCE"/>
            <w:noWrap/>
          </w:tcPr>
          <w:p w14:paraId="5981962A"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256" w:type="pct"/>
            <w:tcBorders>
              <w:top w:val="nil"/>
              <w:left w:val="nil"/>
              <w:bottom w:val="single" w:sz="4" w:space="0" w:color="auto"/>
              <w:right w:val="single" w:sz="4" w:space="0" w:color="auto"/>
            </w:tcBorders>
            <w:shd w:val="clear" w:color="auto" w:fill="C6EFCE"/>
            <w:noWrap/>
          </w:tcPr>
          <w:p w14:paraId="5B6AC20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64" w:type="pct"/>
            <w:tcBorders>
              <w:top w:val="nil"/>
              <w:left w:val="nil"/>
              <w:bottom w:val="single" w:sz="4" w:space="0" w:color="auto"/>
              <w:right w:val="single" w:sz="4" w:space="0" w:color="auto"/>
            </w:tcBorders>
            <w:shd w:val="clear" w:color="auto" w:fill="C6EFCE"/>
            <w:noWrap/>
          </w:tcPr>
          <w:p w14:paraId="29A2F258" w14:textId="77777777" w:rsidR="003A3D51" w:rsidRDefault="0002775A">
            <w:pPr>
              <w:pStyle w:val="P68B1DB1-Normal7"/>
              <w:spacing w:after="200" w:line="276" w:lineRule="auto"/>
              <w:jc w:val="center"/>
              <w:rPr>
                <w:rFonts w:ascii="Times New Roman" w:hAnsi="Times New Roman" w:cs="Times New Roman"/>
                <w:noProof/>
              </w:rPr>
            </w:pPr>
            <w:r>
              <w:rPr>
                <w:noProof/>
              </w:rPr>
              <w:t>22 500</w:t>
            </w:r>
          </w:p>
        </w:tc>
        <w:tc>
          <w:tcPr>
            <w:tcW w:w="247" w:type="pct"/>
            <w:tcBorders>
              <w:top w:val="nil"/>
              <w:left w:val="nil"/>
              <w:bottom w:val="single" w:sz="4" w:space="0" w:color="auto"/>
              <w:right w:val="single" w:sz="4" w:space="0" w:color="auto"/>
            </w:tcBorders>
            <w:shd w:val="clear" w:color="auto" w:fill="C6EFCE"/>
            <w:noWrap/>
          </w:tcPr>
          <w:p w14:paraId="6B37E558"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4" w:type="pct"/>
            <w:tcBorders>
              <w:top w:val="nil"/>
              <w:left w:val="nil"/>
              <w:bottom w:val="single" w:sz="4" w:space="0" w:color="auto"/>
              <w:right w:val="single" w:sz="4" w:space="0" w:color="auto"/>
            </w:tcBorders>
            <w:shd w:val="clear" w:color="auto" w:fill="C6EFCE"/>
            <w:noWrap/>
          </w:tcPr>
          <w:p w14:paraId="5A6656D4"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099" w:type="pct"/>
            <w:tcBorders>
              <w:top w:val="nil"/>
              <w:left w:val="nil"/>
              <w:bottom w:val="single" w:sz="4" w:space="0" w:color="auto"/>
              <w:right w:val="single" w:sz="4" w:space="0" w:color="auto"/>
            </w:tcBorders>
            <w:shd w:val="clear" w:color="auto" w:fill="C6EFCE"/>
            <w:noWrap/>
          </w:tcPr>
          <w:p w14:paraId="231DF895" w14:textId="77777777" w:rsidR="003A3D51" w:rsidRDefault="0002775A">
            <w:pPr>
              <w:pStyle w:val="P68B1DB1-Normal7"/>
              <w:spacing w:after="200" w:line="276" w:lineRule="auto"/>
              <w:rPr>
                <w:rFonts w:ascii="Times New Roman" w:hAnsi="Times New Roman" w:cs="Times New Roman"/>
                <w:noProof/>
              </w:rPr>
            </w:pPr>
            <w:r>
              <w:rPr>
                <w:noProof/>
              </w:rPr>
              <w:t xml:space="preserve">Minst 22 500 nya platser inom förskoleverksamhet och barnomsorg ska skapas till följd av infrastrukturinvesteringar i uppförande, uppgradering och ombyggnad av förskoleverksamhet och barnomsorg, vilket ska möjliggöra en betydande ökning av andelen barn (från 3 år till skolåldern) som deltar i förskoleverksamhet och barnomsorg. </w:t>
            </w:r>
          </w:p>
        </w:tc>
      </w:tr>
      <w:tr w:rsidR="003A3D51" w14:paraId="45444CBC" w14:textId="77777777" w:rsidTr="00AF6E13">
        <w:trPr>
          <w:trHeight w:val="283"/>
        </w:trPr>
        <w:tc>
          <w:tcPr>
            <w:tcW w:w="352" w:type="pct"/>
            <w:tcBorders>
              <w:top w:val="single" w:sz="4" w:space="0" w:color="auto"/>
              <w:left w:val="single" w:sz="4" w:space="0" w:color="auto"/>
              <w:bottom w:val="single" w:sz="4" w:space="0" w:color="auto"/>
              <w:right w:val="single" w:sz="4" w:space="0" w:color="auto"/>
            </w:tcBorders>
            <w:shd w:val="clear" w:color="auto" w:fill="C6EFCE"/>
            <w:noWrap/>
          </w:tcPr>
          <w:p w14:paraId="647EAF5E" w14:textId="77777777" w:rsidR="003A3D51" w:rsidRDefault="0002775A">
            <w:pPr>
              <w:pStyle w:val="P68B1DB1-Normal7"/>
              <w:spacing w:after="200" w:line="276" w:lineRule="auto"/>
              <w:jc w:val="center"/>
              <w:rPr>
                <w:rFonts w:ascii="Times New Roman" w:hAnsi="Times New Roman" w:cs="Times New Roman"/>
                <w:noProof/>
              </w:rPr>
            </w:pPr>
            <w:r>
              <w:rPr>
                <w:noProof/>
              </w:rPr>
              <w:t>271</w:t>
            </w:r>
          </w:p>
        </w:tc>
        <w:tc>
          <w:tcPr>
            <w:tcW w:w="308" w:type="pct"/>
            <w:tcBorders>
              <w:top w:val="single" w:sz="4" w:space="0" w:color="auto"/>
              <w:left w:val="nil"/>
              <w:bottom w:val="single" w:sz="4" w:space="0" w:color="auto"/>
              <w:right w:val="single" w:sz="4" w:space="0" w:color="auto"/>
            </w:tcBorders>
            <w:shd w:val="clear" w:color="auto" w:fill="C6EFCE"/>
            <w:noWrap/>
          </w:tcPr>
          <w:p w14:paraId="6B1A8EE6" w14:textId="77777777" w:rsidR="003A3D51" w:rsidRDefault="0002775A">
            <w:pPr>
              <w:pStyle w:val="P68B1DB1-Normal7"/>
              <w:spacing w:after="200" w:line="276" w:lineRule="auto"/>
              <w:jc w:val="center"/>
              <w:rPr>
                <w:rFonts w:ascii="Times New Roman" w:hAnsi="Times New Roman" w:cs="Times New Roman"/>
                <w:noProof/>
              </w:rPr>
            </w:pPr>
            <w:r>
              <w:rPr>
                <w:noProof/>
              </w:rPr>
              <w:t>C3.1 R1-I2</w:t>
            </w:r>
          </w:p>
        </w:tc>
        <w:tc>
          <w:tcPr>
            <w:tcW w:w="308" w:type="pct"/>
            <w:tcBorders>
              <w:top w:val="single" w:sz="4" w:space="0" w:color="auto"/>
              <w:left w:val="nil"/>
              <w:bottom w:val="single" w:sz="4" w:space="0" w:color="auto"/>
              <w:right w:val="single" w:sz="4" w:space="0" w:color="auto"/>
            </w:tcBorders>
            <w:shd w:val="clear" w:color="auto" w:fill="C6EFCE"/>
            <w:noWrap/>
          </w:tcPr>
          <w:p w14:paraId="74E9010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53" w:type="pct"/>
            <w:tcBorders>
              <w:top w:val="single" w:sz="4" w:space="0" w:color="auto"/>
              <w:left w:val="nil"/>
              <w:bottom w:val="single" w:sz="4" w:space="0" w:color="auto"/>
              <w:right w:val="single" w:sz="4" w:space="0" w:color="auto"/>
            </w:tcBorders>
            <w:shd w:val="clear" w:color="auto" w:fill="C6EFCE"/>
            <w:noWrap/>
          </w:tcPr>
          <w:p w14:paraId="29D8F336" w14:textId="77777777" w:rsidR="003A3D51" w:rsidRDefault="0002775A">
            <w:pPr>
              <w:pStyle w:val="P68B1DB1-Normal7"/>
              <w:spacing w:after="240" w:line="276" w:lineRule="auto"/>
              <w:rPr>
                <w:rFonts w:ascii="Times New Roman" w:hAnsi="Times New Roman" w:cs="Times New Roman"/>
                <w:noProof/>
              </w:rPr>
            </w:pPr>
            <w:r>
              <w:rPr>
                <w:noProof/>
              </w:rPr>
              <w:t>Andel elever som går i grundskola för ett skift</w:t>
            </w:r>
          </w:p>
        </w:tc>
        <w:tc>
          <w:tcPr>
            <w:tcW w:w="778" w:type="pct"/>
            <w:tcBorders>
              <w:top w:val="single" w:sz="4" w:space="0" w:color="auto"/>
              <w:left w:val="nil"/>
              <w:bottom w:val="single" w:sz="4" w:space="0" w:color="auto"/>
              <w:right w:val="single" w:sz="4" w:space="0" w:color="auto"/>
            </w:tcBorders>
            <w:shd w:val="clear" w:color="auto" w:fill="C6EFCE"/>
            <w:noWrap/>
          </w:tcPr>
          <w:p w14:paraId="02F722BB" w14:textId="77777777" w:rsidR="003A3D51" w:rsidRDefault="0002775A">
            <w:pPr>
              <w:pStyle w:val="P68B1DB1-Normal7"/>
              <w:spacing w:after="0" w:line="276" w:lineRule="auto"/>
              <w:rPr>
                <w:rFonts w:ascii="Times New Roman" w:hAnsi="Times New Roman" w:cs="Times New Roman"/>
                <w:noProof/>
              </w:rPr>
            </w:pPr>
            <w:r>
              <w:rPr>
                <w:noProof/>
              </w:rPr>
              <w:t>Offentliggörande av uppgifter från ministeriet för vetenskap och utbildning (MZO)</w:t>
            </w:r>
          </w:p>
        </w:tc>
        <w:tc>
          <w:tcPr>
            <w:tcW w:w="362" w:type="pct"/>
            <w:tcBorders>
              <w:top w:val="single" w:sz="4" w:space="0" w:color="auto"/>
              <w:left w:val="nil"/>
              <w:bottom w:val="single" w:sz="4" w:space="0" w:color="auto"/>
              <w:right w:val="single" w:sz="4" w:space="0" w:color="auto"/>
            </w:tcBorders>
            <w:shd w:val="clear" w:color="auto" w:fill="C6EFCE"/>
            <w:noWrap/>
          </w:tcPr>
          <w:p w14:paraId="5DFC17AE"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6" w:type="pct"/>
            <w:tcBorders>
              <w:top w:val="single" w:sz="4" w:space="0" w:color="auto"/>
              <w:left w:val="nil"/>
              <w:bottom w:val="single" w:sz="4" w:space="0" w:color="auto"/>
              <w:right w:val="single" w:sz="4" w:space="0" w:color="auto"/>
            </w:tcBorders>
            <w:shd w:val="clear" w:color="auto" w:fill="C6EFCE"/>
            <w:noWrap/>
          </w:tcPr>
          <w:p w14:paraId="2B254D73" w14:textId="77777777" w:rsidR="003A3D51" w:rsidRDefault="0002775A">
            <w:pPr>
              <w:pStyle w:val="P68B1DB1-Normal7"/>
              <w:spacing w:after="200" w:line="276" w:lineRule="auto"/>
              <w:jc w:val="center"/>
              <w:rPr>
                <w:rFonts w:ascii="Times New Roman" w:hAnsi="Times New Roman" w:cs="Times New Roman"/>
                <w:noProof/>
              </w:rPr>
            </w:pPr>
            <w:r>
              <w:rPr>
                <w:noProof/>
              </w:rPr>
              <w:t>40</w:t>
            </w:r>
          </w:p>
        </w:tc>
        <w:tc>
          <w:tcPr>
            <w:tcW w:w="264" w:type="pct"/>
            <w:tcBorders>
              <w:top w:val="single" w:sz="4" w:space="0" w:color="auto"/>
              <w:left w:val="nil"/>
              <w:bottom w:val="single" w:sz="4" w:space="0" w:color="auto"/>
              <w:right w:val="single" w:sz="4" w:space="0" w:color="auto"/>
            </w:tcBorders>
            <w:shd w:val="clear" w:color="auto" w:fill="C6EFCE"/>
            <w:noWrap/>
          </w:tcPr>
          <w:p w14:paraId="5118FA16" w14:textId="77777777" w:rsidR="003A3D51" w:rsidRDefault="0002775A">
            <w:pPr>
              <w:pStyle w:val="P68B1DB1-Normal7"/>
              <w:spacing w:after="200" w:line="276" w:lineRule="auto"/>
              <w:jc w:val="center"/>
              <w:rPr>
                <w:rFonts w:ascii="Times New Roman" w:hAnsi="Times New Roman" w:cs="Times New Roman"/>
                <w:noProof/>
              </w:rPr>
            </w:pPr>
            <w:r>
              <w:rPr>
                <w:noProof/>
              </w:rPr>
              <w:t>70</w:t>
            </w:r>
          </w:p>
        </w:tc>
        <w:tc>
          <w:tcPr>
            <w:tcW w:w="247" w:type="pct"/>
            <w:tcBorders>
              <w:top w:val="single" w:sz="4" w:space="0" w:color="auto"/>
              <w:left w:val="nil"/>
              <w:bottom w:val="single" w:sz="4" w:space="0" w:color="auto"/>
              <w:right w:val="single" w:sz="4" w:space="0" w:color="auto"/>
            </w:tcBorders>
            <w:shd w:val="clear" w:color="auto" w:fill="C6EFCE"/>
            <w:noWrap/>
          </w:tcPr>
          <w:p w14:paraId="463EF88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4" w:type="pct"/>
            <w:tcBorders>
              <w:top w:val="single" w:sz="4" w:space="0" w:color="auto"/>
              <w:left w:val="nil"/>
              <w:bottom w:val="single" w:sz="4" w:space="0" w:color="auto"/>
              <w:right w:val="single" w:sz="4" w:space="0" w:color="auto"/>
            </w:tcBorders>
            <w:shd w:val="clear" w:color="auto" w:fill="C6EFCE"/>
            <w:noWrap/>
          </w:tcPr>
          <w:p w14:paraId="78D056E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099" w:type="pct"/>
            <w:tcBorders>
              <w:top w:val="single" w:sz="4" w:space="0" w:color="auto"/>
              <w:left w:val="nil"/>
              <w:bottom w:val="single" w:sz="4" w:space="0" w:color="auto"/>
              <w:right w:val="single" w:sz="4" w:space="0" w:color="auto"/>
            </w:tcBorders>
            <w:shd w:val="clear" w:color="auto" w:fill="C6EFCE"/>
            <w:noWrap/>
          </w:tcPr>
          <w:p w14:paraId="6BA21D20" w14:textId="77777777" w:rsidR="003A3D51" w:rsidRDefault="0002775A">
            <w:pPr>
              <w:pStyle w:val="P68B1DB1-Normal7"/>
              <w:spacing w:after="200" w:line="276" w:lineRule="auto"/>
              <w:rPr>
                <w:rFonts w:ascii="Times New Roman" w:hAnsi="Times New Roman" w:cs="Times New Roman"/>
                <w:noProof/>
              </w:rPr>
            </w:pPr>
            <w:r>
              <w:rPr>
                <w:noProof/>
              </w:rPr>
              <w:t xml:space="preserve">Andelen grundskoleelever som går i en skiftskola ska öka till 70 %. </w:t>
            </w:r>
          </w:p>
        </w:tc>
      </w:tr>
      <w:tr w:rsidR="003A3D51" w14:paraId="6D38B654" w14:textId="77777777" w:rsidTr="00AF6E13">
        <w:trPr>
          <w:trHeight w:val="283"/>
        </w:trPr>
        <w:tc>
          <w:tcPr>
            <w:tcW w:w="352" w:type="pct"/>
            <w:tcBorders>
              <w:top w:val="single" w:sz="4" w:space="0" w:color="auto"/>
              <w:left w:val="single" w:sz="4" w:space="0" w:color="auto"/>
              <w:bottom w:val="single" w:sz="4" w:space="0" w:color="auto"/>
              <w:right w:val="single" w:sz="4" w:space="0" w:color="auto"/>
            </w:tcBorders>
            <w:shd w:val="clear" w:color="auto" w:fill="C6EFCE"/>
            <w:noWrap/>
          </w:tcPr>
          <w:p w14:paraId="6840A8BA" w14:textId="77777777" w:rsidR="003A3D51" w:rsidRDefault="0002775A">
            <w:pPr>
              <w:pStyle w:val="P68B1DB1-Normal7"/>
              <w:spacing w:after="200" w:line="276" w:lineRule="auto"/>
              <w:jc w:val="center"/>
              <w:rPr>
                <w:rFonts w:ascii="Times New Roman" w:hAnsi="Times New Roman" w:cs="Times New Roman"/>
                <w:noProof/>
              </w:rPr>
            </w:pPr>
            <w:r>
              <w:rPr>
                <w:noProof/>
              </w:rPr>
              <w:t>272</w:t>
            </w:r>
          </w:p>
        </w:tc>
        <w:tc>
          <w:tcPr>
            <w:tcW w:w="308" w:type="pct"/>
            <w:tcBorders>
              <w:top w:val="single" w:sz="4" w:space="0" w:color="auto"/>
              <w:left w:val="nil"/>
              <w:bottom w:val="single" w:sz="4" w:space="0" w:color="auto"/>
              <w:right w:val="single" w:sz="4" w:space="0" w:color="auto"/>
            </w:tcBorders>
            <w:shd w:val="clear" w:color="auto" w:fill="C6EFCE"/>
            <w:noWrap/>
          </w:tcPr>
          <w:p w14:paraId="1395DF02" w14:textId="77777777" w:rsidR="003A3D51" w:rsidRDefault="0002775A">
            <w:pPr>
              <w:pStyle w:val="P68B1DB1-Normal7"/>
              <w:spacing w:after="200" w:line="276" w:lineRule="auto"/>
              <w:jc w:val="center"/>
              <w:rPr>
                <w:rFonts w:ascii="Times New Roman" w:hAnsi="Times New Roman" w:cs="Times New Roman"/>
                <w:noProof/>
              </w:rPr>
            </w:pPr>
            <w:r>
              <w:rPr>
                <w:noProof/>
              </w:rPr>
              <w:t>C3.1 R1-I3</w:t>
            </w:r>
          </w:p>
        </w:tc>
        <w:tc>
          <w:tcPr>
            <w:tcW w:w="308" w:type="pct"/>
            <w:tcBorders>
              <w:top w:val="single" w:sz="4" w:space="0" w:color="auto"/>
              <w:left w:val="nil"/>
              <w:bottom w:val="single" w:sz="4" w:space="0" w:color="auto"/>
              <w:right w:val="single" w:sz="4" w:space="0" w:color="auto"/>
            </w:tcBorders>
            <w:shd w:val="clear" w:color="auto" w:fill="C6EFCE"/>
            <w:noWrap/>
          </w:tcPr>
          <w:p w14:paraId="779917B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53" w:type="pct"/>
            <w:tcBorders>
              <w:top w:val="single" w:sz="4" w:space="0" w:color="auto"/>
              <w:left w:val="nil"/>
              <w:bottom w:val="single" w:sz="4" w:space="0" w:color="auto"/>
              <w:right w:val="single" w:sz="4" w:space="0" w:color="auto"/>
            </w:tcBorders>
            <w:shd w:val="clear" w:color="auto" w:fill="C6EFCE"/>
            <w:noWrap/>
          </w:tcPr>
          <w:p w14:paraId="47305021" w14:textId="77777777" w:rsidR="003A3D51" w:rsidRDefault="0002775A">
            <w:pPr>
              <w:pStyle w:val="P68B1DB1-Normal7"/>
              <w:spacing w:after="200" w:line="276" w:lineRule="auto"/>
              <w:rPr>
                <w:rFonts w:ascii="Times New Roman" w:hAnsi="Times New Roman" w:cs="Times New Roman"/>
                <w:noProof/>
              </w:rPr>
            </w:pPr>
            <w:r>
              <w:rPr>
                <w:noProof/>
              </w:rPr>
              <w:t xml:space="preserve">Inskrivning i allmänna gymnasieutbildningsprogram </w:t>
            </w:r>
          </w:p>
        </w:tc>
        <w:tc>
          <w:tcPr>
            <w:tcW w:w="778" w:type="pct"/>
            <w:tcBorders>
              <w:top w:val="single" w:sz="4" w:space="0" w:color="auto"/>
              <w:left w:val="nil"/>
              <w:bottom w:val="single" w:sz="4" w:space="0" w:color="auto"/>
              <w:right w:val="single" w:sz="4" w:space="0" w:color="auto"/>
            </w:tcBorders>
            <w:shd w:val="clear" w:color="auto" w:fill="C6EFCE"/>
            <w:noWrap/>
          </w:tcPr>
          <w:p w14:paraId="237ECABF" w14:textId="77777777" w:rsidR="003A3D51" w:rsidRDefault="0002775A">
            <w:pPr>
              <w:pStyle w:val="P68B1DB1-Normal7"/>
              <w:spacing w:after="200" w:line="276" w:lineRule="auto"/>
              <w:rPr>
                <w:rFonts w:ascii="Times New Roman" w:hAnsi="Times New Roman" w:cs="Times New Roman"/>
                <w:noProof/>
              </w:rPr>
            </w:pPr>
            <w:r>
              <w:rPr>
                <w:noProof/>
              </w:rPr>
              <w:t>Offentliggörande av uppgifter från ministeriet för vetenskap och utbildning (MZO)</w:t>
            </w:r>
          </w:p>
        </w:tc>
        <w:tc>
          <w:tcPr>
            <w:tcW w:w="362" w:type="pct"/>
            <w:tcBorders>
              <w:top w:val="single" w:sz="4" w:space="0" w:color="auto"/>
              <w:left w:val="nil"/>
              <w:bottom w:val="single" w:sz="4" w:space="0" w:color="auto"/>
              <w:right w:val="single" w:sz="4" w:space="0" w:color="auto"/>
            </w:tcBorders>
            <w:shd w:val="clear" w:color="auto" w:fill="C6EFCE"/>
            <w:noWrap/>
          </w:tcPr>
          <w:p w14:paraId="5234C32C"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6" w:type="pct"/>
            <w:tcBorders>
              <w:top w:val="single" w:sz="4" w:space="0" w:color="auto"/>
              <w:left w:val="nil"/>
              <w:bottom w:val="single" w:sz="4" w:space="0" w:color="auto"/>
              <w:right w:val="single" w:sz="4" w:space="0" w:color="auto"/>
            </w:tcBorders>
            <w:shd w:val="clear" w:color="auto" w:fill="C6EFCE"/>
            <w:noWrap/>
          </w:tcPr>
          <w:p w14:paraId="4D305B41" w14:textId="77777777" w:rsidR="003A3D51" w:rsidRDefault="0002775A">
            <w:pPr>
              <w:pStyle w:val="P68B1DB1-Normal7"/>
              <w:spacing w:after="200" w:line="276" w:lineRule="auto"/>
              <w:jc w:val="center"/>
              <w:rPr>
                <w:rFonts w:ascii="Times New Roman" w:hAnsi="Times New Roman" w:cs="Times New Roman"/>
                <w:noProof/>
              </w:rPr>
            </w:pPr>
            <w:r>
              <w:rPr>
                <w:noProof/>
              </w:rPr>
              <w:t>30</w:t>
            </w:r>
          </w:p>
        </w:tc>
        <w:tc>
          <w:tcPr>
            <w:tcW w:w="264" w:type="pct"/>
            <w:tcBorders>
              <w:top w:val="single" w:sz="4" w:space="0" w:color="auto"/>
              <w:left w:val="nil"/>
              <w:bottom w:val="single" w:sz="4" w:space="0" w:color="auto"/>
              <w:right w:val="single" w:sz="4" w:space="0" w:color="auto"/>
            </w:tcBorders>
            <w:shd w:val="clear" w:color="auto" w:fill="C6EFCE"/>
            <w:noWrap/>
          </w:tcPr>
          <w:p w14:paraId="5329B882" w14:textId="77777777" w:rsidR="003A3D51" w:rsidRDefault="0002775A">
            <w:pPr>
              <w:pStyle w:val="P68B1DB1-Normal7"/>
              <w:spacing w:after="200" w:line="276" w:lineRule="auto"/>
              <w:jc w:val="center"/>
              <w:rPr>
                <w:rFonts w:ascii="Times New Roman" w:hAnsi="Times New Roman" w:cs="Times New Roman"/>
                <w:noProof/>
              </w:rPr>
            </w:pPr>
            <w:r>
              <w:rPr>
                <w:noProof/>
              </w:rPr>
              <w:t>35</w:t>
            </w:r>
          </w:p>
        </w:tc>
        <w:tc>
          <w:tcPr>
            <w:tcW w:w="247" w:type="pct"/>
            <w:tcBorders>
              <w:top w:val="single" w:sz="4" w:space="0" w:color="auto"/>
              <w:left w:val="nil"/>
              <w:bottom w:val="single" w:sz="4" w:space="0" w:color="auto"/>
              <w:right w:val="single" w:sz="4" w:space="0" w:color="auto"/>
            </w:tcBorders>
            <w:shd w:val="clear" w:color="auto" w:fill="C6EFCE"/>
            <w:noWrap/>
          </w:tcPr>
          <w:p w14:paraId="029842A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4" w:type="pct"/>
            <w:tcBorders>
              <w:top w:val="single" w:sz="4" w:space="0" w:color="auto"/>
              <w:left w:val="nil"/>
              <w:bottom w:val="single" w:sz="4" w:space="0" w:color="auto"/>
              <w:right w:val="single" w:sz="4" w:space="0" w:color="auto"/>
            </w:tcBorders>
            <w:shd w:val="clear" w:color="auto" w:fill="C6EFCE"/>
            <w:noWrap/>
          </w:tcPr>
          <w:p w14:paraId="2641919B"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099" w:type="pct"/>
            <w:tcBorders>
              <w:top w:val="single" w:sz="4" w:space="0" w:color="auto"/>
              <w:left w:val="nil"/>
              <w:bottom w:val="single" w:sz="4" w:space="0" w:color="auto"/>
              <w:right w:val="single" w:sz="4" w:space="0" w:color="auto"/>
            </w:tcBorders>
            <w:shd w:val="clear" w:color="auto" w:fill="C6EFCE"/>
            <w:noWrap/>
          </w:tcPr>
          <w:p w14:paraId="3C7B9CBC" w14:textId="77777777" w:rsidR="003A3D51" w:rsidRDefault="0002775A">
            <w:pPr>
              <w:pStyle w:val="P68B1DB1-Normal7"/>
              <w:spacing w:after="200" w:line="276" w:lineRule="auto"/>
              <w:rPr>
                <w:rFonts w:ascii="Times New Roman" w:hAnsi="Times New Roman" w:cs="Times New Roman"/>
                <w:noProof/>
              </w:rPr>
            </w:pPr>
            <w:r>
              <w:rPr>
                <w:noProof/>
              </w:rPr>
              <w:t>Andelen elever i gymnasieutbildning i grad 1 av den allmänna gymnasieutbildningen (gimnazija-program) ska öka till 35 %.</w:t>
            </w:r>
          </w:p>
        </w:tc>
      </w:tr>
      <w:tr w:rsidR="003A3D51" w14:paraId="01A5F71D" w14:textId="77777777" w:rsidTr="00AF6E13">
        <w:trPr>
          <w:trHeight w:val="283"/>
        </w:trPr>
        <w:tc>
          <w:tcPr>
            <w:tcW w:w="352" w:type="pct"/>
            <w:tcBorders>
              <w:top w:val="single" w:sz="4" w:space="0" w:color="auto"/>
              <w:left w:val="single" w:sz="4" w:space="0" w:color="auto"/>
              <w:bottom w:val="single" w:sz="4" w:space="0" w:color="auto"/>
              <w:right w:val="single" w:sz="4" w:space="0" w:color="auto"/>
            </w:tcBorders>
            <w:shd w:val="clear" w:color="auto" w:fill="C6EFCE"/>
            <w:noWrap/>
          </w:tcPr>
          <w:p w14:paraId="33B7B325" w14:textId="77777777" w:rsidR="003A3D51" w:rsidRDefault="0002775A">
            <w:pPr>
              <w:pStyle w:val="P68B1DB1-Normal7"/>
              <w:spacing w:after="200" w:line="276" w:lineRule="auto"/>
              <w:jc w:val="center"/>
              <w:rPr>
                <w:rFonts w:ascii="Times New Roman" w:hAnsi="Times New Roman" w:cs="Times New Roman"/>
                <w:noProof/>
              </w:rPr>
            </w:pPr>
            <w:r>
              <w:rPr>
                <w:noProof/>
              </w:rPr>
              <w:t>273</w:t>
            </w:r>
          </w:p>
        </w:tc>
        <w:tc>
          <w:tcPr>
            <w:tcW w:w="308" w:type="pct"/>
            <w:tcBorders>
              <w:top w:val="single" w:sz="4" w:space="0" w:color="auto"/>
              <w:left w:val="nil"/>
              <w:bottom w:val="single" w:sz="4" w:space="0" w:color="auto"/>
              <w:right w:val="single" w:sz="4" w:space="0" w:color="auto"/>
            </w:tcBorders>
            <w:shd w:val="clear" w:color="auto" w:fill="C6EFCE"/>
            <w:noWrap/>
          </w:tcPr>
          <w:p w14:paraId="29606B62" w14:textId="77777777" w:rsidR="003A3D51" w:rsidRDefault="0002775A">
            <w:pPr>
              <w:pStyle w:val="P68B1DB1-Normal7"/>
              <w:spacing w:after="200" w:line="276" w:lineRule="auto"/>
              <w:jc w:val="center"/>
              <w:rPr>
                <w:rFonts w:ascii="Times New Roman" w:hAnsi="Times New Roman" w:cs="Times New Roman"/>
                <w:noProof/>
              </w:rPr>
            </w:pPr>
            <w:r>
              <w:rPr>
                <w:noProof/>
              </w:rPr>
              <w:t>C3.1 R2</w:t>
            </w:r>
          </w:p>
        </w:tc>
        <w:tc>
          <w:tcPr>
            <w:tcW w:w="308" w:type="pct"/>
            <w:tcBorders>
              <w:top w:val="single" w:sz="4" w:space="0" w:color="auto"/>
              <w:left w:val="nil"/>
              <w:bottom w:val="single" w:sz="4" w:space="0" w:color="auto"/>
              <w:right w:val="single" w:sz="4" w:space="0" w:color="auto"/>
            </w:tcBorders>
            <w:shd w:val="clear" w:color="auto" w:fill="C6EFCE"/>
            <w:noWrap/>
          </w:tcPr>
          <w:p w14:paraId="7304596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753" w:type="pct"/>
            <w:tcBorders>
              <w:top w:val="single" w:sz="4" w:space="0" w:color="auto"/>
              <w:left w:val="nil"/>
              <w:bottom w:val="single" w:sz="4" w:space="0" w:color="auto"/>
              <w:right w:val="single" w:sz="4" w:space="0" w:color="auto"/>
            </w:tcBorders>
            <w:shd w:val="clear" w:color="auto" w:fill="C6EFCE"/>
            <w:noWrap/>
          </w:tcPr>
          <w:p w14:paraId="08E5C2B9"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den nya lagen om vetenskaplig verksamhet och högre utbildning </w:t>
            </w:r>
          </w:p>
        </w:tc>
        <w:tc>
          <w:tcPr>
            <w:tcW w:w="778" w:type="pct"/>
            <w:tcBorders>
              <w:top w:val="single" w:sz="4" w:space="0" w:color="auto"/>
              <w:left w:val="nil"/>
              <w:bottom w:val="single" w:sz="4" w:space="0" w:color="auto"/>
              <w:right w:val="single" w:sz="4" w:space="0" w:color="auto"/>
            </w:tcBorders>
            <w:shd w:val="clear" w:color="auto" w:fill="C6EFCE"/>
            <w:noWrap/>
          </w:tcPr>
          <w:p w14:paraId="716BD6A5" w14:textId="77777777" w:rsidR="003A3D51" w:rsidRDefault="0002775A">
            <w:pPr>
              <w:pStyle w:val="P68B1DB1-Normal7"/>
              <w:spacing w:after="200" w:line="276" w:lineRule="auto"/>
              <w:rPr>
                <w:rFonts w:ascii="Times New Roman" w:hAnsi="Times New Roman" w:cs="Times New Roman"/>
                <w:noProof/>
              </w:rPr>
            </w:pPr>
            <w:r>
              <w:rPr>
                <w:noProof/>
              </w:rPr>
              <w:t xml:space="preserve">Lagen om ny vetenskap och högre utbildning träder i kraft </w:t>
            </w:r>
          </w:p>
        </w:tc>
        <w:tc>
          <w:tcPr>
            <w:tcW w:w="362" w:type="pct"/>
            <w:tcBorders>
              <w:top w:val="single" w:sz="4" w:space="0" w:color="auto"/>
              <w:left w:val="nil"/>
              <w:bottom w:val="single" w:sz="4" w:space="0" w:color="auto"/>
              <w:right w:val="single" w:sz="4" w:space="0" w:color="auto"/>
            </w:tcBorders>
            <w:shd w:val="clear" w:color="auto" w:fill="C6EFCE"/>
            <w:noWrap/>
          </w:tcPr>
          <w:p w14:paraId="511674E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6" w:type="pct"/>
            <w:tcBorders>
              <w:top w:val="single" w:sz="4" w:space="0" w:color="auto"/>
              <w:left w:val="nil"/>
              <w:bottom w:val="single" w:sz="4" w:space="0" w:color="auto"/>
              <w:right w:val="single" w:sz="4" w:space="0" w:color="auto"/>
            </w:tcBorders>
            <w:shd w:val="clear" w:color="auto" w:fill="C6EFCE"/>
            <w:noWrap/>
          </w:tcPr>
          <w:p w14:paraId="65905AA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64" w:type="pct"/>
            <w:tcBorders>
              <w:top w:val="single" w:sz="4" w:space="0" w:color="auto"/>
              <w:left w:val="nil"/>
              <w:bottom w:val="single" w:sz="4" w:space="0" w:color="auto"/>
              <w:right w:val="single" w:sz="4" w:space="0" w:color="auto"/>
            </w:tcBorders>
            <w:shd w:val="clear" w:color="auto" w:fill="C6EFCE"/>
            <w:noWrap/>
          </w:tcPr>
          <w:p w14:paraId="6DF369A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7" w:type="pct"/>
            <w:tcBorders>
              <w:top w:val="single" w:sz="4" w:space="0" w:color="auto"/>
              <w:left w:val="nil"/>
              <w:bottom w:val="single" w:sz="4" w:space="0" w:color="auto"/>
              <w:right w:val="single" w:sz="4" w:space="0" w:color="auto"/>
            </w:tcBorders>
            <w:shd w:val="clear" w:color="auto" w:fill="C6EFCE"/>
            <w:noWrap/>
          </w:tcPr>
          <w:p w14:paraId="2E28039B"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74" w:type="pct"/>
            <w:tcBorders>
              <w:top w:val="single" w:sz="4" w:space="0" w:color="auto"/>
              <w:left w:val="nil"/>
              <w:bottom w:val="single" w:sz="4" w:space="0" w:color="auto"/>
              <w:right w:val="single" w:sz="4" w:space="0" w:color="auto"/>
            </w:tcBorders>
            <w:shd w:val="clear" w:color="auto" w:fill="C6EFCE"/>
            <w:noWrap/>
          </w:tcPr>
          <w:p w14:paraId="501F1B1D"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099" w:type="pct"/>
            <w:tcBorders>
              <w:top w:val="single" w:sz="4" w:space="0" w:color="auto"/>
              <w:left w:val="nil"/>
              <w:bottom w:val="single" w:sz="4" w:space="0" w:color="auto"/>
              <w:right w:val="single" w:sz="4" w:space="0" w:color="auto"/>
            </w:tcBorders>
            <w:shd w:val="clear" w:color="auto" w:fill="C6EFCE"/>
            <w:noWrap/>
          </w:tcPr>
          <w:p w14:paraId="545FFE27" w14:textId="77777777" w:rsidR="003A3D51" w:rsidRDefault="0002775A">
            <w:pPr>
              <w:pStyle w:val="P68B1DB1-Normal7"/>
              <w:spacing w:after="200" w:line="276" w:lineRule="auto"/>
              <w:rPr>
                <w:rFonts w:ascii="Times New Roman" w:hAnsi="Times New Roman" w:cs="Times New Roman"/>
                <w:noProof/>
              </w:rPr>
            </w:pPr>
            <w:r>
              <w:rPr>
                <w:noProof/>
              </w:rPr>
              <w:t>Den nya ramen ska möjliggöra organisatoriska reformer av offentliga universitet och vetenskapliga institut och införa en resultatbaserad finansieringsmodell.</w:t>
            </w:r>
          </w:p>
        </w:tc>
      </w:tr>
      <w:tr w:rsidR="003A3D51" w14:paraId="3B21BBC0" w14:textId="77777777" w:rsidTr="00AF6E13">
        <w:trPr>
          <w:trHeight w:val="283"/>
        </w:trPr>
        <w:tc>
          <w:tcPr>
            <w:tcW w:w="352" w:type="pct"/>
            <w:tcBorders>
              <w:top w:val="single" w:sz="4" w:space="0" w:color="auto"/>
              <w:left w:val="single" w:sz="4" w:space="0" w:color="auto"/>
              <w:bottom w:val="single" w:sz="4" w:space="0" w:color="auto"/>
              <w:right w:val="single" w:sz="4" w:space="0" w:color="auto"/>
            </w:tcBorders>
            <w:shd w:val="clear" w:color="auto" w:fill="C6EFCE"/>
            <w:noWrap/>
          </w:tcPr>
          <w:p w14:paraId="5705B7F3" w14:textId="77777777" w:rsidR="003A3D51" w:rsidRDefault="0002775A">
            <w:pPr>
              <w:pStyle w:val="P68B1DB1-Normal7"/>
              <w:spacing w:after="200" w:line="276" w:lineRule="auto"/>
              <w:jc w:val="center"/>
              <w:rPr>
                <w:rFonts w:ascii="Times New Roman" w:hAnsi="Times New Roman" w:cs="Times New Roman"/>
                <w:noProof/>
              </w:rPr>
            </w:pPr>
            <w:r>
              <w:rPr>
                <w:noProof/>
              </w:rPr>
              <w:t>274</w:t>
            </w:r>
          </w:p>
        </w:tc>
        <w:tc>
          <w:tcPr>
            <w:tcW w:w="308" w:type="pct"/>
            <w:tcBorders>
              <w:top w:val="single" w:sz="4" w:space="0" w:color="auto"/>
              <w:left w:val="nil"/>
              <w:bottom w:val="single" w:sz="4" w:space="0" w:color="auto"/>
              <w:right w:val="single" w:sz="4" w:space="0" w:color="auto"/>
            </w:tcBorders>
            <w:shd w:val="clear" w:color="auto" w:fill="C6EFCE"/>
            <w:noWrap/>
          </w:tcPr>
          <w:p w14:paraId="116EC9C3" w14:textId="77777777" w:rsidR="003A3D51" w:rsidRDefault="0002775A">
            <w:pPr>
              <w:pStyle w:val="P68B1DB1-Normal7"/>
              <w:spacing w:after="200" w:line="276" w:lineRule="auto"/>
              <w:jc w:val="center"/>
              <w:rPr>
                <w:rFonts w:ascii="Times New Roman" w:hAnsi="Times New Roman" w:cs="Times New Roman"/>
                <w:noProof/>
              </w:rPr>
            </w:pPr>
            <w:r>
              <w:rPr>
                <w:noProof/>
              </w:rPr>
              <w:t>C3.1 R2-I1</w:t>
            </w:r>
          </w:p>
        </w:tc>
        <w:tc>
          <w:tcPr>
            <w:tcW w:w="308" w:type="pct"/>
            <w:tcBorders>
              <w:top w:val="single" w:sz="4" w:space="0" w:color="auto"/>
              <w:left w:val="nil"/>
              <w:bottom w:val="single" w:sz="4" w:space="0" w:color="auto"/>
              <w:right w:val="single" w:sz="4" w:space="0" w:color="auto"/>
            </w:tcBorders>
            <w:shd w:val="clear" w:color="auto" w:fill="C6EFCE"/>
            <w:noWrap/>
          </w:tcPr>
          <w:p w14:paraId="623EECA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753" w:type="pct"/>
            <w:tcBorders>
              <w:top w:val="single" w:sz="4" w:space="0" w:color="auto"/>
              <w:left w:val="nil"/>
              <w:bottom w:val="single" w:sz="4" w:space="0" w:color="auto"/>
              <w:right w:val="single" w:sz="4" w:space="0" w:color="auto"/>
            </w:tcBorders>
            <w:shd w:val="clear" w:color="auto" w:fill="C6EFCE"/>
            <w:noWrap/>
          </w:tcPr>
          <w:p w14:paraId="230A4A1E" w14:textId="77777777" w:rsidR="003A3D51" w:rsidRDefault="0002775A">
            <w:pPr>
              <w:pStyle w:val="P68B1DB1-Normal7"/>
              <w:spacing w:after="200" w:line="276" w:lineRule="auto"/>
              <w:rPr>
                <w:rFonts w:ascii="Times New Roman" w:hAnsi="Times New Roman" w:cs="Times New Roman"/>
                <w:noProof/>
              </w:rPr>
            </w:pPr>
            <w:r>
              <w:rPr>
                <w:noProof/>
              </w:rPr>
              <w:t xml:space="preserve">Andel offentliga högskolor som är utrustade med digital infrastruktur </w:t>
            </w:r>
          </w:p>
        </w:tc>
        <w:tc>
          <w:tcPr>
            <w:tcW w:w="778" w:type="pct"/>
            <w:tcBorders>
              <w:top w:val="single" w:sz="4" w:space="0" w:color="auto"/>
              <w:left w:val="nil"/>
              <w:bottom w:val="single" w:sz="4" w:space="0" w:color="auto"/>
              <w:right w:val="single" w:sz="4" w:space="0" w:color="auto"/>
            </w:tcBorders>
            <w:shd w:val="clear" w:color="auto" w:fill="C6EFCE"/>
            <w:noWrap/>
          </w:tcPr>
          <w:p w14:paraId="5CCA2D40" w14:textId="77777777" w:rsidR="003A3D51" w:rsidRDefault="0002775A">
            <w:pPr>
              <w:pStyle w:val="P68B1DB1-Normal7"/>
              <w:spacing w:after="200" w:line="276" w:lineRule="auto"/>
              <w:rPr>
                <w:rFonts w:ascii="Times New Roman" w:hAnsi="Times New Roman" w:cs="Times New Roman"/>
                <w:noProof/>
              </w:rPr>
            </w:pPr>
            <w:r>
              <w:rPr>
                <w:noProof/>
              </w:rPr>
              <w:t>Investeringsrapporter från ministeriet för vetenskap och utbildning (MZO), inklusive en sammanfattande rapport med en översikt.</w:t>
            </w:r>
          </w:p>
        </w:tc>
        <w:tc>
          <w:tcPr>
            <w:tcW w:w="362" w:type="pct"/>
            <w:tcBorders>
              <w:top w:val="single" w:sz="4" w:space="0" w:color="auto"/>
              <w:left w:val="nil"/>
              <w:bottom w:val="single" w:sz="4" w:space="0" w:color="auto"/>
              <w:right w:val="single" w:sz="4" w:space="0" w:color="auto"/>
            </w:tcBorders>
            <w:shd w:val="clear" w:color="auto" w:fill="C6EFCE"/>
            <w:noWrap/>
          </w:tcPr>
          <w:p w14:paraId="5336CD9C"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56" w:type="pct"/>
            <w:tcBorders>
              <w:top w:val="single" w:sz="4" w:space="0" w:color="auto"/>
              <w:left w:val="nil"/>
              <w:bottom w:val="single" w:sz="4" w:space="0" w:color="auto"/>
              <w:right w:val="single" w:sz="4" w:space="0" w:color="auto"/>
            </w:tcBorders>
            <w:shd w:val="clear" w:color="auto" w:fill="C6EFCE"/>
            <w:noWrap/>
          </w:tcPr>
          <w:p w14:paraId="787ABFF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64" w:type="pct"/>
            <w:tcBorders>
              <w:top w:val="single" w:sz="4" w:space="0" w:color="auto"/>
              <w:left w:val="nil"/>
              <w:bottom w:val="single" w:sz="4" w:space="0" w:color="auto"/>
              <w:right w:val="single" w:sz="4" w:space="0" w:color="auto"/>
            </w:tcBorders>
            <w:shd w:val="clear" w:color="auto" w:fill="C6EFCE"/>
            <w:noWrap/>
          </w:tcPr>
          <w:p w14:paraId="1822A4CC" w14:textId="77777777" w:rsidR="003A3D51" w:rsidRDefault="0002775A">
            <w:pPr>
              <w:pStyle w:val="P68B1DB1-Normal7"/>
              <w:spacing w:after="200" w:line="276" w:lineRule="auto"/>
              <w:jc w:val="center"/>
              <w:rPr>
                <w:rFonts w:ascii="Times New Roman" w:hAnsi="Times New Roman" w:cs="Times New Roman"/>
                <w:noProof/>
              </w:rPr>
            </w:pPr>
            <w:r>
              <w:rPr>
                <w:noProof/>
              </w:rPr>
              <w:t>90</w:t>
            </w:r>
          </w:p>
        </w:tc>
        <w:tc>
          <w:tcPr>
            <w:tcW w:w="247" w:type="pct"/>
            <w:tcBorders>
              <w:top w:val="single" w:sz="4" w:space="0" w:color="auto"/>
              <w:left w:val="nil"/>
              <w:bottom w:val="single" w:sz="4" w:space="0" w:color="auto"/>
              <w:right w:val="single" w:sz="4" w:space="0" w:color="auto"/>
            </w:tcBorders>
            <w:shd w:val="clear" w:color="auto" w:fill="C6EFCE"/>
            <w:noWrap/>
          </w:tcPr>
          <w:p w14:paraId="0418DF95"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4" w:type="pct"/>
            <w:tcBorders>
              <w:top w:val="single" w:sz="4" w:space="0" w:color="auto"/>
              <w:left w:val="nil"/>
              <w:bottom w:val="single" w:sz="4" w:space="0" w:color="auto"/>
              <w:right w:val="single" w:sz="4" w:space="0" w:color="auto"/>
            </w:tcBorders>
            <w:shd w:val="clear" w:color="auto" w:fill="C6EFCE"/>
            <w:noWrap/>
          </w:tcPr>
          <w:p w14:paraId="494616D1"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099" w:type="pct"/>
            <w:tcBorders>
              <w:top w:val="single" w:sz="4" w:space="0" w:color="auto"/>
              <w:left w:val="nil"/>
              <w:bottom w:val="single" w:sz="4" w:space="0" w:color="auto"/>
              <w:right w:val="single" w:sz="4" w:space="0" w:color="auto"/>
            </w:tcBorders>
            <w:shd w:val="clear" w:color="auto" w:fill="C6EFCE"/>
            <w:noWrap/>
          </w:tcPr>
          <w:p w14:paraId="20E638E7" w14:textId="77777777" w:rsidR="003A3D51" w:rsidRDefault="0002775A">
            <w:pPr>
              <w:pStyle w:val="P68B1DB1-Normal7"/>
              <w:spacing w:after="200" w:line="276" w:lineRule="auto"/>
              <w:rPr>
                <w:rFonts w:ascii="Times New Roman" w:hAnsi="Times New Roman" w:cs="Times New Roman"/>
                <w:noProof/>
              </w:rPr>
            </w:pPr>
            <w:r>
              <w:rPr>
                <w:noProof/>
              </w:rPr>
              <w:t xml:space="preserve">Minst 90 % av de högre offentliga institutionerna ska förbättra sin digitala infrastruktur och utrustning genom inköp av aktiv utrustning (såsom projektors utrustning i klassrum, datorer, ljudsystem, videoinspelningssystem) och förbättring av det passiva nätet (såsom elinstallationer, kretskort, anslutningsdon) som stöder ny teknik och digitala undervisningsresurser. </w:t>
            </w:r>
            <w:r>
              <w:rPr>
                <w:noProof/>
              </w:rPr>
              <w:br/>
              <w:t>Offentliga högre utbildningsanstalter som drar nytta av dessa förbättringar omfattar offentliga universitet, tekniska högskolor och högskolor, inklusive studentcampus.</w:t>
            </w:r>
          </w:p>
        </w:tc>
      </w:tr>
      <w:tr w:rsidR="003A3D51" w14:paraId="06799687" w14:textId="77777777" w:rsidTr="00AF6E13">
        <w:trPr>
          <w:trHeight w:val="283"/>
        </w:trPr>
        <w:tc>
          <w:tcPr>
            <w:tcW w:w="352" w:type="pct"/>
            <w:tcBorders>
              <w:top w:val="single" w:sz="4" w:space="0" w:color="auto"/>
              <w:left w:val="single" w:sz="4" w:space="0" w:color="auto"/>
              <w:bottom w:val="single" w:sz="4" w:space="0" w:color="auto"/>
              <w:right w:val="single" w:sz="4" w:space="0" w:color="auto"/>
            </w:tcBorders>
            <w:shd w:val="clear" w:color="auto" w:fill="C6EFCE"/>
            <w:noWrap/>
          </w:tcPr>
          <w:p w14:paraId="182C99AE" w14:textId="7A4D8CB3" w:rsidR="003A3D51" w:rsidRDefault="0002775A">
            <w:pPr>
              <w:pStyle w:val="P68B1DB1-Normal7"/>
              <w:spacing w:after="200" w:line="276" w:lineRule="auto"/>
              <w:jc w:val="center"/>
              <w:rPr>
                <w:noProof/>
                <w:highlight w:val="yellow"/>
              </w:rPr>
            </w:pPr>
            <w:r>
              <w:rPr>
                <w:noProof/>
              </w:rPr>
              <w:t>396</w:t>
            </w:r>
          </w:p>
        </w:tc>
        <w:tc>
          <w:tcPr>
            <w:tcW w:w="308" w:type="pct"/>
            <w:tcBorders>
              <w:top w:val="single" w:sz="4" w:space="0" w:color="auto"/>
              <w:left w:val="nil"/>
              <w:bottom w:val="single" w:sz="4" w:space="0" w:color="auto"/>
              <w:right w:val="single" w:sz="4" w:space="0" w:color="auto"/>
            </w:tcBorders>
            <w:shd w:val="clear" w:color="auto" w:fill="C6EFCE"/>
            <w:noWrap/>
          </w:tcPr>
          <w:p w14:paraId="02107564" w14:textId="77777777" w:rsidR="003A3D51" w:rsidRDefault="0002775A">
            <w:pPr>
              <w:pStyle w:val="P68B1DB1-Normal7"/>
              <w:spacing w:after="200" w:line="276" w:lineRule="auto"/>
              <w:jc w:val="center"/>
              <w:rPr>
                <w:noProof/>
              </w:rPr>
            </w:pPr>
            <w:r>
              <w:rPr>
                <w:noProof/>
              </w:rPr>
              <w:t>C3.1 R1-I3</w:t>
            </w:r>
          </w:p>
        </w:tc>
        <w:tc>
          <w:tcPr>
            <w:tcW w:w="308" w:type="pct"/>
            <w:tcBorders>
              <w:top w:val="single" w:sz="4" w:space="0" w:color="auto"/>
              <w:left w:val="nil"/>
              <w:bottom w:val="single" w:sz="4" w:space="0" w:color="auto"/>
              <w:right w:val="single" w:sz="4" w:space="0" w:color="auto"/>
            </w:tcBorders>
            <w:shd w:val="clear" w:color="auto" w:fill="C6EFCE"/>
            <w:noWrap/>
          </w:tcPr>
          <w:p w14:paraId="4C743440" w14:textId="77777777" w:rsidR="003A3D51" w:rsidRDefault="0002775A">
            <w:pPr>
              <w:pStyle w:val="P68B1DB1-Normal7"/>
              <w:spacing w:after="200" w:line="276" w:lineRule="auto"/>
              <w:jc w:val="center"/>
              <w:rPr>
                <w:noProof/>
              </w:rPr>
            </w:pPr>
            <w:r>
              <w:rPr>
                <w:noProof/>
              </w:rPr>
              <w:t>T</w:t>
            </w:r>
          </w:p>
        </w:tc>
        <w:tc>
          <w:tcPr>
            <w:tcW w:w="753" w:type="pct"/>
            <w:tcBorders>
              <w:top w:val="single" w:sz="4" w:space="0" w:color="auto"/>
              <w:left w:val="nil"/>
              <w:bottom w:val="single" w:sz="4" w:space="0" w:color="auto"/>
              <w:right w:val="single" w:sz="4" w:space="0" w:color="auto"/>
            </w:tcBorders>
            <w:shd w:val="clear" w:color="auto" w:fill="C6EFCE"/>
            <w:noWrap/>
          </w:tcPr>
          <w:p w14:paraId="21055A90" w14:textId="77777777" w:rsidR="003A3D51" w:rsidRDefault="0002775A">
            <w:pPr>
              <w:pStyle w:val="P68B1DB1-Normal7"/>
              <w:spacing w:after="200" w:line="276" w:lineRule="auto"/>
              <w:rPr>
                <w:noProof/>
              </w:rPr>
            </w:pPr>
            <w:r>
              <w:rPr>
                <w:noProof/>
              </w:rPr>
              <w:t xml:space="preserve">Antal klassrum för sekundärutbildning som renoverats eller byggts </w:t>
            </w:r>
          </w:p>
        </w:tc>
        <w:tc>
          <w:tcPr>
            <w:tcW w:w="778" w:type="pct"/>
            <w:tcBorders>
              <w:top w:val="single" w:sz="4" w:space="0" w:color="auto"/>
              <w:left w:val="nil"/>
              <w:bottom w:val="single" w:sz="4" w:space="0" w:color="auto"/>
              <w:right w:val="single" w:sz="4" w:space="0" w:color="auto"/>
            </w:tcBorders>
            <w:shd w:val="clear" w:color="auto" w:fill="C6EFCE"/>
            <w:noWrap/>
          </w:tcPr>
          <w:p w14:paraId="65701296" w14:textId="77777777" w:rsidR="003A3D51" w:rsidRDefault="003A3D51">
            <w:pPr>
              <w:spacing w:after="200" w:line="276" w:lineRule="auto"/>
              <w:rPr>
                <w:rFonts w:ascii="Calibri" w:eastAsia="Calibri" w:hAnsi="Calibri" w:cs="Arial"/>
                <w:noProof/>
                <w:color w:val="000000"/>
                <w:sz w:val="20"/>
              </w:rPr>
            </w:pPr>
          </w:p>
        </w:tc>
        <w:tc>
          <w:tcPr>
            <w:tcW w:w="362" w:type="pct"/>
            <w:tcBorders>
              <w:top w:val="single" w:sz="4" w:space="0" w:color="auto"/>
              <w:left w:val="nil"/>
              <w:bottom w:val="single" w:sz="4" w:space="0" w:color="auto"/>
              <w:right w:val="single" w:sz="4" w:space="0" w:color="auto"/>
            </w:tcBorders>
            <w:shd w:val="clear" w:color="auto" w:fill="C6EFCE"/>
            <w:noWrap/>
          </w:tcPr>
          <w:p w14:paraId="17860140" w14:textId="77777777" w:rsidR="003A3D51" w:rsidRDefault="0002775A">
            <w:pPr>
              <w:pStyle w:val="P68B1DB1-Normal7"/>
              <w:spacing w:after="200" w:line="276" w:lineRule="auto"/>
              <w:jc w:val="center"/>
              <w:rPr>
                <w:noProof/>
              </w:rPr>
            </w:pPr>
            <w:r>
              <w:rPr>
                <w:noProof/>
              </w:rPr>
              <w:t>Antal</w:t>
            </w:r>
          </w:p>
        </w:tc>
        <w:tc>
          <w:tcPr>
            <w:tcW w:w="256" w:type="pct"/>
            <w:tcBorders>
              <w:top w:val="single" w:sz="4" w:space="0" w:color="auto"/>
              <w:left w:val="nil"/>
              <w:bottom w:val="single" w:sz="4" w:space="0" w:color="auto"/>
              <w:right w:val="single" w:sz="4" w:space="0" w:color="auto"/>
            </w:tcBorders>
            <w:shd w:val="clear" w:color="auto" w:fill="C6EFCE"/>
            <w:noWrap/>
          </w:tcPr>
          <w:p w14:paraId="0AEAB84A" w14:textId="77777777" w:rsidR="003A3D51" w:rsidRDefault="0002775A">
            <w:pPr>
              <w:pStyle w:val="P68B1DB1-Normal7"/>
              <w:spacing w:after="200" w:line="276" w:lineRule="auto"/>
              <w:jc w:val="center"/>
              <w:rPr>
                <w:noProof/>
              </w:rPr>
            </w:pPr>
            <w:r>
              <w:rPr>
                <w:noProof/>
              </w:rPr>
              <w:t>0</w:t>
            </w:r>
          </w:p>
        </w:tc>
        <w:tc>
          <w:tcPr>
            <w:tcW w:w="264" w:type="pct"/>
            <w:tcBorders>
              <w:top w:val="single" w:sz="4" w:space="0" w:color="auto"/>
              <w:left w:val="nil"/>
              <w:bottom w:val="single" w:sz="4" w:space="0" w:color="auto"/>
              <w:right w:val="single" w:sz="4" w:space="0" w:color="auto"/>
            </w:tcBorders>
            <w:shd w:val="clear" w:color="auto" w:fill="C6EFCE"/>
            <w:noWrap/>
          </w:tcPr>
          <w:p w14:paraId="69AC9FA9" w14:textId="77777777" w:rsidR="003A3D51" w:rsidRDefault="0002775A">
            <w:pPr>
              <w:pStyle w:val="P68B1DB1-Normal7"/>
              <w:spacing w:after="200" w:line="276" w:lineRule="auto"/>
              <w:jc w:val="center"/>
              <w:rPr>
                <w:noProof/>
              </w:rPr>
            </w:pPr>
            <w:r>
              <w:rPr>
                <w:noProof/>
              </w:rPr>
              <w:t>165</w:t>
            </w:r>
          </w:p>
        </w:tc>
        <w:tc>
          <w:tcPr>
            <w:tcW w:w="247" w:type="pct"/>
            <w:tcBorders>
              <w:top w:val="single" w:sz="4" w:space="0" w:color="auto"/>
              <w:left w:val="nil"/>
              <w:bottom w:val="single" w:sz="4" w:space="0" w:color="auto"/>
              <w:right w:val="single" w:sz="4" w:space="0" w:color="auto"/>
            </w:tcBorders>
            <w:shd w:val="clear" w:color="auto" w:fill="C6EFCE"/>
            <w:noWrap/>
          </w:tcPr>
          <w:p w14:paraId="1E75F9C0" w14:textId="77777777" w:rsidR="003A3D51" w:rsidRDefault="0002775A">
            <w:pPr>
              <w:pStyle w:val="P68B1DB1-Normal7"/>
              <w:spacing w:after="200" w:line="276" w:lineRule="auto"/>
              <w:jc w:val="center"/>
              <w:rPr>
                <w:noProof/>
              </w:rPr>
            </w:pPr>
            <w:r>
              <w:rPr>
                <w:noProof/>
              </w:rPr>
              <w:t>KVARTAL 2</w:t>
            </w:r>
          </w:p>
        </w:tc>
        <w:tc>
          <w:tcPr>
            <w:tcW w:w="274" w:type="pct"/>
            <w:tcBorders>
              <w:top w:val="single" w:sz="4" w:space="0" w:color="auto"/>
              <w:left w:val="nil"/>
              <w:bottom w:val="single" w:sz="4" w:space="0" w:color="auto"/>
              <w:right w:val="single" w:sz="4" w:space="0" w:color="auto"/>
            </w:tcBorders>
            <w:shd w:val="clear" w:color="auto" w:fill="C6EFCE"/>
            <w:noWrap/>
          </w:tcPr>
          <w:p w14:paraId="2EFB0F0C" w14:textId="77777777" w:rsidR="003A3D51" w:rsidRDefault="0002775A">
            <w:pPr>
              <w:pStyle w:val="P68B1DB1-Normal7"/>
              <w:spacing w:after="200" w:line="276" w:lineRule="auto"/>
              <w:jc w:val="center"/>
              <w:rPr>
                <w:noProof/>
              </w:rPr>
            </w:pPr>
            <w:r>
              <w:rPr>
                <w:noProof/>
              </w:rPr>
              <w:t>2026</w:t>
            </w:r>
          </w:p>
        </w:tc>
        <w:tc>
          <w:tcPr>
            <w:tcW w:w="1099" w:type="pct"/>
            <w:tcBorders>
              <w:top w:val="single" w:sz="4" w:space="0" w:color="auto"/>
              <w:left w:val="nil"/>
              <w:bottom w:val="single" w:sz="4" w:space="0" w:color="auto"/>
              <w:right w:val="single" w:sz="4" w:space="0" w:color="auto"/>
            </w:tcBorders>
            <w:shd w:val="clear" w:color="auto" w:fill="C6EFCE"/>
            <w:noWrap/>
          </w:tcPr>
          <w:p w14:paraId="707D0018" w14:textId="77777777" w:rsidR="003A3D51" w:rsidRDefault="0002775A">
            <w:pPr>
              <w:pStyle w:val="P68B1DB1-Normal7"/>
              <w:spacing w:after="200" w:line="276" w:lineRule="auto"/>
              <w:rPr>
                <w:noProof/>
              </w:rPr>
            </w:pPr>
            <w:r>
              <w:rPr>
                <w:noProof/>
              </w:rPr>
              <w:t>Minst 165 klassrum för allmänna gymnasieutbildningsprogram ska renoveras eller byggas.</w:t>
            </w:r>
          </w:p>
        </w:tc>
      </w:tr>
    </w:tbl>
    <w:p w14:paraId="01906BA0" w14:textId="77777777" w:rsidR="003A3D51" w:rsidRDefault="003A3D51">
      <w:pPr>
        <w:pStyle w:val="paragraph"/>
        <w:spacing w:before="0" w:beforeAutospacing="0" w:after="0" w:afterAutospacing="0"/>
        <w:ind w:left="705"/>
        <w:jc w:val="both"/>
        <w:textAlignment w:val="baseline"/>
        <w:rPr>
          <w:rFonts w:ascii="Segoe UI" w:hAnsi="Segoe UI" w:cs="Segoe UI"/>
          <w:noProof/>
          <w:sz w:val="18"/>
        </w:rPr>
        <w:sectPr w:rsidR="003A3D51" w:rsidSect="0001477B">
          <w:headerReference w:type="even" r:id="rId276"/>
          <w:headerReference w:type="default" r:id="rId277"/>
          <w:footerReference w:type="even" r:id="rId278"/>
          <w:footerReference w:type="default" r:id="rId279"/>
          <w:headerReference w:type="first" r:id="rId280"/>
          <w:footerReference w:type="first" r:id="rId281"/>
          <w:pgSz w:w="15840" w:h="12240" w:orient="landscape"/>
          <w:pgMar w:top="1440" w:right="1440" w:bottom="1440" w:left="1440" w:header="709" w:footer="709" w:gutter="0"/>
          <w:cols w:space="708"/>
          <w:docGrid w:linePitch="360"/>
        </w:sectPr>
      </w:pPr>
    </w:p>
    <w:p w14:paraId="1C7D7D8B"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P.3. </w:t>
      </w:r>
      <w:r>
        <w:rPr>
          <w:rStyle w:val="tabchar"/>
          <w:rFonts w:ascii="Calibri" w:hAnsi="Calibri" w:cs="Calibri"/>
          <w:noProof/>
        </w:rPr>
        <w:tab/>
      </w:r>
      <w:r>
        <w:rPr>
          <w:rStyle w:val="normaltextrun"/>
          <w:b/>
          <w:noProof/>
        </w:rPr>
        <w:t xml:space="preserve">Beskrivning av reformerna och investeringarna för lånet </w:t>
      </w:r>
      <w:r>
        <w:rPr>
          <w:rStyle w:val="eop"/>
          <w:noProof/>
        </w:rPr>
        <w:t> </w:t>
      </w:r>
    </w:p>
    <w:p w14:paraId="1545FB9E" w14:textId="77777777" w:rsidR="003A3D51" w:rsidRDefault="0002775A">
      <w:pPr>
        <w:pStyle w:val="paragraph"/>
        <w:spacing w:before="0" w:beforeAutospacing="0" w:after="0" w:afterAutospacing="0"/>
        <w:ind w:left="840"/>
        <w:jc w:val="both"/>
        <w:textAlignment w:val="baseline"/>
        <w:rPr>
          <w:rStyle w:val="eop"/>
          <w:noProof/>
        </w:rPr>
      </w:pPr>
      <w:r>
        <w:rPr>
          <w:rStyle w:val="normaltextrun"/>
          <w:noProof/>
        </w:rPr>
        <w:t>  </w:t>
      </w:r>
    </w:p>
    <w:p w14:paraId="38D28B44" w14:textId="77777777" w:rsidR="003A3D51" w:rsidRDefault="0002775A">
      <w:pPr>
        <w:pStyle w:val="P68B1DB1-Normal18"/>
        <w:keepNext/>
        <w:tabs>
          <w:tab w:val="num" w:pos="850"/>
        </w:tabs>
        <w:spacing w:after="200" w:line="240" w:lineRule="auto"/>
        <w:ind w:left="851"/>
        <w:jc w:val="both"/>
        <w:outlineLvl w:val="2"/>
        <w:rPr>
          <w:rFonts w:ascii="Calibri" w:eastAsia="Calibri" w:hAnsi="Calibri" w:cs="Arial"/>
          <w:noProof/>
        </w:rPr>
      </w:pPr>
      <w:r>
        <w:rPr>
          <w:noProof/>
        </w:rPr>
        <w:t>Investering C3.1 R1-I4 – Byggande, uppgradering, återuppbyggnad och utrustning av grundskolor för heldagsundervisning i enkelskift</w:t>
      </w:r>
    </w:p>
    <w:p w14:paraId="00358E01" w14:textId="0559E82B" w:rsidR="003A3D51" w:rsidRDefault="0002775A">
      <w:pPr>
        <w:pStyle w:val="P68B1DB1-Normal3"/>
        <w:spacing w:before="120" w:after="120" w:line="240" w:lineRule="auto"/>
        <w:jc w:val="both"/>
        <w:rPr>
          <w:noProof/>
        </w:rPr>
      </w:pPr>
      <w:r>
        <w:rPr>
          <w:noProof/>
        </w:rPr>
        <w:t>Denna investering ska bestå av byggande av nya grundskolor och uppgradering av befintliga grundskolor, inbegripet idrottsinfrastruktur. Investeringen ska leda till att 100 % av grundskoleeleverna går i en övergångsskola.</w:t>
      </w:r>
    </w:p>
    <w:p w14:paraId="21957383"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7D7D3670" w14:textId="77777777" w:rsidR="003A3D51" w:rsidRDefault="003A3D51">
      <w:pPr>
        <w:spacing w:after="200" w:line="240" w:lineRule="auto"/>
        <w:jc w:val="both"/>
        <w:rPr>
          <w:rFonts w:ascii="Calibri" w:eastAsia="Calibri" w:hAnsi="Calibri" w:cs="Arial"/>
          <w:noProof/>
        </w:rPr>
      </w:pPr>
    </w:p>
    <w:p w14:paraId="479E6AB6"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2370A40E" w14:textId="77777777" w:rsidR="003A3D51" w:rsidRDefault="003A3D51">
      <w:pPr>
        <w:pStyle w:val="paragraph"/>
        <w:spacing w:before="0" w:beforeAutospacing="0" w:after="0" w:afterAutospacing="0"/>
        <w:ind w:left="840"/>
        <w:jc w:val="both"/>
        <w:textAlignment w:val="baseline"/>
        <w:rPr>
          <w:rStyle w:val="normaltextrun"/>
          <w:b/>
          <w:noProof/>
        </w:rPr>
        <w:sectPr w:rsidR="003A3D51" w:rsidSect="0001477B">
          <w:headerReference w:type="even" r:id="rId282"/>
          <w:headerReference w:type="default" r:id="rId283"/>
          <w:footerReference w:type="even" r:id="rId284"/>
          <w:footerReference w:type="default" r:id="rId285"/>
          <w:headerReference w:type="first" r:id="rId286"/>
          <w:footerReference w:type="first" r:id="rId287"/>
          <w:pgSz w:w="12240" w:h="15840"/>
          <w:pgMar w:top="1440" w:right="1440" w:bottom="1440" w:left="1440" w:header="708" w:footer="708" w:gutter="0"/>
          <w:cols w:space="708"/>
          <w:docGrid w:linePitch="360"/>
        </w:sectPr>
      </w:pPr>
    </w:p>
    <w:p w14:paraId="3352820E"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P.4.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7F542C2C"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tbl>
      <w:tblPr>
        <w:tblW w:w="14743" w:type="dxa"/>
        <w:tblInd w:w="-8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1418"/>
        <w:gridCol w:w="992"/>
        <w:gridCol w:w="1985"/>
        <w:gridCol w:w="2183"/>
        <w:gridCol w:w="1077"/>
        <w:gridCol w:w="850"/>
        <w:gridCol w:w="709"/>
        <w:gridCol w:w="567"/>
        <w:gridCol w:w="851"/>
        <w:gridCol w:w="3260"/>
      </w:tblGrid>
      <w:tr w:rsidR="003A3D51" w14:paraId="41846989" w14:textId="77777777">
        <w:trPr>
          <w:trHeight w:val="930"/>
        </w:trPr>
        <w:tc>
          <w:tcPr>
            <w:tcW w:w="851"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B2F9310" w14:textId="462F0C33" w:rsidR="003A3D51" w:rsidRDefault="0002775A">
            <w:pPr>
              <w:pStyle w:val="P68B1DB1-Normal24"/>
              <w:spacing w:after="0" w:line="240" w:lineRule="auto"/>
              <w:jc w:val="center"/>
              <w:textAlignment w:val="baseline"/>
              <w:rPr>
                <w:noProof/>
              </w:rPr>
            </w:pPr>
            <w:r>
              <w:rPr>
                <w:b/>
                <w:noProof/>
              </w:rPr>
              <w:t>Antal</w:t>
            </w:r>
            <w:r>
              <w:rPr>
                <w:noProof/>
              </w:rPr>
              <w:t> </w:t>
            </w:r>
          </w:p>
        </w:tc>
        <w:tc>
          <w:tcPr>
            <w:tcW w:w="1418"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4B29A90D" w14:textId="77777777" w:rsidR="003A3D51" w:rsidRDefault="0002775A">
            <w:pPr>
              <w:pStyle w:val="P68B1DB1-Normal24"/>
              <w:spacing w:after="0" w:line="240" w:lineRule="auto"/>
              <w:jc w:val="center"/>
              <w:textAlignment w:val="baseline"/>
              <w:rPr>
                <w:noProof/>
              </w:rPr>
            </w:pPr>
            <w:r>
              <w:rPr>
                <w:b/>
                <w:noProof/>
              </w:rPr>
              <w:t>Berörd åtgärd (reform eller investering)</w:t>
            </w:r>
            <w:r>
              <w:rPr>
                <w:noProof/>
              </w:rPr>
              <w:t> </w:t>
            </w:r>
          </w:p>
        </w:tc>
        <w:tc>
          <w:tcPr>
            <w:tcW w:w="99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8472234" w14:textId="77777777" w:rsidR="003A3D51" w:rsidRDefault="0002775A">
            <w:pPr>
              <w:pStyle w:val="P68B1DB1-Normal24"/>
              <w:spacing w:after="0" w:line="240" w:lineRule="auto"/>
              <w:jc w:val="center"/>
              <w:textAlignment w:val="baseline"/>
              <w:rPr>
                <w:noProof/>
              </w:rPr>
            </w:pPr>
            <w:r>
              <w:rPr>
                <w:b/>
                <w:noProof/>
              </w:rPr>
              <w:t>Delmål/mål</w:t>
            </w:r>
            <w:r>
              <w:rPr>
                <w:noProof/>
              </w:rPr>
              <w:t> </w:t>
            </w:r>
          </w:p>
        </w:tc>
        <w:tc>
          <w:tcPr>
            <w:tcW w:w="1985" w:type="dxa"/>
            <w:vMerge w:val="restart"/>
            <w:tcBorders>
              <w:top w:val="single" w:sz="6" w:space="0" w:color="auto"/>
              <w:left w:val="nil"/>
              <w:bottom w:val="single" w:sz="6" w:space="0" w:color="000000"/>
              <w:right w:val="single" w:sz="6" w:space="0" w:color="auto"/>
            </w:tcBorders>
            <w:shd w:val="clear" w:color="auto" w:fill="BDD7EE"/>
            <w:vAlign w:val="center"/>
            <w:hideMark/>
          </w:tcPr>
          <w:p w14:paraId="7BF7ED7E" w14:textId="77777777" w:rsidR="003A3D51" w:rsidRDefault="0002775A">
            <w:pPr>
              <w:pStyle w:val="P68B1DB1-Normal24"/>
              <w:spacing w:after="0" w:line="240" w:lineRule="auto"/>
              <w:jc w:val="center"/>
              <w:textAlignment w:val="baseline"/>
              <w:rPr>
                <w:noProof/>
              </w:rPr>
            </w:pPr>
            <w:r>
              <w:rPr>
                <w:b/>
                <w:noProof/>
              </w:rPr>
              <w:t>Namn</w:t>
            </w:r>
            <w:r>
              <w:rPr>
                <w:noProof/>
              </w:rPr>
              <w:t> </w:t>
            </w:r>
          </w:p>
        </w:tc>
        <w:tc>
          <w:tcPr>
            <w:tcW w:w="2183"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15EFB59" w14:textId="77777777" w:rsidR="003A3D51" w:rsidRDefault="0002775A">
            <w:pPr>
              <w:pStyle w:val="P68B1DB1-Normal24"/>
              <w:spacing w:after="0" w:line="240" w:lineRule="auto"/>
              <w:jc w:val="center"/>
              <w:textAlignment w:val="baseline"/>
              <w:rPr>
                <w:noProof/>
              </w:rPr>
            </w:pPr>
            <w:r>
              <w:rPr>
                <w:b/>
                <w:noProof/>
              </w:rPr>
              <w:t>Kvalitativa indikatorer</w:t>
            </w:r>
            <w:r>
              <w:rPr>
                <w:noProof/>
              </w:rPr>
              <w:t> </w:t>
            </w:r>
            <w:r>
              <w:rPr>
                <w:noProof/>
              </w:rPr>
              <w:br/>
            </w:r>
            <w:r>
              <w:rPr>
                <w:b/>
                <w:noProof/>
              </w:rPr>
              <w:t>(för delmål)</w:t>
            </w:r>
            <w:r>
              <w:rPr>
                <w:noProof/>
              </w:rPr>
              <w:t> </w:t>
            </w:r>
          </w:p>
        </w:tc>
        <w:tc>
          <w:tcPr>
            <w:tcW w:w="2636" w:type="dxa"/>
            <w:gridSpan w:val="3"/>
            <w:tcBorders>
              <w:top w:val="single" w:sz="6" w:space="0" w:color="auto"/>
              <w:left w:val="nil"/>
              <w:bottom w:val="single" w:sz="6" w:space="0" w:color="auto"/>
              <w:right w:val="single" w:sz="6" w:space="0" w:color="auto"/>
            </w:tcBorders>
            <w:shd w:val="clear" w:color="auto" w:fill="BDD7EE"/>
            <w:vAlign w:val="center"/>
            <w:hideMark/>
          </w:tcPr>
          <w:p w14:paraId="63DD79D8" w14:textId="77777777" w:rsidR="003A3D51" w:rsidRDefault="0002775A">
            <w:pPr>
              <w:pStyle w:val="P68B1DB1-Normal24"/>
              <w:spacing w:after="0" w:line="240" w:lineRule="auto"/>
              <w:jc w:val="center"/>
              <w:textAlignment w:val="baseline"/>
              <w:rPr>
                <w:noProof/>
              </w:rPr>
            </w:pPr>
            <w:r>
              <w:rPr>
                <w:b/>
                <w:noProof/>
              </w:rPr>
              <w:t>Kvantitativa indikatorer</w:t>
            </w:r>
            <w:r>
              <w:rPr>
                <w:noProof/>
              </w:rPr>
              <w:t> </w:t>
            </w:r>
            <w:r>
              <w:rPr>
                <w:noProof/>
              </w:rPr>
              <w:br/>
            </w:r>
            <w:r>
              <w:rPr>
                <w:b/>
                <w:noProof/>
              </w:rPr>
              <w:t>(för mål)</w:t>
            </w:r>
            <w:r>
              <w:rPr>
                <w:noProof/>
              </w:rPr>
              <w:t> </w:t>
            </w:r>
          </w:p>
        </w:tc>
        <w:tc>
          <w:tcPr>
            <w:tcW w:w="1418" w:type="dxa"/>
            <w:gridSpan w:val="2"/>
            <w:tcBorders>
              <w:top w:val="single" w:sz="6" w:space="0" w:color="auto"/>
              <w:left w:val="nil"/>
              <w:bottom w:val="single" w:sz="6" w:space="0" w:color="auto"/>
              <w:right w:val="single" w:sz="6" w:space="0" w:color="auto"/>
            </w:tcBorders>
            <w:shd w:val="clear" w:color="auto" w:fill="BDD7EE"/>
            <w:vAlign w:val="center"/>
            <w:hideMark/>
          </w:tcPr>
          <w:p w14:paraId="42983EB1" w14:textId="7E041429" w:rsidR="003A3D51" w:rsidRDefault="0002775A">
            <w:pPr>
              <w:pStyle w:val="P68B1DB1-Normal24"/>
              <w:spacing w:after="0" w:line="240" w:lineRule="auto"/>
              <w:jc w:val="center"/>
              <w:textAlignment w:val="baseline"/>
              <w:rPr>
                <w:noProof/>
              </w:rPr>
            </w:pPr>
            <w:r>
              <w:rPr>
                <w:b/>
                <w:noProof/>
              </w:rPr>
              <w:t>Tid</w:t>
            </w:r>
            <w:r>
              <w:rPr>
                <w:noProof/>
              </w:rPr>
              <w:t> </w:t>
            </w:r>
          </w:p>
        </w:tc>
        <w:tc>
          <w:tcPr>
            <w:tcW w:w="3260" w:type="dxa"/>
            <w:vMerge w:val="restart"/>
            <w:tcBorders>
              <w:top w:val="single" w:sz="6" w:space="0" w:color="auto"/>
              <w:left w:val="single" w:sz="6" w:space="0" w:color="auto"/>
              <w:bottom w:val="single" w:sz="6" w:space="0" w:color="auto"/>
              <w:right w:val="single" w:sz="6" w:space="0" w:color="auto"/>
            </w:tcBorders>
            <w:shd w:val="clear" w:color="auto" w:fill="BDD7EE"/>
            <w:vAlign w:val="center"/>
            <w:hideMark/>
          </w:tcPr>
          <w:p w14:paraId="65A9E35E" w14:textId="77777777" w:rsidR="003A3D51" w:rsidRDefault="0002775A">
            <w:pPr>
              <w:pStyle w:val="P68B1DB1-Normal24"/>
              <w:spacing w:after="0" w:line="240" w:lineRule="auto"/>
              <w:jc w:val="center"/>
              <w:textAlignment w:val="baseline"/>
              <w:rPr>
                <w:noProof/>
              </w:rPr>
            </w:pPr>
            <w:r>
              <w:rPr>
                <w:b/>
                <w:noProof/>
              </w:rPr>
              <w:t>Beskrivning av varje delmål och mål</w:t>
            </w:r>
            <w:r>
              <w:rPr>
                <w:noProof/>
              </w:rPr>
              <w:t> </w:t>
            </w:r>
          </w:p>
        </w:tc>
      </w:tr>
      <w:tr w:rsidR="003A3D51" w14:paraId="4A171E77" w14:textId="77777777">
        <w:trPr>
          <w:trHeight w:val="1020"/>
        </w:trPr>
        <w:tc>
          <w:tcPr>
            <w:tcW w:w="851"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FD18530" w14:textId="77777777" w:rsidR="003A3D51" w:rsidRDefault="003A3D51">
            <w:pPr>
              <w:spacing w:after="0" w:line="240" w:lineRule="auto"/>
              <w:rPr>
                <w:rFonts w:eastAsia="Times New Roman" w:cstheme="minorHAnsi"/>
                <w:noProof/>
                <w:sz w:val="20"/>
              </w:rPr>
            </w:pPr>
          </w:p>
        </w:tc>
        <w:tc>
          <w:tcPr>
            <w:tcW w:w="1418"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3EF42CC" w14:textId="77777777" w:rsidR="003A3D51" w:rsidRDefault="003A3D51">
            <w:pPr>
              <w:spacing w:after="0" w:line="240" w:lineRule="auto"/>
              <w:rPr>
                <w:rFonts w:eastAsia="Times New Roman" w:cstheme="minorHAnsi"/>
                <w:noProof/>
                <w:sz w:val="20"/>
              </w:rPr>
            </w:pPr>
          </w:p>
        </w:tc>
        <w:tc>
          <w:tcPr>
            <w:tcW w:w="99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CE28D70" w14:textId="77777777" w:rsidR="003A3D51" w:rsidRDefault="003A3D51">
            <w:pPr>
              <w:spacing w:after="0" w:line="240" w:lineRule="auto"/>
              <w:rPr>
                <w:rFonts w:eastAsia="Times New Roman" w:cstheme="minorHAnsi"/>
                <w:noProof/>
                <w:sz w:val="20"/>
              </w:rPr>
            </w:pPr>
          </w:p>
        </w:tc>
        <w:tc>
          <w:tcPr>
            <w:tcW w:w="1985" w:type="dxa"/>
            <w:vMerge/>
            <w:tcBorders>
              <w:top w:val="single" w:sz="6" w:space="0" w:color="auto"/>
              <w:left w:val="nil"/>
              <w:bottom w:val="single" w:sz="6" w:space="0" w:color="000000"/>
              <w:right w:val="single" w:sz="6" w:space="0" w:color="auto"/>
            </w:tcBorders>
            <w:shd w:val="clear" w:color="auto" w:fill="auto"/>
            <w:vAlign w:val="center"/>
            <w:hideMark/>
          </w:tcPr>
          <w:p w14:paraId="5A58C8F1" w14:textId="77777777" w:rsidR="003A3D51" w:rsidRDefault="003A3D51">
            <w:pPr>
              <w:spacing w:after="0" w:line="240" w:lineRule="auto"/>
              <w:rPr>
                <w:rFonts w:eastAsia="Times New Roman" w:cstheme="minorHAnsi"/>
                <w:noProof/>
                <w:sz w:val="20"/>
              </w:rPr>
            </w:pPr>
          </w:p>
        </w:tc>
        <w:tc>
          <w:tcPr>
            <w:tcW w:w="2183"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B21BBCA" w14:textId="77777777" w:rsidR="003A3D51" w:rsidRDefault="003A3D51">
            <w:pPr>
              <w:spacing w:after="0" w:line="240" w:lineRule="auto"/>
              <w:rPr>
                <w:rFonts w:eastAsia="Times New Roman" w:cstheme="minorHAnsi"/>
                <w:noProof/>
                <w:sz w:val="20"/>
              </w:rPr>
            </w:pPr>
          </w:p>
        </w:tc>
        <w:tc>
          <w:tcPr>
            <w:tcW w:w="1077" w:type="dxa"/>
            <w:tcBorders>
              <w:top w:val="nil"/>
              <w:left w:val="nil"/>
              <w:bottom w:val="single" w:sz="6" w:space="0" w:color="auto"/>
              <w:right w:val="single" w:sz="6" w:space="0" w:color="auto"/>
            </w:tcBorders>
            <w:shd w:val="clear" w:color="auto" w:fill="BDD7EE"/>
            <w:vAlign w:val="center"/>
            <w:hideMark/>
          </w:tcPr>
          <w:p w14:paraId="782DFFFB" w14:textId="4ED5FC07" w:rsidR="003A3D51" w:rsidRDefault="0002775A">
            <w:pPr>
              <w:pStyle w:val="P68B1DB1-Normal21"/>
              <w:spacing w:after="0" w:line="240" w:lineRule="auto"/>
              <w:jc w:val="center"/>
              <w:textAlignment w:val="baseline"/>
              <w:rPr>
                <w:noProof/>
              </w:rPr>
            </w:pPr>
            <w:r>
              <w:rPr>
                <w:noProof/>
              </w:rPr>
              <w:t xml:space="preserve">Enhet </w:t>
            </w:r>
          </w:p>
        </w:tc>
        <w:tc>
          <w:tcPr>
            <w:tcW w:w="850" w:type="dxa"/>
            <w:tcBorders>
              <w:top w:val="nil"/>
              <w:left w:val="nil"/>
              <w:bottom w:val="single" w:sz="6" w:space="0" w:color="auto"/>
              <w:right w:val="single" w:sz="6" w:space="0" w:color="auto"/>
            </w:tcBorders>
            <w:shd w:val="clear" w:color="auto" w:fill="BDD7EE"/>
            <w:vAlign w:val="center"/>
            <w:hideMark/>
          </w:tcPr>
          <w:p w14:paraId="17C24AF4" w14:textId="77777777" w:rsidR="003A3D51" w:rsidRDefault="0002775A">
            <w:pPr>
              <w:pStyle w:val="P68B1DB1-Normal24"/>
              <w:spacing w:after="0" w:line="240" w:lineRule="auto"/>
              <w:jc w:val="center"/>
              <w:textAlignment w:val="baseline"/>
              <w:rPr>
                <w:noProof/>
              </w:rPr>
            </w:pPr>
            <w:r>
              <w:rPr>
                <w:b/>
                <w:noProof/>
              </w:rPr>
              <w:t>Baslinjen</w:t>
            </w:r>
            <w:r>
              <w:rPr>
                <w:noProof/>
              </w:rPr>
              <w:t> </w:t>
            </w:r>
          </w:p>
        </w:tc>
        <w:tc>
          <w:tcPr>
            <w:tcW w:w="709" w:type="dxa"/>
            <w:tcBorders>
              <w:top w:val="nil"/>
              <w:left w:val="nil"/>
              <w:bottom w:val="single" w:sz="6" w:space="0" w:color="auto"/>
              <w:right w:val="single" w:sz="6" w:space="0" w:color="auto"/>
            </w:tcBorders>
            <w:shd w:val="clear" w:color="auto" w:fill="BDD7EE"/>
            <w:vAlign w:val="center"/>
            <w:hideMark/>
          </w:tcPr>
          <w:p w14:paraId="13C23568" w14:textId="77777777" w:rsidR="003A3D51" w:rsidRDefault="0002775A">
            <w:pPr>
              <w:pStyle w:val="P68B1DB1-Normal24"/>
              <w:spacing w:after="0" w:line="240" w:lineRule="auto"/>
              <w:jc w:val="center"/>
              <w:textAlignment w:val="baseline"/>
              <w:rPr>
                <w:noProof/>
              </w:rPr>
            </w:pPr>
            <w:r>
              <w:rPr>
                <w:b/>
                <w:noProof/>
              </w:rPr>
              <w:t>Mål</w:t>
            </w:r>
            <w:r>
              <w:rPr>
                <w:noProof/>
              </w:rPr>
              <w:t> </w:t>
            </w:r>
          </w:p>
        </w:tc>
        <w:tc>
          <w:tcPr>
            <w:tcW w:w="567" w:type="dxa"/>
            <w:tcBorders>
              <w:top w:val="nil"/>
              <w:left w:val="nil"/>
              <w:bottom w:val="single" w:sz="6" w:space="0" w:color="auto"/>
              <w:right w:val="single" w:sz="6" w:space="0" w:color="auto"/>
            </w:tcBorders>
            <w:shd w:val="clear" w:color="auto" w:fill="BDD7EE"/>
            <w:vAlign w:val="center"/>
            <w:hideMark/>
          </w:tcPr>
          <w:p w14:paraId="1C878431" w14:textId="1196DBE6" w:rsidR="003A3D51" w:rsidRDefault="0002775A">
            <w:pPr>
              <w:pStyle w:val="P68B1DB1-Normal21"/>
              <w:spacing w:after="0" w:line="240" w:lineRule="auto"/>
              <w:jc w:val="center"/>
              <w:textAlignment w:val="baseline"/>
              <w:rPr>
                <w:noProof/>
              </w:rPr>
            </w:pPr>
            <w:r>
              <w:rPr>
                <w:noProof/>
              </w:rPr>
              <w:t>Q</w:t>
            </w:r>
          </w:p>
        </w:tc>
        <w:tc>
          <w:tcPr>
            <w:tcW w:w="851" w:type="dxa"/>
            <w:tcBorders>
              <w:top w:val="nil"/>
              <w:left w:val="nil"/>
              <w:bottom w:val="single" w:sz="6" w:space="0" w:color="auto"/>
              <w:right w:val="single" w:sz="6" w:space="0" w:color="auto"/>
            </w:tcBorders>
            <w:shd w:val="clear" w:color="auto" w:fill="BDD7EE"/>
            <w:vAlign w:val="center"/>
            <w:hideMark/>
          </w:tcPr>
          <w:p w14:paraId="15E70220" w14:textId="77777777" w:rsidR="003A3D51" w:rsidRDefault="0002775A">
            <w:pPr>
              <w:pStyle w:val="P68B1DB1-Normal24"/>
              <w:spacing w:after="0" w:line="240" w:lineRule="auto"/>
              <w:jc w:val="center"/>
              <w:textAlignment w:val="baseline"/>
              <w:rPr>
                <w:noProof/>
              </w:rPr>
            </w:pPr>
            <w:r>
              <w:rPr>
                <w:b/>
                <w:noProof/>
              </w:rPr>
              <w:t>Året</w:t>
            </w:r>
            <w:r>
              <w:rPr>
                <w:noProof/>
              </w:rPr>
              <w:t> </w:t>
            </w:r>
          </w:p>
        </w:tc>
        <w:tc>
          <w:tcPr>
            <w:tcW w:w="326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49538D" w14:textId="77777777" w:rsidR="003A3D51" w:rsidRDefault="003A3D51">
            <w:pPr>
              <w:spacing w:after="0" w:line="240" w:lineRule="auto"/>
              <w:rPr>
                <w:rFonts w:eastAsia="Times New Roman" w:cstheme="minorHAnsi"/>
                <w:noProof/>
                <w:sz w:val="20"/>
              </w:rPr>
            </w:pPr>
          </w:p>
        </w:tc>
      </w:tr>
      <w:tr w:rsidR="003A3D51" w14:paraId="4FE9DF8E" w14:textId="77777777">
        <w:trPr>
          <w:trHeight w:val="300"/>
        </w:trPr>
        <w:tc>
          <w:tcPr>
            <w:tcW w:w="851" w:type="dxa"/>
            <w:tcBorders>
              <w:top w:val="nil"/>
              <w:left w:val="single" w:sz="6" w:space="0" w:color="auto"/>
              <w:bottom w:val="single" w:sz="6" w:space="0" w:color="auto"/>
              <w:right w:val="single" w:sz="6" w:space="0" w:color="auto"/>
            </w:tcBorders>
            <w:shd w:val="clear" w:color="auto" w:fill="C6EFCE"/>
            <w:hideMark/>
          </w:tcPr>
          <w:p w14:paraId="73F897B0" w14:textId="0CA8D4D0" w:rsidR="003A3D51" w:rsidRDefault="0002775A">
            <w:pPr>
              <w:pStyle w:val="P68B1DB1-Normal16"/>
              <w:spacing w:after="0" w:line="240" w:lineRule="auto"/>
              <w:jc w:val="center"/>
              <w:textAlignment w:val="baseline"/>
              <w:rPr>
                <w:rFonts w:eastAsia="Times New Roman"/>
                <w:noProof/>
              </w:rPr>
            </w:pPr>
            <w:r>
              <w:rPr>
                <w:noProof/>
              </w:rPr>
              <w:t>397</w:t>
            </w:r>
          </w:p>
        </w:tc>
        <w:tc>
          <w:tcPr>
            <w:tcW w:w="1418" w:type="dxa"/>
            <w:tcBorders>
              <w:top w:val="nil"/>
              <w:left w:val="nil"/>
              <w:bottom w:val="single" w:sz="6" w:space="0" w:color="auto"/>
              <w:right w:val="single" w:sz="6" w:space="0" w:color="auto"/>
            </w:tcBorders>
            <w:shd w:val="clear" w:color="auto" w:fill="C6EFCE"/>
            <w:hideMark/>
          </w:tcPr>
          <w:p w14:paraId="22E040B0" w14:textId="77777777" w:rsidR="003A3D51" w:rsidRDefault="0002775A">
            <w:pPr>
              <w:pStyle w:val="P68B1DB1-Normal16"/>
              <w:spacing w:after="0" w:line="240" w:lineRule="auto"/>
              <w:jc w:val="center"/>
              <w:textAlignment w:val="baseline"/>
              <w:rPr>
                <w:rFonts w:eastAsia="Times New Roman"/>
                <w:noProof/>
              </w:rPr>
            </w:pPr>
            <w:r>
              <w:rPr>
                <w:noProof/>
              </w:rPr>
              <w:t>C3.1 R1-I4</w:t>
            </w:r>
          </w:p>
        </w:tc>
        <w:tc>
          <w:tcPr>
            <w:tcW w:w="992" w:type="dxa"/>
            <w:tcBorders>
              <w:top w:val="nil"/>
              <w:left w:val="nil"/>
              <w:bottom w:val="single" w:sz="6" w:space="0" w:color="auto"/>
              <w:right w:val="single" w:sz="6" w:space="0" w:color="auto"/>
            </w:tcBorders>
            <w:shd w:val="clear" w:color="auto" w:fill="C6EFCE"/>
            <w:hideMark/>
          </w:tcPr>
          <w:p w14:paraId="101E5C42" w14:textId="77777777" w:rsidR="003A3D51" w:rsidRDefault="0002775A">
            <w:pPr>
              <w:pStyle w:val="P68B1DB1-Normal16"/>
              <w:spacing w:after="0" w:line="240" w:lineRule="auto"/>
              <w:jc w:val="center"/>
              <w:textAlignment w:val="baseline"/>
              <w:rPr>
                <w:rFonts w:eastAsia="Times New Roman"/>
                <w:noProof/>
              </w:rPr>
            </w:pPr>
            <w:r>
              <w:rPr>
                <w:noProof/>
              </w:rPr>
              <w:t>T</w:t>
            </w:r>
          </w:p>
        </w:tc>
        <w:tc>
          <w:tcPr>
            <w:tcW w:w="1985" w:type="dxa"/>
            <w:tcBorders>
              <w:top w:val="nil"/>
              <w:left w:val="nil"/>
              <w:bottom w:val="single" w:sz="6" w:space="0" w:color="auto"/>
              <w:right w:val="single" w:sz="6" w:space="0" w:color="auto"/>
            </w:tcBorders>
            <w:shd w:val="clear" w:color="auto" w:fill="C6EFCE"/>
            <w:hideMark/>
          </w:tcPr>
          <w:p w14:paraId="77C60BEB" w14:textId="77777777" w:rsidR="003A3D51" w:rsidRDefault="0002775A">
            <w:pPr>
              <w:pStyle w:val="P68B1DB1-Normal16"/>
              <w:spacing w:after="0" w:line="240" w:lineRule="auto"/>
              <w:textAlignment w:val="baseline"/>
              <w:rPr>
                <w:rFonts w:eastAsia="Times New Roman"/>
                <w:noProof/>
              </w:rPr>
            </w:pPr>
            <w:r>
              <w:rPr>
                <w:noProof/>
              </w:rPr>
              <w:t>Andel elever som går i grundskolan i ett skift</w:t>
            </w:r>
          </w:p>
        </w:tc>
        <w:tc>
          <w:tcPr>
            <w:tcW w:w="2183" w:type="dxa"/>
            <w:tcBorders>
              <w:top w:val="nil"/>
              <w:left w:val="nil"/>
              <w:bottom w:val="single" w:sz="6" w:space="0" w:color="auto"/>
              <w:right w:val="single" w:sz="6" w:space="0" w:color="auto"/>
            </w:tcBorders>
            <w:shd w:val="clear" w:color="auto" w:fill="C6EFCE"/>
            <w:hideMark/>
          </w:tcPr>
          <w:p w14:paraId="03C41C34" w14:textId="77777777" w:rsidR="003A3D51" w:rsidRDefault="003A3D51">
            <w:pPr>
              <w:spacing w:after="0" w:line="240" w:lineRule="auto"/>
              <w:textAlignment w:val="baseline"/>
              <w:rPr>
                <w:rFonts w:eastAsia="Times New Roman" w:cstheme="minorHAnsi"/>
                <w:noProof/>
                <w:sz w:val="20"/>
              </w:rPr>
            </w:pPr>
          </w:p>
        </w:tc>
        <w:tc>
          <w:tcPr>
            <w:tcW w:w="1077" w:type="dxa"/>
            <w:tcBorders>
              <w:top w:val="nil"/>
              <w:left w:val="nil"/>
              <w:bottom w:val="single" w:sz="6" w:space="0" w:color="auto"/>
              <w:right w:val="single" w:sz="6" w:space="0" w:color="auto"/>
            </w:tcBorders>
            <w:shd w:val="clear" w:color="auto" w:fill="C6EFCE"/>
            <w:hideMark/>
          </w:tcPr>
          <w:p w14:paraId="157AA4AD" w14:textId="77777777" w:rsidR="003A3D51" w:rsidRDefault="0002775A">
            <w:pPr>
              <w:pStyle w:val="P68B1DB1-Normal16"/>
              <w:spacing w:after="0" w:line="240" w:lineRule="auto"/>
              <w:textAlignment w:val="baseline"/>
              <w:rPr>
                <w:rFonts w:eastAsia="Times New Roman"/>
                <w:noProof/>
              </w:rPr>
            </w:pPr>
            <w:r>
              <w:rPr>
                <w:noProof/>
              </w:rPr>
              <w:t>% (i procent)</w:t>
            </w:r>
          </w:p>
        </w:tc>
        <w:tc>
          <w:tcPr>
            <w:tcW w:w="850" w:type="dxa"/>
            <w:tcBorders>
              <w:top w:val="nil"/>
              <w:left w:val="nil"/>
              <w:bottom w:val="single" w:sz="6" w:space="0" w:color="auto"/>
              <w:right w:val="single" w:sz="6" w:space="0" w:color="auto"/>
            </w:tcBorders>
            <w:shd w:val="clear" w:color="auto" w:fill="C6EFCE"/>
            <w:hideMark/>
          </w:tcPr>
          <w:p w14:paraId="1D0C33A7" w14:textId="77777777" w:rsidR="003A3D51" w:rsidRDefault="0002775A">
            <w:pPr>
              <w:pStyle w:val="P68B1DB1-Normal16"/>
              <w:spacing w:after="0" w:line="240" w:lineRule="auto"/>
              <w:jc w:val="center"/>
              <w:textAlignment w:val="baseline"/>
              <w:rPr>
                <w:rFonts w:eastAsia="Times New Roman"/>
                <w:noProof/>
              </w:rPr>
            </w:pPr>
            <w:r>
              <w:rPr>
                <w:noProof/>
              </w:rPr>
              <w:t>70</w:t>
            </w:r>
          </w:p>
        </w:tc>
        <w:tc>
          <w:tcPr>
            <w:tcW w:w="709" w:type="dxa"/>
            <w:tcBorders>
              <w:top w:val="nil"/>
              <w:left w:val="nil"/>
              <w:bottom w:val="single" w:sz="6" w:space="0" w:color="auto"/>
              <w:right w:val="single" w:sz="6" w:space="0" w:color="auto"/>
            </w:tcBorders>
            <w:shd w:val="clear" w:color="auto" w:fill="C6EFCE"/>
            <w:hideMark/>
          </w:tcPr>
          <w:p w14:paraId="782646FC" w14:textId="77777777" w:rsidR="003A3D51" w:rsidRDefault="0002775A">
            <w:pPr>
              <w:pStyle w:val="P68B1DB1-Normal16"/>
              <w:spacing w:after="0" w:line="240" w:lineRule="auto"/>
              <w:jc w:val="center"/>
              <w:textAlignment w:val="baseline"/>
              <w:rPr>
                <w:rFonts w:eastAsia="Times New Roman"/>
                <w:noProof/>
              </w:rPr>
            </w:pPr>
            <w:r>
              <w:rPr>
                <w:noProof/>
              </w:rPr>
              <w:t>100</w:t>
            </w:r>
          </w:p>
        </w:tc>
        <w:tc>
          <w:tcPr>
            <w:tcW w:w="567" w:type="dxa"/>
            <w:tcBorders>
              <w:top w:val="nil"/>
              <w:left w:val="nil"/>
              <w:bottom w:val="single" w:sz="6" w:space="0" w:color="auto"/>
              <w:right w:val="single" w:sz="6" w:space="0" w:color="auto"/>
            </w:tcBorders>
            <w:shd w:val="clear" w:color="auto" w:fill="C6EFCE"/>
            <w:hideMark/>
          </w:tcPr>
          <w:p w14:paraId="6F7E3006" w14:textId="77777777" w:rsidR="003A3D51" w:rsidRDefault="0002775A">
            <w:pPr>
              <w:pStyle w:val="P68B1DB1-Normal16"/>
              <w:spacing w:after="0" w:line="240" w:lineRule="auto"/>
              <w:jc w:val="center"/>
              <w:textAlignment w:val="baseline"/>
              <w:rPr>
                <w:rFonts w:eastAsia="Times New Roman"/>
                <w:noProof/>
              </w:rPr>
            </w:pPr>
            <w:r>
              <w:rPr>
                <w:noProof/>
              </w:rPr>
              <w:t>KVARTAL 2</w:t>
            </w:r>
          </w:p>
        </w:tc>
        <w:tc>
          <w:tcPr>
            <w:tcW w:w="851" w:type="dxa"/>
            <w:tcBorders>
              <w:top w:val="nil"/>
              <w:left w:val="nil"/>
              <w:bottom w:val="single" w:sz="6" w:space="0" w:color="auto"/>
              <w:right w:val="single" w:sz="6" w:space="0" w:color="auto"/>
            </w:tcBorders>
            <w:shd w:val="clear" w:color="auto" w:fill="C6EFCE"/>
            <w:hideMark/>
          </w:tcPr>
          <w:p w14:paraId="57054765" w14:textId="77777777" w:rsidR="003A3D51" w:rsidRDefault="0002775A">
            <w:pPr>
              <w:pStyle w:val="P68B1DB1-Normal16"/>
              <w:spacing w:after="0" w:line="240" w:lineRule="auto"/>
              <w:jc w:val="center"/>
              <w:textAlignment w:val="baseline"/>
              <w:rPr>
                <w:rFonts w:eastAsia="Times New Roman"/>
                <w:noProof/>
              </w:rPr>
            </w:pPr>
            <w:r>
              <w:rPr>
                <w:noProof/>
              </w:rPr>
              <w:t>2026</w:t>
            </w:r>
          </w:p>
        </w:tc>
        <w:tc>
          <w:tcPr>
            <w:tcW w:w="3260" w:type="dxa"/>
            <w:tcBorders>
              <w:top w:val="nil"/>
              <w:left w:val="nil"/>
              <w:bottom w:val="single" w:sz="6" w:space="0" w:color="auto"/>
              <w:right w:val="single" w:sz="6" w:space="0" w:color="auto"/>
            </w:tcBorders>
            <w:shd w:val="clear" w:color="auto" w:fill="C6EFCE"/>
            <w:hideMark/>
          </w:tcPr>
          <w:p w14:paraId="0090D938" w14:textId="7E4213F0" w:rsidR="003A3D51" w:rsidRDefault="0002775A">
            <w:pPr>
              <w:pStyle w:val="P68B1DB1-Normal16"/>
              <w:spacing w:after="0" w:line="240" w:lineRule="auto"/>
              <w:textAlignment w:val="baseline"/>
              <w:rPr>
                <w:rFonts w:eastAsia="Times New Roman"/>
                <w:noProof/>
              </w:rPr>
            </w:pPr>
            <w:r>
              <w:rPr>
                <w:noProof/>
              </w:rPr>
              <w:t>Andelen grundskoleelever som går i en skiftskola ska öka till 100 %. Vid konstruktion och ombyggnad av klassrum och idrottshallar ska de normer som fastställs i 2022 års normativa normer för grundskolans dimensioner respekteras. Minst 375 nya idrottshallar ska byggas.</w:t>
            </w:r>
          </w:p>
        </w:tc>
      </w:tr>
    </w:tbl>
    <w:p w14:paraId="020139F1" w14:textId="77777777" w:rsidR="003A3D51" w:rsidRDefault="003A3D51">
      <w:pPr>
        <w:rPr>
          <w:noProof/>
        </w:rPr>
        <w:sectPr w:rsidR="003A3D51" w:rsidSect="0001477B">
          <w:headerReference w:type="even" r:id="rId288"/>
          <w:headerReference w:type="default" r:id="rId289"/>
          <w:footerReference w:type="even" r:id="rId290"/>
          <w:footerReference w:type="default" r:id="rId291"/>
          <w:headerReference w:type="first" r:id="rId292"/>
          <w:footerReference w:type="first" r:id="rId293"/>
          <w:pgSz w:w="15840" w:h="12240" w:orient="landscape"/>
          <w:pgMar w:top="1440" w:right="1440" w:bottom="1440" w:left="1440" w:header="708" w:footer="708" w:gutter="0"/>
          <w:cols w:space="708"/>
          <w:docGrid w:linePitch="360"/>
        </w:sectPr>
      </w:pPr>
    </w:p>
    <w:p w14:paraId="139FDCB7" w14:textId="77777777" w:rsidR="003A3D51" w:rsidRDefault="0002775A">
      <w:pPr>
        <w:pStyle w:val="P68B1DB1-Normal2"/>
        <w:keepNext/>
        <w:tabs>
          <w:tab w:val="left" w:pos="850"/>
        </w:tabs>
        <w:spacing w:before="360" w:after="120" w:line="240" w:lineRule="auto"/>
        <w:ind w:left="850" w:firstLine="1"/>
        <w:jc w:val="both"/>
        <w:outlineLvl w:val="0"/>
        <w:rPr>
          <w:noProof/>
        </w:rPr>
      </w:pPr>
      <w:r>
        <w:rPr>
          <w:noProof/>
        </w:rPr>
        <w:t>Q. KOMPONENT 3.2: ÖKA FORSKNINGS- OCH INNOVATIONSKAPACITETEN</w:t>
      </w:r>
    </w:p>
    <w:p w14:paraId="76E315EB" w14:textId="77777777" w:rsidR="003A3D51" w:rsidRDefault="0002775A">
      <w:pPr>
        <w:pStyle w:val="P68B1DB1-Normal11"/>
        <w:tabs>
          <w:tab w:val="left" w:pos="426"/>
        </w:tabs>
        <w:spacing w:before="120" w:after="120" w:line="240" w:lineRule="auto"/>
        <w:jc w:val="both"/>
        <w:rPr>
          <w:noProof/>
        </w:rPr>
      </w:pPr>
      <w:r>
        <w:rPr>
          <w:noProof/>
        </w:rPr>
        <w:t>Kroatiens offentliga forsknings- och innovationslandskap är mycket fragmenterat. Otillräckliga investeringar i forskning, utveckling och innovation, särskilt från näringslivet, i kombination med otillräcklig finansiering och organisationsmodell för universitet och vetenskapliga institut, hämmar den kroatiska forskningssektorns fulla potential. Detta har lett till att den vetenskapliga produktiviteten, effektiviteten och kunskapsöverföringen fortfarande är begränsad. Förutsättningarna för att utveckla mänskliga resurser inom naturvetenskap, teknik, matematik och informations- och kommunikationsteknik (IKT), vilket skulle göra det möjligt att öka samhällets beredskap för den digitala omställningen, är underutvecklade. Fragmenteringen och ineffektiviteten i forsknings-, utvecklings- och innovationspolitiken och bristen på resultat från investeringar i forskning, utveckling och innovation är några av de främsta orsakerna till den hämmade produktivitets- och konkurrenskraftstillväxten.</w:t>
      </w:r>
    </w:p>
    <w:p w14:paraId="00CCD67B" w14:textId="77777777" w:rsidR="003A3D51" w:rsidRDefault="0002775A">
      <w:pPr>
        <w:pStyle w:val="P68B1DB1-Normal11"/>
        <w:tabs>
          <w:tab w:val="left" w:pos="426"/>
        </w:tabs>
        <w:spacing w:before="120" w:after="120" w:line="240" w:lineRule="auto"/>
        <w:jc w:val="both"/>
        <w:rPr>
          <w:noProof/>
        </w:rPr>
      </w:pPr>
      <w:r>
        <w:rPr>
          <w:noProof/>
        </w:rPr>
        <w:t xml:space="preserve">Syftet med denna del är att ta itu med dessa utmaningar genom att eftersträva följande mål: </w:t>
      </w:r>
    </w:p>
    <w:p w14:paraId="4D4CD4C5" w14:textId="77777777" w:rsidR="003A3D51" w:rsidRDefault="0002775A">
      <w:pPr>
        <w:pStyle w:val="P68B1DB1-Normal11"/>
        <w:numPr>
          <w:ilvl w:val="0"/>
          <w:numId w:val="37"/>
        </w:numPr>
        <w:tabs>
          <w:tab w:val="left" w:pos="426"/>
        </w:tabs>
        <w:spacing w:after="200" w:line="276" w:lineRule="auto"/>
        <w:ind w:left="720"/>
        <w:jc w:val="both"/>
        <w:rPr>
          <w:noProof/>
        </w:rPr>
      </w:pPr>
      <w:r>
        <w:rPr>
          <w:noProof/>
        </w:rPr>
        <w:t>Förbättra systemet för institutionell finansiering av universitet och vetenskapliga institut för att motivera vetenskaplig produktivitet, effektivitet och kunskapsöverföring genom direktinvesteringar och ökad finansiering av vetenskaplig forskning.</w:t>
      </w:r>
    </w:p>
    <w:p w14:paraId="178B6A3A" w14:textId="77777777" w:rsidR="003A3D51" w:rsidRDefault="0002775A">
      <w:pPr>
        <w:pStyle w:val="P68B1DB1-Normal11"/>
        <w:numPr>
          <w:ilvl w:val="0"/>
          <w:numId w:val="37"/>
        </w:numPr>
        <w:tabs>
          <w:tab w:val="left" w:pos="426"/>
        </w:tabs>
        <w:spacing w:after="200" w:line="276" w:lineRule="auto"/>
        <w:ind w:left="720"/>
        <w:jc w:val="both"/>
        <w:rPr>
          <w:noProof/>
        </w:rPr>
      </w:pPr>
      <w:r>
        <w:rPr>
          <w:noProof/>
        </w:rPr>
        <w:t>Ökade investeringar i forskningsinfrastruktur och organisationskapacitet vid universitet och vetenskapliga institut, vilket ska möjliggöra högre kvalitet på den vetenskapliga forskningen och göra forskarkarriärer mer attraktiva i Kroatien.</w:t>
      </w:r>
    </w:p>
    <w:p w14:paraId="5A76FE26" w14:textId="77777777" w:rsidR="003A3D51" w:rsidRDefault="0002775A">
      <w:pPr>
        <w:pStyle w:val="P68B1DB1-Normal11"/>
        <w:numPr>
          <w:ilvl w:val="0"/>
          <w:numId w:val="37"/>
        </w:numPr>
        <w:tabs>
          <w:tab w:val="left" w:pos="426"/>
        </w:tabs>
        <w:spacing w:after="200" w:line="276" w:lineRule="auto"/>
        <w:ind w:left="720"/>
        <w:jc w:val="both"/>
        <w:rPr>
          <w:noProof/>
        </w:rPr>
      </w:pPr>
      <w:r>
        <w:rPr>
          <w:noProof/>
        </w:rPr>
        <w:t>Införa en ny möjliggörande ram för forskares befordran och karriärutveckling, i linje med de vetenskapliga områdenas särdrag, för att locka till sig och behålla unga kroatiska forskare och utländska forskare av hög kvalitet.</w:t>
      </w:r>
    </w:p>
    <w:p w14:paraId="2200D1CC" w14:textId="77777777" w:rsidR="003A3D51" w:rsidRDefault="0002775A">
      <w:pPr>
        <w:pStyle w:val="P68B1DB1-Normal11"/>
        <w:numPr>
          <w:ilvl w:val="0"/>
          <w:numId w:val="37"/>
        </w:numPr>
        <w:tabs>
          <w:tab w:val="left" w:pos="426"/>
        </w:tabs>
        <w:spacing w:after="200" w:line="276" w:lineRule="auto"/>
        <w:ind w:left="720"/>
        <w:jc w:val="both"/>
        <w:rPr>
          <w:noProof/>
        </w:rPr>
      </w:pPr>
      <w:r>
        <w:rPr>
          <w:noProof/>
        </w:rPr>
        <w:t>Införa en effektivare institutionell ram och programplaneringsram för finansieringssystem för forskning och utveckling.</w:t>
      </w:r>
    </w:p>
    <w:p w14:paraId="147D385C" w14:textId="77777777" w:rsidR="003A3D51" w:rsidRDefault="0002775A">
      <w:pPr>
        <w:pStyle w:val="P68B1DB1-Normal11"/>
        <w:tabs>
          <w:tab w:val="left" w:pos="426"/>
        </w:tabs>
        <w:spacing w:before="120" w:after="120" w:line="240" w:lineRule="auto"/>
        <w:jc w:val="both"/>
        <w:rPr>
          <w:noProof/>
        </w:rPr>
      </w:pPr>
      <w:r>
        <w:rPr>
          <w:noProof/>
        </w:rPr>
        <w:t>Komponenten stöder genomförandet av den landsspecifika rekommendationen om investeringsrelaterad ekonomisk politik för forskning och innovation (de landsspecifika rekommendationerna 3 och 2019).</w:t>
      </w:r>
    </w:p>
    <w:p w14:paraId="22E7CC35" w14:textId="77777777" w:rsidR="003A3D51" w:rsidRDefault="003A3D51">
      <w:pPr>
        <w:tabs>
          <w:tab w:val="left" w:pos="426"/>
        </w:tabs>
        <w:spacing w:before="120" w:after="120" w:line="240" w:lineRule="auto"/>
        <w:jc w:val="both"/>
        <w:rPr>
          <w:rFonts w:ascii="Times New Roman" w:eastAsia="Times New Roman" w:hAnsi="Times New Roman" w:cs="Times New Roman"/>
          <w:noProof/>
          <w:sz w:val="24"/>
        </w:rPr>
      </w:pPr>
    </w:p>
    <w:p w14:paraId="3191DC3B" w14:textId="77777777" w:rsidR="003A3D51" w:rsidRDefault="0002775A">
      <w:pPr>
        <w:pStyle w:val="P68B1DB1-Normal4"/>
        <w:keepNext/>
        <w:tabs>
          <w:tab w:val="num" w:pos="850"/>
        </w:tabs>
        <w:spacing w:before="40" w:after="0"/>
        <w:ind w:left="851"/>
        <w:jc w:val="both"/>
        <w:outlineLvl w:val="1"/>
        <w:rPr>
          <w:noProof/>
        </w:rPr>
      </w:pPr>
      <w:r>
        <w:rPr>
          <w:noProof/>
        </w:rPr>
        <w:t xml:space="preserve">FRÅGA 1 </w:t>
      </w:r>
      <w:r>
        <w:rPr>
          <w:noProof/>
        </w:rPr>
        <w:tab/>
        <w:t>Beskrivning av reformer och investeringar avseende icke återbetalningspliktigt ekonomiskt stöd</w:t>
      </w:r>
    </w:p>
    <w:p w14:paraId="43BA8825" w14:textId="77777777" w:rsidR="003A3D51" w:rsidRDefault="0002775A">
      <w:pPr>
        <w:pStyle w:val="P68B1DB1-Normal18"/>
        <w:keepNext/>
        <w:tabs>
          <w:tab w:val="num" w:pos="850"/>
        </w:tabs>
        <w:spacing w:before="240" w:after="0"/>
        <w:ind w:left="851"/>
        <w:jc w:val="both"/>
        <w:outlineLvl w:val="2"/>
        <w:rPr>
          <w:noProof/>
        </w:rPr>
      </w:pPr>
      <w:r>
        <w:rPr>
          <w:noProof/>
        </w:rPr>
        <w:t>Reform C3.2 R1 – Reform och förstärkning av den offentliga forskningssektorns forsknings- och utvecklingskapacitet</w:t>
      </w:r>
    </w:p>
    <w:p w14:paraId="6605BC92" w14:textId="77777777" w:rsidR="003A3D51" w:rsidRDefault="0002775A">
      <w:pPr>
        <w:pStyle w:val="P68B1DB1-Normal3"/>
        <w:spacing w:before="120" w:after="120" w:line="240" w:lineRule="auto"/>
        <w:jc w:val="both"/>
        <w:rPr>
          <w:noProof/>
        </w:rPr>
      </w:pPr>
      <w:r>
        <w:rPr>
          <w:noProof/>
        </w:rPr>
        <w:t>Syftet med denna reform är att öka den offentliga forskningens kvalitet och internationella synlighet, stärka målinriktad forskning och vetenskapens inverkan på den fortsatta utvecklingen av innovation, ekonomi och samhälle genom omorganisering av den offentliga forskningssektorn. Reformen ska omfatta följande åtgärder:</w:t>
      </w:r>
    </w:p>
    <w:p w14:paraId="052011AC" w14:textId="77777777" w:rsidR="003A3D51" w:rsidRDefault="0002775A">
      <w:pPr>
        <w:pStyle w:val="P68B1DB1-Normal11"/>
        <w:numPr>
          <w:ilvl w:val="0"/>
          <w:numId w:val="24"/>
        </w:numPr>
        <w:tabs>
          <w:tab w:val="left" w:pos="426"/>
        </w:tabs>
        <w:spacing w:after="200" w:line="276" w:lineRule="auto"/>
        <w:jc w:val="both"/>
        <w:rPr>
          <w:noProof/>
        </w:rPr>
      </w:pPr>
      <w:r>
        <w:rPr>
          <w:noProof/>
        </w:rPr>
        <w:t xml:space="preserve">Anta en ny modell för programavtal för finansiering av det offentliga vetenskapliga forskningssystemet. </w:t>
      </w:r>
    </w:p>
    <w:p w14:paraId="3A52A4CA" w14:textId="77777777" w:rsidR="003A3D51" w:rsidRDefault="0002775A">
      <w:pPr>
        <w:pStyle w:val="P68B1DB1-Normal11"/>
        <w:numPr>
          <w:ilvl w:val="0"/>
          <w:numId w:val="24"/>
        </w:numPr>
        <w:tabs>
          <w:tab w:val="left" w:pos="426"/>
        </w:tabs>
        <w:spacing w:after="200" w:line="276" w:lineRule="auto"/>
        <w:jc w:val="both"/>
        <w:rPr>
          <w:noProof/>
        </w:rPr>
      </w:pPr>
      <w:r>
        <w:rPr>
          <w:noProof/>
        </w:rPr>
        <w:t xml:space="preserve">Öka budgeten för vetenskapliga institutioner för mer verkningsfull forskning, </w:t>
      </w:r>
    </w:p>
    <w:p w14:paraId="0F88A0CB" w14:textId="77777777" w:rsidR="003A3D51" w:rsidRDefault="0002775A">
      <w:pPr>
        <w:pStyle w:val="P68B1DB1-Normal11"/>
        <w:numPr>
          <w:ilvl w:val="0"/>
          <w:numId w:val="24"/>
        </w:numPr>
        <w:tabs>
          <w:tab w:val="left" w:pos="426"/>
        </w:tabs>
        <w:spacing w:after="200" w:line="276" w:lineRule="auto"/>
        <w:jc w:val="both"/>
        <w:rPr>
          <w:noProof/>
        </w:rPr>
      </w:pPr>
      <w:r>
        <w:rPr>
          <w:noProof/>
        </w:rPr>
        <w:t>Minska fragmenteringen av systemet för vetenskaplig forskning genom integrering av vetenskapliga forskningsinstitutioner i syfte att övergå till en effektivare organisation av universitet och forskningsinstitut,</w:t>
      </w:r>
    </w:p>
    <w:p w14:paraId="078D4332" w14:textId="77777777" w:rsidR="003A3D51" w:rsidRDefault="0002775A">
      <w:pPr>
        <w:pStyle w:val="P68B1DB1-Normal11"/>
        <w:numPr>
          <w:ilvl w:val="0"/>
          <w:numId w:val="24"/>
        </w:numPr>
        <w:tabs>
          <w:tab w:val="left" w:pos="426"/>
        </w:tabs>
        <w:spacing w:after="200" w:line="276" w:lineRule="auto"/>
        <w:jc w:val="both"/>
        <w:rPr>
          <w:noProof/>
        </w:rPr>
      </w:pPr>
      <w:r>
        <w:rPr>
          <w:noProof/>
        </w:rPr>
        <w:t>Förbättra kvaliteten på det vetenskapliga forskningsarbetet genom att främja en övergång till ett resultatbaserat finansieringssystem.</w:t>
      </w:r>
    </w:p>
    <w:p w14:paraId="51579886" w14:textId="77777777" w:rsidR="003A3D51" w:rsidRDefault="0002775A">
      <w:pPr>
        <w:pStyle w:val="P68B1DB1-Normal3"/>
        <w:spacing w:before="120" w:after="120" w:line="240" w:lineRule="auto"/>
        <w:jc w:val="both"/>
        <w:rPr>
          <w:noProof/>
        </w:rPr>
      </w:pPr>
      <w:r>
        <w:rPr>
          <w:noProof/>
        </w:rPr>
        <w:t>Genomförandet av reformen ska inbegripa antagandet av en ny lag om vetenskaplig verksamhet och högre utbildning som tillhandahåller en rättslig och finansiell ram för den organisatoriska och funktionella integrationen av universitet och vetenskapliga institut samt en dialog om institutionella mål och en ny resultatbaserad finansieringsram. Den nya rättsliga och finansiella ramen förväntas leda till mer inflytelserika publikationer, mer konkurrenskraftiga projekt, starkare internationellt samarbete och ett ökat antal projekt i samarbete med företag.</w:t>
      </w:r>
    </w:p>
    <w:p w14:paraId="288331D6" w14:textId="77777777" w:rsidR="003A3D51" w:rsidRDefault="0002775A">
      <w:pPr>
        <w:pStyle w:val="P68B1DB1-Normal3"/>
        <w:spacing w:before="120" w:after="120" w:line="240" w:lineRule="auto"/>
        <w:jc w:val="both"/>
        <w:rPr>
          <w:noProof/>
        </w:rPr>
      </w:pPr>
      <w:r>
        <w:rPr>
          <w:noProof/>
        </w:rPr>
        <w:t xml:space="preserve">Reformen ska vara genomförd senast den 30 september 2022. </w:t>
      </w:r>
    </w:p>
    <w:p w14:paraId="4C1B9A76" w14:textId="77777777" w:rsidR="003A3D51" w:rsidRDefault="0002775A">
      <w:pPr>
        <w:pStyle w:val="P68B1DB1-Normal18"/>
        <w:keepNext/>
        <w:numPr>
          <w:ilvl w:val="2"/>
          <w:numId w:val="0"/>
        </w:numPr>
        <w:spacing w:before="240" w:after="0"/>
        <w:ind w:left="851"/>
        <w:jc w:val="both"/>
        <w:outlineLvl w:val="2"/>
        <w:rPr>
          <w:noProof/>
        </w:rPr>
      </w:pPr>
      <w:r>
        <w:rPr>
          <w:noProof/>
        </w:rPr>
        <w:t>Investering C3.2 R1-I1 – Utveckling av ett system med programavtal för finansiering av universitet och forskningsinstitut med inriktning på innovation, forskning och utveckling</w:t>
      </w:r>
    </w:p>
    <w:p w14:paraId="5A0171CA" w14:textId="77777777" w:rsidR="003A3D51" w:rsidRDefault="0002775A">
      <w:pPr>
        <w:pStyle w:val="P68B1DB1-Normal3"/>
        <w:spacing w:before="120" w:after="120" w:line="240" w:lineRule="auto"/>
        <w:jc w:val="both"/>
        <w:rPr>
          <w:noProof/>
        </w:rPr>
      </w:pPr>
      <w:r>
        <w:rPr>
          <w:noProof/>
        </w:rPr>
        <w:t xml:space="preserve">Syftet med denna investering är att förbättra finansieringssystemet för det vetenskapliga arbete som utförs av universitet och vetenskapliga institut i syfte att uppnå högre kvalitet och större relevans för utvecklingen av ekonomin och samhället. </w:t>
      </w:r>
    </w:p>
    <w:p w14:paraId="047732D2" w14:textId="77777777" w:rsidR="003A3D51" w:rsidRDefault="0002775A">
      <w:pPr>
        <w:pStyle w:val="P68B1DB1-Normal3"/>
        <w:spacing w:before="120" w:after="120" w:line="240" w:lineRule="auto"/>
        <w:jc w:val="both"/>
        <w:rPr>
          <w:noProof/>
        </w:rPr>
      </w:pPr>
      <w:r>
        <w:rPr>
          <w:noProof/>
        </w:rPr>
        <w:t xml:space="preserve">Investeringen ska omfatta upphandling av rådgivningsstöd från externa experter för att utarbeta ett förslag till en ny ram för programavtal som upprättas mellan vetenskapsministeriet och universiteten och forskningsinstituten, som möjliggör en övergång till ett resultatinriktat finansieringssystem för universiteten och forskningsinstituten samt för förhandlingsprocessen med berörda parter. Detta ska omfatta analyser av den nuvarande ramen, översyn av arrangemang i andra länder, förslag till utarbetande av programavtal och information om deras användning samt utarbetande av lagändringar och teknisk projektdokumentation. </w:t>
      </w:r>
    </w:p>
    <w:p w14:paraId="6BE54CFF" w14:textId="77777777" w:rsidR="003A3D51" w:rsidRDefault="0002775A">
      <w:pPr>
        <w:pStyle w:val="P68B1DB1-Normal3"/>
        <w:spacing w:before="120" w:after="120" w:line="240" w:lineRule="auto"/>
        <w:jc w:val="both"/>
        <w:rPr>
          <w:noProof/>
        </w:rPr>
      </w:pPr>
      <w:r>
        <w:rPr>
          <w:noProof/>
        </w:rPr>
        <w:t>Ett stödsystem ska inrättas för att tillhandahålla institutionell finansiering för universitet och forskningsinstitut som har undertecknat programavtalen, vilket möjliggör en effektivare resursanvändning och ökad forskning. Som en del av reformen ska två finansieringscykler för programavtal genomföras, som ska åtföljas av ett nytt övervakningssystem genom en årlig resultatram. Programavtalen ska fortsätta att finansieras genom den nationella budgeten efter 2026, eftersom den nya finansieringsmodellen kommer att möjliggöra betydande besparingar på lång sikt.</w:t>
      </w:r>
    </w:p>
    <w:p w14:paraId="56C7C101" w14:textId="77777777" w:rsidR="003A3D51" w:rsidRDefault="0002775A">
      <w:pPr>
        <w:pStyle w:val="P68B1DB1-Normal3"/>
        <w:spacing w:before="120" w:after="120" w:line="240" w:lineRule="auto"/>
        <w:jc w:val="both"/>
        <w:rPr>
          <w:noProof/>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20"/>
      </w:r>
      <w:r>
        <w:rPr>
          <w:noProof/>
        </w:rPr>
        <w:t>. II) Verksamhet inom ramen för EU:s utsläppshandelssystem som uppnår beräknade växthusgasutsläpp som inte är lägre än de relevanta riktmärkena</w:t>
      </w:r>
      <w:r>
        <w:rPr>
          <w:noProof/>
        </w:rPr>
        <w:footnoteReference w:id="21"/>
      </w:r>
      <w:r>
        <w:rPr>
          <w:noProof/>
        </w:rPr>
        <w:t>. III) Verksamhet i samband med avfallsdeponier, förbränningsanläggningar</w:t>
      </w:r>
      <w:r>
        <w:rPr>
          <w:noProof/>
        </w:rPr>
        <w:footnoteReference w:id="22"/>
      </w:r>
      <w:r>
        <w:rPr>
          <w:noProof/>
        </w:rPr>
        <w:t xml:space="preserve"> och anläggningar för mekanisk biologisk behandling</w:t>
      </w:r>
      <w:r>
        <w:rPr>
          <w:noProof/>
        </w:rPr>
        <w:footnoteReference w:id="23"/>
      </w:r>
      <w:r>
        <w:rPr>
          <w:noProof/>
        </w:rPr>
        <w:t>. och iv) Verksamheter där den långsiktig avfallshanteringen kan skada miljön. Uppdragsbeskrivningen ska dessutom innehålla krav på att endast verksamheter som är förenliga med relevant EU-lagstiftning och nationell miljölagstiftning får väljas ut.</w:t>
      </w:r>
    </w:p>
    <w:p w14:paraId="484432A2" w14:textId="77777777" w:rsidR="003A3D51" w:rsidRDefault="0002775A">
      <w:pPr>
        <w:pStyle w:val="P68B1DB1-Normal3"/>
        <w:spacing w:before="120" w:after="120" w:line="240" w:lineRule="auto"/>
        <w:jc w:val="both"/>
        <w:rPr>
          <w:noProof/>
        </w:rPr>
      </w:pPr>
      <w:r>
        <w:rPr>
          <w:noProof/>
        </w:rPr>
        <w:t xml:space="preserve">Investeringen ska vara slutförd senast den 30 juni 2025. </w:t>
      </w:r>
    </w:p>
    <w:p w14:paraId="7B574092" w14:textId="77777777" w:rsidR="003A3D51" w:rsidRDefault="0002775A">
      <w:pPr>
        <w:pStyle w:val="P68B1DB1-Normal18"/>
        <w:keepNext/>
        <w:numPr>
          <w:ilvl w:val="2"/>
          <w:numId w:val="0"/>
        </w:numPr>
        <w:spacing w:before="240" w:after="0"/>
        <w:ind w:left="851"/>
        <w:jc w:val="both"/>
        <w:outlineLvl w:val="2"/>
        <w:rPr>
          <w:noProof/>
        </w:rPr>
      </w:pPr>
      <w:r>
        <w:rPr>
          <w:noProof/>
        </w:rPr>
        <w:t>Investering C3.2 R1-I2 – Stärka universitetens och forskningsinstitutens institutionella kapacitet för innovation</w:t>
      </w:r>
    </w:p>
    <w:p w14:paraId="5D552B6E" w14:textId="77777777" w:rsidR="003A3D51" w:rsidRDefault="0002775A">
      <w:pPr>
        <w:pStyle w:val="P68B1DB1-Normal3"/>
        <w:spacing w:before="120" w:after="120" w:line="240" w:lineRule="auto"/>
        <w:jc w:val="both"/>
        <w:rPr>
          <w:noProof/>
        </w:rPr>
      </w:pPr>
      <w:r>
        <w:rPr>
          <w:noProof/>
        </w:rPr>
        <w:t xml:space="preserve">Syftet med denna investering är att bidra till att minska fragmenteringen av det vetenskapliga systemet genom att bygga infrastruktur som möjliggör konsolidering av universitet och vetenskapliga institut. Finansiering av vetenskaplig forskningsinfrastruktur ska endast beviljas de institutioner som ska införa de nya programavtalen, enligt vad som anges i investering C3.2 R1 – I1. </w:t>
      </w:r>
    </w:p>
    <w:p w14:paraId="277007AF" w14:textId="77777777" w:rsidR="003A3D51" w:rsidRDefault="0002775A">
      <w:pPr>
        <w:pStyle w:val="P68B1DB1-Normal3"/>
        <w:spacing w:before="120" w:after="120" w:line="240" w:lineRule="auto"/>
        <w:jc w:val="both"/>
        <w:rPr>
          <w:noProof/>
        </w:rPr>
      </w:pPr>
      <w:r>
        <w:rPr>
          <w:noProof/>
        </w:rPr>
        <w:t>Investeringen ska vara slutförd senast den 31 december 2025.</w:t>
      </w:r>
    </w:p>
    <w:p w14:paraId="0FE38D8F" w14:textId="77777777" w:rsidR="003A3D51" w:rsidRDefault="0002775A">
      <w:pPr>
        <w:pStyle w:val="P68B1DB1-Normal18"/>
        <w:keepNext/>
        <w:numPr>
          <w:ilvl w:val="2"/>
          <w:numId w:val="0"/>
        </w:numPr>
        <w:spacing w:before="240" w:after="0"/>
        <w:ind w:left="851"/>
        <w:jc w:val="both"/>
        <w:outlineLvl w:val="2"/>
        <w:rPr>
          <w:noProof/>
        </w:rPr>
      </w:pPr>
      <w:r>
        <w:rPr>
          <w:noProof/>
        </w:rPr>
        <w:t>Reform C3.2 R2 – Att skapa en ram för att locka studenter och forskare till STEM- och IKT-områden</w:t>
      </w:r>
    </w:p>
    <w:p w14:paraId="27BA5748" w14:textId="77777777" w:rsidR="003A3D51" w:rsidRDefault="0002775A">
      <w:pPr>
        <w:pStyle w:val="P68B1DB1-Normal3"/>
        <w:spacing w:before="120" w:after="120" w:line="240" w:lineRule="auto"/>
        <w:jc w:val="both"/>
        <w:rPr>
          <w:noProof/>
        </w:rPr>
      </w:pPr>
      <w:r>
        <w:rPr>
          <w:noProof/>
        </w:rPr>
        <w:t>Syftet med denna reform är att införa en ny möjliggörande ram för forskares befordran och karriärutveckling inom naturvetenskap, teknik, ingenjörsvetenskap och matematik och IKT i syfte att öka antalet forskare och yrkesverksamma inom vetenskaps- och företagssektorerna och öka innovationspotentialen. På lång sikt förväntas reformen göra det möjligt för humankapitalet att sprida sig från vetenskapliga institutioner till ekonomin genom överföring av specialiserad kunskap, avancerad teknik, samarbete mellan den akademiska världen och näringslivet genom teknikplattformar och utveckling av högteknologiska nystartade företag och spin-off-företag samt öppen forsknings- och teknikinfrastruktur.</w:t>
      </w:r>
    </w:p>
    <w:p w14:paraId="32B31EB4" w14:textId="77777777" w:rsidR="003A3D51" w:rsidRDefault="0002775A">
      <w:pPr>
        <w:pStyle w:val="P68B1DB1-Normal3"/>
        <w:spacing w:before="120" w:after="120" w:line="240" w:lineRule="auto"/>
        <w:jc w:val="both"/>
        <w:rPr>
          <w:noProof/>
        </w:rPr>
      </w:pPr>
      <w:r>
        <w:rPr>
          <w:noProof/>
        </w:rPr>
        <w:t xml:space="preserve">Vetenskapliga karriärer ska göras mer attraktiva genom en tydlig, öppen och meritbaserad rekryteringspolitik inom nyckelområdena för vetenskaplig forskning. Vetenskapliga karriärer inom naturvetenskap, teknik, ingenjörsvetenskap och matematik och IKT ska främjas från de tidigaste utbildningsnivåerna. Den rättsliga ramen ska ändras för att ta itu med den icke-konkurrenskraftiga, administrativt betungande rekryterings- och befordringsmodellen i Kroatiens vetenskapliga forskningssystem. </w:t>
      </w:r>
    </w:p>
    <w:p w14:paraId="1CADA60D" w14:textId="77777777" w:rsidR="003A3D51" w:rsidRDefault="0002775A">
      <w:pPr>
        <w:pStyle w:val="P68B1DB1-Normal3"/>
        <w:spacing w:before="120" w:after="120" w:line="240" w:lineRule="auto"/>
        <w:jc w:val="both"/>
        <w:rPr>
          <w:noProof/>
        </w:rPr>
      </w:pPr>
      <w:r>
        <w:rPr>
          <w:noProof/>
        </w:rPr>
        <w:t xml:space="preserve">Reformen ska vara genomförd senast den 30 september 2022. </w:t>
      </w:r>
    </w:p>
    <w:p w14:paraId="4CC7FF36" w14:textId="77777777" w:rsidR="003A3D51" w:rsidRDefault="0002775A">
      <w:pPr>
        <w:pStyle w:val="P68B1DB1-Normal18"/>
        <w:keepNext/>
        <w:numPr>
          <w:ilvl w:val="2"/>
          <w:numId w:val="0"/>
        </w:numPr>
        <w:spacing w:before="240" w:after="0"/>
        <w:ind w:left="851"/>
        <w:jc w:val="both"/>
        <w:outlineLvl w:val="2"/>
        <w:rPr>
          <w:noProof/>
        </w:rPr>
      </w:pPr>
      <w:r>
        <w:rPr>
          <w:noProof/>
        </w:rPr>
        <w:t>Investering C3.2 R2-I1 – Utveckling av en gynnsam modell för forskares karriärutveckling och bedrivande av spetsforskning inom naturvetenskap, teknik, ingenjörsvetenskap och matematik och IKT</w:t>
      </w:r>
    </w:p>
    <w:p w14:paraId="2F96A731" w14:textId="77777777" w:rsidR="003A3D51" w:rsidRDefault="0002775A">
      <w:pPr>
        <w:pStyle w:val="P68B1DB1-Normal3"/>
        <w:spacing w:before="120" w:after="120" w:line="240" w:lineRule="auto"/>
        <w:jc w:val="both"/>
        <w:rPr>
          <w:noProof/>
        </w:rPr>
      </w:pPr>
      <w:r>
        <w:rPr>
          <w:noProof/>
        </w:rPr>
        <w:t>Syftet med denna investering är att utveckla och införa en ny ram och ett nytt incitamentsystem för forskares karriärutveckling. Investeringen ska omfatta följande:</w:t>
      </w:r>
    </w:p>
    <w:p w14:paraId="4198BDD8" w14:textId="77777777" w:rsidR="003A3D51" w:rsidRDefault="0002775A">
      <w:pPr>
        <w:pStyle w:val="P68B1DB1-Normal11"/>
        <w:numPr>
          <w:ilvl w:val="0"/>
          <w:numId w:val="24"/>
        </w:numPr>
        <w:tabs>
          <w:tab w:val="left" w:pos="426"/>
        </w:tabs>
        <w:spacing w:after="200" w:line="276" w:lineRule="auto"/>
        <w:jc w:val="both"/>
        <w:rPr>
          <w:noProof/>
        </w:rPr>
      </w:pPr>
      <w:r>
        <w:rPr>
          <w:noProof/>
        </w:rPr>
        <w:t xml:space="preserve">Inrätta en ny ram för finansiering av forskningsprogram till stöd för forskares utveckling och karriärutveckling, på grundval av en detaljerad analys och rekommendationer från en expertstudie. Ramen ska inriktas på att belöna spetsforskning, samarbete med industrin och internationellt samarbete. </w:t>
      </w:r>
    </w:p>
    <w:p w14:paraId="1BB7E668" w14:textId="77777777" w:rsidR="003A3D51" w:rsidRDefault="0002775A">
      <w:pPr>
        <w:pStyle w:val="P68B1DB1-Normal11"/>
        <w:numPr>
          <w:ilvl w:val="0"/>
          <w:numId w:val="24"/>
        </w:numPr>
        <w:tabs>
          <w:tab w:val="left" w:pos="426"/>
        </w:tabs>
        <w:spacing w:after="200" w:line="276" w:lineRule="auto"/>
        <w:jc w:val="both"/>
        <w:rPr>
          <w:noProof/>
        </w:rPr>
      </w:pPr>
      <w:r>
        <w:rPr>
          <w:noProof/>
        </w:rPr>
        <w:t>Genomförande av den nya ramen för finansiering av forskningsprogram för att stärka, locka till sig och behålla forskningstalanger, stärka kompetensen inom naturvetenskap, teknik, ingenjörsvetenskap och matematik och IKT, främja rörlighet till och från internationella institutioner och industrin, uppmuntra nystartade företag och inrätta oberoende forskarkarriärer för forskare inom internationellt konkurrenskraftig och målinriktad forskning med hög teknisk mognadsgrad. Ramen ska omfatta bidrag för i) stipendier för naturvetenskap, teknik, ingenjörsvetenskap och matematik och IKT. II) Ett program för unga forskare. III) Ett besittningsbaneprogram. IV) Ett rörlighetsprogram. V) start/avknoppning av unga forskares företag. och vi) ett praktikprogram för entreprenörskap.</w:t>
      </w:r>
    </w:p>
    <w:p w14:paraId="790EDC93" w14:textId="77777777" w:rsidR="003A3D51" w:rsidRDefault="0002775A">
      <w:pPr>
        <w:pStyle w:val="P68B1DB1-Normal3"/>
        <w:spacing w:before="120" w:after="120" w:line="240" w:lineRule="auto"/>
        <w:jc w:val="both"/>
        <w:rPr>
          <w:noProof/>
        </w:rPr>
      </w:pPr>
      <w:r>
        <w:rPr>
          <w:noProof/>
        </w:rPr>
        <w:t xml:space="preserve">Finansieringsprogrammens hållbarhet efter 2026 ska säkerställas genom statsbudgeten, förväntade besparingar till följd av genomförandet av programavtalen för universitet och institut och genom den förväntade ökningen av forskningsbidrag som beviljas forskarsamhället från EU-medel. </w:t>
      </w:r>
    </w:p>
    <w:p w14:paraId="4A30E777" w14:textId="77777777" w:rsidR="003A3D51" w:rsidRDefault="0002775A">
      <w:pPr>
        <w:pStyle w:val="P68B1DB1-Normal3"/>
        <w:spacing w:before="120" w:after="120" w:line="240" w:lineRule="auto"/>
        <w:jc w:val="both"/>
        <w:rPr>
          <w:noProof/>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24"/>
      </w:r>
      <w:r>
        <w:rPr>
          <w:noProof/>
        </w:rPr>
        <w:t>. II) Verksamhet inom ramen för EU:s utsläppshandelssystem som uppnår beräknade växthusgasutsläpp som inte är lägre än de relevanta riktmärkena</w:t>
      </w:r>
      <w:r>
        <w:rPr>
          <w:noProof/>
        </w:rPr>
        <w:footnoteReference w:id="25"/>
      </w:r>
      <w:r>
        <w:rPr>
          <w:noProof/>
        </w:rPr>
        <w:t>. III) Verksamhet i samband med avfallsdeponier, förbränningsanläggningar</w:t>
      </w:r>
      <w:r>
        <w:rPr>
          <w:noProof/>
        </w:rPr>
        <w:footnoteReference w:id="26"/>
      </w:r>
      <w:r>
        <w:rPr>
          <w:noProof/>
        </w:rPr>
        <w:t xml:space="preserve"> och anläggningar för mekanisk biologisk behandling</w:t>
      </w:r>
      <w:r>
        <w:rPr>
          <w:noProof/>
        </w:rPr>
        <w:footnoteReference w:id="27"/>
      </w:r>
      <w:r>
        <w:rPr>
          <w:noProof/>
        </w:rPr>
        <w:t>. och iv) Verksamheter där den långsiktig avfallshanteringen kan skada miljön. Uppdragsbeskrivningen ska dessutom innehålla krav på att endast verksamheter som är förenliga med relevant EU-lagstiftning och nationell miljölagstiftning får väljas ut.</w:t>
      </w:r>
    </w:p>
    <w:p w14:paraId="512CA801" w14:textId="77777777" w:rsidR="003A3D51" w:rsidRDefault="0002775A">
      <w:pPr>
        <w:pStyle w:val="P68B1DB1-Normal3"/>
        <w:spacing w:before="120" w:after="120" w:line="240" w:lineRule="auto"/>
        <w:jc w:val="both"/>
        <w:rPr>
          <w:noProof/>
        </w:rPr>
      </w:pPr>
      <w:r>
        <w:rPr>
          <w:noProof/>
        </w:rPr>
        <w:t>Investeringen ska genomföras senast den 30 mars 2025.</w:t>
      </w:r>
    </w:p>
    <w:p w14:paraId="39361E28" w14:textId="77777777" w:rsidR="003A3D51" w:rsidRDefault="0002775A">
      <w:pPr>
        <w:pStyle w:val="P68B1DB1-Normal18"/>
        <w:keepNext/>
        <w:numPr>
          <w:ilvl w:val="2"/>
          <w:numId w:val="0"/>
        </w:numPr>
        <w:spacing w:before="240" w:after="0"/>
        <w:ind w:left="851"/>
        <w:jc w:val="both"/>
        <w:outlineLvl w:val="2"/>
        <w:rPr>
          <w:noProof/>
        </w:rPr>
      </w:pPr>
      <w:r>
        <w:rPr>
          <w:noProof/>
        </w:rPr>
        <w:t>Investering C3.2 R2-I2 – Investering i forskning – teknisk infrastruktur inom naturvetenskap, teknik, ingenjörsvetenskap och matematik samt IKT</w:t>
      </w:r>
    </w:p>
    <w:p w14:paraId="6C2FBEAB" w14:textId="77777777" w:rsidR="003A3D51" w:rsidRDefault="0002775A">
      <w:pPr>
        <w:pStyle w:val="P68B1DB1-Normal3"/>
        <w:spacing w:before="120" w:after="120" w:line="240" w:lineRule="auto"/>
        <w:jc w:val="both"/>
        <w:rPr>
          <w:noProof/>
        </w:rPr>
      </w:pPr>
      <w:r>
        <w:rPr>
          <w:noProof/>
        </w:rPr>
        <w:t>Syftet med denna investering är att stödja den digitala omställningen genom investeringar i viktiga infrastrukturprojekt för tillämpad och riktad forskning, för att göra det möjligt för unga forskare att utveckla karriärer i samarbete med näringslivet och förse erfarna forskare med en samarbetsplattform för innovationsverksamhet.</w:t>
      </w:r>
    </w:p>
    <w:p w14:paraId="7EB293AA" w14:textId="77777777" w:rsidR="003A3D51" w:rsidRDefault="0002775A">
      <w:pPr>
        <w:pStyle w:val="P68B1DB1-Normal3"/>
        <w:spacing w:before="120" w:after="120" w:line="240" w:lineRule="auto"/>
        <w:jc w:val="both"/>
        <w:rPr>
          <w:noProof/>
        </w:rPr>
      </w:pPr>
      <w:r>
        <w:rPr>
          <w:noProof/>
        </w:rPr>
        <w:t>Denna åtgärd ska inrätta och utrusta den vetenskapliga, tekniska och innovativa infrastruktur av strategisk betydelse med stor forskningspotential för naturvetenskap, teknik, ingenjörsvetenskap och matematik och IKT, vilket ska stärka den mänskliga kapaciteten för spetsforskning och samarbete med näringslivet. Infrastrukturen ska baseras på principer för öppen innovation och direkt stödja områden med ren teknik och den gröna och digitala omställningen.</w:t>
      </w:r>
    </w:p>
    <w:p w14:paraId="23D7D02E" w14:textId="77777777" w:rsidR="003A3D51" w:rsidRDefault="0002775A">
      <w:pPr>
        <w:pStyle w:val="P68B1DB1-Normal3"/>
        <w:spacing w:before="120" w:after="120" w:line="240" w:lineRule="auto"/>
        <w:jc w:val="both"/>
        <w:rPr>
          <w:noProof/>
        </w:rPr>
      </w:pPr>
      <w:r>
        <w:rPr>
          <w:noProof/>
        </w:rPr>
        <w:t>Investeringen ska vara slutförd senast den 30 juni 2026.</w:t>
      </w:r>
    </w:p>
    <w:p w14:paraId="295A2C16" w14:textId="77777777" w:rsidR="003A3D51" w:rsidRDefault="0002775A">
      <w:pPr>
        <w:pStyle w:val="P68B1DB1-Normal18"/>
        <w:keepNext/>
        <w:numPr>
          <w:ilvl w:val="2"/>
          <w:numId w:val="0"/>
        </w:numPr>
        <w:spacing w:before="240" w:after="0"/>
        <w:ind w:left="851"/>
        <w:jc w:val="both"/>
        <w:outlineLvl w:val="2"/>
        <w:rPr>
          <w:noProof/>
        </w:rPr>
      </w:pPr>
      <w:r>
        <w:rPr>
          <w:noProof/>
        </w:rPr>
        <w:t>Reform C3.2 R3 – Förbättra</w:t>
      </w:r>
      <w:r>
        <w:rPr>
          <w:noProof/>
        </w:rPr>
        <w:tab/>
        <w:t xml:space="preserve">effektiva offentliga investeringar i forskning, utveckling och innovation </w:t>
      </w:r>
    </w:p>
    <w:p w14:paraId="035A0463" w14:textId="77777777" w:rsidR="003A3D51" w:rsidRDefault="0002775A">
      <w:pPr>
        <w:pStyle w:val="P68B1DB1-Normal3"/>
        <w:spacing w:before="120" w:after="120" w:line="240" w:lineRule="auto"/>
        <w:jc w:val="both"/>
        <w:rPr>
          <w:noProof/>
        </w:rPr>
      </w:pPr>
      <w:r>
        <w:rPr>
          <w:noProof/>
        </w:rPr>
        <w:t xml:space="preserve">Syftet med denna reform är att genomföra en mer funktionell och effektiv styrningsmodell för konkurrenskraftig forskning och att införa utvecklings- och innovationssystem som möjliggör en snabbare, meritbaserad urvalsprocess för forskningsprojekt. </w:t>
      </w:r>
    </w:p>
    <w:p w14:paraId="2F670CE1" w14:textId="77777777" w:rsidR="003A3D51" w:rsidRDefault="0002775A">
      <w:pPr>
        <w:pStyle w:val="P68B1DB1-Normal3"/>
        <w:spacing w:before="120" w:after="120" w:line="240" w:lineRule="auto"/>
        <w:jc w:val="both"/>
        <w:rPr>
          <w:noProof/>
        </w:rPr>
      </w:pPr>
      <w:r>
        <w:rPr>
          <w:noProof/>
        </w:rPr>
        <w:t>Reformen ska omfatta antagandet av en ny lag om Kroatiens vetenskapsstiftelse för att stärka den kroatiska vetenskapsstiftelsens kapacitet och minska antalet institutioner som för närvarande deltar i förvaltningen och genomförandet av finansieringsprogram för forskning och innovation. Denna nya rättsliga ram ska göra det möjligt att omvandla och stärka stiftelsens kapacitet till ett organ som, utöver tydligt överenskomna och definierade befogenheter inom ramen för den interinstitutionella samordningen inom det nationella innovationsrådet, ska säkerställa en förenklad och systematisk strategi för förvaltning av projektfinansiering.</w:t>
      </w:r>
    </w:p>
    <w:p w14:paraId="1F65CF15" w14:textId="77777777" w:rsidR="003A3D51" w:rsidRDefault="0002775A">
      <w:pPr>
        <w:pStyle w:val="P68B1DB1-Normal3"/>
        <w:spacing w:before="120" w:after="120" w:line="240" w:lineRule="auto"/>
        <w:jc w:val="both"/>
        <w:rPr>
          <w:noProof/>
        </w:rPr>
      </w:pPr>
      <w:r>
        <w:rPr>
          <w:noProof/>
        </w:rPr>
        <w:t xml:space="preserve">Reformen ska vara genomförd senast den 30 september 2022. </w:t>
      </w:r>
    </w:p>
    <w:p w14:paraId="1FC62D13" w14:textId="77777777" w:rsidR="003A3D51" w:rsidRDefault="0002775A">
      <w:pPr>
        <w:pStyle w:val="P68B1DB1-Normal18"/>
        <w:keepNext/>
        <w:numPr>
          <w:ilvl w:val="2"/>
          <w:numId w:val="0"/>
        </w:numPr>
        <w:spacing w:before="240" w:after="0"/>
        <w:ind w:left="851"/>
        <w:jc w:val="both"/>
        <w:outlineLvl w:val="2"/>
        <w:rPr>
          <w:noProof/>
        </w:rPr>
      </w:pPr>
      <w:r>
        <w:rPr>
          <w:noProof/>
        </w:rPr>
        <w:t>Investering C3.2 R3 – I1 – Införande av en mer funktionell ram för finansiering av projekt för forskning, utveckling och innovation</w:t>
      </w:r>
    </w:p>
    <w:p w14:paraId="10BC0095" w14:textId="77777777" w:rsidR="003A3D51" w:rsidRDefault="0002775A">
      <w:pPr>
        <w:pStyle w:val="P68B1DB1-Normal3"/>
        <w:spacing w:before="120" w:after="120" w:line="240" w:lineRule="auto"/>
        <w:jc w:val="both"/>
        <w:rPr>
          <w:noProof/>
        </w:rPr>
      </w:pPr>
      <w:r>
        <w:rPr>
          <w:noProof/>
        </w:rPr>
        <w:t>Syftet med denna åtgärd är att förbättra det befintliga systemet för finansiering av forskning, utveckling och innovation (FoU I) och stödja utvecklingen av spetsforskning och produkter. Investeringen ska omfatta följande:</w:t>
      </w:r>
    </w:p>
    <w:p w14:paraId="176EFCF8" w14:textId="77777777" w:rsidR="003A3D51" w:rsidRDefault="0002775A">
      <w:pPr>
        <w:pStyle w:val="P68B1DB1-Normal11"/>
        <w:numPr>
          <w:ilvl w:val="0"/>
          <w:numId w:val="24"/>
        </w:numPr>
        <w:tabs>
          <w:tab w:val="left" w:pos="426"/>
        </w:tabs>
        <w:spacing w:after="200" w:line="276" w:lineRule="auto"/>
        <w:jc w:val="both"/>
        <w:rPr>
          <w:noProof/>
        </w:rPr>
      </w:pPr>
      <w:r>
        <w:rPr>
          <w:noProof/>
        </w:rPr>
        <w:t>Inrätta en ny ram för genomförandet av politiken för forskning och innovation genom att utforma nya finansieringsprogram för stöd till forskning och utveckling samt förbättra den kroatiska vetenskapliga stiftelsens kapacitet, på grundval av detaljerade analyser och studier av externa experter.</w:t>
      </w:r>
    </w:p>
    <w:p w14:paraId="17EB6959" w14:textId="77777777" w:rsidR="003A3D51" w:rsidRDefault="0002775A">
      <w:pPr>
        <w:pStyle w:val="P68B1DB1-Normal11"/>
        <w:numPr>
          <w:ilvl w:val="0"/>
          <w:numId w:val="24"/>
        </w:numPr>
        <w:tabs>
          <w:tab w:val="left" w:pos="426"/>
        </w:tabs>
        <w:spacing w:after="200" w:line="276" w:lineRule="auto"/>
        <w:jc w:val="both"/>
        <w:rPr>
          <w:noProof/>
        </w:rPr>
      </w:pPr>
      <w:r>
        <w:rPr>
          <w:noProof/>
        </w:rPr>
        <w:t xml:space="preserve">Genomförande av finansieringsprogram (forskningsinnovationsprojekt) genom den nya ramen, som utgör en ”pilotfas” med det långsiktiga målet att återskapa det nya tänkesätt som finns i planeringen och genomförandet av politik och program för forskning och innovation, oavsett finansieringskälla. </w:t>
      </w:r>
    </w:p>
    <w:p w14:paraId="3D353819" w14:textId="77777777" w:rsidR="003A3D51" w:rsidRDefault="0002775A">
      <w:pPr>
        <w:pStyle w:val="P68B1DB1-Normal3"/>
        <w:spacing w:before="120" w:after="120" w:line="240" w:lineRule="auto"/>
        <w:jc w:val="both"/>
        <w:rPr>
          <w:noProof/>
        </w:rPr>
      </w:pPr>
      <w:r>
        <w:rPr>
          <w:noProof/>
        </w:rPr>
        <w:t>Hållbarheten i den nya programplaneringsramen efter 2026 ska säkerställas genom finansiering från statsbudgeten, samtidigt som man tar hänsyn till komplementariteten med ESI-finansierade program.</w:t>
      </w:r>
    </w:p>
    <w:p w14:paraId="3DB5FCD6" w14:textId="77777777" w:rsidR="003A3D51" w:rsidRDefault="0002775A">
      <w:pPr>
        <w:pStyle w:val="P68B1DB1-Normal3"/>
        <w:spacing w:before="120" w:after="120" w:line="240" w:lineRule="auto"/>
        <w:jc w:val="both"/>
        <w:rPr>
          <w:noProof/>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28"/>
      </w:r>
      <w:r>
        <w:rPr>
          <w:noProof/>
        </w:rPr>
        <w:t>. II) Verksamhet inom ramen för EU:s utsläppshandelssystem som uppnår beräknade växthusgasutsläpp som inte är lägre än de relevanta riktmärkena</w:t>
      </w:r>
      <w:r>
        <w:rPr>
          <w:noProof/>
        </w:rPr>
        <w:footnoteReference w:id="29"/>
      </w:r>
      <w:r>
        <w:rPr>
          <w:noProof/>
        </w:rPr>
        <w:t>. III) Verksamhet i samband med avfallsdeponier, förbränningsanläggningar</w:t>
      </w:r>
      <w:r>
        <w:rPr>
          <w:noProof/>
        </w:rPr>
        <w:footnoteReference w:id="30"/>
      </w:r>
      <w:r>
        <w:rPr>
          <w:noProof/>
        </w:rPr>
        <w:t xml:space="preserve"> och anläggningar för mekanisk biologisk behandling</w:t>
      </w:r>
      <w:r>
        <w:rPr>
          <w:noProof/>
        </w:rPr>
        <w:footnoteReference w:id="31"/>
      </w:r>
      <w:r>
        <w:rPr>
          <w:noProof/>
        </w:rPr>
        <w:t>. och iv) Verksamheter där den långsiktig avfallshanteringen kan skada miljön. Uppdragsbeskrivningen ska dessutom innehålla krav på att endast verksamheter som är förenliga med relevant EU-lagstiftning och nationell miljölagstiftning får väljas ut.</w:t>
      </w:r>
    </w:p>
    <w:p w14:paraId="09B16AD9" w14:textId="77777777" w:rsidR="003A3D51" w:rsidRDefault="0002775A">
      <w:pPr>
        <w:pStyle w:val="P68B1DB1-Normal3"/>
        <w:spacing w:before="120" w:after="120" w:line="240" w:lineRule="auto"/>
        <w:jc w:val="both"/>
        <w:rPr>
          <w:noProof/>
        </w:rPr>
      </w:pPr>
      <w:r>
        <w:rPr>
          <w:noProof/>
        </w:rPr>
        <w:t xml:space="preserve">Investeringen ska vara slutförd senast den 31 december 2025. </w:t>
      </w:r>
    </w:p>
    <w:p w14:paraId="461AEA3C" w14:textId="05758A95" w:rsidR="003A3D51" w:rsidRDefault="003A3D51">
      <w:pPr>
        <w:spacing w:before="120" w:after="120" w:line="240" w:lineRule="auto"/>
        <w:jc w:val="both"/>
        <w:rPr>
          <w:rFonts w:ascii="Times New Roman" w:eastAsia="Calibri" w:hAnsi="Times New Roman" w:cs="Times New Roman"/>
          <w:noProof/>
          <w:sz w:val="24"/>
        </w:rPr>
        <w:sectPr w:rsidR="003A3D51" w:rsidSect="00BD1A7F">
          <w:headerReference w:type="even" r:id="rId294"/>
          <w:headerReference w:type="default" r:id="rId295"/>
          <w:footerReference w:type="even" r:id="rId296"/>
          <w:footerReference w:type="default" r:id="rId297"/>
          <w:headerReference w:type="first" r:id="rId298"/>
          <w:footerReference w:type="first" r:id="rId299"/>
          <w:pgSz w:w="12240" w:h="15840"/>
          <w:pgMar w:top="1440" w:right="1440" w:bottom="1440" w:left="1440" w:header="708" w:footer="708" w:gutter="0"/>
          <w:cols w:space="708"/>
          <w:docGrid w:linePitch="360"/>
        </w:sectPr>
      </w:pPr>
    </w:p>
    <w:p w14:paraId="6951F241" w14:textId="77777777" w:rsidR="003A3D51" w:rsidRDefault="0002775A">
      <w:pPr>
        <w:pStyle w:val="P68B1DB1-Normal37"/>
        <w:keepNext/>
        <w:pageBreakBefore/>
        <w:tabs>
          <w:tab w:val="num" w:pos="850"/>
        </w:tabs>
        <w:spacing w:before="40" w:after="0"/>
        <w:ind w:left="851"/>
        <w:jc w:val="both"/>
        <w:outlineLvl w:val="1"/>
        <w:rPr>
          <w:noProof/>
        </w:rPr>
      </w:pPr>
      <w:r>
        <w:rPr>
          <w:noProof/>
        </w:rPr>
        <w:t xml:space="preserve">FRÅGA 2 </w:t>
      </w:r>
      <w:r>
        <w:rPr>
          <w:noProof/>
        </w:rPr>
        <w:tab/>
        <w:t>Delmål, mål, indikatorer och tidsplan för övervakning och genomförande avseende icke återbetalningspliktigt ekonomiskt stöd</w:t>
      </w:r>
    </w:p>
    <w:p w14:paraId="07C79ED4" w14:textId="77777777" w:rsidR="003A3D51" w:rsidRDefault="003A3D51">
      <w:pPr>
        <w:keepNext/>
        <w:tabs>
          <w:tab w:val="num" w:pos="850"/>
        </w:tabs>
        <w:spacing w:before="40" w:after="0"/>
        <w:ind w:left="851"/>
        <w:jc w:val="both"/>
        <w:outlineLvl w:val="1"/>
        <w:rPr>
          <w:rFonts w:ascii="Times New Roman" w:eastAsiaTheme="minorEastAsia" w:hAnsi="Times New Roman" w:cs="Times New Roman"/>
          <w:b/>
          <w:noProof/>
          <w:sz w:val="24"/>
          <w:u w:val="single"/>
        </w:rPr>
      </w:pPr>
    </w:p>
    <w:tbl>
      <w:tblPr>
        <w:tblW w:w="14844" w:type="dxa"/>
        <w:jc w:val="center"/>
        <w:tblCellMar>
          <w:top w:w="28" w:type="dxa"/>
          <w:left w:w="28" w:type="dxa"/>
          <w:bottom w:w="28" w:type="dxa"/>
          <w:right w:w="28" w:type="dxa"/>
        </w:tblCellMar>
        <w:tblLook w:val="04A0" w:firstRow="1" w:lastRow="0" w:firstColumn="1" w:lastColumn="0" w:noHBand="0" w:noVBand="1"/>
      </w:tblPr>
      <w:tblGrid>
        <w:gridCol w:w="737"/>
        <w:gridCol w:w="850"/>
        <w:gridCol w:w="946"/>
        <w:gridCol w:w="2131"/>
        <w:gridCol w:w="1957"/>
        <w:gridCol w:w="1096"/>
        <w:gridCol w:w="821"/>
        <w:gridCol w:w="970"/>
        <w:gridCol w:w="795"/>
        <w:gridCol w:w="992"/>
        <w:gridCol w:w="3979"/>
      </w:tblGrid>
      <w:tr w:rsidR="003A3D51" w14:paraId="52F284AD" w14:textId="77777777">
        <w:trPr>
          <w:trHeight w:val="494"/>
          <w:tblHeader/>
          <w:jc w:val="center"/>
        </w:trPr>
        <w:tc>
          <w:tcPr>
            <w:tcW w:w="73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1024DE1F" w14:textId="77777777" w:rsidR="003A3D51" w:rsidRDefault="0002775A">
            <w:pPr>
              <w:pStyle w:val="P68B1DB1-Normal6"/>
              <w:spacing w:after="0"/>
              <w:jc w:val="center"/>
              <w:rPr>
                <w:noProof/>
              </w:rPr>
            </w:pPr>
            <w:r>
              <w:rPr>
                <w:noProof/>
              </w:rPr>
              <w:t>Antal</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7169FA17" w14:textId="77777777" w:rsidR="003A3D51" w:rsidRDefault="0002775A">
            <w:pPr>
              <w:pStyle w:val="P68B1DB1-Normal6"/>
              <w:spacing w:after="0"/>
              <w:jc w:val="center"/>
              <w:rPr>
                <w:noProof/>
              </w:rPr>
            </w:pPr>
            <w:r>
              <w:rPr>
                <w:noProof/>
              </w:rPr>
              <w:t>Åtgärd</w:t>
            </w:r>
          </w:p>
        </w:tc>
        <w:tc>
          <w:tcPr>
            <w:tcW w:w="850"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09AC325B" w14:textId="77777777" w:rsidR="003A3D51" w:rsidRDefault="0002775A">
            <w:pPr>
              <w:pStyle w:val="P68B1DB1-Normal6"/>
              <w:spacing w:after="0"/>
              <w:jc w:val="center"/>
              <w:rPr>
                <w:noProof/>
              </w:rPr>
            </w:pPr>
            <w:r>
              <w:rPr>
                <w:noProof/>
              </w:rPr>
              <w:t>Delmål/mål</w:t>
            </w:r>
          </w:p>
        </w:tc>
        <w:tc>
          <w:tcPr>
            <w:tcW w:w="1979" w:type="dxa"/>
            <w:vMerge w:val="restart"/>
            <w:tcBorders>
              <w:top w:val="single" w:sz="4" w:space="0" w:color="auto"/>
              <w:left w:val="nil"/>
              <w:bottom w:val="single" w:sz="4" w:space="0" w:color="000000" w:themeColor="text1"/>
              <w:right w:val="single" w:sz="4" w:space="0" w:color="auto"/>
            </w:tcBorders>
            <w:shd w:val="clear" w:color="auto" w:fill="BDD7EE"/>
            <w:vAlign w:val="center"/>
            <w:hideMark/>
          </w:tcPr>
          <w:p w14:paraId="2E14730C" w14:textId="77777777" w:rsidR="003A3D51" w:rsidRDefault="0002775A">
            <w:pPr>
              <w:pStyle w:val="P68B1DB1-Normal6"/>
              <w:spacing w:after="0"/>
              <w:jc w:val="center"/>
              <w:rPr>
                <w:noProof/>
              </w:rPr>
            </w:pPr>
            <w:r>
              <w:rPr>
                <w:noProof/>
              </w:rPr>
              <w:t>Namn</w:t>
            </w:r>
          </w:p>
        </w:tc>
        <w:tc>
          <w:tcPr>
            <w:tcW w:w="1957" w:type="dxa"/>
            <w:vMerge w:val="restart"/>
            <w:tcBorders>
              <w:top w:val="single" w:sz="4" w:space="0" w:color="auto"/>
              <w:left w:val="single" w:sz="4" w:space="0" w:color="auto"/>
              <w:bottom w:val="single" w:sz="4" w:space="0" w:color="000000" w:themeColor="text1"/>
              <w:right w:val="single" w:sz="4" w:space="0" w:color="auto"/>
            </w:tcBorders>
            <w:shd w:val="clear" w:color="auto" w:fill="BDD7EE"/>
            <w:vAlign w:val="center"/>
            <w:hideMark/>
          </w:tcPr>
          <w:p w14:paraId="618E70B8" w14:textId="77777777" w:rsidR="003A3D51" w:rsidRDefault="0002775A">
            <w:pPr>
              <w:pStyle w:val="P68B1DB1-Normal6"/>
              <w:spacing w:after="0"/>
              <w:jc w:val="center"/>
              <w:rPr>
                <w:noProof/>
              </w:rPr>
            </w:pPr>
            <w:r>
              <w:rPr>
                <w:noProof/>
              </w:rPr>
              <w:t xml:space="preserve">Kvalitativa indikatorer </w:t>
            </w:r>
            <w:r>
              <w:rPr>
                <w:noProof/>
              </w:rPr>
              <w:br/>
              <w:t>(för delmål)</w:t>
            </w:r>
          </w:p>
        </w:tc>
        <w:tc>
          <w:tcPr>
            <w:tcW w:w="2887" w:type="dxa"/>
            <w:gridSpan w:val="3"/>
            <w:tcBorders>
              <w:top w:val="single" w:sz="4" w:space="0" w:color="auto"/>
              <w:left w:val="nil"/>
              <w:bottom w:val="single" w:sz="4" w:space="0" w:color="auto"/>
              <w:right w:val="single" w:sz="4" w:space="0" w:color="auto"/>
            </w:tcBorders>
            <w:shd w:val="clear" w:color="auto" w:fill="BDD7EE"/>
            <w:vAlign w:val="center"/>
            <w:hideMark/>
          </w:tcPr>
          <w:p w14:paraId="3087291F" w14:textId="77777777" w:rsidR="003A3D51" w:rsidRDefault="0002775A">
            <w:pPr>
              <w:pStyle w:val="P68B1DB1-Normal6"/>
              <w:spacing w:after="0"/>
              <w:jc w:val="center"/>
              <w:rPr>
                <w:noProof/>
              </w:rPr>
            </w:pPr>
            <w:r>
              <w:rPr>
                <w:noProof/>
              </w:rPr>
              <w:t xml:space="preserve">Kvantitativa indikatorer </w:t>
            </w:r>
            <w:r>
              <w:rPr>
                <w:noProof/>
              </w:rPr>
              <w:br/>
              <w:t>(för mål)</w:t>
            </w:r>
          </w:p>
        </w:tc>
        <w:tc>
          <w:tcPr>
            <w:tcW w:w="1605" w:type="dxa"/>
            <w:gridSpan w:val="2"/>
            <w:tcBorders>
              <w:top w:val="single" w:sz="4" w:space="0" w:color="auto"/>
              <w:left w:val="nil"/>
              <w:bottom w:val="single" w:sz="4" w:space="0" w:color="auto"/>
              <w:right w:val="single" w:sz="4" w:space="0" w:color="auto"/>
            </w:tcBorders>
            <w:shd w:val="clear" w:color="auto" w:fill="BDD7EE"/>
            <w:vAlign w:val="center"/>
            <w:hideMark/>
          </w:tcPr>
          <w:p w14:paraId="4C4161C7" w14:textId="77777777" w:rsidR="003A3D51" w:rsidRDefault="0002775A">
            <w:pPr>
              <w:pStyle w:val="P68B1DB1-Normal6"/>
              <w:spacing w:after="0"/>
              <w:jc w:val="center"/>
              <w:rPr>
                <w:noProof/>
              </w:rPr>
            </w:pPr>
            <w:r>
              <w:rPr>
                <w:noProof/>
              </w:rPr>
              <w:t>Tid</w:t>
            </w:r>
          </w:p>
        </w:tc>
        <w:tc>
          <w:tcPr>
            <w:tcW w:w="397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50EF21" w14:textId="77777777" w:rsidR="003A3D51" w:rsidRDefault="0002775A">
            <w:pPr>
              <w:pStyle w:val="P68B1DB1-Normal6"/>
              <w:spacing w:after="0"/>
              <w:jc w:val="center"/>
              <w:rPr>
                <w:noProof/>
              </w:rPr>
            </w:pPr>
            <w:r>
              <w:rPr>
                <w:noProof/>
              </w:rPr>
              <w:t>Beskrivning av varje delmål och mål</w:t>
            </w:r>
          </w:p>
        </w:tc>
      </w:tr>
      <w:tr w:rsidR="003A3D51" w14:paraId="014A7404" w14:textId="77777777">
        <w:trPr>
          <w:trHeight w:val="502"/>
          <w:tblHeader/>
          <w:jc w:val="center"/>
        </w:trPr>
        <w:tc>
          <w:tcPr>
            <w:tcW w:w="737" w:type="dxa"/>
            <w:vMerge/>
            <w:tcBorders>
              <w:top w:val="single" w:sz="4" w:space="0" w:color="auto"/>
              <w:left w:val="single" w:sz="4" w:space="0" w:color="auto"/>
              <w:bottom w:val="single" w:sz="4" w:space="0" w:color="000000"/>
              <w:right w:val="single" w:sz="4" w:space="0" w:color="auto"/>
            </w:tcBorders>
            <w:hideMark/>
          </w:tcPr>
          <w:p w14:paraId="3CD8C9D3" w14:textId="77777777" w:rsidR="003A3D51" w:rsidRDefault="003A3D51">
            <w:pPr>
              <w:spacing w:after="0"/>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000000"/>
              <w:right w:val="single" w:sz="4" w:space="0" w:color="auto"/>
            </w:tcBorders>
            <w:hideMark/>
          </w:tcPr>
          <w:p w14:paraId="63C3807D" w14:textId="77777777" w:rsidR="003A3D51" w:rsidRDefault="003A3D51">
            <w:pPr>
              <w:spacing w:after="0"/>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000000"/>
              <w:right w:val="single" w:sz="4" w:space="0" w:color="auto"/>
            </w:tcBorders>
            <w:hideMark/>
          </w:tcPr>
          <w:p w14:paraId="5E251745" w14:textId="77777777" w:rsidR="003A3D51" w:rsidRDefault="003A3D51">
            <w:pPr>
              <w:spacing w:after="0"/>
              <w:jc w:val="center"/>
              <w:rPr>
                <w:rFonts w:ascii="Times New Roman" w:eastAsia="Times New Roman" w:hAnsi="Times New Roman" w:cs="Times New Roman"/>
                <w:b/>
                <w:noProof/>
              </w:rPr>
            </w:pPr>
          </w:p>
        </w:tc>
        <w:tc>
          <w:tcPr>
            <w:tcW w:w="1979" w:type="dxa"/>
            <w:vMerge/>
            <w:tcBorders>
              <w:top w:val="single" w:sz="4" w:space="0" w:color="auto"/>
              <w:left w:val="nil"/>
              <w:bottom w:val="single" w:sz="4" w:space="0" w:color="000000"/>
              <w:right w:val="single" w:sz="4" w:space="0" w:color="auto"/>
            </w:tcBorders>
            <w:hideMark/>
          </w:tcPr>
          <w:p w14:paraId="4FFAA66E" w14:textId="77777777" w:rsidR="003A3D51" w:rsidRDefault="003A3D51">
            <w:pPr>
              <w:spacing w:after="0"/>
              <w:rPr>
                <w:rFonts w:ascii="Times New Roman" w:eastAsia="Times New Roman" w:hAnsi="Times New Roman" w:cs="Times New Roman"/>
                <w:b/>
                <w:noProof/>
              </w:rPr>
            </w:pPr>
          </w:p>
        </w:tc>
        <w:tc>
          <w:tcPr>
            <w:tcW w:w="1957" w:type="dxa"/>
            <w:vMerge/>
            <w:tcBorders>
              <w:top w:val="single" w:sz="4" w:space="0" w:color="auto"/>
              <w:left w:val="single" w:sz="4" w:space="0" w:color="auto"/>
              <w:bottom w:val="single" w:sz="4" w:space="0" w:color="000000"/>
              <w:right w:val="single" w:sz="4" w:space="0" w:color="auto"/>
            </w:tcBorders>
            <w:hideMark/>
          </w:tcPr>
          <w:p w14:paraId="5DCFA72C" w14:textId="77777777" w:rsidR="003A3D51" w:rsidRDefault="003A3D51">
            <w:pPr>
              <w:spacing w:after="0"/>
              <w:rPr>
                <w:rFonts w:ascii="Times New Roman" w:eastAsia="Times New Roman" w:hAnsi="Times New Roman" w:cs="Times New Roman"/>
                <w:b/>
                <w:noProof/>
              </w:rPr>
            </w:pPr>
          </w:p>
        </w:tc>
        <w:tc>
          <w:tcPr>
            <w:tcW w:w="1096" w:type="dxa"/>
            <w:tcBorders>
              <w:top w:val="nil"/>
              <w:left w:val="nil"/>
              <w:bottom w:val="single" w:sz="4" w:space="0" w:color="auto"/>
              <w:right w:val="single" w:sz="4" w:space="0" w:color="auto"/>
            </w:tcBorders>
            <w:shd w:val="clear" w:color="auto" w:fill="BDD7EE"/>
            <w:vAlign w:val="center"/>
            <w:hideMark/>
          </w:tcPr>
          <w:p w14:paraId="024D1B54" w14:textId="77777777" w:rsidR="003A3D51" w:rsidRDefault="0002775A">
            <w:pPr>
              <w:pStyle w:val="P68B1DB1-Normal6"/>
              <w:spacing w:after="0"/>
              <w:jc w:val="center"/>
              <w:rPr>
                <w:noProof/>
              </w:rPr>
            </w:pPr>
            <w:r>
              <w:rPr>
                <w:noProof/>
              </w:rPr>
              <w:t>Enhet</w:t>
            </w:r>
          </w:p>
        </w:tc>
        <w:tc>
          <w:tcPr>
            <w:tcW w:w="821" w:type="dxa"/>
            <w:tcBorders>
              <w:top w:val="nil"/>
              <w:left w:val="nil"/>
              <w:bottom w:val="single" w:sz="4" w:space="0" w:color="auto"/>
              <w:right w:val="single" w:sz="4" w:space="0" w:color="auto"/>
            </w:tcBorders>
            <w:shd w:val="clear" w:color="auto" w:fill="BDD7EE"/>
            <w:vAlign w:val="center"/>
            <w:hideMark/>
          </w:tcPr>
          <w:p w14:paraId="631E1EE9" w14:textId="77777777" w:rsidR="003A3D51" w:rsidRDefault="0002775A">
            <w:pPr>
              <w:pStyle w:val="P68B1DB1-Normal6"/>
              <w:spacing w:after="0"/>
              <w:jc w:val="center"/>
              <w:rPr>
                <w:noProof/>
              </w:rPr>
            </w:pPr>
            <w:r>
              <w:rPr>
                <w:noProof/>
              </w:rPr>
              <w:t>Baslinjen</w:t>
            </w:r>
          </w:p>
        </w:tc>
        <w:tc>
          <w:tcPr>
            <w:tcW w:w="970" w:type="dxa"/>
            <w:tcBorders>
              <w:top w:val="nil"/>
              <w:left w:val="nil"/>
              <w:bottom w:val="single" w:sz="4" w:space="0" w:color="auto"/>
              <w:right w:val="single" w:sz="4" w:space="0" w:color="auto"/>
            </w:tcBorders>
            <w:shd w:val="clear" w:color="auto" w:fill="BDD7EE"/>
            <w:vAlign w:val="center"/>
            <w:hideMark/>
          </w:tcPr>
          <w:p w14:paraId="1594AFBC" w14:textId="77777777" w:rsidR="003A3D51" w:rsidRDefault="0002775A">
            <w:pPr>
              <w:pStyle w:val="P68B1DB1-Normal6"/>
              <w:spacing w:after="0"/>
              <w:jc w:val="center"/>
              <w:rPr>
                <w:noProof/>
              </w:rPr>
            </w:pPr>
            <w:r>
              <w:rPr>
                <w:noProof/>
              </w:rPr>
              <w:t>Mål</w:t>
            </w:r>
          </w:p>
        </w:tc>
        <w:tc>
          <w:tcPr>
            <w:tcW w:w="613" w:type="dxa"/>
            <w:tcBorders>
              <w:top w:val="nil"/>
              <w:left w:val="nil"/>
              <w:bottom w:val="single" w:sz="4" w:space="0" w:color="auto"/>
              <w:right w:val="single" w:sz="4" w:space="0" w:color="auto"/>
            </w:tcBorders>
            <w:shd w:val="clear" w:color="auto" w:fill="BDD7EE"/>
            <w:vAlign w:val="center"/>
            <w:hideMark/>
          </w:tcPr>
          <w:p w14:paraId="042676AC" w14:textId="77777777" w:rsidR="003A3D51" w:rsidRDefault="0002775A">
            <w:pPr>
              <w:pStyle w:val="P68B1DB1-Normal6"/>
              <w:spacing w:after="0"/>
              <w:jc w:val="center"/>
              <w:rPr>
                <w:noProof/>
              </w:rPr>
            </w:pPr>
            <w:r>
              <w:rPr>
                <w:noProof/>
              </w:rPr>
              <w:t>Q</w:t>
            </w:r>
          </w:p>
        </w:tc>
        <w:tc>
          <w:tcPr>
            <w:tcW w:w="992" w:type="dxa"/>
            <w:tcBorders>
              <w:top w:val="nil"/>
              <w:left w:val="nil"/>
              <w:bottom w:val="single" w:sz="4" w:space="0" w:color="auto"/>
              <w:right w:val="single" w:sz="4" w:space="0" w:color="auto"/>
            </w:tcBorders>
            <w:shd w:val="clear" w:color="auto" w:fill="BDD7EE"/>
            <w:vAlign w:val="center"/>
            <w:hideMark/>
          </w:tcPr>
          <w:p w14:paraId="52A360E0" w14:textId="77777777" w:rsidR="003A3D51" w:rsidRDefault="0002775A">
            <w:pPr>
              <w:pStyle w:val="P68B1DB1-Normal6"/>
              <w:spacing w:after="0"/>
              <w:jc w:val="center"/>
              <w:rPr>
                <w:noProof/>
              </w:rPr>
            </w:pPr>
            <w:r>
              <w:rPr>
                <w:noProof/>
              </w:rPr>
              <w:t>Året</w:t>
            </w:r>
          </w:p>
        </w:tc>
        <w:tc>
          <w:tcPr>
            <w:tcW w:w="3979" w:type="dxa"/>
            <w:vMerge/>
            <w:tcBorders>
              <w:top w:val="single" w:sz="4" w:space="0" w:color="auto"/>
              <w:left w:val="single" w:sz="4" w:space="0" w:color="auto"/>
              <w:bottom w:val="single" w:sz="4" w:space="0" w:color="auto"/>
              <w:right w:val="single" w:sz="4" w:space="0" w:color="auto"/>
            </w:tcBorders>
            <w:hideMark/>
          </w:tcPr>
          <w:p w14:paraId="60C85AA6" w14:textId="77777777" w:rsidR="003A3D51" w:rsidRDefault="003A3D51">
            <w:pPr>
              <w:spacing w:after="0"/>
              <w:rPr>
                <w:rFonts w:ascii="Times New Roman" w:eastAsia="Times New Roman" w:hAnsi="Times New Roman" w:cs="Times New Roman"/>
                <w:b/>
                <w:noProof/>
              </w:rPr>
            </w:pPr>
          </w:p>
        </w:tc>
      </w:tr>
      <w:tr w:rsidR="003A3D51" w14:paraId="0E9367E5"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20516B89" w14:textId="77777777" w:rsidR="003A3D51" w:rsidRDefault="0002775A">
            <w:pPr>
              <w:pStyle w:val="P68B1DB1-Normal41"/>
              <w:spacing w:after="0"/>
              <w:jc w:val="center"/>
              <w:rPr>
                <w:rFonts w:ascii="Times New Roman" w:hAnsi="Times New Roman" w:cs="Times New Roman"/>
                <w:noProof/>
              </w:rPr>
            </w:pPr>
            <w:r>
              <w:rPr>
                <w:noProof/>
              </w:rPr>
              <w:t>275</w:t>
            </w:r>
          </w:p>
        </w:tc>
        <w:tc>
          <w:tcPr>
            <w:tcW w:w="850" w:type="dxa"/>
            <w:tcBorders>
              <w:top w:val="nil"/>
              <w:left w:val="nil"/>
              <w:bottom w:val="single" w:sz="4" w:space="0" w:color="auto"/>
              <w:right w:val="single" w:sz="4" w:space="0" w:color="auto"/>
            </w:tcBorders>
            <w:shd w:val="clear" w:color="auto" w:fill="C6EFCE"/>
            <w:noWrap/>
          </w:tcPr>
          <w:p w14:paraId="6E973571" w14:textId="77777777" w:rsidR="003A3D51" w:rsidRDefault="0002775A">
            <w:pPr>
              <w:pStyle w:val="P68B1DB1-Normal41"/>
              <w:jc w:val="center"/>
              <w:rPr>
                <w:rFonts w:ascii="Times New Roman" w:hAnsi="Times New Roman" w:cs="Times New Roman"/>
                <w:noProof/>
              </w:rPr>
            </w:pPr>
            <w:r>
              <w:rPr>
                <w:noProof/>
              </w:rPr>
              <w:t>C3.2 R1</w:t>
            </w:r>
          </w:p>
        </w:tc>
        <w:tc>
          <w:tcPr>
            <w:tcW w:w="850" w:type="dxa"/>
            <w:tcBorders>
              <w:top w:val="nil"/>
              <w:left w:val="nil"/>
              <w:bottom w:val="single" w:sz="4" w:space="0" w:color="auto"/>
              <w:right w:val="single" w:sz="4" w:space="0" w:color="auto"/>
            </w:tcBorders>
            <w:shd w:val="clear" w:color="auto" w:fill="C6EFCE"/>
            <w:noWrap/>
          </w:tcPr>
          <w:p w14:paraId="39EA311E" w14:textId="77777777" w:rsidR="003A3D51" w:rsidRDefault="0002775A">
            <w:pPr>
              <w:pStyle w:val="P68B1DB1-Normal41"/>
              <w:jc w:val="center"/>
              <w:rPr>
                <w:rFonts w:ascii="Times New Roman" w:hAnsi="Times New Roman" w:cs="Times New Roman"/>
                <w:noProof/>
              </w:rPr>
            </w:pPr>
            <w:r>
              <w:rPr>
                <w:noProof/>
              </w:rPr>
              <w:t>M</w:t>
            </w:r>
          </w:p>
        </w:tc>
        <w:tc>
          <w:tcPr>
            <w:tcW w:w="1979" w:type="dxa"/>
            <w:tcBorders>
              <w:top w:val="nil"/>
              <w:left w:val="nil"/>
              <w:bottom w:val="single" w:sz="4" w:space="0" w:color="auto"/>
              <w:right w:val="single" w:sz="4" w:space="0" w:color="auto"/>
            </w:tcBorders>
            <w:shd w:val="clear" w:color="auto" w:fill="C6EFCE"/>
            <w:noWrap/>
          </w:tcPr>
          <w:p w14:paraId="686B0DE8" w14:textId="77777777" w:rsidR="003A3D51" w:rsidRDefault="0002775A">
            <w:pPr>
              <w:pStyle w:val="P68B1DB1-Normal41"/>
              <w:rPr>
                <w:rFonts w:ascii="Times New Roman" w:hAnsi="Times New Roman" w:cs="Times New Roman"/>
                <w:noProof/>
              </w:rPr>
            </w:pPr>
            <w:r>
              <w:rPr>
                <w:noProof/>
              </w:rPr>
              <w:t>Ny lag om vetenskap och högre utbildning</w:t>
            </w:r>
          </w:p>
        </w:tc>
        <w:tc>
          <w:tcPr>
            <w:tcW w:w="1957" w:type="dxa"/>
            <w:tcBorders>
              <w:top w:val="nil"/>
              <w:left w:val="nil"/>
              <w:bottom w:val="single" w:sz="4" w:space="0" w:color="auto"/>
              <w:right w:val="single" w:sz="4" w:space="0" w:color="auto"/>
            </w:tcBorders>
            <w:shd w:val="clear" w:color="auto" w:fill="C6EFCE"/>
            <w:noWrap/>
          </w:tcPr>
          <w:p w14:paraId="6E017E75" w14:textId="77777777" w:rsidR="003A3D51" w:rsidRDefault="0002775A">
            <w:pPr>
              <w:pStyle w:val="P68B1DB1-Normal41"/>
              <w:rPr>
                <w:rFonts w:ascii="Times New Roman" w:hAnsi="Times New Roman" w:cs="Times New Roman"/>
                <w:noProof/>
              </w:rPr>
            </w:pPr>
            <w:r>
              <w:rPr>
                <w:noProof/>
              </w:rPr>
              <w:t xml:space="preserve">Lagen om ny vetenskap och högre utbildning träder i kraft </w:t>
            </w:r>
          </w:p>
        </w:tc>
        <w:tc>
          <w:tcPr>
            <w:tcW w:w="1096" w:type="dxa"/>
            <w:tcBorders>
              <w:top w:val="nil"/>
              <w:left w:val="nil"/>
              <w:bottom w:val="single" w:sz="4" w:space="0" w:color="auto"/>
              <w:right w:val="single" w:sz="4" w:space="0" w:color="auto"/>
            </w:tcBorders>
            <w:shd w:val="clear" w:color="auto" w:fill="C6EFCE"/>
            <w:noWrap/>
          </w:tcPr>
          <w:p w14:paraId="4A5D2E0A" w14:textId="77777777" w:rsidR="003A3D51" w:rsidRDefault="0002775A">
            <w:pPr>
              <w:pStyle w:val="P68B1DB1-Normal41"/>
              <w:jc w:val="center"/>
              <w:rPr>
                <w:rFonts w:ascii="Times New Roman" w:hAnsi="Times New Roman" w:cs="Times New Roman"/>
                <w:noProof/>
              </w:rPr>
            </w:pPr>
            <w:r>
              <w:rPr>
                <w:noProof/>
              </w:rPr>
              <w:t> </w:t>
            </w:r>
          </w:p>
        </w:tc>
        <w:tc>
          <w:tcPr>
            <w:tcW w:w="821" w:type="dxa"/>
            <w:tcBorders>
              <w:top w:val="nil"/>
              <w:left w:val="nil"/>
              <w:bottom w:val="single" w:sz="4" w:space="0" w:color="auto"/>
              <w:right w:val="single" w:sz="4" w:space="0" w:color="auto"/>
            </w:tcBorders>
            <w:shd w:val="clear" w:color="auto" w:fill="C6EFCE"/>
            <w:noWrap/>
          </w:tcPr>
          <w:p w14:paraId="73BBFFE2" w14:textId="77777777" w:rsidR="003A3D51" w:rsidRDefault="0002775A">
            <w:pPr>
              <w:pStyle w:val="P68B1DB1-Normal41"/>
              <w:jc w:val="center"/>
              <w:rPr>
                <w:rFonts w:ascii="Times New Roman" w:hAnsi="Times New Roman" w:cs="Times New Roman"/>
                <w:noProof/>
              </w:rPr>
            </w:pPr>
            <w:r>
              <w:rPr>
                <w:noProof/>
              </w:rPr>
              <w:t> </w:t>
            </w:r>
          </w:p>
        </w:tc>
        <w:tc>
          <w:tcPr>
            <w:tcW w:w="970" w:type="dxa"/>
            <w:tcBorders>
              <w:top w:val="nil"/>
              <w:left w:val="nil"/>
              <w:bottom w:val="single" w:sz="4" w:space="0" w:color="auto"/>
              <w:right w:val="single" w:sz="4" w:space="0" w:color="auto"/>
            </w:tcBorders>
            <w:shd w:val="clear" w:color="auto" w:fill="C6EFCE"/>
            <w:noWrap/>
          </w:tcPr>
          <w:p w14:paraId="0E548188" w14:textId="77777777" w:rsidR="003A3D51" w:rsidRDefault="0002775A">
            <w:pPr>
              <w:pStyle w:val="P68B1DB1-Normal41"/>
              <w:jc w:val="center"/>
              <w:rPr>
                <w:rFonts w:ascii="Times New Roman" w:hAnsi="Times New Roman" w:cs="Times New Roman"/>
                <w:noProof/>
              </w:rPr>
            </w:pPr>
            <w:r>
              <w:rPr>
                <w:noProof/>
              </w:rPr>
              <w:t> </w:t>
            </w:r>
          </w:p>
        </w:tc>
        <w:tc>
          <w:tcPr>
            <w:tcW w:w="613" w:type="dxa"/>
            <w:tcBorders>
              <w:top w:val="nil"/>
              <w:left w:val="nil"/>
              <w:bottom w:val="single" w:sz="4" w:space="0" w:color="auto"/>
              <w:right w:val="single" w:sz="4" w:space="0" w:color="auto"/>
            </w:tcBorders>
            <w:shd w:val="clear" w:color="auto" w:fill="C6EFCE"/>
            <w:noWrap/>
          </w:tcPr>
          <w:p w14:paraId="5AF9FEC5" w14:textId="77777777" w:rsidR="003A3D51" w:rsidRDefault="0002775A">
            <w:pPr>
              <w:pStyle w:val="P68B1DB1-Normal41"/>
              <w:jc w:val="center"/>
              <w:rPr>
                <w:rFonts w:ascii="Times New Roman" w:hAnsi="Times New Roman" w:cs="Times New Roman"/>
                <w:noProof/>
              </w:rPr>
            </w:pPr>
            <w:r>
              <w:rPr>
                <w:noProof/>
              </w:rPr>
              <w:t>KVARTAL 3</w:t>
            </w:r>
          </w:p>
        </w:tc>
        <w:tc>
          <w:tcPr>
            <w:tcW w:w="992" w:type="dxa"/>
            <w:tcBorders>
              <w:top w:val="nil"/>
              <w:left w:val="nil"/>
              <w:bottom w:val="single" w:sz="4" w:space="0" w:color="auto"/>
              <w:right w:val="single" w:sz="4" w:space="0" w:color="auto"/>
            </w:tcBorders>
            <w:shd w:val="clear" w:color="auto" w:fill="C6EFCE"/>
            <w:noWrap/>
          </w:tcPr>
          <w:p w14:paraId="43AFA688" w14:textId="77777777" w:rsidR="003A3D51" w:rsidRDefault="0002775A">
            <w:pPr>
              <w:pStyle w:val="P68B1DB1-Normal41"/>
              <w:jc w:val="center"/>
              <w:rPr>
                <w:rFonts w:ascii="Times New Roman" w:hAnsi="Times New Roman" w:cs="Times New Roman"/>
                <w:noProof/>
              </w:rPr>
            </w:pPr>
            <w:r>
              <w:rPr>
                <w:noProof/>
              </w:rPr>
              <w:t>2022</w:t>
            </w:r>
          </w:p>
        </w:tc>
        <w:tc>
          <w:tcPr>
            <w:tcW w:w="3979" w:type="dxa"/>
            <w:tcBorders>
              <w:top w:val="nil"/>
              <w:left w:val="nil"/>
              <w:bottom w:val="single" w:sz="4" w:space="0" w:color="auto"/>
              <w:right w:val="single" w:sz="4" w:space="0" w:color="auto"/>
            </w:tcBorders>
            <w:shd w:val="clear" w:color="auto" w:fill="C6EFCE"/>
            <w:noWrap/>
          </w:tcPr>
          <w:p w14:paraId="44947683" w14:textId="77777777" w:rsidR="003A3D51" w:rsidRDefault="0002775A">
            <w:pPr>
              <w:pStyle w:val="P68B1DB1-Normal41"/>
              <w:rPr>
                <w:rFonts w:ascii="Times New Roman" w:hAnsi="Times New Roman" w:cs="Times New Roman"/>
                <w:noProof/>
              </w:rPr>
            </w:pPr>
            <w:r>
              <w:rPr>
                <w:noProof/>
              </w:rPr>
              <w:t>Den nya lagstiftningsakten ska skapa rättsliga och finansiella villkor för organisatoriska och funktionella reformer av offentliga universitet och vetenskapliga institut samt finansiering som syftar till att uppnå institutionella utvecklingsmål.</w:t>
            </w:r>
          </w:p>
        </w:tc>
      </w:tr>
      <w:tr w:rsidR="003A3D51" w14:paraId="3A3B8EC2"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80569AC" w14:textId="77777777" w:rsidR="003A3D51" w:rsidRDefault="0002775A">
            <w:pPr>
              <w:pStyle w:val="P68B1DB1-Normal41"/>
              <w:jc w:val="center"/>
              <w:rPr>
                <w:rFonts w:ascii="Times New Roman" w:hAnsi="Times New Roman" w:cs="Times New Roman"/>
                <w:noProof/>
              </w:rPr>
            </w:pPr>
            <w:r>
              <w:rPr>
                <w:noProof/>
              </w:rPr>
              <w:t>276</w:t>
            </w:r>
          </w:p>
        </w:tc>
        <w:tc>
          <w:tcPr>
            <w:tcW w:w="850" w:type="dxa"/>
            <w:tcBorders>
              <w:top w:val="single" w:sz="4" w:space="0" w:color="auto"/>
              <w:left w:val="nil"/>
              <w:bottom w:val="single" w:sz="4" w:space="0" w:color="auto"/>
              <w:right w:val="single" w:sz="4" w:space="0" w:color="auto"/>
            </w:tcBorders>
            <w:shd w:val="clear" w:color="auto" w:fill="C6EFCE"/>
            <w:noWrap/>
          </w:tcPr>
          <w:p w14:paraId="12B3CF24" w14:textId="77777777" w:rsidR="003A3D51" w:rsidRDefault="0002775A">
            <w:pPr>
              <w:pStyle w:val="P68B1DB1-Normal41"/>
              <w:jc w:val="center"/>
              <w:rPr>
                <w:rFonts w:ascii="Times New Roman" w:hAnsi="Times New Roman" w:cs="Times New Roman"/>
                <w:noProof/>
              </w:rPr>
            </w:pPr>
            <w:r>
              <w:rPr>
                <w:noProof/>
              </w:rPr>
              <w:t>C3.2 R1-I1</w:t>
            </w:r>
          </w:p>
        </w:tc>
        <w:tc>
          <w:tcPr>
            <w:tcW w:w="850" w:type="dxa"/>
            <w:tcBorders>
              <w:top w:val="single" w:sz="4" w:space="0" w:color="auto"/>
              <w:left w:val="nil"/>
              <w:bottom w:val="single" w:sz="4" w:space="0" w:color="auto"/>
              <w:right w:val="single" w:sz="4" w:space="0" w:color="auto"/>
            </w:tcBorders>
            <w:shd w:val="clear" w:color="auto" w:fill="C6EFCE"/>
            <w:noWrap/>
          </w:tcPr>
          <w:p w14:paraId="171E61E3"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single" w:sz="4" w:space="0" w:color="auto"/>
              <w:left w:val="nil"/>
              <w:bottom w:val="single" w:sz="4" w:space="0" w:color="auto"/>
              <w:right w:val="single" w:sz="4" w:space="0" w:color="auto"/>
            </w:tcBorders>
            <w:shd w:val="clear" w:color="auto" w:fill="C6EFCE"/>
            <w:noWrap/>
          </w:tcPr>
          <w:p w14:paraId="039DF1B9" w14:textId="77777777" w:rsidR="003A3D51" w:rsidRDefault="0002775A">
            <w:pPr>
              <w:pStyle w:val="P68B1DB1-Normal41"/>
              <w:rPr>
                <w:rFonts w:ascii="Times New Roman" w:hAnsi="Times New Roman" w:cs="Times New Roman"/>
                <w:noProof/>
              </w:rPr>
            </w:pPr>
            <w:r>
              <w:rPr>
                <w:noProof/>
              </w:rPr>
              <w:t xml:space="preserve">Finansiering av forskningsprojekt på grundval av interna ansökningsomgångar från forskningsorganisationer under den första tvåårsperioden av programavtalens genomförande </w:t>
            </w:r>
          </w:p>
        </w:tc>
        <w:tc>
          <w:tcPr>
            <w:tcW w:w="1957" w:type="dxa"/>
            <w:tcBorders>
              <w:top w:val="single" w:sz="4" w:space="0" w:color="auto"/>
              <w:left w:val="nil"/>
              <w:bottom w:val="single" w:sz="4" w:space="0" w:color="auto"/>
              <w:right w:val="single" w:sz="4" w:space="0" w:color="auto"/>
            </w:tcBorders>
            <w:shd w:val="clear" w:color="auto" w:fill="C6EFCE"/>
            <w:noWrap/>
          </w:tcPr>
          <w:p w14:paraId="5D4EF8C8" w14:textId="77777777" w:rsidR="003A3D51" w:rsidRDefault="0002775A">
            <w:pPr>
              <w:pStyle w:val="P68B1DB1-Normal41"/>
              <w:spacing w:after="240"/>
              <w:rPr>
                <w:rFonts w:ascii="Times New Roman" w:hAnsi="Times New Roman" w:cs="Times New Roman"/>
                <w:noProof/>
              </w:rPr>
            </w:pPr>
            <w:r>
              <w:rPr>
                <w:noProof/>
              </w:rPr>
              <w:t> </w:t>
            </w:r>
          </w:p>
        </w:tc>
        <w:tc>
          <w:tcPr>
            <w:tcW w:w="1096" w:type="dxa"/>
            <w:tcBorders>
              <w:top w:val="single" w:sz="4" w:space="0" w:color="auto"/>
              <w:left w:val="nil"/>
              <w:bottom w:val="single" w:sz="4" w:space="0" w:color="auto"/>
              <w:right w:val="single" w:sz="4" w:space="0" w:color="auto"/>
            </w:tcBorders>
            <w:shd w:val="clear" w:color="auto" w:fill="C6EFCE"/>
            <w:noWrap/>
          </w:tcPr>
          <w:p w14:paraId="39AB01CC" w14:textId="77777777" w:rsidR="003A3D51" w:rsidRDefault="0002775A">
            <w:pPr>
              <w:pStyle w:val="P68B1DB1-Normal41"/>
              <w:spacing w:after="0"/>
              <w:jc w:val="center"/>
              <w:rPr>
                <w:rFonts w:ascii="Times New Roman" w:hAnsi="Times New Roman" w:cs="Times New Roman"/>
                <w:noProof/>
              </w:rPr>
            </w:pPr>
            <w:r>
              <w:rPr>
                <w:noProof/>
              </w:rPr>
              <w:t>Nummer (belopp)</w:t>
            </w:r>
          </w:p>
        </w:tc>
        <w:tc>
          <w:tcPr>
            <w:tcW w:w="821" w:type="dxa"/>
            <w:tcBorders>
              <w:top w:val="single" w:sz="4" w:space="0" w:color="auto"/>
              <w:left w:val="nil"/>
              <w:bottom w:val="single" w:sz="4" w:space="0" w:color="auto"/>
              <w:right w:val="single" w:sz="4" w:space="0" w:color="auto"/>
            </w:tcBorders>
            <w:shd w:val="clear" w:color="auto" w:fill="C6EFCE"/>
            <w:noWrap/>
          </w:tcPr>
          <w:p w14:paraId="7070D396" w14:textId="77777777" w:rsidR="003A3D51" w:rsidRDefault="0002775A">
            <w:pPr>
              <w:pStyle w:val="P68B1DB1-Normal41"/>
              <w:jc w:val="center"/>
              <w:rPr>
                <w:rFonts w:ascii="Times New Roman" w:hAnsi="Times New Roman" w:cs="Times New Roman"/>
                <w:noProof/>
              </w:rPr>
            </w:pPr>
            <w:r>
              <w:rPr>
                <w:noProof/>
              </w:rPr>
              <w:t> </w:t>
            </w:r>
          </w:p>
        </w:tc>
        <w:tc>
          <w:tcPr>
            <w:tcW w:w="970" w:type="dxa"/>
            <w:tcBorders>
              <w:top w:val="single" w:sz="4" w:space="0" w:color="auto"/>
              <w:left w:val="nil"/>
              <w:bottom w:val="single" w:sz="4" w:space="0" w:color="auto"/>
              <w:right w:val="single" w:sz="4" w:space="0" w:color="auto"/>
            </w:tcBorders>
            <w:shd w:val="clear" w:color="auto" w:fill="C6EFCE"/>
            <w:noWrap/>
          </w:tcPr>
          <w:p w14:paraId="33721196" w14:textId="77777777" w:rsidR="003A3D51" w:rsidRDefault="0002775A">
            <w:pPr>
              <w:pStyle w:val="P68B1DB1-Normal41"/>
              <w:jc w:val="center"/>
              <w:rPr>
                <w:rFonts w:ascii="Times New Roman" w:hAnsi="Times New Roman" w:cs="Times New Roman"/>
                <w:noProof/>
              </w:rPr>
            </w:pPr>
            <w:r>
              <w:rPr>
                <w:noProof/>
              </w:rPr>
              <w:t>17 619 079</w:t>
            </w:r>
          </w:p>
        </w:tc>
        <w:tc>
          <w:tcPr>
            <w:tcW w:w="613" w:type="dxa"/>
            <w:tcBorders>
              <w:top w:val="single" w:sz="4" w:space="0" w:color="auto"/>
              <w:left w:val="nil"/>
              <w:bottom w:val="single" w:sz="4" w:space="0" w:color="auto"/>
              <w:right w:val="single" w:sz="4" w:space="0" w:color="auto"/>
            </w:tcBorders>
            <w:shd w:val="clear" w:color="auto" w:fill="C6EFCE"/>
            <w:noWrap/>
          </w:tcPr>
          <w:p w14:paraId="3A197724" w14:textId="77777777" w:rsidR="003A3D51" w:rsidRDefault="0002775A">
            <w:pPr>
              <w:pStyle w:val="P68B1DB1-Normal41"/>
              <w:jc w:val="center"/>
              <w:rPr>
                <w:rFonts w:ascii="Times New Roman" w:hAnsi="Times New Roman" w:cs="Times New Roman"/>
                <w:noProof/>
              </w:rPr>
            </w:pPr>
            <w:r>
              <w:rPr>
                <w:noProof/>
              </w:rPr>
              <w:t>KVARTAL 1</w:t>
            </w:r>
          </w:p>
        </w:tc>
        <w:tc>
          <w:tcPr>
            <w:tcW w:w="992" w:type="dxa"/>
            <w:tcBorders>
              <w:top w:val="single" w:sz="4" w:space="0" w:color="auto"/>
              <w:left w:val="nil"/>
              <w:bottom w:val="single" w:sz="4" w:space="0" w:color="auto"/>
              <w:right w:val="single" w:sz="4" w:space="0" w:color="auto"/>
            </w:tcBorders>
            <w:shd w:val="clear" w:color="auto" w:fill="C6EFCE"/>
            <w:noWrap/>
          </w:tcPr>
          <w:p w14:paraId="7DFC7D23" w14:textId="77777777" w:rsidR="003A3D51" w:rsidRDefault="0002775A">
            <w:pPr>
              <w:pStyle w:val="P68B1DB1-Normal41"/>
              <w:jc w:val="center"/>
              <w:rPr>
                <w:rFonts w:ascii="Times New Roman" w:hAnsi="Times New Roman" w:cs="Times New Roman"/>
                <w:noProof/>
              </w:rPr>
            </w:pPr>
            <w:r>
              <w:rPr>
                <w:noProof/>
              </w:rPr>
              <w:t>2023</w:t>
            </w:r>
          </w:p>
        </w:tc>
        <w:tc>
          <w:tcPr>
            <w:tcW w:w="3979" w:type="dxa"/>
            <w:tcBorders>
              <w:top w:val="single" w:sz="4" w:space="0" w:color="auto"/>
              <w:left w:val="nil"/>
              <w:bottom w:val="single" w:sz="4" w:space="0" w:color="auto"/>
              <w:right w:val="single" w:sz="4" w:space="0" w:color="auto"/>
            </w:tcBorders>
            <w:shd w:val="clear" w:color="auto" w:fill="C6EFCE"/>
            <w:noWrap/>
          </w:tcPr>
          <w:p w14:paraId="5A59987B" w14:textId="77777777" w:rsidR="003A3D51" w:rsidRDefault="0002775A">
            <w:pPr>
              <w:pStyle w:val="P68B1DB1-Normal41"/>
              <w:rPr>
                <w:rFonts w:ascii="Times New Roman" w:hAnsi="Times New Roman" w:cs="Times New Roman"/>
                <w:noProof/>
              </w:rPr>
            </w:pPr>
            <w:r>
              <w:rPr>
                <w:noProof/>
              </w:rPr>
              <w:t>17 619 079 EUR ska ha anslagits till forskningsprojekt som genomförs av universitet och forskningsinstitut som har undertecknat programavtalen. Projekten ska stödja direkt vetenskaplig verksamhet och forskningsverksamhet (forskningsprojekt) och baseras på offentliggjorda anbudsspecifikationer, med kravspecifikationer, inbegripet kriterier för stödberättigande, som säkerställer att de utvalda projekten överensstämmer med den tekniska vägledningen om att inte orsaka betydande skada (2021/C58/01) genom användning av en uteslutningslista och kravet på överensstämmelse med relevant EU-lagstiftning och nationell miljölagstiftning.</w:t>
            </w:r>
          </w:p>
        </w:tc>
      </w:tr>
      <w:tr w:rsidR="003A3D51" w14:paraId="65B0C9BD"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19E08DC8" w14:textId="77777777" w:rsidR="003A3D51" w:rsidRDefault="0002775A">
            <w:pPr>
              <w:pStyle w:val="P68B1DB1-Normal41"/>
              <w:jc w:val="center"/>
              <w:rPr>
                <w:rFonts w:ascii="Times New Roman" w:hAnsi="Times New Roman" w:cs="Times New Roman"/>
                <w:noProof/>
              </w:rPr>
            </w:pPr>
            <w:r>
              <w:rPr>
                <w:noProof/>
              </w:rPr>
              <w:t>277</w:t>
            </w:r>
          </w:p>
        </w:tc>
        <w:tc>
          <w:tcPr>
            <w:tcW w:w="850" w:type="dxa"/>
            <w:tcBorders>
              <w:top w:val="single" w:sz="4" w:space="0" w:color="auto"/>
              <w:left w:val="nil"/>
              <w:bottom w:val="single" w:sz="4" w:space="0" w:color="auto"/>
              <w:right w:val="single" w:sz="4" w:space="0" w:color="auto"/>
            </w:tcBorders>
            <w:shd w:val="clear" w:color="auto" w:fill="C6EFCE"/>
            <w:noWrap/>
          </w:tcPr>
          <w:p w14:paraId="56ABFB4F" w14:textId="77777777" w:rsidR="003A3D51" w:rsidRDefault="0002775A">
            <w:pPr>
              <w:pStyle w:val="P68B1DB1-Normal41"/>
              <w:jc w:val="center"/>
              <w:rPr>
                <w:rFonts w:ascii="Times New Roman" w:hAnsi="Times New Roman" w:cs="Times New Roman"/>
                <w:noProof/>
              </w:rPr>
            </w:pPr>
            <w:r>
              <w:rPr>
                <w:noProof/>
              </w:rPr>
              <w:t>C3.2 R1-I1</w:t>
            </w:r>
          </w:p>
        </w:tc>
        <w:tc>
          <w:tcPr>
            <w:tcW w:w="850" w:type="dxa"/>
            <w:tcBorders>
              <w:top w:val="single" w:sz="4" w:space="0" w:color="auto"/>
              <w:left w:val="nil"/>
              <w:bottom w:val="single" w:sz="4" w:space="0" w:color="auto"/>
              <w:right w:val="single" w:sz="4" w:space="0" w:color="auto"/>
            </w:tcBorders>
            <w:shd w:val="clear" w:color="auto" w:fill="C6EFCE"/>
            <w:noWrap/>
          </w:tcPr>
          <w:p w14:paraId="1ED4F4BF"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single" w:sz="4" w:space="0" w:color="auto"/>
              <w:left w:val="nil"/>
              <w:bottom w:val="single" w:sz="4" w:space="0" w:color="auto"/>
              <w:right w:val="single" w:sz="4" w:space="0" w:color="auto"/>
            </w:tcBorders>
            <w:shd w:val="clear" w:color="auto" w:fill="C6EFCE"/>
            <w:noWrap/>
          </w:tcPr>
          <w:p w14:paraId="6ABDFE34" w14:textId="77777777" w:rsidR="003A3D51" w:rsidRDefault="0002775A">
            <w:pPr>
              <w:pStyle w:val="P68B1DB1-Normal41"/>
              <w:rPr>
                <w:rFonts w:ascii="Times New Roman" w:hAnsi="Times New Roman" w:cs="Times New Roman"/>
                <w:noProof/>
              </w:rPr>
            </w:pPr>
            <w:r>
              <w:rPr>
                <w:noProof/>
              </w:rPr>
              <w:t>Andel universitet eller forskningsinstitut som har undertecknat programavtal</w:t>
            </w:r>
          </w:p>
        </w:tc>
        <w:tc>
          <w:tcPr>
            <w:tcW w:w="1957" w:type="dxa"/>
            <w:tcBorders>
              <w:top w:val="single" w:sz="4" w:space="0" w:color="auto"/>
              <w:left w:val="nil"/>
              <w:bottom w:val="single" w:sz="4" w:space="0" w:color="auto"/>
              <w:right w:val="single" w:sz="4" w:space="0" w:color="auto"/>
            </w:tcBorders>
            <w:shd w:val="clear" w:color="auto" w:fill="C6EFCE"/>
            <w:noWrap/>
          </w:tcPr>
          <w:p w14:paraId="15CE0149" w14:textId="77777777" w:rsidR="003A3D51" w:rsidRDefault="0002775A">
            <w:pPr>
              <w:pStyle w:val="P68B1DB1-Normal41"/>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1B1412AE" w14:textId="77777777" w:rsidR="003A3D51" w:rsidRDefault="0002775A">
            <w:pPr>
              <w:pStyle w:val="P68B1DB1-Normal41"/>
              <w:jc w:val="center"/>
              <w:rPr>
                <w:rFonts w:ascii="Times New Roman" w:hAnsi="Times New Roman" w:cs="Times New Roman"/>
                <w:noProof/>
              </w:rPr>
            </w:pPr>
            <w:r>
              <w:rPr>
                <w:noProof/>
              </w:rPr>
              <w:t>% (i procent)</w:t>
            </w:r>
          </w:p>
        </w:tc>
        <w:tc>
          <w:tcPr>
            <w:tcW w:w="821" w:type="dxa"/>
            <w:tcBorders>
              <w:top w:val="single" w:sz="4" w:space="0" w:color="auto"/>
              <w:left w:val="nil"/>
              <w:bottom w:val="single" w:sz="4" w:space="0" w:color="auto"/>
              <w:right w:val="single" w:sz="4" w:space="0" w:color="auto"/>
            </w:tcBorders>
            <w:shd w:val="clear" w:color="auto" w:fill="C6EFCE"/>
            <w:noWrap/>
          </w:tcPr>
          <w:p w14:paraId="6C1D69C9" w14:textId="77777777" w:rsidR="003A3D51" w:rsidRDefault="0002775A">
            <w:pPr>
              <w:pStyle w:val="P68B1DB1-Normal41"/>
              <w:jc w:val="center"/>
              <w:rPr>
                <w:rFonts w:ascii="Times New Roman" w:hAnsi="Times New Roman" w:cs="Times New Roman"/>
                <w:noProof/>
              </w:rPr>
            </w:pPr>
            <w:r>
              <w:rPr>
                <w:noProof/>
              </w:rPr>
              <w:t>0</w:t>
            </w:r>
          </w:p>
          <w:p w14:paraId="3F703649" w14:textId="77777777" w:rsidR="003A3D51" w:rsidRDefault="003A3D51">
            <w:pPr>
              <w:rPr>
                <w:rFonts w:ascii="Times New Roman" w:hAnsi="Times New Roman" w:cs="Times New Roman"/>
                <w:noProof/>
                <w:sz w:val="20"/>
              </w:rPr>
            </w:pPr>
          </w:p>
          <w:p w14:paraId="4EDF6882" w14:textId="77777777" w:rsidR="003A3D51" w:rsidRDefault="003A3D51">
            <w:pPr>
              <w:rPr>
                <w:rFonts w:ascii="Times New Roman" w:hAnsi="Times New Roman" w:cs="Times New Roman"/>
                <w:noProof/>
                <w:sz w:val="20"/>
              </w:rPr>
            </w:pPr>
          </w:p>
          <w:p w14:paraId="6BB922D5" w14:textId="77777777" w:rsidR="003A3D51" w:rsidRDefault="003A3D51">
            <w:pPr>
              <w:rPr>
                <w:rFonts w:ascii="Times New Roman" w:hAnsi="Times New Roman" w:cs="Times New Roman"/>
                <w:noProof/>
                <w:sz w:val="20"/>
              </w:rPr>
            </w:pPr>
          </w:p>
        </w:tc>
        <w:tc>
          <w:tcPr>
            <w:tcW w:w="970" w:type="dxa"/>
            <w:tcBorders>
              <w:top w:val="single" w:sz="4" w:space="0" w:color="auto"/>
              <w:left w:val="nil"/>
              <w:bottom w:val="single" w:sz="4" w:space="0" w:color="auto"/>
              <w:right w:val="single" w:sz="4" w:space="0" w:color="auto"/>
            </w:tcBorders>
            <w:shd w:val="clear" w:color="auto" w:fill="C6EFCE"/>
            <w:noWrap/>
          </w:tcPr>
          <w:p w14:paraId="387A3CE4" w14:textId="77777777" w:rsidR="003A3D51" w:rsidRDefault="0002775A">
            <w:pPr>
              <w:pStyle w:val="P68B1DB1-Normal41"/>
              <w:jc w:val="center"/>
              <w:rPr>
                <w:rFonts w:ascii="Times New Roman" w:hAnsi="Times New Roman" w:cs="Times New Roman"/>
                <w:noProof/>
              </w:rPr>
            </w:pPr>
            <w:r>
              <w:rPr>
                <w:noProof/>
              </w:rPr>
              <w:t>65</w:t>
            </w:r>
          </w:p>
        </w:tc>
        <w:tc>
          <w:tcPr>
            <w:tcW w:w="613" w:type="dxa"/>
            <w:tcBorders>
              <w:top w:val="single" w:sz="4" w:space="0" w:color="auto"/>
              <w:left w:val="nil"/>
              <w:bottom w:val="single" w:sz="4" w:space="0" w:color="auto"/>
              <w:right w:val="single" w:sz="4" w:space="0" w:color="auto"/>
            </w:tcBorders>
            <w:shd w:val="clear" w:color="auto" w:fill="C6EFCE"/>
            <w:noWrap/>
          </w:tcPr>
          <w:p w14:paraId="447EC5E1" w14:textId="77777777" w:rsidR="003A3D51" w:rsidRDefault="0002775A">
            <w:pPr>
              <w:pStyle w:val="P68B1DB1-Normal41"/>
              <w:jc w:val="center"/>
              <w:rPr>
                <w:rFonts w:ascii="Times New Roman" w:hAnsi="Times New Roman" w:cs="Times New Roman"/>
                <w:noProof/>
              </w:rPr>
            </w:pPr>
            <w:r>
              <w:rPr>
                <w:noProof/>
              </w:rPr>
              <w:t>KVARTAL 3</w:t>
            </w:r>
          </w:p>
        </w:tc>
        <w:tc>
          <w:tcPr>
            <w:tcW w:w="992" w:type="dxa"/>
            <w:tcBorders>
              <w:top w:val="single" w:sz="4" w:space="0" w:color="auto"/>
              <w:left w:val="nil"/>
              <w:bottom w:val="single" w:sz="4" w:space="0" w:color="auto"/>
              <w:right w:val="single" w:sz="4" w:space="0" w:color="auto"/>
            </w:tcBorders>
            <w:shd w:val="clear" w:color="auto" w:fill="C6EFCE"/>
            <w:noWrap/>
          </w:tcPr>
          <w:p w14:paraId="4E7A146A" w14:textId="77777777" w:rsidR="003A3D51" w:rsidRDefault="0002775A">
            <w:pPr>
              <w:pStyle w:val="P68B1DB1-Normal41"/>
              <w:jc w:val="center"/>
              <w:rPr>
                <w:rFonts w:ascii="Times New Roman" w:hAnsi="Times New Roman" w:cs="Times New Roman"/>
                <w:noProof/>
              </w:rPr>
            </w:pPr>
            <w:r>
              <w:rPr>
                <w:noProof/>
              </w:rPr>
              <w:t>2024</w:t>
            </w:r>
          </w:p>
        </w:tc>
        <w:tc>
          <w:tcPr>
            <w:tcW w:w="3979" w:type="dxa"/>
            <w:tcBorders>
              <w:top w:val="single" w:sz="4" w:space="0" w:color="auto"/>
              <w:left w:val="nil"/>
              <w:bottom w:val="single" w:sz="4" w:space="0" w:color="auto"/>
              <w:right w:val="single" w:sz="4" w:space="0" w:color="auto"/>
            </w:tcBorders>
            <w:shd w:val="clear" w:color="auto" w:fill="C6EFCE"/>
            <w:noWrap/>
          </w:tcPr>
          <w:p w14:paraId="3C6E11E1" w14:textId="77777777" w:rsidR="003A3D51" w:rsidRDefault="0002775A">
            <w:pPr>
              <w:pStyle w:val="P68B1DB1-Normal41"/>
              <w:rPr>
                <w:rFonts w:ascii="Times New Roman" w:hAnsi="Times New Roman" w:cs="Times New Roman"/>
                <w:noProof/>
              </w:rPr>
            </w:pPr>
            <w:r>
              <w:rPr>
                <w:noProof/>
              </w:rPr>
              <w:t>Minst 65 % av de offentliga universiteten och forskningsinstituten ska ha undertecknat nya programavtal i enlighet med bestämmelserna i den nya lagen om vetenskaplig verksamhet och högre utbildning som ska införa ett resultatbaserat system för finansieringsmål för offentliga vetenskapliga organisationer.</w:t>
            </w:r>
          </w:p>
        </w:tc>
      </w:tr>
      <w:tr w:rsidR="003A3D51" w14:paraId="12333AAF"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A38522B" w14:textId="77777777" w:rsidR="003A3D51" w:rsidRDefault="0002775A">
            <w:pPr>
              <w:pStyle w:val="P68B1DB1-Normal41"/>
              <w:jc w:val="center"/>
              <w:rPr>
                <w:rFonts w:ascii="Times New Roman" w:hAnsi="Times New Roman" w:cs="Times New Roman"/>
                <w:noProof/>
              </w:rPr>
            </w:pPr>
            <w:r>
              <w:rPr>
                <w:noProof/>
              </w:rPr>
              <w:t>278</w:t>
            </w:r>
          </w:p>
        </w:tc>
        <w:tc>
          <w:tcPr>
            <w:tcW w:w="850" w:type="dxa"/>
            <w:tcBorders>
              <w:top w:val="single" w:sz="4" w:space="0" w:color="auto"/>
              <w:left w:val="nil"/>
              <w:bottom w:val="single" w:sz="4" w:space="0" w:color="auto"/>
              <w:right w:val="single" w:sz="4" w:space="0" w:color="auto"/>
            </w:tcBorders>
            <w:shd w:val="clear" w:color="auto" w:fill="C6EFCE"/>
            <w:noWrap/>
          </w:tcPr>
          <w:p w14:paraId="6DB514C9" w14:textId="77777777" w:rsidR="003A3D51" w:rsidRDefault="0002775A">
            <w:pPr>
              <w:pStyle w:val="P68B1DB1-Normal41"/>
              <w:jc w:val="center"/>
              <w:rPr>
                <w:rFonts w:ascii="Times New Roman" w:hAnsi="Times New Roman" w:cs="Times New Roman"/>
                <w:noProof/>
              </w:rPr>
            </w:pPr>
            <w:r>
              <w:rPr>
                <w:noProof/>
              </w:rPr>
              <w:t>C3.2 R1-I1</w:t>
            </w:r>
          </w:p>
        </w:tc>
        <w:tc>
          <w:tcPr>
            <w:tcW w:w="850" w:type="dxa"/>
            <w:tcBorders>
              <w:top w:val="single" w:sz="4" w:space="0" w:color="auto"/>
              <w:left w:val="nil"/>
              <w:bottom w:val="single" w:sz="4" w:space="0" w:color="auto"/>
              <w:right w:val="single" w:sz="4" w:space="0" w:color="auto"/>
            </w:tcBorders>
            <w:shd w:val="clear" w:color="auto" w:fill="C6EFCE"/>
            <w:noWrap/>
          </w:tcPr>
          <w:p w14:paraId="56EB42B4"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single" w:sz="4" w:space="0" w:color="auto"/>
              <w:left w:val="nil"/>
              <w:bottom w:val="single" w:sz="4" w:space="0" w:color="auto"/>
              <w:right w:val="single" w:sz="4" w:space="0" w:color="auto"/>
            </w:tcBorders>
            <w:shd w:val="clear" w:color="auto" w:fill="C6EFCE"/>
            <w:noWrap/>
          </w:tcPr>
          <w:p w14:paraId="1A6ACB95" w14:textId="77777777" w:rsidR="003A3D51" w:rsidRDefault="0002775A">
            <w:pPr>
              <w:pStyle w:val="P68B1DB1-Normal41"/>
              <w:rPr>
                <w:rFonts w:ascii="Times New Roman" w:hAnsi="Times New Roman" w:cs="Times New Roman"/>
                <w:noProof/>
              </w:rPr>
            </w:pPr>
            <w:r>
              <w:rPr>
                <w:noProof/>
              </w:rPr>
              <w:t>Avslutade forskningsprojekt på området ”Gröna” av vetenskapliga organisationer som har undertecknat nya programavtal.</w:t>
            </w:r>
          </w:p>
        </w:tc>
        <w:tc>
          <w:tcPr>
            <w:tcW w:w="1957" w:type="dxa"/>
            <w:tcBorders>
              <w:top w:val="single" w:sz="4" w:space="0" w:color="auto"/>
              <w:left w:val="nil"/>
              <w:bottom w:val="single" w:sz="4" w:space="0" w:color="auto"/>
              <w:right w:val="single" w:sz="4" w:space="0" w:color="auto"/>
            </w:tcBorders>
            <w:shd w:val="clear" w:color="auto" w:fill="C6EFCE"/>
            <w:noWrap/>
          </w:tcPr>
          <w:p w14:paraId="0E10E4F4" w14:textId="77777777" w:rsidR="003A3D51" w:rsidRDefault="0002775A">
            <w:pPr>
              <w:pStyle w:val="P68B1DB1-Normal41"/>
              <w:rPr>
                <w:rFonts w:ascii="Times New Roman" w:hAnsi="Times New Roman" w:cs="Times New Roman"/>
                <w:noProof/>
              </w:rPr>
            </w:pPr>
            <w:r>
              <w:rPr>
                <w:noProof/>
              </w:rPr>
              <w:t> </w:t>
            </w:r>
          </w:p>
        </w:tc>
        <w:tc>
          <w:tcPr>
            <w:tcW w:w="1096" w:type="dxa"/>
            <w:tcBorders>
              <w:top w:val="single" w:sz="4" w:space="0" w:color="auto"/>
              <w:left w:val="nil"/>
              <w:bottom w:val="single" w:sz="4" w:space="0" w:color="auto"/>
              <w:right w:val="single" w:sz="4" w:space="0" w:color="auto"/>
            </w:tcBorders>
            <w:shd w:val="clear" w:color="auto" w:fill="C6EFCE"/>
            <w:noWrap/>
          </w:tcPr>
          <w:p w14:paraId="392C259B" w14:textId="77777777" w:rsidR="003A3D51" w:rsidRDefault="0002775A">
            <w:pPr>
              <w:pStyle w:val="P68B1DB1-Normal41"/>
              <w:jc w:val="center"/>
              <w:rPr>
                <w:rFonts w:ascii="Times New Roman" w:hAnsi="Times New Roman" w:cs="Times New Roman"/>
                <w:noProof/>
              </w:rPr>
            </w:pPr>
            <w:r>
              <w:rPr>
                <w:noProof/>
              </w:rPr>
              <w:t>Antal</w:t>
            </w:r>
            <w:r>
              <w:rPr>
                <w:noProof/>
              </w:rPr>
              <w:br/>
            </w:r>
            <w:r>
              <w:rPr>
                <w:noProof/>
              </w:rPr>
              <w:br/>
            </w:r>
            <w:r>
              <w:rPr>
                <w:noProof/>
              </w:rPr>
              <w:br/>
            </w:r>
          </w:p>
        </w:tc>
        <w:tc>
          <w:tcPr>
            <w:tcW w:w="821" w:type="dxa"/>
            <w:tcBorders>
              <w:top w:val="single" w:sz="4" w:space="0" w:color="auto"/>
              <w:left w:val="nil"/>
              <w:bottom w:val="single" w:sz="4" w:space="0" w:color="auto"/>
              <w:right w:val="single" w:sz="4" w:space="0" w:color="auto"/>
            </w:tcBorders>
            <w:shd w:val="clear" w:color="auto" w:fill="C6EFCE"/>
            <w:noWrap/>
          </w:tcPr>
          <w:p w14:paraId="6DAB714A" w14:textId="77777777" w:rsidR="003A3D51" w:rsidRDefault="0002775A">
            <w:pPr>
              <w:pStyle w:val="P68B1DB1-Normal41"/>
              <w:jc w:val="center"/>
              <w:rPr>
                <w:rFonts w:ascii="Times New Roman" w:hAnsi="Times New Roman" w:cs="Times New Roman"/>
                <w:noProof/>
              </w:rPr>
            </w:pPr>
            <w:r>
              <w:rPr>
                <w:noProof/>
              </w:rPr>
              <w:t>0</w:t>
            </w:r>
          </w:p>
        </w:tc>
        <w:tc>
          <w:tcPr>
            <w:tcW w:w="970" w:type="dxa"/>
            <w:tcBorders>
              <w:top w:val="single" w:sz="4" w:space="0" w:color="auto"/>
              <w:left w:val="nil"/>
              <w:bottom w:val="single" w:sz="4" w:space="0" w:color="auto"/>
              <w:right w:val="single" w:sz="4" w:space="0" w:color="auto"/>
            </w:tcBorders>
            <w:shd w:val="clear" w:color="auto" w:fill="C6EFCE"/>
            <w:noWrap/>
          </w:tcPr>
          <w:p w14:paraId="652616BF" w14:textId="77777777" w:rsidR="003A3D51" w:rsidRDefault="0002775A">
            <w:pPr>
              <w:pStyle w:val="P68B1DB1-Normal41"/>
              <w:jc w:val="center"/>
              <w:rPr>
                <w:rFonts w:ascii="Times New Roman" w:hAnsi="Times New Roman" w:cs="Times New Roman"/>
                <w:noProof/>
              </w:rPr>
            </w:pPr>
            <w:r>
              <w:rPr>
                <w:noProof/>
              </w:rPr>
              <w:t>4</w:t>
            </w:r>
          </w:p>
        </w:tc>
        <w:tc>
          <w:tcPr>
            <w:tcW w:w="613" w:type="dxa"/>
            <w:tcBorders>
              <w:top w:val="single" w:sz="4" w:space="0" w:color="auto"/>
              <w:left w:val="nil"/>
              <w:bottom w:val="single" w:sz="4" w:space="0" w:color="auto"/>
              <w:right w:val="single" w:sz="4" w:space="0" w:color="auto"/>
            </w:tcBorders>
            <w:shd w:val="clear" w:color="auto" w:fill="C6EFCE"/>
            <w:noWrap/>
          </w:tcPr>
          <w:p w14:paraId="014388C3" w14:textId="77777777" w:rsidR="003A3D51" w:rsidRDefault="0002775A">
            <w:pPr>
              <w:pStyle w:val="P68B1DB1-Normal41"/>
              <w:jc w:val="center"/>
              <w:rPr>
                <w:rFonts w:ascii="Times New Roman" w:hAnsi="Times New Roman" w:cs="Times New Roman"/>
                <w:noProof/>
              </w:rPr>
            </w:pPr>
            <w:r>
              <w:rPr>
                <w:noProof/>
              </w:rPr>
              <w:t>KVARTAL 1</w:t>
            </w:r>
          </w:p>
        </w:tc>
        <w:tc>
          <w:tcPr>
            <w:tcW w:w="992" w:type="dxa"/>
            <w:tcBorders>
              <w:top w:val="single" w:sz="4" w:space="0" w:color="auto"/>
              <w:left w:val="nil"/>
              <w:bottom w:val="single" w:sz="4" w:space="0" w:color="auto"/>
              <w:right w:val="single" w:sz="4" w:space="0" w:color="auto"/>
            </w:tcBorders>
            <w:shd w:val="clear" w:color="auto" w:fill="C6EFCE"/>
            <w:noWrap/>
          </w:tcPr>
          <w:p w14:paraId="16E25F7C" w14:textId="77777777" w:rsidR="003A3D51" w:rsidRDefault="0002775A">
            <w:pPr>
              <w:pStyle w:val="P68B1DB1-Normal41"/>
              <w:jc w:val="center"/>
              <w:rPr>
                <w:rFonts w:ascii="Times New Roman" w:hAnsi="Times New Roman" w:cs="Times New Roman"/>
                <w:noProof/>
              </w:rPr>
            </w:pPr>
            <w:r>
              <w:rPr>
                <w:noProof/>
              </w:rPr>
              <w:t>2025</w:t>
            </w:r>
          </w:p>
        </w:tc>
        <w:tc>
          <w:tcPr>
            <w:tcW w:w="3979" w:type="dxa"/>
            <w:tcBorders>
              <w:top w:val="single" w:sz="4" w:space="0" w:color="auto"/>
              <w:left w:val="nil"/>
              <w:bottom w:val="single" w:sz="4" w:space="0" w:color="auto"/>
              <w:right w:val="single" w:sz="4" w:space="0" w:color="auto"/>
            </w:tcBorders>
            <w:shd w:val="clear" w:color="auto" w:fill="C6EFCE"/>
            <w:noWrap/>
          </w:tcPr>
          <w:p w14:paraId="0575C5D5" w14:textId="77777777" w:rsidR="003A3D51" w:rsidRDefault="0002775A">
            <w:pPr>
              <w:pStyle w:val="P68B1DB1-Normal41"/>
              <w:rPr>
                <w:rFonts w:ascii="Times New Roman" w:hAnsi="Times New Roman" w:cs="Times New Roman"/>
                <w:noProof/>
              </w:rPr>
            </w:pPr>
            <w:r>
              <w:rPr>
                <w:noProof/>
              </w:rPr>
              <w:t>Minst 4 forskningsprojekt som direkt stöder den gröna omställningen och som genomförs av vetenskapliga organisationer som har undertecknat de nya programavtalen ska ha slutförts på grundval av en inbjudan att lämna förslag på grundval av offentliggjorda anbudsspecifikationer, med kravspecifikationer, inbegripet kriterier för stödberättigande, som säkerställer att de utvalda projekten uppfyller den tekniska vägledningen om att inte orsaka betydande skada (2021/C58/01) genom användning av en uteslutningslista och kravet på överensstämmelse med relevant EU-lagstiftning och nationell miljölagstiftning.</w:t>
            </w:r>
          </w:p>
        </w:tc>
      </w:tr>
      <w:tr w:rsidR="003A3D51" w14:paraId="3D6C88E6"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525F138B" w14:textId="77777777" w:rsidR="003A3D51" w:rsidRDefault="0002775A">
            <w:pPr>
              <w:pStyle w:val="P68B1DB1-Normal41"/>
              <w:spacing w:after="0"/>
              <w:jc w:val="center"/>
              <w:rPr>
                <w:rFonts w:ascii="Times New Roman" w:hAnsi="Times New Roman" w:cs="Times New Roman"/>
                <w:noProof/>
              </w:rPr>
            </w:pPr>
            <w:r>
              <w:rPr>
                <w:noProof/>
              </w:rPr>
              <w:t>279</w:t>
            </w:r>
          </w:p>
        </w:tc>
        <w:tc>
          <w:tcPr>
            <w:tcW w:w="850" w:type="dxa"/>
            <w:tcBorders>
              <w:top w:val="nil"/>
              <w:left w:val="nil"/>
              <w:bottom w:val="single" w:sz="4" w:space="0" w:color="auto"/>
              <w:right w:val="single" w:sz="4" w:space="0" w:color="auto"/>
            </w:tcBorders>
            <w:shd w:val="clear" w:color="auto" w:fill="C6EFCE"/>
            <w:noWrap/>
          </w:tcPr>
          <w:p w14:paraId="247D9407" w14:textId="77777777" w:rsidR="003A3D51" w:rsidRDefault="0002775A">
            <w:pPr>
              <w:pStyle w:val="P68B1DB1-Normal41"/>
              <w:jc w:val="center"/>
              <w:rPr>
                <w:rFonts w:ascii="Times New Roman" w:hAnsi="Times New Roman" w:cs="Times New Roman"/>
                <w:noProof/>
              </w:rPr>
            </w:pPr>
            <w:r>
              <w:rPr>
                <w:noProof/>
              </w:rPr>
              <w:t>C3.2 R1-I1</w:t>
            </w:r>
          </w:p>
        </w:tc>
        <w:tc>
          <w:tcPr>
            <w:tcW w:w="850" w:type="dxa"/>
            <w:tcBorders>
              <w:top w:val="nil"/>
              <w:left w:val="nil"/>
              <w:bottom w:val="single" w:sz="4" w:space="0" w:color="auto"/>
              <w:right w:val="single" w:sz="4" w:space="0" w:color="auto"/>
            </w:tcBorders>
            <w:shd w:val="clear" w:color="auto" w:fill="C6EFCE"/>
            <w:noWrap/>
          </w:tcPr>
          <w:p w14:paraId="00A48825"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nil"/>
              <w:left w:val="nil"/>
              <w:bottom w:val="single" w:sz="4" w:space="0" w:color="auto"/>
              <w:right w:val="single" w:sz="4" w:space="0" w:color="auto"/>
            </w:tcBorders>
            <w:shd w:val="clear" w:color="auto" w:fill="C6EFCE"/>
            <w:noWrap/>
          </w:tcPr>
          <w:p w14:paraId="43079E60" w14:textId="77777777" w:rsidR="003A3D51" w:rsidRDefault="0002775A">
            <w:pPr>
              <w:pStyle w:val="P68B1DB1-Normal41"/>
              <w:rPr>
                <w:rFonts w:ascii="Times New Roman" w:hAnsi="Times New Roman" w:cs="Times New Roman"/>
                <w:noProof/>
              </w:rPr>
            </w:pPr>
            <w:r>
              <w:rPr>
                <w:noProof/>
              </w:rPr>
              <w:t>Finansiering av forskningsprojekt på grundval av interna ansökningsomgångar från forskningsorganisationer</w:t>
            </w:r>
          </w:p>
        </w:tc>
        <w:tc>
          <w:tcPr>
            <w:tcW w:w="1957" w:type="dxa"/>
            <w:tcBorders>
              <w:top w:val="nil"/>
              <w:left w:val="nil"/>
              <w:bottom w:val="single" w:sz="4" w:space="0" w:color="auto"/>
              <w:right w:val="single" w:sz="4" w:space="0" w:color="auto"/>
            </w:tcBorders>
            <w:shd w:val="clear" w:color="auto" w:fill="C6EFCE"/>
            <w:noWrap/>
          </w:tcPr>
          <w:p w14:paraId="1653A5CA" w14:textId="77777777" w:rsidR="003A3D51" w:rsidRDefault="0002775A">
            <w:pPr>
              <w:pStyle w:val="P68B1DB1-Normal41"/>
              <w:rPr>
                <w:rFonts w:ascii="Times New Roman" w:hAnsi="Times New Roman" w:cs="Times New Roman"/>
                <w:noProof/>
              </w:rPr>
            </w:pPr>
            <w:r>
              <w:rPr>
                <w:noProof/>
              </w:rPr>
              <w:t> </w:t>
            </w:r>
          </w:p>
        </w:tc>
        <w:tc>
          <w:tcPr>
            <w:tcW w:w="1096" w:type="dxa"/>
            <w:tcBorders>
              <w:top w:val="nil"/>
              <w:left w:val="nil"/>
              <w:bottom w:val="single" w:sz="4" w:space="0" w:color="auto"/>
              <w:right w:val="single" w:sz="4" w:space="0" w:color="auto"/>
            </w:tcBorders>
            <w:shd w:val="clear" w:color="auto" w:fill="C6EFCE"/>
            <w:noWrap/>
          </w:tcPr>
          <w:p w14:paraId="220BFE51" w14:textId="77777777" w:rsidR="003A3D51" w:rsidRDefault="0002775A">
            <w:pPr>
              <w:pStyle w:val="P68B1DB1-Normal41"/>
              <w:jc w:val="center"/>
              <w:rPr>
                <w:rFonts w:ascii="Times New Roman" w:hAnsi="Times New Roman" w:cs="Times New Roman"/>
                <w:noProof/>
              </w:rPr>
            </w:pPr>
            <w:r>
              <w:rPr>
                <w:noProof/>
              </w:rPr>
              <w:t>Nummer (belopp)</w:t>
            </w:r>
          </w:p>
        </w:tc>
        <w:tc>
          <w:tcPr>
            <w:tcW w:w="821" w:type="dxa"/>
            <w:tcBorders>
              <w:top w:val="nil"/>
              <w:left w:val="nil"/>
              <w:bottom w:val="single" w:sz="4" w:space="0" w:color="auto"/>
              <w:right w:val="single" w:sz="4" w:space="0" w:color="auto"/>
            </w:tcBorders>
            <w:shd w:val="clear" w:color="auto" w:fill="C6EFCE"/>
            <w:noWrap/>
          </w:tcPr>
          <w:p w14:paraId="41282B4A" w14:textId="77777777" w:rsidR="003A3D51" w:rsidRDefault="0002775A">
            <w:pPr>
              <w:pStyle w:val="P68B1DB1-Normal41"/>
              <w:jc w:val="center"/>
              <w:rPr>
                <w:rFonts w:ascii="Times New Roman" w:hAnsi="Times New Roman" w:cs="Times New Roman"/>
                <w:noProof/>
              </w:rPr>
            </w:pPr>
            <w:r>
              <w:rPr>
                <w:noProof/>
              </w:rPr>
              <w:t> </w:t>
            </w:r>
          </w:p>
        </w:tc>
        <w:tc>
          <w:tcPr>
            <w:tcW w:w="970" w:type="dxa"/>
            <w:tcBorders>
              <w:top w:val="nil"/>
              <w:left w:val="nil"/>
              <w:bottom w:val="single" w:sz="4" w:space="0" w:color="auto"/>
              <w:right w:val="single" w:sz="4" w:space="0" w:color="auto"/>
            </w:tcBorders>
            <w:shd w:val="clear" w:color="auto" w:fill="C6EFCE"/>
            <w:noWrap/>
          </w:tcPr>
          <w:p w14:paraId="3D1182C2" w14:textId="77777777" w:rsidR="003A3D51" w:rsidRDefault="0002775A">
            <w:pPr>
              <w:pStyle w:val="P68B1DB1-Normal41"/>
              <w:jc w:val="center"/>
              <w:rPr>
                <w:rFonts w:ascii="Times New Roman" w:hAnsi="Times New Roman" w:cs="Times New Roman"/>
                <w:noProof/>
              </w:rPr>
            </w:pPr>
            <w:r>
              <w:rPr>
                <w:noProof/>
              </w:rPr>
              <w:t xml:space="preserve">58 730 264  </w:t>
            </w:r>
          </w:p>
        </w:tc>
        <w:tc>
          <w:tcPr>
            <w:tcW w:w="613" w:type="dxa"/>
            <w:tcBorders>
              <w:top w:val="nil"/>
              <w:left w:val="nil"/>
              <w:bottom w:val="single" w:sz="4" w:space="0" w:color="auto"/>
              <w:right w:val="single" w:sz="4" w:space="0" w:color="auto"/>
            </w:tcBorders>
            <w:shd w:val="clear" w:color="auto" w:fill="C6EFCE"/>
            <w:noWrap/>
          </w:tcPr>
          <w:p w14:paraId="63D23440" w14:textId="77777777" w:rsidR="003A3D51" w:rsidRDefault="0002775A">
            <w:pPr>
              <w:pStyle w:val="P68B1DB1-Normal41"/>
              <w:jc w:val="center"/>
              <w:rPr>
                <w:rFonts w:ascii="Times New Roman" w:hAnsi="Times New Roman" w:cs="Times New Roman"/>
                <w:noProof/>
              </w:rPr>
            </w:pPr>
            <w:r>
              <w:rPr>
                <w:noProof/>
              </w:rPr>
              <w:t>KVARTAL 2</w:t>
            </w:r>
          </w:p>
        </w:tc>
        <w:tc>
          <w:tcPr>
            <w:tcW w:w="992" w:type="dxa"/>
            <w:tcBorders>
              <w:top w:val="nil"/>
              <w:left w:val="nil"/>
              <w:bottom w:val="single" w:sz="4" w:space="0" w:color="auto"/>
              <w:right w:val="single" w:sz="4" w:space="0" w:color="auto"/>
            </w:tcBorders>
            <w:shd w:val="clear" w:color="auto" w:fill="C6EFCE"/>
            <w:noWrap/>
          </w:tcPr>
          <w:p w14:paraId="122B6B0C" w14:textId="77777777" w:rsidR="003A3D51" w:rsidRDefault="0002775A">
            <w:pPr>
              <w:pStyle w:val="P68B1DB1-Normal41"/>
              <w:jc w:val="center"/>
              <w:rPr>
                <w:rFonts w:ascii="Times New Roman" w:hAnsi="Times New Roman" w:cs="Times New Roman"/>
                <w:noProof/>
              </w:rPr>
            </w:pPr>
            <w:r>
              <w:rPr>
                <w:noProof/>
              </w:rPr>
              <w:t>2025</w:t>
            </w:r>
          </w:p>
        </w:tc>
        <w:tc>
          <w:tcPr>
            <w:tcW w:w="3979" w:type="dxa"/>
            <w:tcBorders>
              <w:top w:val="nil"/>
              <w:left w:val="nil"/>
              <w:bottom w:val="single" w:sz="4" w:space="0" w:color="auto"/>
              <w:right w:val="single" w:sz="4" w:space="0" w:color="auto"/>
            </w:tcBorders>
            <w:shd w:val="clear" w:color="auto" w:fill="C6EFCE"/>
            <w:noWrap/>
          </w:tcPr>
          <w:p w14:paraId="26B65F23" w14:textId="77777777" w:rsidR="003A3D51" w:rsidRDefault="0002775A">
            <w:pPr>
              <w:pStyle w:val="P68B1DB1-Normal41"/>
              <w:rPr>
                <w:rFonts w:ascii="Times New Roman" w:hAnsi="Times New Roman" w:cs="Times New Roman"/>
                <w:noProof/>
              </w:rPr>
            </w:pPr>
            <w:r>
              <w:rPr>
                <w:noProof/>
              </w:rPr>
              <w:t>58 730 264 EUR ska ha anslagits till forskningsprojekt som genomförs av universitet och forskningsinstitut som har undertecknat programavtalen. Projekten ska stödja direkt vetenskaplig verksamhet och forskningsverksamhet (forskningsprojekt) och baseras på offentliggjorda anbudsspecifikationer, med kravspecifikationer, inbegripet kriterier för stödberättigande, som säkerställer att de utvalda projekten överensstämmer med den tekniska vägledningen om att inte orsaka betydande skada (2021/C58/01) genom användning av en uteslutningslista och kravet på överensstämmelse med relevant EU-lagstiftning och nationell miljölagstiftning.</w:t>
            </w:r>
          </w:p>
        </w:tc>
      </w:tr>
      <w:tr w:rsidR="003A3D51" w14:paraId="30DD843F"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7CCA877" w14:textId="77777777" w:rsidR="003A3D51" w:rsidRDefault="0002775A">
            <w:pPr>
              <w:pStyle w:val="P68B1DB1-Normal41"/>
              <w:jc w:val="center"/>
              <w:rPr>
                <w:rFonts w:ascii="Times New Roman" w:hAnsi="Times New Roman" w:cs="Times New Roman"/>
                <w:noProof/>
              </w:rPr>
            </w:pPr>
            <w:r>
              <w:rPr>
                <w:noProof/>
              </w:rPr>
              <w:t>280</w:t>
            </w:r>
          </w:p>
        </w:tc>
        <w:tc>
          <w:tcPr>
            <w:tcW w:w="850" w:type="dxa"/>
            <w:tcBorders>
              <w:top w:val="single" w:sz="4" w:space="0" w:color="auto"/>
              <w:left w:val="nil"/>
              <w:bottom w:val="single" w:sz="4" w:space="0" w:color="auto"/>
              <w:right w:val="single" w:sz="4" w:space="0" w:color="auto"/>
            </w:tcBorders>
            <w:shd w:val="clear" w:color="auto" w:fill="C6EFCE"/>
            <w:noWrap/>
          </w:tcPr>
          <w:p w14:paraId="51678697" w14:textId="77777777" w:rsidR="003A3D51" w:rsidRDefault="0002775A">
            <w:pPr>
              <w:pStyle w:val="P68B1DB1-Normal41"/>
              <w:jc w:val="center"/>
              <w:rPr>
                <w:rFonts w:ascii="Times New Roman" w:hAnsi="Times New Roman" w:cs="Times New Roman"/>
                <w:noProof/>
              </w:rPr>
            </w:pPr>
            <w:r>
              <w:rPr>
                <w:noProof/>
              </w:rPr>
              <w:t>C3.2 R1-I2</w:t>
            </w:r>
          </w:p>
        </w:tc>
        <w:tc>
          <w:tcPr>
            <w:tcW w:w="850" w:type="dxa"/>
            <w:tcBorders>
              <w:top w:val="single" w:sz="4" w:space="0" w:color="auto"/>
              <w:left w:val="nil"/>
              <w:bottom w:val="single" w:sz="4" w:space="0" w:color="auto"/>
              <w:right w:val="single" w:sz="4" w:space="0" w:color="auto"/>
            </w:tcBorders>
            <w:shd w:val="clear" w:color="auto" w:fill="C6EFCE"/>
            <w:noWrap/>
          </w:tcPr>
          <w:p w14:paraId="0BA332E3"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single" w:sz="4" w:space="0" w:color="auto"/>
              <w:left w:val="nil"/>
              <w:bottom w:val="single" w:sz="4" w:space="0" w:color="auto"/>
              <w:right w:val="single" w:sz="4" w:space="0" w:color="auto"/>
            </w:tcBorders>
            <w:shd w:val="clear" w:color="auto" w:fill="C6EFCE"/>
            <w:noWrap/>
          </w:tcPr>
          <w:p w14:paraId="0EE3F4C0" w14:textId="77777777" w:rsidR="003A3D51" w:rsidRDefault="0002775A">
            <w:pPr>
              <w:pStyle w:val="P68B1DB1-Normal41"/>
              <w:rPr>
                <w:rFonts w:ascii="Times New Roman" w:hAnsi="Times New Roman" w:cs="Times New Roman"/>
                <w:noProof/>
              </w:rPr>
            </w:pPr>
            <w:r>
              <w:rPr>
                <w:noProof/>
              </w:rPr>
              <w:t xml:space="preserve">Omorganisationer av högre utbildningsanstalter och vetenskapliga institut </w:t>
            </w:r>
          </w:p>
        </w:tc>
        <w:tc>
          <w:tcPr>
            <w:tcW w:w="1957" w:type="dxa"/>
            <w:tcBorders>
              <w:top w:val="single" w:sz="4" w:space="0" w:color="auto"/>
              <w:left w:val="nil"/>
              <w:bottom w:val="single" w:sz="4" w:space="0" w:color="auto"/>
              <w:right w:val="single" w:sz="4" w:space="0" w:color="auto"/>
            </w:tcBorders>
            <w:shd w:val="clear" w:color="auto" w:fill="C6EFCE"/>
            <w:noWrap/>
          </w:tcPr>
          <w:p w14:paraId="5A312BC3" w14:textId="77777777" w:rsidR="003A3D51" w:rsidRDefault="0002775A">
            <w:pPr>
              <w:pStyle w:val="P68B1DB1-Normal41"/>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2B68B2A8" w14:textId="77777777" w:rsidR="003A3D51" w:rsidRDefault="0002775A">
            <w:pPr>
              <w:pStyle w:val="P68B1DB1-Normal41"/>
              <w:jc w:val="center"/>
              <w:rPr>
                <w:rFonts w:ascii="Times New Roman" w:hAnsi="Times New Roman" w:cs="Times New Roman"/>
                <w:noProof/>
              </w:rPr>
            </w:pPr>
            <w:r>
              <w:rPr>
                <w:noProof/>
              </w:rPr>
              <w:t>Antal</w:t>
            </w:r>
          </w:p>
        </w:tc>
        <w:tc>
          <w:tcPr>
            <w:tcW w:w="821" w:type="dxa"/>
            <w:tcBorders>
              <w:top w:val="single" w:sz="4" w:space="0" w:color="auto"/>
              <w:left w:val="nil"/>
              <w:bottom w:val="single" w:sz="4" w:space="0" w:color="auto"/>
              <w:right w:val="single" w:sz="4" w:space="0" w:color="auto"/>
            </w:tcBorders>
            <w:shd w:val="clear" w:color="auto" w:fill="C6EFCE"/>
            <w:noWrap/>
          </w:tcPr>
          <w:p w14:paraId="6A9A9033" w14:textId="77777777" w:rsidR="003A3D51" w:rsidRDefault="0002775A">
            <w:pPr>
              <w:pStyle w:val="P68B1DB1-Normal41"/>
              <w:jc w:val="center"/>
              <w:rPr>
                <w:rFonts w:ascii="Times New Roman" w:hAnsi="Times New Roman" w:cs="Times New Roman"/>
                <w:noProof/>
              </w:rPr>
            </w:pPr>
            <w:r>
              <w:rPr>
                <w:noProof/>
              </w:rPr>
              <w:t>0</w:t>
            </w:r>
          </w:p>
        </w:tc>
        <w:tc>
          <w:tcPr>
            <w:tcW w:w="970" w:type="dxa"/>
            <w:tcBorders>
              <w:top w:val="single" w:sz="4" w:space="0" w:color="auto"/>
              <w:left w:val="nil"/>
              <w:bottom w:val="single" w:sz="4" w:space="0" w:color="auto"/>
              <w:right w:val="single" w:sz="4" w:space="0" w:color="auto"/>
            </w:tcBorders>
            <w:shd w:val="clear" w:color="auto" w:fill="C6EFCE"/>
            <w:noWrap/>
          </w:tcPr>
          <w:p w14:paraId="469AE512" w14:textId="77777777" w:rsidR="003A3D51" w:rsidRDefault="0002775A">
            <w:pPr>
              <w:pStyle w:val="P68B1DB1-Normal41"/>
              <w:jc w:val="center"/>
              <w:rPr>
                <w:rFonts w:ascii="Times New Roman" w:hAnsi="Times New Roman" w:cs="Times New Roman"/>
                <w:noProof/>
              </w:rPr>
            </w:pPr>
            <w:r>
              <w:rPr>
                <w:noProof/>
              </w:rPr>
              <w:t>6</w:t>
            </w:r>
          </w:p>
        </w:tc>
        <w:tc>
          <w:tcPr>
            <w:tcW w:w="613" w:type="dxa"/>
            <w:tcBorders>
              <w:top w:val="single" w:sz="4" w:space="0" w:color="auto"/>
              <w:left w:val="nil"/>
              <w:bottom w:val="single" w:sz="4" w:space="0" w:color="auto"/>
              <w:right w:val="single" w:sz="4" w:space="0" w:color="auto"/>
            </w:tcBorders>
            <w:shd w:val="clear" w:color="auto" w:fill="C6EFCE"/>
            <w:noWrap/>
          </w:tcPr>
          <w:p w14:paraId="3F52B6A3" w14:textId="77777777" w:rsidR="003A3D51" w:rsidRDefault="0002775A">
            <w:pPr>
              <w:pStyle w:val="P68B1DB1-Normal41"/>
              <w:jc w:val="center"/>
              <w:rPr>
                <w:rFonts w:ascii="Times New Roman" w:hAnsi="Times New Roman" w:cs="Times New Roman"/>
                <w:noProof/>
              </w:rPr>
            </w:pPr>
            <w:r>
              <w:rPr>
                <w:noProof/>
              </w:rPr>
              <w:t>KVARTAL 4</w:t>
            </w:r>
          </w:p>
        </w:tc>
        <w:tc>
          <w:tcPr>
            <w:tcW w:w="992" w:type="dxa"/>
            <w:tcBorders>
              <w:top w:val="single" w:sz="4" w:space="0" w:color="auto"/>
              <w:left w:val="nil"/>
              <w:bottom w:val="single" w:sz="4" w:space="0" w:color="auto"/>
              <w:right w:val="single" w:sz="4" w:space="0" w:color="auto"/>
            </w:tcBorders>
            <w:shd w:val="clear" w:color="auto" w:fill="C6EFCE"/>
            <w:noWrap/>
          </w:tcPr>
          <w:p w14:paraId="63354F8C" w14:textId="77777777" w:rsidR="003A3D51" w:rsidRDefault="0002775A">
            <w:pPr>
              <w:pStyle w:val="P68B1DB1-Normal41"/>
              <w:jc w:val="center"/>
              <w:rPr>
                <w:rFonts w:ascii="Times New Roman" w:hAnsi="Times New Roman" w:cs="Times New Roman"/>
                <w:noProof/>
              </w:rPr>
            </w:pPr>
            <w:r>
              <w:rPr>
                <w:noProof/>
              </w:rPr>
              <w:t>2025</w:t>
            </w:r>
          </w:p>
        </w:tc>
        <w:tc>
          <w:tcPr>
            <w:tcW w:w="3979" w:type="dxa"/>
            <w:tcBorders>
              <w:top w:val="single" w:sz="4" w:space="0" w:color="auto"/>
              <w:left w:val="nil"/>
              <w:bottom w:val="single" w:sz="4" w:space="0" w:color="auto"/>
              <w:right w:val="single" w:sz="4" w:space="0" w:color="auto"/>
            </w:tcBorders>
            <w:shd w:val="clear" w:color="auto" w:fill="C6EFCE"/>
            <w:noWrap/>
          </w:tcPr>
          <w:p w14:paraId="0F39A0E1" w14:textId="77777777" w:rsidR="003A3D51" w:rsidRDefault="0002775A">
            <w:pPr>
              <w:pStyle w:val="P68B1DB1-Normal41"/>
              <w:rPr>
                <w:rFonts w:ascii="Times New Roman" w:hAnsi="Times New Roman" w:cs="Times New Roman"/>
                <w:noProof/>
              </w:rPr>
            </w:pPr>
            <w:r>
              <w:rPr>
                <w:noProof/>
              </w:rPr>
              <w:t>På grundval av den modell för omorganisation av högre utbildningsanstalter och vetenskapliga institut som utvecklats av oberoende externa experter och antagits av ministeriet för vetenskap och utbildning i dialog med den akademiska världen och arbetsmarknadens parter ska minst sex (6) omorganisationer av högre utbildningsanstalter och vetenskapliga institut med minst tolv (12) vetenskapliga forskningsorganisationer slutföras. Genomförandet av en särskild omorganisation kan innebära formella sammanslagningar, funktionell integration och/eller institutionell konsolidering (t.ex. konsolidering av flera delar av universitetet, integrering av tidigare oberoende institut i ett universitet, sammanslagning av två eller flera institut). En omorganisation anses innebära en statusändring av två eller flera institutioner, och denna åtgärd ska därför leda till att minst 12 vetenskapliga forskningsorganisationer integreras/konsolideras.</w:t>
            </w:r>
          </w:p>
        </w:tc>
      </w:tr>
      <w:tr w:rsidR="003A3D51" w14:paraId="0499C507"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3D273AAE" w14:textId="77777777" w:rsidR="003A3D51" w:rsidRDefault="0002775A">
            <w:pPr>
              <w:pStyle w:val="P68B1DB1-Normal41"/>
              <w:jc w:val="center"/>
              <w:rPr>
                <w:rFonts w:ascii="Times New Roman" w:hAnsi="Times New Roman" w:cs="Times New Roman"/>
                <w:noProof/>
              </w:rPr>
            </w:pPr>
            <w:r>
              <w:rPr>
                <w:noProof/>
              </w:rPr>
              <w:t>281</w:t>
            </w:r>
          </w:p>
        </w:tc>
        <w:tc>
          <w:tcPr>
            <w:tcW w:w="850" w:type="dxa"/>
            <w:tcBorders>
              <w:top w:val="nil"/>
              <w:left w:val="nil"/>
              <w:bottom w:val="single" w:sz="4" w:space="0" w:color="auto"/>
              <w:right w:val="single" w:sz="4" w:space="0" w:color="auto"/>
            </w:tcBorders>
            <w:shd w:val="clear" w:color="auto" w:fill="C6EFCE"/>
            <w:noWrap/>
          </w:tcPr>
          <w:p w14:paraId="2502FE3A" w14:textId="77777777" w:rsidR="003A3D51" w:rsidRDefault="0002775A">
            <w:pPr>
              <w:pStyle w:val="P68B1DB1-Normal41"/>
              <w:jc w:val="center"/>
              <w:rPr>
                <w:rFonts w:ascii="Times New Roman" w:hAnsi="Times New Roman" w:cs="Times New Roman"/>
                <w:noProof/>
              </w:rPr>
            </w:pPr>
            <w:r>
              <w:rPr>
                <w:noProof/>
              </w:rPr>
              <w:t>C3.2 R2</w:t>
            </w:r>
          </w:p>
        </w:tc>
        <w:tc>
          <w:tcPr>
            <w:tcW w:w="850" w:type="dxa"/>
            <w:tcBorders>
              <w:top w:val="nil"/>
              <w:left w:val="nil"/>
              <w:bottom w:val="single" w:sz="4" w:space="0" w:color="auto"/>
              <w:right w:val="single" w:sz="4" w:space="0" w:color="auto"/>
            </w:tcBorders>
            <w:shd w:val="clear" w:color="auto" w:fill="C6EFCE"/>
            <w:noWrap/>
          </w:tcPr>
          <w:p w14:paraId="7EDFC8D0" w14:textId="77777777" w:rsidR="003A3D51" w:rsidRDefault="0002775A">
            <w:pPr>
              <w:pStyle w:val="P68B1DB1-Normal41"/>
              <w:jc w:val="center"/>
              <w:rPr>
                <w:rFonts w:ascii="Times New Roman" w:hAnsi="Times New Roman" w:cs="Times New Roman"/>
                <w:noProof/>
              </w:rPr>
            </w:pPr>
            <w:r>
              <w:rPr>
                <w:noProof/>
              </w:rPr>
              <w:t>M</w:t>
            </w:r>
          </w:p>
        </w:tc>
        <w:tc>
          <w:tcPr>
            <w:tcW w:w="1979" w:type="dxa"/>
            <w:tcBorders>
              <w:top w:val="nil"/>
              <w:left w:val="nil"/>
              <w:bottom w:val="single" w:sz="4" w:space="0" w:color="auto"/>
              <w:right w:val="single" w:sz="4" w:space="0" w:color="auto"/>
            </w:tcBorders>
            <w:shd w:val="clear" w:color="auto" w:fill="C6EFCE"/>
            <w:noWrap/>
          </w:tcPr>
          <w:p w14:paraId="6A27DA48" w14:textId="77777777" w:rsidR="003A3D51" w:rsidRDefault="0002775A">
            <w:pPr>
              <w:pStyle w:val="P68B1DB1-Normal41"/>
              <w:rPr>
                <w:rFonts w:ascii="Times New Roman" w:hAnsi="Times New Roman" w:cs="Times New Roman"/>
                <w:noProof/>
              </w:rPr>
            </w:pPr>
            <w:r>
              <w:rPr>
                <w:noProof/>
              </w:rPr>
              <w:t xml:space="preserve">Ny rättslig ram som reglerar kvalitetskrav för studieprogram, doktorandstudier och arbetsvillkor för vetenskapliga institutioner </w:t>
            </w:r>
          </w:p>
        </w:tc>
        <w:tc>
          <w:tcPr>
            <w:tcW w:w="1957" w:type="dxa"/>
            <w:tcBorders>
              <w:top w:val="nil"/>
              <w:left w:val="nil"/>
              <w:bottom w:val="single" w:sz="4" w:space="0" w:color="auto"/>
              <w:right w:val="single" w:sz="4" w:space="0" w:color="auto"/>
            </w:tcBorders>
            <w:shd w:val="clear" w:color="auto" w:fill="C6EFCE"/>
            <w:noWrap/>
          </w:tcPr>
          <w:p w14:paraId="15EDECC7" w14:textId="77777777" w:rsidR="003A3D51" w:rsidRDefault="0002775A">
            <w:pPr>
              <w:pStyle w:val="P68B1DB1-Normal41"/>
              <w:rPr>
                <w:rFonts w:ascii="Times New Roman" w:hAnsi="Times New Roman" w:cs="Times New Roman"/>
                <w:noProof/>
              </w:rPr>
            </w:pPr>
            <w:r>
              <w:rPr>
                <w:noProof/>
              </w:rPr>
              <w:t xml:space="preserve">Ikraftträdande av en ny rättslig ram </w:t>
            </w:r>
          </w:p>
        </w:tc>
        <w:tc>
          <w:tcPr>
            <w:tcW w:w="1096" w:type="dxa"/>
            <w:tcBorders>
              <w:top w:val="nil"/>
              <w:left w:val="nil"/>
              <w:bottom w:val="single" w:sz="4" w:space="0" w:color="auto"/>
              <w:right w:val="single" w:sz="4" w:space="0" w:color="auto"/>
            </w:tcBorders>
            <w:shd w:val="clear" w:color="auto" w:fill="C6EFCE"/>
            <w:noWrap/>
          </w:tcPr>
          <w:p w14:paraId="63A141FE" w14:textId="77777777" w:rsidR="003A3D51" w:rsidRDefault="0002775A">
            <w:pPr>
              <w:pStyle w:val="P68B1DB1-Normal41"/>
              <w:jc w:val="center"/>
              <w:rPr>
                <w:rFonts w:ascii="Times New Roman" w:hAnsi="Times New Roman" w:cs="Times New Roman"/>
                <w:noProof/>
              </w:rPr>
            </w:pPr>
            <w:r>
              <w:rPr>
                <w:noProof/>
              </w:rPr>
              <w:t> </w:t>
            </w:r>
          </w:p>
        </w:tc>
        <w:tc>
          <w:tcPr>
            <w:tcW w:w="821" w:type="dxa"/>
            <w:tcBorders>
              <w:top w:val="nil"/>
              <w:left w:val="nil"/>
              <w:bottom w:val="single" w:sz="4" w:space="0" w:color="auto"/>
              <w:right w:val="single" w:sz="4" w:space="0" w:color="auto"/>
            </w:tcBorders>
            <w:shd w:val="clear" w:color="auto" w:fill="C6EFCE"/>
            <w:noWrap/>
          </w:tcPr>
          <w:p w14:paraId="3C6D93DA" w14:textId="77777777" w:rsidR="003A3D51" w:rsidRDefault="0002775A">
            <w:pPr>
              <w:pStyle w:val="P68B1DB1-Normal41"/>
              <w:jc w:val="center"/>
              <w:rPr>
                <w:rFonts w:ascii="Times New Roman" w:hAnsi="Times New Roman" w:cs="Times New Roman"/>
                <w:noProof/>
              </w:rPr>
            </w:pPr>
            <w:r>
              <w:rPr>
                <w:noProof/>
              </w:rPr>
              <w:t> </w:t>
            </w:r>
          </w:p>
        </w:tc>
        <w:tc>
          <w:tcPr>
            <w:tcW w:w="970" w:type="dxa"/>
            <w:tcBorders>
              <w:top w:val="nil"/>
              <w:left w:val="nil"/>
              <w:bottom w:val="single" w:sz="4" w:space="0" w:color="auto"/>
              <w:right w:val="single" w:sz="4" w:space="0" w:color="auto"/>
            </w:tcBorders>
            <w:shd w:val="clear" w:color="auto" w:fill="C6EFCE"/>
            <w:noWrap/>
          </w:tcPr>
          <w:p w14:paraId="52CDDF39" w14:textId="77777777" w:rsidR="003A3D51" w:rsidRDefault="0002775A">
            <w:pPr>
              <w:pStyle w:val="P68B1DB1-Normal41"/>
              <w:jc w:val="center"/>
              <w:rPr>
                <w:rFonts w:ascii="Times New Roman" w:hAnsi="Times New Roman" w:cs="Times New Roman"/>
                <w:noProof/>
              </w:rPr>
            </w:pPr>
            <w:r>
              <w:rPr>
                <w:noProof/>
              </w:rPr>
              <w:t> </w:t>
            </w:r>
          </w:p>
        </w:tc>
        <w:tc>
          <w:tcPr>
            <w:tcW w:w="613" w:type="dxa"/>
            <w:tcBorders>
              <w:top w:val="nil"/>
              <w:left w:val="nil"/>
              <w:bottom w:val="single" w:sz="4" w:space="0" w:color="auto"/>
              <w:right w:val="single" w:sz="4" w:space="0" w:color="auto"/>
            </w:tcBorders>
            <w:shd w:val="clear" w:color="auto" w:fill="C6EFCE"/>
            <w:noWrap/>
          </w:tcPr>
          <w:p w14:paraId="3EF95D0E" w14:textId="77777777" w:rsidR="003A3D51" w:rsidRDefault="0002775A">
            <w:pPr>
              <w:pStyle w:val="P68B1DB1-Normal41"/>
              <w:jc w:val="center"/>
              <w:rPr>
                <w:rFonts w:ascii="Times New Roman" w:hAnsi="Times New Roman" w:cs="Times New Roman"/>
                <w:noProof/>
              </w:rPr>
            </w:pPr>
            <w:r>
              <w:rPr>
                <w:noProof/>
              </w:rPr>
              <w:t>KVARTAL 3</w:t>
            </w:r>
          </w:p>
        </w:tc>
        <w:tc>
          <w:tcPr>
            <w:tcW w:w="992" w:type="dxa"/>
            <w:tcBorders>
              <w:top w:val="nil"/>
              <w:left w:val="nil"/>
              <w:bottom w:val="single" w:sz="4" w:space="0" w:color="auto"/>
              <w:right w:val="single" w:sz="4" w:space="0" w:color="auto"/>
            </w:tcBorders>
            <w:shd w:val="clear" w:color="auto" w:fill="C6EFCE"/>
            <w:noWrap/>
          </w:tcPr>
          <w:p w14:paraId="7F73C9A2" w14:textId="77777777" w:rsidR="003A3D51" w:rsidRDefault="0002775A">
            <w:pPr>
              <w:pStyle w:val="P68B1DB1-Normal41"/>
              <w:jc w:val="center"/>
              <w:rPr>
                <w:rFonts w:ascii="Times New Roman" w:hAnsi="Times New Roman" w:cs="Times New Roman"/>
                <w:noProof/>
              </w:rPr>
            </w:pPr>
            <w:r>
              <w:rPr>
                <w:noProof/>
              </w:rPr>
              <w:t>2022</w:t>
            </w:r>
          </w:p>
        </w:tc>
        <w:tc>
          <w:tcPr>
            <w:tcW w:w="3979" w:type="dxa"/>
            <w:tcBorders>
              <w:top w:val="nil"/>
              <w:left w:val="nil"/>
              <w:bottom w:val="single" w:sz="4" w:space="0" w:color="auto"/>
              <w:right w:val="single" w:sz="4" w:space="0" w:color="auto"/>
            </w:tcBorders>
            <w:shd w:val="clear" w:color="auto" w:fill="C6EFCE"/>
            <w:noWrap/>
          </w:tcPr>
          <w:p w14:paraId="180B4D1B" w14:textId="77777777" w:rsidR="003A3D51" w:rsidRDefault="0002775A">
            <w:pPr>
              <w:pStyle w:val="P68B1DB1-Normal41"/>
              <w:rPr>
                <w:rFonts w:ascii="Times New Roman" w:hAnsi="Times New Roman" w:cs="Times New Roman"/>
                <w:noProof/>
              </w:rPr>
            </w:pPr>
            <w:r>
              <w:rPr>
                <w:noProof/>
              </w:rPr>
              <w:t>Den nya rättsliga ramen ska utgöra en grund för ett nytt befordringssystem som bygger på spetskompetens och bättre reglering av karriärutvecklingen, och därmed skapa förutsättningar för att locka till sig och behålla forskare av hög kvalitet. Den nya rättsliga ramen ska göra det möjligt för unga forskare att blomstra på grundval av internationellt erkända vetenskapliga kvalitetskriterier och med mindre administrativa hinder. Den ska omfatta flexibla arbetsformer för att främja rekrytering av forskare med omsorgsansvar.</w:t>
            </w:r>
            <w:r>
              <w:rPr>
                <w:noProof/>
              </w:rPr>
              <w:br/>
              <w:t>Den nya rättsliga ramen består av följande:</w:t>
            </w:r>
            <w:r>
              <w:rPr>
                <w:noProof/>
              </w:rPr>
              <w:br/>
              <w:t xml:space="preserve">1) ny lag om kvalitetssäkring inom vetenskap och högre utbildning </w:t>
            </w:r>
            <w:r>
              <w:rPr>
                <w:noProof/>
              </w:rPr>
              <w:br/>
              <w:t>2) förordning om villkor för urval i vetenskapliga titlar</w:t>
            </w:r>
          </w:p>
        </w:tc>
      </w:tr>
      <w:tr w:rsidR="003A3D51" w14:paraId="0BBB86D3"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1A284435" w14:textId="77777777" w:rsidR="003A3D51" w:rsidRDefault="0002775A">
            <w:pPr>
              <w:pStyle w:val="P68B1DB1-Normal41"/>
              <w:jc w:val="center"/>
              <w:rPr>
                <w:rFonts w:ascii="Times New Roman" w:hAnsi="Times New Roman" w:cs="Times New Roman"/>
                <w:noProof/>
              </w:rPr>
            </w:pPr>
            <w:r>
              <w:rPr>
                <w:noProof/>
              </w:rPr>
              <w:t>282</w:t>
            </w:r>
          </w:p>
        </w:tc>
        <w:tc>
          <w:tcPr>
            <w:tcW w:w="850" w:type="dxa"/>
            <w:tcBorders>
              <w:top w:val="nil"/>
              <w:left w:val="nil"/>
              <w:bottom w:val="single" w:sz="4" w:space="0" w:color="auto"/>
              <w:right w:val="single" w:sz="4" w:space="0" w:color="auto"/>
            </w:tcBorders>
            <w:shd w:val="clear" w:color="auto" w:fill="C6EFCE"/>
            <w:noWrap/>
          </w:tcPr>
          <w:p w14:paraId="15CD749B" w14:textId="77777777" w:rsidR="003A3D51" w:rsidRDefault="0002775A">
            <w:pPr>
              <w:pStyle w:val="P68B1DB1-Normal41"/>
              <w:jc w:val="center"/>
              <w:rPr>
                <w:rFonts w:ascii="Times New Roman" w:hAnsi="Times New Roman" w:cs="Times New Roman"/>
                <w:noProof/>
              </w:rPr>
            </w:pPr>
            <w:r>
              <w:rPr>
                <w:noProof/>
              </w:rPr>
              <w:t>C3.2 R2-I1</w:t>
            </w:r>
          </w:p>
        </w:tc>
        <w:tc>
          <w:tcPr>
            <w:tcW w:w="850" w:type="dxa"/>
            <w:tcBorders>
              <w:top w:val="nil"/>
              <w:left w:val="nil"/>
              <w:bottom w:val="single" w:sz="4" w:space="0" w:color="auto"/>
              <w:right w:val="single" w:sz="4" w:space="0" w:color="auto"/>
            </w:tcBorders>
            <w:shd w:val="clear" w:color="auto" w:fill="C6EFCE"/>
            <w:noWrap/>
          </w:tcPr>
          <w:p w14:paraId="05FF1F80"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nil"/>
              <w:left w:val="nil"/>
              <w:bottom w:val="single" w:sz="4" w:space="0" w:color="auto"/>
              <w:right w:val="single" w:sz="4" w:space="0" w:color="auto"/>
            </w:tcBorders>
            <w:shd w:val="clear" w:color="auto" w:fill="C6EFCE"/>
            <w:noWrap/>
          </w:tcPr>
          <w:p w14:paraId="27682607" w14:textId="77777777" w:rsidR="003A3D51" w:rsidRDefault="0002775A">
            <w:pPr>
              <w:pStyle w:val="P68B1DB1-Normal41"/>
              <w:rPr>
                <w:rFonts w:ascii="Times New Roman" w:hAnsi="Times New Roman" w:cs="Times New Roman"/>
                <w:noProof/>
              </w:rPr>
            </w:pPr>
            <w:r>
              <w:rPr>
                <w:noProof/>
              </w:rPr>
              <w:t xml:space="preserve">Bidrag som beviljas inom ramen för programplaneringsramen för att öka tillgången till och anställbarheten för utexaminerade inom naturvetenskap, teknik, ingenjörsvetenskap och matematik/IKT och förbättra deras rörlighet för nationellt och internationellt samarbete. </w:t>
            </w:r>
          </w:p>
        </w:tc>
        <w:tc>
          <w:tcPr>
            <w:tcW w:w="1957" w:type="dxa"/>
            <w:tcBorders>
              <w:top w:val="nil"/>
              <w:left w:val="nil"/>
              <w:bottom w:val="single" w:sz="4" w:space="0" w:color="auto"/>
              <w:right w:val="single" w:sz="4" w:space="0" w:color="auto"/>
            </w:tcBorders>
            <w:shd w:val="clear" w:color="auto" w:fill="C6EFCE"/>
            <w:noWrap/>
          </w:tcPr>
          <w:p w14:paraId="61879AAE" w14:textId="77777777" w:rsidR="003A3D51" w:rsidRDefault="0002775A">
            <w:pPr>
              <w:pStyle w:val="P68B1DB1-Normal41"/>
              <w:rPr>
                <w:rFonts w:ascii="Times New Roman" w:hAnsi="Times New Roman" w:cs="Times New Roman"/>
                <w:noProof/>
              </w:rPr>
            </w:pPr>
            <w:r>
              <w:rPr>
                <w:noProof/>
              </w:rPr>
              <w:t xml:space="preserve"> </w:t>
            </w:r>
          </w:p>
        </w:tc>
        <w:tc>
          <w:tcPr>
            <w:tcW w:w="1096" w:type="dxa"/>
            <w:tcBorders>
              <w:top w:val="nil"/>
              <w:left w:val="nil"/>
              <w:bottom w:val="single" w:sz="4" w:space="0" w:color="auto"/>
              <w:right w:val="single" w:sz="4" w:space="0" w:color="auto"/>
            </w:tcBorders>
            <w:shd w:val="clear" w:color="auto" w:fill="C6EFCE"/>
            <w:noWrap/>
          </w:tcPr>
          <w:p w14:paraId="2A45F1A2" w14:textId="77777777" w:rsidR="003A3D51" w:rsidRDefault="0002775A">
            <w:pPr>
              <w:pStyle w:val="P68B1DB1-Normal41"/>
              <w:rPr>
                <w:rFonts w:ascii="Times New Roman" w:hAnsi="Times New Roman" w:cs="Times New Roman"/>
                <w:noProof/>
              </w:rPr>
            </w:pPr>
            <w:r>
              <w:rPr>
                <w:noProof/>
              </w:rPr>
              <w:t>Antal</w:t>
            </w:r>
          </w:p>
        </w:tc>
        <w:tc>
          <w:tcPr>
            <w:tcW w:w="821" w:type="dxa"/>
            <w:tcBorders>
              <w:top w:val="nil"/>
              <w:left w:val="nil"/>
              <w:bottom w:val="single" w:sz="4" w:space="0" w:color="auto"/>
              <w:right w:val="single" w:sz="4" w:space="0" w:color="auto"/>
            </w:tcBorders>
            <w:shd w:val="clear" w:color="auto" w:fill="C6EFCE"/>
            <w:noWrap/>
          </w:tcPr>
          <w:p w14:paraId="5853A752" w14:textId="77777777" w:rsidR="003A3D51" w:rsidRDefault="0002775A">
            <w:pPr>
              <w:pStyle w:val="P68B1DB1-Normal41"/>
              <w:jc w:val="center"/>
              <w:rPr>
                <w:rFonts w:ascii="Times New Roman" w:hAnsi="Times New Roman" w:cs="Times New Roman"/>
                <w:noProof/>
              </w:rPr>
            </w:pPr>
            <w:r>
              <w:rPr>
                <w:noProof/>
              </w:rPr>
              <w:t>0</w:t>
            </w:r>
          </w:p>
        </w:tc>
        <w:tc>
          <w:tcPr>
            <w:tcW w:w="970" w:type="dxa"/>
            <w:tcBorders>
              <w:top w:val="nil"/>
              <w:left w:val="nil"/>
              <w:bottom w:val="single" w:sz="4" w:space="0" w:color="auto"/>
              <w:right w:val="single" w:sz="4" w:space="0" w:color="auto"/>
            </w:tcBorders>
            <w:shd w:val="clear" w:color="auto" w:fill="C6EFCE"/>
            <w:noWrap/>
          </w:tcPr>
          <w:p w14:paraId="1C46DBF8" w14:textId="77777777" w:rsidR="003A3D51" w:rsidRDefault="0002775A">
            <w:pPr>
              <w:pStyle w:val="P68B1DB1-Normal41"/>
              <w:jc w:val="center"/>
              <w:rPr>
                <w:rFonts w:ascii="Times New Roman" w:hAnsi="Times New Roman" w:cs="Times New Roman"/>
                <w:noProof/>
              </w:rPr>
            </w:pPr>
            <w:r>
              <w:rPr>
                <w:noProof/>
              </w:rPr>
              <w:t>3 354</w:t>
            </w:r>
          </w:p>
        </w:tc>
        <w:tc>
          <w:tcPr>
            <w:tcW w:w="613" w:type="dxa"/>
            <w:tcBorders>
              <w:top w:val="nil"/>
              <w:left w:val="nil"/>
              <w:bottom w:val="single" w:sz="4" w:space="0" w:color="auto"/>
              <w:right w:val="single" w:sz="4" w:space="0" w:color="auto"/>
            </w:tcBorders>
            <w:shd w:val="clear" w:color="auto" w:fill="C6EFCE"/>
            <w:noWrap/>
          </w:tcPr>
          <w:p w14:paraId="65717123" w14:textId="77777777" w:rsidR="003A3D51" w:rsidRDefault="0002775A">
            <w:pPr>
              <w:pStyle w:val="P68B1DB1-Normal41"/>
              <w:jc w:val="center"/>
              <w:rPr>
                <w:rFonts w:ascii="Times New Roman" w:hAnsi="Times New Roman" w:cs="Times New Roman"/>
                <w:noProof/>
              </w:rPr>
            </w:pPr>
            <w:r>
              <w:rPr>
                <w:noProof/>
              </w:rPr>
              <w:t>KVARTAL 1</w:t>
            </w:r>
          </w:p>
        </w:tc>
        <w:tc>
          <w:tcPr>
            <w:tcW w:w="992" w:type="dxa"/>
            <w:tcBorders>
              <w:top w:val="nil"/>
              <w:left w:val="nil"/>
              <w:bottom w:val="single" w:sz="4" w:space="0" w:color="auto"/>
              <w:right w:val="single" w:sz="4" w:space="0" w:color="auto"/>
            </w:tcBorders>
            <w:shd w:val="clear" w:color="auto" w:fill="C6EFCE"/>
            <w:noWrap/>
          </w:tcPr>
          <w:p w14:paraId="4C0E46D2" w14:textId="77777777" w:rsidR="003A3D51" w:rsidRDefault="0002775A">
            <w:pPr>
              <w:pStyle w:val="P68B1DB1-Normal41"/>
              <w:jc w:val="center"/>
              <w:rPr>
                <w:rFonts w:ascii="Times New Roman" w:hAnsi="Times New Roman" w:cs="Times New Roman"/>
                <w:noProof/>
              </w:rPr>
            </w:pPr>
            <w:r>
              <w:rPr>
                <w:noProof/>
              </w:rPr>
              <w:t>2025</w:t>
            </w:r>
          </w:p>
        </w:tc>
        <w:tc>
          <w:tcPr>
            <w:tcW w:w="3979" w:type="dxa"/>
            <w:tcBorders>
              <w:top w:val="nil"/>
              <w:left w:val="nil"/>
              <w:bottom w:val="single" w:sz="4" w:space="0" w:color="auto"/>
              <w:right w:val="single" w:sz="4" w:space="0" w:color="auto"/>
            </w:tcBorders>
            <w:shd w:val="clear" w:color="auto" w:fill="C6EFCE"/>
            <w:noWrap/>
          </w:tcPr>
          <w:p w14:paraId="5ABFD0D6" w14:textId="77777777" w:rsidR="003A3D51" w:rsidRDefault="0002775A">
            <w:pPr>
              <w:pStyle w:val="P68B1DB1-Normal41"/>
              <w:rPr>
                <w:rFonts w:ascii="Times New Roman" w:hAnsi="Times New Roman" w:cs="Times New Roman"/>
                <w:noProof/>
              </w:rPr>
            </w:pPr>
            <w:r>
              <w:rPr>
                <w:noProof/>
              </w:rPr>
              <w:t>På grundval av rådgivningstjänster från externa experter som ska anlitas för att förbereda den nya ramen för instrument för forskares befordran och karriärutveckling ska minst 3 354 bidrag beviljas enligt den nya ramen. Ansökningsomgångarna ska baseras på offentliggjorda anbudsspecifikationer, med kravspecifikationer, inbegripet kriterier för stödberättigande, som säkerställer att de utvalda projekten uppfyller kraven i den tekniska vägledningen om att inte orsaka betydande skada (2021/C58/01) genom användning av en uteslutningslista och kravet på överensstämmelse med relevant EU-lagstiftning och nationell miljölagstiftning.</w:t>
            </w:r>
          </w:p>
        </w:tc>
      </w:tr>
      <w:tr w:rsidR="003A3D51" w14:paraId="0213E1AB"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4300167" w14:textId="77777777" w:rsidR="003A3D51" w:rsidRDefault="0002775A">
            <w:pPr>
              <w:pStyle w:val="P68B1DB1-Normal41"/>
              <w:jc w:val="center"/>
              <w:rPr>
                <w:rFonts w:ascii="Times New Roman" w:hAnsi="Times New Roman" w:cs="Times New Roman"/>
                <w:noProof/>
              </w:rPr>
            </w:pPr>
            <w:r>
              <w:rPr>
                <w:noProof/>
              </w:rPr>
              <w:t>283</w:t>
            </w:r>
          </w:p>
        </w:tc>
        <w:tc>
          <w:tcPr>
            <w:tcW w:w="850" w:type="dxa"/>
            <w:tcBorders>
              <w:top w:val="single" w:sz="4" w:space="0" w:color="auto"/>
              <w:left w:val="nil"/>
              <w:bottom w:val="single" w:sz="4" w:space="0" w:color="auto"/>
              <w:right w:val="single" w:sz="4" w:space="0" w:color="auto"/>
            </w:tcBorders>
            <w:shd w:val="clear" w:color="auto" w:fill="C6EFCE"/>
            <w:noWrap/>
          </w:tcPr>
          <w:p w14:paraId="30B2A176" w14:textId="77777777" w:rsidR="003A3D51" w:rsidRDefault="0002775A">
            <w:pPr>
              <w:pStyle w:val="P68B1DB1-Normal41"/>
              <w:jc w:val="center"/>
              <w:rPr>
                <w:rFonts w:ascii="Times New Roman" w:hAnsi="Times New Roman" w:cs="Times New Roman"/>
                <w:noProof/>
              </w:rPr>
            </w:pPr>
            <w:r>
              <w:rPr>
                <w:noProof/>
              </w:rPr>
              <w:t>C3.2 R2-I2</w:t>
            </w:r>
          </w:p>
        </w:tc>
        <w:tc>
          <w:tcPr>
            <w:tcW w:w="850" w:type="dxa"/>
            <w:tcBorders>
              <w:top w:val="single" w:sz="4" w:space="0" w:color="auto"/>
              <w:left w:val="nil"/>
              <w:bottom w:val="single" w:sz="4" w:space="0" w:color="auto"/>
              <w:right w:val="single" w:sz="4" w:space="0" w:color="auto"/>
            </w:tcBorders>
            <w:shd w:val="clear" w:color="auto" w:fill="C6EFCE"/>
            <w:noWrap/>
          </w:tcPr>
          <w:p w14:paraId="4FE90BED"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single" w:sz="4" w:space="0" w:color="auto"/>
              <w:left w:val="nil"/>
              <w:bottom w:val="single" w:sz="4" w:space="0" w:color="auto"/>
              <w:right w:val="single" w:sz="4" w:space="0" w:color="auto"/>
            </w:tcBorders>
            <w:shd w:val="clear" w:color="auto" w:fill="C6EFCE"/>
            <w:noWrap/>
          </w:tcPr>
          <w:p w14:paraId="3A7B57B1" w14:textId="77777777" w:rsidR="003A3D51" w:rsidRDefault="0002775A">
            <w:pPr>
              <w:pStyle w:val="P68B1DB1-Normal41"/>
              <w:rPr>
                <w:rFonts w:ascii="Times New Roman" w:hAnsi="Times New Roman" w:cs="Times New Roman"/>
                <w:noProof/>
              </w:rPr>
            </w:pPr>
            <w:r>
              <w:rPr>
                <w:noProof/>
              </w:rPr>
              <w:t>Infrastrukturprojekt för tillämpad och riktad forskning</w:t>
            </w:r>
          </w:p>
        </w:tc>
        <w:tc>
          <w:tcPr>
            <w:tcW w:w="1957" w:type="dxa"/>
            <w:tcBorders>
              <w:top w:val="single" w:sz="4" w:space="0" w:color="auto"/>
              <w:left w:val="nil"/>
              <w:bottom w:val="single" w:sz="4" w:space="0" w:color="auto"/>
              <w:right w:val="single" w:sz="4" w:space="0" w:color="auto"/>
            </w:tcBorders>
            <w:shd w:val="clear" w:color="auto" w:fill="C6EFCE"/>
            <w:noWrap/>
          </w:tcPr>
          <w:p w14:paraId="28DFFDEA" w14:textId="77777777" w:rsidR="003A3D51" w:rsidRDefault="0002775A">
            <w:pPr>
              <w:pStyle w:val="P68B1DB1-Normal41"/>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341CC0F7" w14:textId="77777777" w:rsidR="003A3D51" w:rsidRDefault="0002775A">
            <w:pPr>
              <w:pStyle w:val="P68B1DB1-Normal41"/>
              <w:jc w:val="center"/>
              <w:rPr>
                <w:rFonts w:ascii="Times New Roman" w:hAnsi="Times New Roman" w:cs="Times New Roman"/>
                <w:noProof/>
              </w:rPr>
            </w:pPr>
            <w:r>
              <w:rPr>
                <w:noProof/>
              </w:rPr>
              <w:t>Antal</w:t>
            </w:r>
          </w:p>
        </w:tc>
        <w:tc>
          <w:tcPr>
            <w:tcW w:w="821" w:type="dxa"/>
            <w:tcBorders>
              <w:top w:val="single" w:sz="4" w:space="0" w:color="auto"/>
              <w:left w:val="nil"/>
              <w:bottom w:val="single" w:sz="4" w:space="0" w:color="auto"/>
              <w:right w:val="single" w:sz="4" w:space="0" w:color="auto"/>
            </w:tcBorders>
            <w:shd w:val="clear" w:color="auto" w:fill="C6EFCE"/>
            <w:noWrap/>
          </w:tcPr>
          <w:p w14:paraId="4E239E18" w14:textId="77777777" w:rsidR="003A3D51" w:rsidRDefault="0002775A">
            <w:pPr>
              <w:pStyle w:val="P68B1DB1-Normal41"/>
              <w:jc w:val="center"/>
              <w:rPr>
                <w:rFonts w:ascii="Times New Roman" w:hAnsi="Times New Roman" w:cs="Times New Roman"/>
                <w:noProof/>
              </w:rPr>
            </w:pPr>
            <w:r>
              <w:rPr>
                <w:noProof/>
              </w:rPr>
              <w:t>0</w:t>
            </w:r>
          </w:p>
        </w:tc>
        <w:tc>
          <w:tcPr>
            <w:tcW w:w="970" w:type="dxa"/>
            <w:tcBorders>
              <w:top w:val="single" w:sz="4" w:space="0" w:color="auto"/>
              <w:left w:val="nil"/>
              <w:bottom w:val="single" w:sz="4" w:space="0" w:color="auto"/>
              <w:right w:val="single" w:sz="4" w:space="0" w:color="auto"/>
            </w:tcBorders>
            <w:shd w:val="clear" w:color="auto" w:fill="C6EFCE"/>
            <w:noWrap/>
          </w:tcPr>
          <w:p w14:paraId="4774DACE" w14:textId="77777777" w:rsidR="003A3D51" w:rsidRDefault="0002775A">
            <w:pPr>
              <w:pStyle w:val="P68B1DB1-Normal41"/>
              <w:jc w:val="center"/>
              <w:rPr>
                <w:rFonts w:ascii="Times New Roman" w:hAnsi="Times New Roman" w:cs="Times New Roman"/>
                <w:noProof/>
              </w:rPr>
            </w:pPr>
            <w:r>
              <w:rPr>
                <w:noProof/>
              </w:rPr>
              <w:t>4</w:t>
            </w:r>
          </w:p>
        </w:tc>
        <w:tc>
          <w:tcPr>
            <w:tcW w:w="613" w:type="dxa"/>
            <w:tcBorders>
              <w:top w:val="single" w:sz="4" w:space="0" w:color="auto"/>
              <w:left w:val="nil"/>
              <w:bottom w:val="single" w:sz="4" w:space="0" w:color="auto"/>
              <w:right w:val="single" w:sz="4" w:space="0" w:color="auto"/>
            </w:tcBorders>
            <w:shd w:val="clear" w:color="auto" w:fill="C6EFCE"/>
            <w:noWrap/>
          </w:tcPr>
          <w:p w14:paraId="68FAF3BD" w14:textId="77777777" w:rsidR="003A3D51" w:rsidRDefault="0002775A">
            <w:pPr>
              <w:pStyle w:val="P68B1DB1-Normal41"/>
              <w:jc w:val="center"/>
              <w:rPr>
                <w:rFonts w:ascii="Times New Roman" w:hAnsi="Times New Roman" w:cs="Times New Roman"/>
                <w:noProof/>
              </w:rPr>
            </w:pPr>
            <w:r>
              <w:rPr>
                <w:noProof/>
              </w:rPr>
              <w:t>KVARTAL 2</w:t>
            </w:r>
          </w:p>
        </w:tc>
        <w:tc>
          <w:tcPr>
            <w:tcW w:w="992" w:type="dxa"/>
            <w:tcBorders>
              <w:top w:val="single" w:sz="4" w:space="0" w:color="auto"/>
              <w:left w:val="nil"/>
              <w:bottom w:val="single" w:sz="4" w:space="0" w:color="auto"/>
              <w:right w:val="single" w:sz="4" w:space="0" w:color="auto"/>
            </w:tcBorders>
            <w:shd w:val="clear" w:color="auto" w:fill="C6EFCE"/>
            <w:noWrap/>
          </w:tcPr>
          <w:p w14:paraId="7E6590DE" w14:textId="77777777" w:rsidR="003A3D51" w:rsidRDefault="0002775A">
            <w:pPr>
              <w:pStyle w:val="P68B1DB1-Normal41"/>
              <w:jc w:val="center"/>
              <w:rPr>
                <w:rFonts w:ascii="Times New Roman" w:hAnsi="Times New Roman" w:cs="Times New Roman"/>
                <w:noProof/>
              </w:rPr>
            </w:pPr>
            <w:r>
              <w:rPr>
                <w:noProof/>
              </w:rPr>
              <w:t>2026</w:t>
            </w:r>
          </w:p>
        </w:tc>
        <w:tc>
          <w:tcPr>
            <w:tcW w:w="3979" w:type="dxa"/>
            <w:tcBorders>
              <w:top w:val="single" w:sz="4" w:space="0" w:color="auto"/>
              <w:left w:val="nil"/>
              <w:bottom w:val="single" w:sz="4" w:space="0" w:color="auto"/>
              <w:right w:val="single" w:sz="4" w:space="0" w:color="auto"/>
            </w:tcBorders>
            <w:shd w:val="clear" w:color="auto" w:fill="C6EFCE"/>
            <w:noWrap/>
          </w:tcPr>
          <w:p w14:paraId="1973947B" w14:textId="77777777" w:rsidR="003A3D51" w:rsidRDefault="0002775A">
            <w:pPr>
              <w:pStyle w:val="P68B1DB1-Normal41"/>
              <w:rPr>
                <w:rFonts w:ascii="Times New Roman" w:hAnsi="Times New Roman" w:cs="Times New Roman"/>
                <w:noProof/>
              </w:rPr>
            </w:pPr>
            <w:r>
              <w:rPr>
                <w:noProof/>
              </w:rPr>
              <w:t>Fyra infrastrukturprojekt för tillämpad och riktad forskning ska slutföras för att göra det möjligt för unga forskare att utveckla en karriär i samarbete med näringslivet och erfarna forskare, och för att stödja den digitala omvandlingsprocessen.</w:t>
            </w:r>
          </w:p>
        </w:tc>
      </w:tr>
      <w:tr w:rsidR="003A3D51" w14:paraId="24DF9F7D"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FC50C53" w14:textId="77777777" w:rsidR="003A3D51" w:rsidRDefault="0002775A">
            <w:pPr>
              <w:pStyle w:val="P68B1DB1-Normal41"/>
              <w:jc w:val="center"/>
              <w:rPr>
                <w:rFonts w:ascii="Times New Roman" w:hAnsi="Times New Roman" w:cs="Times New Roman"/>
                <w:noProof/>
              </w:rPr>
            </w:pPr>
            <w:r>
              <w:rPr>
                <w:noProof/>
              </w:rPr>
              <w:t>284</w:t>
            </w:r>
          </w:p>
        </w:tc>
        <w:tc>
          <w:tcPr>
            <w:tcW w:w="850" w:type="dxa"/>
            <w:tcBorders>
              <w:top w:val="single" w:sz="4" w:space="0" w:color="auto"/>
              <w:left w:val="nil"/>
              <w:bottom w:val="single" w:sz="4" w:space="0" w:color="auto"/>
              <w:right w:val="single" w:sz="4" w:space="0" w:color="auto"/>
            </w:tcBorders>
            <w:shd w:val="clear" w:color="auto" w:fill="C6EFCE"/>
            <w:noWrap/>
          </w:tcPr>
          <w:p w14:paraId="5576B6A0" w14:textId="77777777" w:rsidR="003A3D51" w:rsidRDefault="0002775A">
            <w:pPr>
              <w:pStyle w:val="P68B1DB1-Normal41"/>
              <w:jc w:val="center"/>
              <w:rPr>
                <w:rFonts w:ascii="Times New Roman" w:hAnsi="Times New Roman" w:cs="Times New Roman"/>
                <w:noProof/>
              </w:rPr>
            </w:pPr>
            <w:r>
              <w:rPr>
                <w:noProof/>
              </w:rPr>
              <w:t>C3.2 R3</w:t>
            </w:r>
          </w:p>
        </w:tc>
        <w:tc>
          <w:tcPr>
            <w:tcW w:w="850" w:type="dxa"/>
            <w:tcBorders>
              <w:top w:val="single" w:sz="4" w:space="0" w:color="auto"/>
              <w:left w:val="nil"/>
              <w:bottom w:val="single" w:sz="4" w:space="0" w:color="auto"/>
              <w:right w:val="single" w:sz="4" w:space="0" w:color="auto"/>
            </w:tcBorders>
            <w:shd w:val="clear" w:color="auto" w:fill="C6EFCE"/>
            <w:noWrap/>
          </w:tcPr>
          <w:p w14:paraId="46490D3D" w14:textId="77777777" w:rsidR="003A3D51" w:rsidRDefault="0002775A">
            <w:pPr>
              <w:pStyle w:val="P68B1DB1-Normal41"/>
              <w:jc w:val="center"/>
              <w:rPr>
                <w:rFonts w:ascii="Times New Roman" w:hAnsi="Times New Roman" w:cs="Times New Roman"/>
                <w:noProof/>
              </w:rPr>
            </w:pPr>
            <w:r>
              <w:rPr>
                <w:noProof/>
              </w:rPr>
              <w:t>M</w:t>
            </w:r>
          </w:p>
        </w:tc>
        <w:tc>
          <w:tcPr>
            <w:tcW w:w="1979" w:type="dxa"/>
            <w:tcBorders>
              <w:top w:val="single" w:sz="4" w:space="0" w:color="auto"/>
              <w:left w:val="nil"/>
              <w:bottom w:val="single" w:sz="4" w:space="0" w:color="auto"/>
              <w:right w:val="single" w:sz="4" w:space="0" w:color="auto"/>
            </w:tcBorders>
            <w:shd w:val="clear" w:color="auto" w:fill="C6EFCE"/>
            <w:noWrap/>
          </w:tcPr>
          <w:p w14:paraId="7B8DB353" w14:textId="77777777" w:rsidR="003A3D51" w:rsidRDefault="0002775A">
            <w:pPr>
              <w:pStyle w:val="P68B1DB1-Normal41"/>
              <w:rPr>
                <w:rFonts w:ascii="Times New Roman" w:hAnsi="Times New Roman" w:cs="Times New Roman"/>
                <w:noProof/>
              </w:rPr>
            </w:pPr>
            <w:r>
              <w:rPr>
                <w:noProof/>
              </w:rPr>
              <w:t>Ny lag om Kroatiens vetenskapsstiftelse</w:t>
            </w:r>
          </w:p>
        </w:tc>
        <w:tc>
          <w:tcPr>
            <w:tcW w:w="1957" w:type="dxa"/>
            <w:tcBorders>
              <w:top w:val="single" w:sz="4" w:space="0" w:color="auto"/>
              <w:left w:val="nil"/>
              <w:bottom w:val="single" w:sz="4" w:space="0" w:color="auto"/>
              <w:right w:val="single" w:sz="4" w:space="0" w:color="auto"/>
            </w:tcBorders>
            <w:shd w:val="clear" w:color="auto" w:fill="C6EFCE"/>
            <w:noWrap/>
          </w:tcPr>
          <w:p w14:paraId="06257303" w14:textId="77777777" w:rsidR="003A3D51" w:rsidRDefault="0002775A">
            <w:pPr>
              <w:pStyle w:val="P68B1DB1-Normal41"/>
              <w:rPr>
                <w:rFonts w:ascii="Times New Roman" w:hAnsi="Times New Roman" w:cs="Times New Roman"/>
                <w:noProof/>
              </w:rPr>
            </w:pPr>
            <w:r>
              <w:rPr>
                <w:noProof/>
              </w:rPr>
              <w:t>Ikraftträdande av den nya lagen om Kroatiens vetenskapsstiftelse.</w:t>
            </w:r>
          </w:p>
        </w:tc>
        <w:tc>
          <w:tcPr>
            <w:tcW w:w="1096" w:type="dxa"/>
            <w:tcBorders>
              <w:top w:val="single" w:sz="4" w:space="0" w:color="auto"/>
              <w:left w:val="nil"/>
              <w:bottom w:val="single" w:sz="4" w:space="0" w:color="auto"/>
              <w:right w:val="single" w:sz="4" w:space="0" w:color="auto"/>
            </w:tcBorders>
            <w:shd w:val="clear" w:color="auto" w:fill="C6EFCE"/>
            <w:noWrap/>
          </w:tcPr>
          <w:p w14:paraId="65B9F74E" w14:textId="77777777" w:rsidR="003A3D51" w:rsidRDefault="0002775A">
            <w:pPr>
              <w:pStyle w:val="P68B1DB1-Normal41"/>
              <w:jc w:val="center"/>
              <w:rPr>
                <w:rFonts w:ascii="Times New Roman" w:hAnsi="Times New Roman" w:cs="Times New Roman"/>
                <w:noProof/>
              </w:rPr>
            </w:pPr>
            <w:r>
              <w:rPr>
                <w:noProof/>
              </w:rPr>
              <w:t> </w:t>
            </w:r>
          </w:p>
        </w:tc>
        <w:tc>
          <w:tcPr>
            <w:tcW w:w="821" w:type="dxa"/>
            <w:tcBorders>
              <w:top w:val="single" w:sz="4" w:space="0" w:color="auto"/>
              <w:left w:val="nil"/>
              <w:bottom w:val="single" w:sz="4" w:space="0" w:color="auto"/>
              <w:right w:val="single" w:sz="4" w:space="0" w:color="auto"/>
            </w:tcBorders>
            <w:shd w:val="clear" w:color="auto" w:fill="C6EFCE"/>
            <w:noWrap/>
          </w:tcPr>
          <w:p w14:paraId="2A515489" w14:textId="77777777" w:rsidR="003A3D51" w:rsidRDefault="0002775A">
            <w:pPr>
              <w:pStyle w:val="P68B1DB1-Normal41"/>
              <w:jc w:val="center"/>
              <w:rPr>
                <w:rFonts w:ascii="Times New Roman" w:hAnsi="Times New Roman" w:cs="Times New Roman"/>
                <w:noProof/>
              </w:rPr>
            </w:pPr>
            <w:r>
              <w:rPr>
                <w:noProof/>
              </w:rPr>
              <w:t> </w:t>
            </w:r>
          </w:p>
        </w:tc>
        <w:tc>
          <w:tcPr>
            <w:tcW w:w="970" w:type="dxa"/>
            <w:tcBorders>
              <w:top w:val="single" w:sz="4" w:space="0" w:color="auto"/>
              <w:left w:val="nil"/>
              <w:bottom w:val="single" w:sz="4" w:space="0" w:color="auto"/>
              <w:right w:val="single" w:sz="4" w:space="0" w:color="auto"/>
            </w:tcBorders>
            <w:shd w:val="clear" w:color="auto" w:fill="C6EFCE"/>
            <w:noWrap/>
          </w:tcPr>
          <w:p w14:paraId="0D24E683" w14:textId="77777777" w:rsidR="003A3D51" w:rsidRDefault="0002775A">
            <w:pPr>
              <w:pStyle w:val="P68B1DB1-Normal41"/>
              <w:jc w:val="center"/>
              <w:rPr>
                <w:rFonts w:ascii="Times New Roman" w:hAnsi="Times New Roman" w:cs="Times New Roman"/>
                <w:noProof/>
              </w:rPr>
            </w:pPr>
            <w:r>
              <w:rPr>
                <w:noProof/>
              </w:rPr>
              <w:t> </w:t>
            </w:r>
          </w:p>
        </w:tc>
        <w:tc>
          <w:tcPr>
            <w:tcW w:w="613" w:type="dxa"/>
            <w:tcBorders>
              <w:top w:val="single" w:sz="4" w:space="0" w:color="auto"/>
              <w:left w:val="nil"/>
              <w:bottom w:val="single" w:sz="4" w:space="0" w:color="auto"/>
              <w:right w:val="single" w:sz="4" w:space="0" w:color="auto"/>
            </w:tcBorders>
            <w:shd w:val="clear" w:color="auto" w:fill="C6EFCE"/>
            <w:noWrap/>
          </w:tcPr>
          <w:p w14:paraId="5BABE1CA" w14:textId="77777777" w:rsidR="003A3D51" w:rsidRDefault="0002775A">
            <w:pPr>
              <w:pStyle w:val="P68B1DB1-Normal41"/>
              <w:jc w:val="center"/>
              <w:rPr>
                <w:rFonts w:ascii="Times New Roman" w:hAnsi="Times New Roman" w:cs="Times New Roman"/>
                <w:noProof/>
              </w:rPr>
            </w:pPr>
            <w:r>
              <w:rPr>
                <w:noProof/>
              </w:rPr>
              <w:t>KVARTAL 3</w:t>
            </w:r>
          </w:p>
        </w:tc>
        <w:tc>
          <w:tcPr>
            <w:tcW w:w="992" w:type="dxa"/>
            <w:tcBorders>
              <w:top w:val="single" w:sz="4" w:space="0" w:color="auto"/>
              <w:left w:val="nil"/>
              <w:bottom w:val="single" w:sz="4" w:space="0" w:color="auto"/>
              <w:right w:val="single" w:sz="4" w:space="0" w:color="auto"/>
            </w:tcBorders>
            <w:shd w:val="clear" w:color="auto" w:fill="C6EFCE"/>
            <w:noWrap/>
          </w:tcPr>
          <w:p w14:paraId="6C01F70B" w14:textId="77777777" w:rsidR="003A3D51" w:rsidRDefault="0002775A">
            <w:pPr>
              <w:pStyle w:val="P68B1DB1-Normal41"/>
              <w:jc w:val="center"/>
              <w:rPr>
                <w:rFonts w:ascii="Times New Roman" w:hAnsi="Times New Roman" w:cs="Times New Roman"/>
                <w:noProof/>
              </w:rPr>
            </w:pPr>
            <w:r>
              <w:rPr>
                <w:noProof/>
              </w:rPr>
              <w:t>2022</w:t>
            </w:r>
          </w:p>
        </w:tc>
        <w:tc>
          <w:tcPr>
            <w:tcW w:w="3979" w:type="dxa"/>
            <w:tcBorders>
              <w:top w:val="single" w:sz="4" w:space="0" w:color="auto"/>
              <w:left w:val="nil"/>
              <w:bottom w:val="single" w:sz="4" w:space="0" w:color="auto"/>
              <w:right w:val="single" w:sz="4" w:space="0" w:color="auto"/>
            </w:tcBorders>
            <w:shd w:val="clear" w:color="auto" w:fill="C6EFCE"/>
            <w:noWrap/>
          </w:tcPr>
          <w:p w14:paraId="226F5A15" w14:textId="77777777" w:rsidR="003A3D51" w:rsidRDefault="0002775A">
            <w:pPr>
              <w:pStyle w:val="P68B1DB1-Normal41"/>
              <w:rPr>
                <w:rFonts w:ascii="Times New Roman" w:hAnsi="Times New Roman" w:cs="Times New Roman"/>
                <w:noProof/>
              </w:rPr>
            </w:pPr>
            <w:r>
              <w:rPr>
                <w:noProof/>
              </w:rPr>
              <w:t>Den nya lagen om den kroatiska vetenskapsstiftelsen ska fastställa ett tydligt uppdrag för stiftelsen för genomförande, samordning, utformning, övervakning och utvärdering av programmet och utvärdering av program och politik för finansiering av FoU-projekt, vilket ska skapa ett starkt och oberoende system för att genomföra urval, finansiering och övervakning av effekterna av FoU-projekt.</w:t>
            </w:r>
          </w:p>
        </w:tc>
      </w:tr>
      <w:tr w:rsidR="003A3D51" w14:paraId="787E4F0B"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31F6394E" w14:textId="77777777" w:rsidR="003A3D51" w:rsidRDefault="0002775A">
            <w:pPr>
              <w:pStyle w:val="P68B1DB1-Normal41"/>
              <w:jc w:val="center"/>
              <w:rPr>
                <w:rFonts w:ascii="Times New Roman" w:hAnsi="Times New Roman" w:cs="Times New Roman"/>
                <w:noProof/>
              </w:rPr>
            </w:pPr>
            <w:r>
              <w:rPr>
                <w:noProof/>
              </w:rPr>
              <w:t>285</w:t>
            </w:r>
          </w:p>
        </w:tc>
        <w:tc>
          <w:tcPr>
            <w:tcW w:w="850" w:type="dxa"/>
            <w:tcBorders>
              <w:top w:val="single" w:sz="4" w:space="0" w:color="auto"/>
              <w:left w:val="nil"/>
              <w:bottom w:val="single" w:sz="4" w:space="0" w:color="auto"/>
              <w:right w:val="single" w:sz="4" w:space="0" w:color="auto"/>
            </w:tcBorders>
            <w:shd w:val="clear" w:color="auto" w:fill="C6EFCE"/>
            <w:noWrap/>
          </w:tcPr>
          <w:p w14:paraId="4E013655" w14:textId="77777777" w:rsidR="003A3D51" w:rsidRDefault="0002775A">
            <w:pPr>
              <w:pStyle w:val="P68B1DB1-Normal41"/>
              <w:jc w:val="center"/>
              <w:rPr>
                <w:rFonts w:ascii="Times New Roman" w:hAnsi="Times New Roman" w:cs="Times New Roman"/>
                <w:noProof/>
              </w:rPr>
            </w:pPr>
            <w:r>
              <w:rPr>
                <w:noProof/>
              </w:rPr>
              <w:t>C3.2 R3-I1</w:t>
            </w:r>
          </w:p>
        </w:tc>
        <w:tc>
          <w:tcPr>
            <w:tcW w:w="850" w:type="dxa"/>
            <w:tcBorders>
              <w:top w:val="single" w:sz="4" w:space="0" w:color="auto"/>
              <w:left w:val="nil"/>
              <w:bottom w:val="single" w:sz="4" w:space="0" w:color="auto"/>
              <w:right w:val="single" w:sz="4" w:space="0" w:color="auto"/>
            </w:tcBorders>
            <w:shd w:val="clear" w:color="auto" w:fill="C6EFCE"/>
            <w:noWrap/>
          </w:tcPr>
          <w:p w14:paraId="1F8E4248" w14:textId="77777777" w:rsidR="003A3D51" w:rsidRDefault="0002775A">
            <w:pPr>
              <w:pStyle w:val="P68B1DB1-Normal41"/>
              <w:jc w:val="center"/>
              <w:rPr>
                <w:rFonts w:ascii="Times New Roman" w:hAnsi="Times New Roman" w:cs="Times New Roman"/>
                <w:noProof/>
              </w:rPr>
            </w:pPr>
            <w:r>
              <w:rPr>
                <w:noProof/>
              </w:rPr>
              <w:t>T</w:t>
            </w:r>
          </w:p>
        </w:tc>
        <w:tc>
          <w:tcPr>
            <w:tcW w:w="1979" w:type="dxa"/>
            <w:tcBorders>
              <w:top w:val="single" w:sz="4" w:space="0" w:color="auto"/>
              <w:left w:val="nil"/>
              <w:bottom w:val="single" w:sz="4" w:space="0" w:color="auto"/>
              <w:right w:val="single" w:sz="4" w:space="0" w:color="auto"/>
            </w:tcBorders>
            <w:shd w:val="clear" w:color="auto" w:fill="C6EFCE"/>
            <w:noWrap/>
          </w:tcPr>
          <w:p w14:paraId="2F91911C" w14:textId="77777777" w:rsidR="003A3D51" w:rsidRDefault="0002775A">
            <w:pPr>
              <w:pStyle w:val="P68B1DB1-Normal41"/>
              <w:rPr>
                <w:rFonts w:ascii="Times New Roman" w:hAnsi="Times New Roman" w:cs="Times New Roman"/>
                <w:noProof/>
              </w:rPr>
            </w:pPr>
            <w:r>
              <w:rPr>
                <w:noProof/>
              </w:rPr>
              <w:t xml:space="preserve">Bidrag som beviljas inom ramen för ett ”pilotprogram” till stöd för inrättandet av en reformerad ram för FoU I. </w:t>
            </w:r>
          </w:p>
        </w:tc>
        <w:tc>
          <w:tcPr>
            <w:tcW w:w="1957" w:type="dxa"/>
            <w:tcBorders>
              <w:top w:val="single" w:sz="4" w:space="0" w:color="auto"/>
              <w:left w:val="nil"/>
              <w:bottom w:val="single" w:sz="4" w:space="0" w:color="auto"/>
              <w:right w:val="single" w:sz="4" w:space="0" w:color="auto"/>
            </w:tcBorders>
            <w:shd w:val="clear" w:color="auto" w:fill="C6EFCE"/>
            <w:noWrap/>
          </w:tcPr>
          <w:p w14:paraId="7E78A78D" w14:textId="77777777" w:rsidR="003A3D51" w:rsidRDefault="0002775A">
            <w:pPr>
              <w:pStyle w:val="P68B1DB1-Normal41"/>
              <w:rPr>
                <w:rFonts w:ascii="Times New Roman" w:hAnsi="Times New Roman" w:cs="Times New Roman"/>
                <w:noProof/>
              </w:rPr>
            </w:pPr>
            <w:r>
              <w:rPr>
                <w:noProof/>
              </w:rPr>
              <w:t xml:space="preserve"> </w:t>
            </w:r>
          </w:p>
        </w:tc>
        <w:tc>
          <w:tcPr>
            <w:tcW w:w="1096" w:type="dxa"/>
            <w:tcBorders>
              <w:top w:val="single" w:sz="4" w:space="0" w:color="auto"/>
              <w:left w:val="nil"/>
              <w:bottom w:val="single" w:sz="4" w:space="0" w:color="auto"/>
              <w:right w:val="single" w:sz="4" w:space="0" w:color="auto"/>
            </w:tcBorders>
            <w:shd w:val="clear" w:color="auto" w:fill="C6EFCE"/>
            <w:noWrap/>
          </w:tcPr>
          <w:p w14:paraId="75C0B7E4" w14:textId="77777777" w:rsidR="003A3D51" w:rsidRDefault="0002775A">
            <w:pPr>
              <w:pStyle w:val="P68B1DB1-Normal41"/>
              <w:jc w:val="center"/>
              <w:rPr>
                <w:rFonts w:ascii="Times New Roman" w:hAnsi="Times New Roman" w:cs="Times New Roman"/>
                <w:noProof/>
              </w:rPr>
            </w:pPr>
            <w:r>
              <w:rPr>
                <w:noProof/>
              </w:rPr>
              <w:t>Antal</w:t>
            </w:r>
          </w:p>
        </w:tc>
        <w:tc>
          <w:tcPr>
            <w:tcW w:w="821" w:type="dxa"/>
            <w:tcBorders>
              <w:top w:val="single" w:sz="4" w:space="0" w:color="auto"/>
              <w:left w:val="nil"/>
              <w:bottom w:val="single" w:sz="4" w:space="0" w:color="auto"/>
              <w:right w:val="single" w:sz="4" w:space="0" w:color="auto"/>
            </w:tcBorders>
            <w:shd w:val="clear" w:color="auto" w:fill="C6EFCE"/>
            <w:noWrap/>
          </w:tcPr>
          <w:p w14:paraId="7D5BA6C7" w14:textId="77777777" w:rsidR="003A3D51" w:rsidRDefault="0002775A">
            <w:pPr>
              <w:pStyle w:val="P68B1DB1-Normal41"/>
              <w:jc w:val="center"/>
              <w:rPr>
                <w:rFonts w:ascii="Times New Roman" w:hAnsi="Times New Roman" w:cs="Times New Roman"/>
                <w:noProof/>
              </w:rPr>
            </w:pPr>
            <w:r>
              <w:rPr>
                <w:noProof/>
              </w:rPr>
              <w:t>0</w:t>
            </w:r>
          </w:p>
        </w:tc>
        <w:tc>
          <w:tcPr>
            <w:tcW w:w="970" w:type="dxa"/>
            <w:tcBorders>
              <w:top w:val="single" w:sz="4" w:space="0" w:color="auto"/>
              <w:left w:val="nil"/>
              <w:bottom w:val="single" w:sz="4" w:space="0" w:color="auto"/>
              <w:right w:val="single" w:sz="4" w:space="0" w:color="auto"/>
            </w:tcBorders>
            <w:shd w:val="clear" w:color="auto" w:fill="C6EFCE"/>
            <w:noWrap/>
          </w:tcPr>
          <w:p w14:paraId="401A115C" w14:textId="77777777" w:rsidR="003A3D51" w:rsidRDefault="0002775A">
            <w:pPr>
              <w:pStyle w:val="P68B1DB1-Normal41"/>
              <w:jc w:val="center"/>
              <w:rPr>
                <w:rFonts w:ascii="Times New Roman" w:hAnsi="Times New Roman" w:cs="Times New Roman"/>
                <w:noProof/>
              </w:rPr>
            </w:pPr>
            <w:r>
              <w:rPr>
                <w:noProof/>
              </w:rPr>
              <w:t>300</w:t>
            </w:r>
          </w:p>
        </w:tc>
        <w:tc>
          <w:tcPr>
            <w:tcW w:w="613" w:type="dxa"/>
            <w:tcBorders>
              <w:top w:val="single" w:sz="4" w:space="0" w:color="auto"/>
              <w:left w:val="nil"/>
              <w:bottom w:val="single" w:sz="4" w:space="0" w:color="auto"/>
              <w:right w:val="single" w:sz="4" w:space="0" w:color="auto"/>
            </w:tcBorders>
            <w:shd w:val="clear" w:color="auto" w:fill="C6EFCE"/>
            <w:noWrap/>
          </w:tcPr>
          <w:p w14:paraId="4318D402" w14:textId="77777777" w:rsidR="003A3D51" w:rsidRDefault="0002775A">
            <w:pPr>
              <w:pStyle w:val="P68B1DB1-Normal41"/>
              <w:jc w:val="center"/>
              <w:rPr>
                <w:rFonts w:ascii="Times New Roman" w:hAnsi="Times New Roman" w:cs="Times New Roman"/>
                <w:noProof/>
              </w:rPr>
            </w:pPr>
            <w:r>
              <w:rPr>
                <w:noProof/>
              </w:rPr>
              <w:t>KVARTAL 4</w:t>
            </w:r>
          </w:p>
        </w:tc>
        <w:tc>
          <w:tcPr>
            <w:tcW w:w="992" w:type="dxa"/>
            <w:tcBorders>
              <w:top w:val="single" w:sz="4" w:space="0" w:color="auto"/>
              <w:left w:val="nil"/>
              <w:bottom w:val="single" w:sz="4" w:space="0" w:color="auto"/>
              <w:right w:val="single" w:sz="4" w:space="0" w:color="auto"/>
            </w:tcBorders>
            <w:shd w:val="clear" w:color="auto" w:fill="C6EFCE"/>
            <w:noWrap/>
          </w:tcPr>
          <w:p w14:paraId="2A8A258C" w14:textId="77777777" w:rsidR="003A3D51" w:rsidRDefault="0002775A">
            <w:pPr>
              <w:pStyle w:val="P68B1DB1-Normal41"/>
              <w:jc w:val="center"/>
              <w:rPr>
                <w:rFonts w:ascii="Times New Roman" w:hAnsi="Times New Roman" w:cs="Times New Roman"/>
                <w:noProof/>
              </w:rPr>
            </w:pPr>
            <w:r>
              <w:rPr>
                <w:noProof/>
              </w:rPr>
              <w:t>2025</w:t>
            </w:r>
          </w:p>
        </w:tc>
        <w:tc>
          <w:tcPr>
            <w:tcW w:w="3979" w:type="dxa"/>
            <w:tcBorders>
              <w:top w:val="single" w:sz="4" w:space="0" w:color="auto"/>
              <w:left w:val="nil"/>
              <w:bottom w:val="single" w:sz="4" w:space="0" w:color="auto"/>
              <w:right w:val="single" w:sz="4" w:space="0" w:color="auto"/>
            </w:tcBorders>
            <w:shd w:val="clear" w:color="auto" w:fill="C6EFCE"/>
            <w:noWrap/>
          </w:tcPr>
          <w:p w14:paraId="10CF3704" w14:textId="77777777" w:rsidR="003A3D51" w:rsidRDefault="0002775A">
            <w:pPr>
              <w:pStyle w:val="P68B1DB1-Normal41"/>
              <w:rPr>
                <w:rFonts w:ascii="Times New Roman" w:hAnsi="Times New Roman" w:cs="Times New Roman"/>
                <w:noProof/>
              </w:rPr>
            </w:pPr>
            <w:r>
              <w:rPr>
                <w:noProof/>
              </w:rPr>
              <w:t>På grundval av rådgivningsstöd från externa experter som deltar i inrättandet av den nya institutionella ramen och programplaneringsramen för forskning, utveckling I och utformning av nya FoU-program, ska minst 300 bidrag ha beviljats för projekt som är inriktade på samarbete mellan företag och forskningsorganisationer eller kunskaps- och tekniköverföring inom ramen för ett ”pilotprogram” för att stödja inrättandet av en reformerad ram för forskning och innovation. Dessa projekt ska baseras på offentliggjorda anbudsspecifikationer, med kravspecifikationer inklusive kriterier för stödberättigande som säkerställer att de utvalda projekten uppfyller kraven i den tekniska vägledningen om att inte orsaka betydande skada (2021/C58/01) genom användning av en uteslutningslista och kravet på överensstämmelse med relevant EU-lagstiftning och nationell miljölagstiftning.</w:t>
            </w:r>
          </w:p>
        </w:tc>
      </w:tr>
    </w:tbl>
    <w:p w14:paraId="752F9779" w14:textId="77777777" w:rsidR="003A3D51" w:rsidRDefault="003A3D51">
      <w:pPr>
        <w:keepNext/>
        <w:tabs>
          <w:tab w:val="left" w:pos="850"/>
        </w:tabs>
        <w:spacing w:before="360" w:after="120" w:line="240" w:lineRule="auto"/>
        <w:jc w:val="both"/>
        <w:outlineLvl w:val="0"/>
        <w:rPr>
          <w:rFonts w:ascii="Times New Roman" w:eastAsia="Calibri" w:hAnsi="Times New Roman" w:cs="Times New Roman"/>
          <w:b/>
          <w:smallCaps/>
          <w:noProof/>
          <w:sz w:val="24"/>
        </w:rPr>
        <w:sectPr w:rsidR="003A3D51" w:rsidSect="009872B9">
          <w:headerReference w:type="even" r:id="rId300"/>
          <w:headerReference w:type="default" r:id="rId301"/>
          <w:footerReference w:type="even" r:id="rId302"/>
          <w:footerReference w:type="default" r:id="rId303"/>
          <w:headerReference w:type="first" r:id="rId304"/>
          <w:footerReference w:type="first" r:id="rId305"/>
          <w:pgSz w:w="15840" w:h="12240" w:orient="landscape"/>
          <w:pgMar w:top="1440" w:right="1440" w:bottom="1440" w:left="1440" w:header="708" w:footer="708" w:gutter="0"/>
          <w:cols w:space="708"/>
          <w:docGrid w:linePitch="360"/>
        </w:sectPr>
      </w:pPr>
    </w:p>
    <w:p w14:paraId="3990122B" w14:textId="757007A8" w:rsidR="003A3D51" w:rsidRDefault="0002775A">
      <w:pPr>
        <w:pStyle w:val="P68B1DB1-Normal2"/>
        <w:keepNext/>
        <w:tabs>
          <w:tab w:val="left" w:pos="850"/>
        </w:tabs>
        <w:spacing w:before="360" w:after="120" w:line="240" w:lineRule="auto"/>
        <w:ind w:left="851"/>
        <w:jc w:val="both"/>
        <w:outlineLvl w:val="0"/>
        <w:rPr>
          <w:noProof/>
        </w:rPr>
      </w:pPr>
      <w:r>
        <w:rPr>
          <w:noProof/>
        </w:rPr>
        <w:t>R. KOMPONENT 4.1: FÖRBÄTTRA SYSSELSÄTTNINGSÅTGÄRDERNA OCH DEN RÄTTSLIGA RAMEN FÖR EN MODERN ARBETSMARKNAD OCH FRAMTIDENS EKONOMI</w:t>
      </w:r>
    </w:p>
    <w:p w14:paraId="6715CE57" w14:textId="77777777" w:rsidR="003A3D51" w:rsidRDefault="0002775A">
      <w:pPr>
        <w:pStyle w:val="P68B1DB1-Normal3"/>
        <w:spacing w:before="120" w:after="120" w:line="240" w:lineRule="auto"/>
        <w:jc w:val="both"/>
        <w:rPr>
          <w:noProof/>
        </w:rPr>
      </w:pPr>
      <w:r>
        <w:rPr>
          <w:noProof/>
        </w:rPr>
        <w:t xml:space="preserve">Denna del av Kroatiens återhämtnings- och resiliensplan tar upp arbetsmarknadsfrågor, nämligen genom att modernisera arbetsmarknadslagstiftningen och utveckla riktade aktiva arbetsmarknadsåtgärder. Det övergripande målet för reformerna och investeringarna i denna del är att bidra till att öka sysselsättningen i Kroatien, som trots förbättringar under de senaste åren fortfarande ligger långt under EU-genomsnittet. </w:t>
      </w:r>
    </w:p>
    <w:p w14:paraId="4A99CDD3" w14:textId="77777777" w:rsidR="003A3D51" w:rsidRDefault="0002775A">
      <w:pPr>
        <w:pStyle w:val="P68B1DB1-Normal3"/>
        <w:spacing w:before="120" w:after="120" w:line="240" w:lineRule="auto"/>
        <w:jc w:val="both"/>
        <w:rPr>
          <w:noProof/>
        </w:rPr>
      </w:pPr>
      <w:r>
        <w:rPr>
          <w:noProof/>
        </w:rPr>
        <w:t>De särskilda mål som eftersträvas med denna del är följande:</w:t>
      </w:r>
    </w:p>
    <w:p w14:paraId="0979F8EA"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Utveckling och genomförande av ny aktiv arbetsmarknadspolitik till stöd för skapandet av arbetstillfällen i gröna och digitala områden</w:t>
      </w:r>
    </w:p>
    <w:p w14:paraId="274ED3A5"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Förbättringar av systemet för inkludering och övervakning av utsatta grupper på arbetsmarknaden</w:t>
      </w:r>
    </w:p>
    <w:p w14:paraId="161A21FB"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Införande av ett kupongsystem för vuxenutbildning och kompetenshöjning, särskilt förvärvande av färdigheter med anknytning till grön och digital teknik.</w:t>
      </w:r>
    </w:p>
    <w:p w14:paraId="03966724"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Förbättringar av arbetsrätten</w:t>
      </w:r>
    </w:p>
    <w:p w14:paraId="3BFF7219" w14:textId="77777777" w:rsidR="003A3D51" w:rsidRDefault="0002775A">
      <w:pPr>
        <w:pStyle w:val="P68B1DB1-Normal3"/>
        <w:spacing w:before="120" w:after="120" w:line="240" w:lineRule="auto"/>
        <w:jc w:val="both"/>
        <w:rPr>
          <w:noProof/>
        </w:rPr>
      </w:pPr>
      <w:r>
        <w:rPr>
          <w:noProof/>
        </w:rPr>
        <w:t>Denna del behandlar den landsspecifika rekommendationen att stärka arbetsmarknadsåtgärder och arbetsmarknadsinstitutioner och deras samordning med sociala tjänster (de landsspecifika rekommendationerna 2 och 2019)</w:t>
      </w:r>
      <w:r>
        <w:rPr>
          <w:noProof/>
          <w:bdr w:val="none" w:sz="0" w:space="0" w:color="auto" w:frame="1"/>
        </w:rPr>
        <w:t xml:space="preserve">samt </w:t>
      </w:r>
      <w:r>
        <w:rPr>
          <w:noProof/>
        </w:rPr>
        <w:t>den landsspecifika rekommendationen om att</w:t>
      </w:r>
      <w:r>
        <w:rPr>
          <w:noProof/>
          <w:bdr w:val="none" w:sz="0" w:space="0" w:color="auto" w:frame="1"/>
        </w:rPr>
        <w:t xml:space="preserve"> främja förvärvandet av färdigheter (de landsspecifika rekommendationerna 2.4 och 2020)</w:t>
      </w:r>
      <w:r>
        <w:rPr>
          <w:noProof/>
        </w:rPr>
        <w:t>. </w:t>
      </w:r>
    </w:p>
    <w:p w14:paraId="51C8EE64" w14:textId="77777777" w:rsidR="003A3D51" w:rsidRDefault="0002775A">
      <w:pPr>
        <w:pStyle w:val="P68B1DB1-Normal4"/>
        <w:keepNext/>
        <w:tabs>
          <w:tab w:val="num" w:pos="850"/>
        </w:tabs>
        <w:spacing w:before="40" w:after="0"/>
        <w:ind w:left="851"/>
        <w:jc w:val="both"/>
        <w:outlineLvl w:val="1"/>
        <w:rPr>
          <w:noProof/>
        </w:rPr>
      </w:pPr>
      <w:r>
        <w:rPr>
          <w:noProof/>
        </w:rPr>
        <w:t xml:space="preserve">R.1. </w:t>
      </w:r>
      <w:r>
        <w:rPr>
          <w:noProof/>
        </w:rPr>
        <w:tab/>
        <w:t>Beskrivning av reformer och investeringar avseende icke återbetalningspliktigt ekonomiskt stöd</w:t>
      </w:r>
    </w:p>
    <w:p w14:paraId="246E4CD8" w14:textId="77777777" w:rsidR="003A3D51" w:rsidRDefault="0002775A">
      <w:pPr>
        <w:pStyle w:val="P68B1DB1-Normal18"/>
        <w:keepNext/>
        <w:tabs>
          <w:tab w:val="num" w:pos="850"/>
        </w:tabs>
        <w:spacing w:before="240" w:after="0"/>
        <w:ind w:left="851"/>
        <w:jc w:val="both"/>
        <w:outlineLvl w:val="2"/>
        <w:rPr>
          <w:noProof/>
        </w:rPr>
      </w:pPr>
      <w:r>
        <w:rPr>
          <w:noProof/>
        </w:rPr>
        <w:t>Reform C4.1 R1 – Utveckling och genomförande av nya riktade aktiva arbetsmarknadsåtgärder för den gröna och digitala omställningen på arbetsmarknaden</w:t>
      </w:r>
    </w:p>
    <w:p w14:paraId="3686BE21" w14:textId="77777777" w:rsidR="003A3D51" w:rsidRDefault="0002775A">
      <w:pPr>
        <w:pStyle w:val="P68B1DB1-Normal3"/>
        <w:spacing w:before="120" w:after="120" w:line="240" w:lineRule="auto"/>
        <w:jc w:val="both"/>
        <w:rPr>
          <w:noProof/>
        </w:rPr>
      </w:pPr>
      <w:r>
        <w:rPr>
          <w:noProof/>
        </w:rPr>
        <w:t xml:space="preserve">Syftet med denna åtgärd är att anta nya aktiva arbetsmarknadsåtgärder för att främja sysselsättning och egenföretagande i samband med den gröna och digitala omställningen och öka arbetskraftens konkurrenskraft och anställbarhet i linje med arbetsmarknadens behov och med särskilt fokus på aktivering av långtidsarbetslösa. </w:t>
      </w:r>
    </w:p>
    <w:p w14:paraId="6A38D2A6" w14:textId="77777777" w:rsidR="003A3D51" w:rsidRDefault="0002775A">
      <w:pPr>
        <w:pStyle w:val="P68B1DB1-Normal3"/>
        <w:spacing w:before="120" w:after="120" w:line="240" w:lineRule="auto"/>
        <w:jc w:val="both"/>
        <w:rPr>
          <w:noProof/>
        </w:rPr>
      </w:pPr>
      <w:r>
        <w:rPr>
          <w:noProof/>
        </w:rPr>
        <w:t>Åtgärden ska utveckla och finansiera tre nya aktiva arbetsmarknadspolitiska åtgärder med inriktning på den dubbla omställningen, nämligen</w:t>
      </w:r>
    </w:p>
    <w:p w14:paraId="20F62244"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Stöd till sysselsättning i samband med den gröna och digitala omställningen</w:t>
      </w:r>
    </w:p>
    <w:p w14:paraId="1D8D5D20"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Bidragsstöd för praktik i samband med den gröna och digitala omställningen</w:t>
      </w:r>
    </w:p>
    <w:p w14:paraId="533A66F8"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Bidragsstöd för egenföretagande i samband med den gröna och digitala omställningen</w:t>
      </w:r>
    </w:p>
    <w:p w14:paraId="028D29D7" w14:textId="77777777" w:rsidR="003A3D51" w:rsidRDefault="0002775A">
      <w:pPr>
        <w:pStyle w:val="P68B1DB1-Normal3"/>
        <w:spacing w:before="120" w:after="120" w:line="240" w:lineRule="auto"/>
        <w:jc w:val="both"/>
        <w:rPr>
          <w:noProof/>
        </w:rPr>
      </w:pPr>
      <w:r>
        <w:rPr>
          <w:noProof/>
        </w:rPr>
        <w:t>När det gäller stöd till sysselsättning och praktik ska arbetstillfällen i den gröna och digitala omställningen definieras av den kroatiska offentliga arbetsförmedlingen i enlighet med bästa praxis såsom Internationella arbetsorganisationens definition av gröna jobb.</w:t>
      </w:r>
    </w:p>
    <w:p w14:paraId="7C8AC63D" w14:textId="77777777" w:rsidR="003A3D51" w:rsidRDefault="0002775A">
      <w:pPr>
        <w:pStyle w:val="P68B1DB1-Normal3"/>
        <w:spacing w:before="120" w:after="120" w:line="240" w:lineRule="auto"/>
        <w:jc w:val="both"/>
        <w:rPr>
          <w:noProof/>
        </w:rPr>
      </w:pPr>
      <w:r>
        <w:rPr>
          <w:noProof/>
        </w:rPr>
        <w:t xml:space="preserve">När det gäller egenföretagande ska den kroatiska offentliga arbetsförmedlingen utarbeta kriterier, i linje med bästa praxis, för att bedöma om de sökandes affärsplaner är förenliga med den gröna och digitala omställningen, i vilka fall stödbeloppet kommer att vara högre. </w:t>
      </w:r>
    </w:p>
    <w:p w14:paraId="72E407A6" w14:textId="77777777" w:rsidR="003A3D51" w:rsidRDefault="0002775A">
      <w:pPr>
        <w:pStyle w:val="P68B1DB1-Normal3"/>
        <w:spacing w:before="120" w:after="120" w:line="240" w:lineRule="auto"/>
        <w:jc w:val="both"/>
        <w:rPr>
          <w:noProof/>
        </w:rPr>
      </w:pPr>
      <w:r>
        <w:rPr>
          <w:noProof/>
        </w:rPr>
        <w:t>För att öka omfattningen av aktiva arbetsmarknadsåtgärder, särskilt för utsatta grupper av allvarligt missgynnade stödmottagare på arbetsmarknaden, ska varaktigheten för sysselsättningsstöd förlängas till två år för nyanställda.</w:t>
      </w:r>
    </w:p>
    <w:p w14:paraId="31065508" w14:textId="77777777" w:rsidR="003A3D51" w:rsidRDefault="0002775A">
      <w:pPr>
        <w:pStyle w:val="P68B1DB1-Normal3"/>
        <w:spacing w:before="120" w:after="120" w:line="240" w:lineRule="auto"/>
        <w:jc w:val="both"/>
        <w:rPr>
          <w:noProof/>
        </w:rPr>
      </w:pPr>
      <w:r>
        <w:rPr>
          <w:noProof/>
        </w:rPr>
        <w:t xml:space="preserve">Nya åtgärder för långtidsarbetslösa och personer med sämre anställbarhet från utsatta grupper ska kombineras med användning av kompetenskuponger för att tillhandahålla färdigheter med anknytning till den gröna och digitala omställningen. </w:t>
      </w:r>
    </w:p>
    <w:p w14:paraId="5AF8D2C5" w14:textId="4E5D271E" w:rsidR="003A3D51" w:rsidRDefault="0002775A">
      <w:pPr>
        <w:pStyle w:val="P68B1DB1-Normal3"/>
        <w:spacing w:before="120" w:after="120" w:line="240" w:lineRule="auto"/>
        <w:jc w:val="both"/>
        <w:rPr>
          <w:noProof/>
        </w:rPr>
      </w:pPr>
      <w:r>
        <w:rPr>
          <w:noProof/>
        </w:rPr>
        <w:t>Finansieringen av bidrag för att stödja sysselsättning i samband med den gröna omställningen förväntas uppgå till 50 % av det totala anslaget, medan återstående 50 % planeras för att finansiera bidrag för att stödja sysselsättning i arbetstillfällen med anknytning till den digitala omställningen.</w:t>
      </w:r>
    </w:p>
    <w:p w14:paraId="16BAB89E" w14:textId="77777777" w:rsidR="003A3D51" w:rsidRDefault="0002775A">
      <w:pPr>
        <w:pStyle w:val="P68B1DB1-Normal3"/>
        <w:spacing w:before="120" w:after="120" w:line="240" w:lineRule="auto"/>
        <w:jc w:val="both"/>
        <w:rPr>
          <w:noProof/>
        </w:rPr>
      </w:pPr>
      <w:r>
        <w:rPr>
          <w:noProof/>
        </w:rPr>
        <w:t>Reformen ska vara genomförd senast den 31 december 2025.</w:t>
      </w:r>
    </w:p>
    <w:p w14:paraId="14495234" w14:textId="77777777" w:rsidR="003A3D51" w:rsidRDefault="0002775A">
      <w:pPr>
        <w:pStyle w:val="P68B1DB1-Normal18"/>
        <w:keepNext/>
        <w:tabs>
          <w:tab w:val="num" w:pos="850"/>
        </w:tabs>
        <w:spacing w:before="240" w:after="0"/>
        <w:ind w:left="851"/>
        <w:jc w:val="both"/>
        <w:outlineLvl w:val="2"/>
        <w:rPr>
          <w:noProof/>
        </w:rPr>
      </w:pPr>
      <w:r>
        <w:rPr>
          <w:noProof/>
        </w:rPr>
        <w:t>Reform C.4.1 R2 – Stärka systemet för inkludering och övervakning av utsatta grupper på arbetsmarknaden genom förbättringar av arbetsförmedlingarnas processer</w:t>
      </w:r>
    </w:p>
    <w:p w14:paraId="5BE34F55" w14:textId="77777777" w:rsidR="003A3D51" w:rsidRDefault="0002775A">
      <w:pPr>
        <w:pStyle w:val="P68B1DB1-Normal3"/>
        <w:spacing w:before="120" w:after="120" w:line="240" w:lineRule="auto"/>
        <w:jc w:val="both"/>
        <w:rPr>
          <w:noProof/>
        </w:rPr>
      </w:pPr>
      <w:r>
        <w:rPr>
          <w:noProof/>
        </w:rPr>
        <w:t>Syftet med denna åtgärd är att stärka stödet till arbetslösa och utsatta grupper genom att</w:t>
      </w:r>
    </w:p>
    <w:p w14:paraId="3A6763CB"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Stärka den administrativa kapaciteten och personalens kompetens att arbeta med utsatta grupper</w:t>
      </w:r>
    </w:p>
    <w:p w14:paraId="2B6C3C83"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Förbättra profileringssystemen och segmenteringen av utsatta grupper</w:t>
      </w:r>
    </w:p>
    <w:p w14:paraId="725A384A"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Införande av planer för integration på arbetsmarknaden och aktiveringsprogram för utsatta grupper</w:t>
      </w:r>
    </w:p>
    <w:p w14:paraId="0A2E72C3"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Utveckla ett system för övervakning av resultaten av integrationen på arbetsmarknaden genom aktiva sysselsättningspolitiska åtgärder på mottagarnivå</w:t>
      </w:r>
    </w:p>
    <w:p w14:paraId="32F54A54"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Utvidga och omorganisera det befintliga nätverket av yrkesvägledningscentrum för CISOK, med fokus på deras roll när det gäller att locka ungdomar som varken arbetar eller studerar.</w:t>
      </w:r>
    </w:p>
    <w:p w14:paraId="073147CB"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 xml:space="preserve">Öka arbetslöshetsersättningens belopp och varaktighet i enlighet med resultaten av en analys. </w:t>
      </w:r>
    </w:p>
    <w:p w14:paraId="089BF0F8" w14:textId="77777777" w:rsidR="003A3D51" w:rsidRDefault="0002775A">
      <w:pPr>
        <w:pStyle w:val="P68B1DB1-Normal3"/>
        <w:spacing w:before="120" w:after="120" w:line="240" w:lineRule="auto"/>
        <w:jc w:val="both"/>
        <w:rPr>
          <w:noProof/>
        </w:rPr>
      </w:pPr>
      <w:r>
        <w:rPr>
          <w:noProof/>
        </w:rPr>
        <w:t>Reformen ska vara genomförd senast den 31 december 2024.</w:t>
      </w:r>
    </w:p>
    <w:p w14:paraId="617812BD" w14:textId="77777777" w:rsidR="003A3D51" w:rsidRDefault="0002775A">
      <w:pPr>
        <w:pStyle w:val="P68B1DB1-Normal18"/>
        <w:keepNext/>
        <w:tabs>
          <w:tab w:val="num" w:pos="850"/>
        </w:tabs>
        <w:spacing w:before="240" w:after="0"/>
        <w:ind w:left="851"/>
        <w:jc w:val="both"/>
        <w:outlineLvl w:val="2"/>
        <w:rPr>
          <w:noProof/>
        </w:rPr>
      </w:pPr>
      <w:r>
        <w:rPr>
          <w:noProof/>
        </w:rPr>
        <w:t>Reform C4.1 R3 – Inrättande av ett checksystem för vuxenutbildning och kompetenshöjning</w:t>
      </w:r>
    </w:p>
    <w:p w14:paraId="5673C2C9" w14:textId="77777777" w:rsidR="003A3D51" w:rsidRDefault="0002775A">
      <w:pPr>
        <w:pStyle w:val="P68B1DB1-Normal3"/>
        <w:spacing w:before="120" w:after="120" w:line="240" w:lineRule="auto"/>
        <w:jc w:val="both"/>
        <w:rPr>
          <w:noProof/>
        </w:rPr>
      </w:pPr>
      <w:r>
        <w:rPr>
          <w:noProof/>
        </w:rPr>
        <w:t xml:space="preserve">Syftet med denna reform är att öka arbetstagarnas anställbarhet och bättre matcha utbud och efterfrågan på arbetsmarknaden genom att stödja livslångt lärande och förvärvande av nya färdigheter, särskilt grön och digital kompetens. </w:t>
      </w:r>
    </w:p>
    <w:p w14:paraId="320488F7" w14:textId="77777777" w:rsidR="003A3D51" w:rsidRDefault="0002775A">
      <w:pPr>
        <w:pStyle w:val="P68B1DB1-Normal3"/>
        <w:spacing w:before="120" w:after="120" w:line="240" w:lineRule="auto"/>
        <w:jc w:val="both"/>
        <w:rPr>
          <w:noProof/>
        </w:rPr>
      </w:pPr>
      <w:r>
        <w:rPr>
          <w:noProof/>
        </w:rPr>
        <w:t>Reformen ska omfatta följande:</w:t>
      </w:r>
    </w:p>
    <w:p w14:paraId="73072D71"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Antagandet av en ny lag om vuxenutbildning, som ska syfta till att förbättra vuxenutbildningens kvalitet genom förbättrad ackreditering, övervakning och utvärdering av vuxenutbildningsinstitutioner, införande av värdebevis för vuxenutbildning och deras anpassning till den kroatiska referensramen för kvalifikationer i vuxenutbildningssystemet.</w:t>
      </w:r>
    </w:p>
    <w:p w14:paraId="75672D5A"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Kartläggning av färdigheter, med fokus på prioriterade färdigheter på arbetsmarknaden, inbegripet kompetensbrist, grön och digital kompetens, som kommer att användas för att uppdatera kompetenskatalogen och fastställa vilka färdigheter och tillhörande utbildningsprogram som ska finansieras med kuponger.</w:t>
      </w:r>
    </w:p>
    <w:p w14:paraId="1243C5B7"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Utveckling av ett it-verktyg för en omfattande bedömning av potentiella stödmottagares kompetens.</w:t>
      </w:r>
    </w:p>
    <w:p w14:paraId="4D04C63C"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 xml:space="preserve">Nå ut till utsatta grupper med hjälp av vägledning och rådgivning för att öka deras deltagande i kompetenshöjningsinitiativ, inbegripet vouchrar. </w:t>
      </w:r>
    </w:p>
    <w:p w14:paraId="4B35D3F2" w14:textId="77777777" w:rsidR="003A3D51" w:rsidRDefault="0002775A">
      <w:pPr>
        <w:pStyle w:val="P68B1DB1-Normal11"/>
        <w:numPr>
          <w:ilvl w:val="0"/>
          <w:numId w:val="24"/>
        </w:numPr>
        <w:tabs>
          <w:tab w:val="left" w:pos="426"/>
        </w:tabs>
        <w:spacing w:before="120" w:after="120" w:line="276" w:lineRule="auto"/>
        <w:ind w:left="714" w:hanging="357"/>
        <w:jc w:val="both"/>
        <w:rPr>
          <w:noProof/>
        </w:rPr>
      </w:pPr>
      <w:r>
        <w:rPr>
          <w:noProof/>
        </w:rPr>
        <w:t>Operationalisering av ansökan om användning av vouchrar av stödmottagare, utbildningsanordnare, rådgivare och arbetsgivare.</w:t>
      </w:r>
    </w:p>
    <w:p w14:paraId="6B10D72F" w14:textId="77777777" w:rsidR="003A3D51" w:rsidRDefault="0002775A">
      <w:pPr>
        <w:pStyle w:val="P68B1DB1-Normal3"/>
        <w:spacing w:before="120" w:after="120" w:line="240" w:lineRule="auto"/>
        <w:jc w:val="both"/>
        <w:rPr>
          <w:noProof/>
        </w:rPr>
      </w:pPr>
      <w:r>
        <w:rPr>
          <w:noProof/>
        </w:rPr>
        <w:t>Reformen ska vara genomförd senast den 30 juni 2025.</w:t>
      </w:r>
    </w:p>
    <w:p w14:paraId="001C11FA" w14:textId="77777777" w:rsidR="003A3D51" w:rsidRDefault="0002775A">
      <w:pPr>
        <w:pStyle w:val="P68B1DB1-Normal18"/>
        <w:keepNext/>
        <w:numPr>
          <w:ilvl w:val="2"/>
          <w:numId w:val="0"/>
        </w:numPr>
        <w:spacing w:before="240" w:after="0"/>
        <w:ind w:left="851"/>
        <w:jc w:val="both"/>
        <w:outlineLvl w:val="2"/>
        <w:rPr>
          <w:noProof/>
        </w:rPr>
      </w:pPr>
      <w:r>
        <w:rPr>
          <w:noProof/>
        </w:rPr>
        <w:t>Investering C4.1 R3 – I1 – Genomförande av vouchrar för vuxenutbildning och kompetenshöjning</w:t>
      </w:r>
    </w:p>
    <w:p w14:paraId="4FEA4683" w14:textId="2C9B279A" w:rsidR="003A3D51" w:rsidRDefault="0002775A">
      <w:pPr>
        <w:pStyle w:val="P68B1DB1-Normal3"/>
        <w:spacing w:before="120" w:after="120" w:line="240" w:lineRule="auto"/>
        <w:jc w:val="both"/>
        <w:rPr>
          <w:noProof/>
        </w:rPr>
      </w:pPr>
      <w:r>
        <w:rPr>
          <w:noProof/>
        </w:rPr>
        <w:t>Denna investering ska omfatta finansiering av vouchrar för ackrediterade vuxenutbildnings- och fortbildningsprogram för att förvärva de färdigheter som behövs på arbetsmarknaden, särskilt i omställningen till en grön och digital ekonomi. Finansieringen av program som rör kompetens som behövs i den gröna omställningen förväntas uppgå till 40 % av det totala investeringsanslaget, medan återstående 60 % planeras för finansieringsprogram som rör förvärv av digitala färdigheter.</w:t>
      </w:r>
    </w:p>
    <w:p w14:paraId="699FED40" w14:textId="77777777" w:rsidR="003A3D51" w:rsidRDefault="0002775A">
      <w:pPr>
        <w:pStyle w:val="P68B1DB1-Normal3"/>
        <w:spacing w:before="120" w:after="120" w:line="240" w:lineRule="auto"/>
        <w:jc w:val="both"/>
        <w:rPr>
          <w:noProof/>
        </w:rPr>
      </w:pPr>
      <w:r>
        <w:rPr>
          <w:noProof/>
        </w:rPr>
        <w:t>Investeringen ska genomföras kontinuerligt från och med den 30 juni 2022 till och med den 30 juni 2026.</w:t>
      </w:r>
    </w:p>
    <w:p w14:paraId="375D9A6D" w14:textId="77777777" w:rsidR="003A3D51" w:rsidRDefault="0002775A">
      <w:pPr>
        <w:pStyle w:val="P68B1DB1-Normal18"/>
        <w:keepNext/>
        <w:numPr>
          <w:ilvl w:val="2"/>
          <w:numId w:val="0"/>
        </w:numPr>
        <w:spacing w:before="240" w:after="0"/>
        <w:ind w:left="851"/>
        <w:jc w:val="both"/>
        <w:outlineLvl w:val="2"/>
        <w:rPr>
          <w:noProof/>
        </w:rPr>
      </w:pPr>
      <w:r>
        <w:rPr>
          <w:noProof/>
        </w:rPr>
        <w:t>Reform C4.1 R4 – Förbättringar av arbetslagstiftningen</w:t>
      </w:r>
    </w:p>
    <w:p w14:paraId="1CFA09D6" w14:textId="77777777" w:rsidR="003A3D51" w:rsidRDefault="0002775A">
      <w:pPr>
        <w:pStyle w:val="P68B1DB1-Normal3"/>
        <w:spacing w:before="120" w:after="120" w:line="240" w:lineRule="auto"/>
        <w:jc w:val="both"/>
        <w:rPr>
          <w:noProof/>
        </w:rPr>
      </w:pPr>
      <w:r>
        <w:rPr>
          <w:noProof/>
        </w:rPr>
        <w:t>Syftet med denna reform är att skapa en tydlig och modern rättslig ram som syftar till att förbättra arbetsvillkoren och balansen mellan arbete och privatliv, bättre reglera nya arbetsformer och uppmuntra övergången från fast anställning till tillsvidareanställning och från odeklarerat till deklarerat arbete.</w:t>
      </w:r>
    </w:p>
    <w:p w14:paraId="3F582019" w14:textId="77777777" w:rsidR="003A3D51" w:rsidRDefault="0002775A">
      <w:pPr>
        <w:pStyle w:val="P68B1DB1-Normal3"/>
        <w:spacing w:before="120" w:after="120" w:line="240" w:lineRule="auto"/>
        <w:jc w:val="both"/>
        <w:rPr>
          <w:noProof/>
        </w:rPr>
      </w:pPr>
      <w:r>
        <w:rPr>
          <w:noProof/>
        </w:rPr>
        <w:t>Reformen ska omfatta ändringar av arbetslagen, nämligen</w:t>
      </w:r>
    </w:p>
    <w:p w14:paraId="32D43241"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Reglering av arbete som utförs hemifrån i syfte att säkerställa rättssäkerheten för parterna i anställningsförhållandet under exceptionella och regelbundna omständigheter.</w:t>
      </w:r>
    </w:p>
    <w:p w14:paraId="1198B2EB"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 xml:space="preserve">Negativa incitament för användning av omotiverade visstidsanställningskontrakt, särskilt avtal med extremt kort varaktighet och begränsning av antalet möjliga på varandra följande visstidsanställningar och förhindrande av missbruk av sådana avtal, särskilt när det gäller rekrytering av närstående arbetsgivare, och en bättre definition av begreppet ”successiv”. </w:t>
      </w:r>
    </w:p>
    <w:p w14:paraId="2A14A9E7"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Stärka andra arbetsgivares rätt till ytterligare arbete.</w:t>
      </w:r>
    </w:p>
    <w:p w14:paraId="75C6D629"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 xml:space="preserve">Skapa en rättslig ram som reglerar arbete via onlineplattformar som en särskild arbetsform, genom att fastställa de subjektiva rättigheter och skyldigheter som uppstår till följd av detta specifika rättsförhållande – grundläggande rättigheter och skyldigheter på grundval av arbete, obligatorisk försäkring, trygghet och trygghet, viloperioder, uppsägning av avtal, medbeslutande och förening samt rättigheter i kollektiva anställningsförhållanden. </w:t>
      </w:r>
    </w:p>
    <w:p w14:paraId="6812DB87"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Översyn av den rättsliga bestämmelsen om automatiskt upphörande av anställning i början av pensionsåldern och översyn av bestämmelsen om obligatorisk avgång för anställda som uppnår pensionsåldern, i syfte att uppmuntra arbetstagare att förbli aktiva, samtidigt som onödiga bördor för arbetsgivarna undviks.</w:t>
      </w:r>
    </w:p>
    <w:p w14:paraId="367CB4F7"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 xml:space="preserve">På lämpligt sätt definiera begreppet lön och alla dess beståndsdelar för att bättre koppla det till minimilönen och underlätta tillämpningen av arbetsrättsliga bestämmelser och regler om beskattning av förvärvsinkomster. </w:t>
      </w:r>
    </w:p>
    <w:p w14:paraId="69374949" w14:textId="77777777" w:rsidR="003A3D51" w:rsidRDefault="0002775A">
      <w:pPr>
        <w:pStyle w:val="P68B1DB1-Normal11"/>
        <w:numPr>
          <w:ilvl w:val="0"/>
          <w:numId w:val="25"/>
        </w:numPr>
        <w:tabs>
          <w:tab w:val="left" w:pos="426"/>
        </w:tabs>
        <w:spacing w:before="120" w:after="120" w:line="276" w:lineRule="auto"/>
        <w:ind w:left="851" w:hanging="567"/>
        <w:jc w:val="both"/>
        <w:rPr>
          <w:noProof/>
        </w:rPr>
      </w:pPr>
      <w:r>
        <w:rPr>
          <w:noProof/>
        </w:rPr>
        <w:t>Definiera kollektivavtalsrättigheternas omfattning genom att bättre koppla dem till medlemskap, i syfte att öka arbetstagarnas låga deltagande i fackföreningar och kollektivförhandlingar och på så sätt stärka den sociala dialogen.</w:t>
      </w:r>
    </w:p>
    <w:p w14:paraId="09036265" w14:textId="77777777" w:rsidR="003A3D51" w:rsidRDefault="0002775A">
      <w:pPr>
        <w:pStyle w:val="P68B1DB1-Normal3"/>
        <w:spacing w:before="120" w:after="120" w:line="240" w:lineRule="auto"/>
        <w:jc w:val="both"/>
        <w:rPr>
          <w:noProof/>
        </w:rPr>
      </w:pPr>
      <w:r>
        <w:rPr>
          <w:noProof/>
        </w:rPr>
        <w:t>Reformen ska ändra lagen om obligatorisk sjukförsäkring genom att överföra kostnaderna för sjukledighet för aktiva arbetstagare som är berättigade till ålderspensionering till det kroatiska sjukförsäkringsinstitutet.</w:t>
      </w:r>
    </w:p>
    <w:p w14:paraId="61E26D3E" w14:textId="77777777" w:rsidR="003A3D51" w:rsidRDefault="0002775A">
      <w:pPr>
        <w:pStyle w:val="P68B1DB1-Normal3"/>
        <w:spacing w:before="120" w:after="120" w:line="240" w:lineRule="auto"/>
        <w:jc w:val="both"/>
        <w:rPr>
          <w:noProof/>
        </w:rPr>
      </w:pPr>
      <w:r>
        <w:rPr>
          <w:noProof/>
        </w:rPr>
        <w:t>Reformen ska omfatta ändringar av befintlig lagstiftning om anställningsförhållanden och antagande av en ny lag mot odeklarerat arbete samt andra åtgärder för att bekämpa odeklarerat arbete, nämligen</w:t>
      </w:r>
    </w:p>
    <w:p w14:paraId="4685D856"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Stärka kunskapen och kompetensen hos berörda parter och de institutioner som övervakar dem</w:t>
      </w:r>
    </w:p>
    <w:p w14:paraId="17C93BE7"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Skapa gemensamma databaser för effektiv övervakning av efterlevnaden</w:t>
      </w:r>
    </w:p>
    <w:p w14:paraId="1E0BCC89"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Omdefiniering och bättre harmonisering av påföljderna för odeklarerat arbete</w:t>
      </w:r>
    </w:p>
    <w:p w14:paraId="45B25F6A"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 xml:space="preserve">Öka allmänhetens medvetenhet om fördelarna med lagligt arbete och nackdelarna med odeklarerat arbete, bland annat genom kampanjer som också kommer att annonsera om möjligheterna att använda aktiva arbetsmarknadsåtgärder kopplade till egenföretagande, samt utbildning om olika sätt att registrera ett hantverk för vilket offentliga förmåner betalas ut i form av engångsbelopp i enlighet med skattereglerna. </w:t>
      </w:r>
    </w:p>
    <w:p w14:paraId="67032F76"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Upprätta elektroniska register över arbetstagare och arbetstid inom byggsektorn och därefter gradvis i annan verksamhet.</w:t>
      </w:r>
    </w:p>
    <w:p w14:paraId="0040A66D"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 xml:space="preserve">En bredare reglering av ansvaret för utebliven betalning av löner i avtalskedjan vid underentreprenad. </w:t>
      </w:r>
    </w:p>
    <w:p w14:paraId="4B3D4DEF"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Definiera odeklarerat arbete i alla dess yttringar, skärpa inspektionerna och påföljderna för överträdelser av bestämmelserna och reglera de åtgärder som vidtas av de myndigheter som deltar i kampen mot odeklarerat arbete.</w:t>
      </w:r>
    </w:p>
    <w:p w14:paraId="09E3955B" w14:textId="77777777" w:rsidR="003A3D51" w:rsidRDefault="0002775A">
      <w:pPr>
        <w:pStyle w:val="P68B1DB1-Normal11"/>
        <w:numPr>
          <w:ilvl w:val="0"/>
          <w:numId w:val="27"/>
        </w:numPr>
        <w:tabs>
          <w:tab w:val="left" w:pos="426"/>
        </w:tabs>
        <w:spacing w:before="120" w:after="120" w:line="276" w:lineRule="auto"/>
        <w:ind w:left="851" w:hanging="567"/>
        <w:jc w:val="both"/>
        <w:rPr>
          <w:noProof/>
        </w:rPr>
      </w:pPr>
      <w:r>
        <w:rPr>
          <w:noProof/>
        </w:rPr>
        <w:t xml:space="preserve">Definiera övergången från odeklarerat till deklarerat arbete genom att ålägga arbetsgivare att registrera en arbetstagare retroaktivt från sin första arbetsdag (och minst tre månader) inom tre dagar efter det att odeklarerat arbete har upptäckts. Dessutom medför överträdelsen en påföljd som uppgår till det föreskrivna beloppet per odeklarerad arbetstagare och en skyldighet att betala arbetstagarens lön, avgifter och förmåner. </w:t>
      </w:r>
    </w:p>
    <w:p w14:paraId="7AE58984" w14:textId="77777777" w:rsidR="003A3D51" w:rsidRDefault="0002775A">
      <w:pPr>
        <w:pStyle w:val="P68B1DB1-Normal3"/>
        <w:spacing w:before="120" w:after="120" w:line="240" w:lineRule="auto"/>
        <w:jc w:val="both"/>
        <w:rPr>
          <w:noProof/>
        </w:rPr>
      </w:pPr>
      <w:r>
        <w:rPr>
          <w:noProof/>
        </w:rPr>
        <w:t>Reformen ska omfatta ändringar av lagen om minimilön, nämligen</w:t>
      </w:r>
    </w:p>
    <w:p w14:paraId="52D97567" w14:textId="77777777" w:rsidR="003A3D51" w:rsidRDefault="0002775A">
      <w:pPr>
        <w:pStyle w:val="P68B1DB1-Normal11"/>
        <w:numPr>
          <w:ilvl w:val="0"/>
          <w:numId w:val="26"/>
        </w:numPr>
        <w:tabs>
          <w:tab w:val="left" w:pos="426"/>
        </w:tabs>
        <w:spacing w:before="120" w:after="120" w:line="276" w:lineRule="auto"/>
        <w:jc w:val="both"/>
        <w:rPr>
          <w:noProof/>
        </w:rPr>
      </w:pPr>
      <w:r>
        <w:rPr>
          <w:noProof/>
        </w:rPr>
        <w:t>Undanta merparten av lönetilläggen från minimilönen och föreskriva minimihöjningar för övertid, nattarbete och arbete på söndagar och helgdagar.</w:t>
      </w:r>
    </w:p>
    <w:p w14:paraId="7B79D259" w14:textId="77777777" w:rsidR="003A3D51" w:rsidRDefault="0002775A">
      <w:pPr>
        <w:pStyle w:val="P68B1DB1-Normal11"/>
        <w:numPr>
          <w:ilvl w:val="0"/>
          <w:numId w:val="26"/>
        </w:numPr>
        <w:tabs>
          <w:tab w:val="left" w:pos="426"/>
        </w:tabs>
        <w:spacing w:before="120" w:after="120" w:line="276" w:lineRule="auto"/>
        <w:ind w:left="851" w:hanging="567"/>
        <w:jc w:val="both"/>
        <w:rPr>
          <w:noProof/>
        </w:rPr>
      </w:pPr>
      <w:r>
        <w:rPr>
          <w:noProof/>
        </w:rPr>
        <w:t>Att utesluta möjligheten att avstå från minimilönen för att förhindra eventuellt missbruk från arbetsgivarens sida.</w:t>
      </w:r>
    </w:p>
    <w:p w14:paraId="0B8789AF" w14:textId="77777777" w:rsidR="003A3D51" w:rsidRDefault="0002775A">
      <w:pPr>
        <w:pStyle w:val="P68B1DB1-Normal11"/>
        <w:numPr>
          <w:ilvl w:val="0"/>
          <w:numId w:val="26"/>
        </w:numPr>
        <w:tabs>
          <w:tab w:val="left" w:pos="426"/>
        </w:tabs>
        <w:spacing w:before="120" w:after="120" w:line="276" w:lineRule="auto"/>
        <w:ind w:left="851" w:hanging="567"/>
        <w:jc w:val="both"/>
        <w:rPr>
          <w:noProof/>
        </w:rPr>
      </w:pPr>
      <w:r>
        <w:rPr>
          <w:noProof/>
        </w:rPr>
        <w:t>Stärka kontrollmyndigheternas kontroller och omdefiniera påföljder vid utebliven betalning av minimilöner.</w:t>
      </w:r>
    </w:p>
    <w:p w14:paraId="69B9C109" w14:textId="77777777" w:rsidR="003A3D51" w:rsidRDefault="0002775A">
      <w:pPr>
        <w:pStyle w:val="P68B1DB1-Normal11"/>
        <w:numPr>
          <w:ilvl w:val="0"/>
          <w:numId w:val="26"/>
        </w:numPr>
        <w:tabs>
          <w:tab w:val="left" w:pos="426"/>
        </w:tabs>
        <w:spacing w:before="120" w:after="120" w:line="276" w:lineRule="auto"/>
        <w:ind w:left="851" w:hanging="567"/>
        <w:jc w:val="both"/>
        <w:rPr>
          <w:noProof/>
        </w:rPr>
      </w:pPr>
      <w:r>
        <w:rPr>
          <w:noProof/>
        </w:rPr>
        <w:t xml:space="preserve">Stärka rollen för expertkommissionen för övervakning och analys av utvecklingen av minimilöner genom att ge den i uppdrag att analysera de potentiella effekterna av ökningar av minimilönerna på ekonomin, sysselsättningen, levnadsstandarden och andra delar av livet och arbetslivet, och att i enlighet med detta rekommendera riktlinjer. </w:t>
      </w:r>
    </w:p>
    <w:p w14:paraId="162F5488" w14:textId="77777777" w:rsidR="003A3D51" w:rsidRDefault="0002775A">
      <w:pPr>
        <w:pStyle w:val="P68B1DB1-Normal3"/>
        <w:spacing w:before="120" w:after="120" w:line="240" w:lineRule="auto"/>
        <w:jc w:val="both"/>
        <w:rPr>
          <w:noProof/>
        </w:rPr>
      </w:pPr>
      <w:r>
        <w:rPr>
          <w:noProof/>
        </w:rPr>
        <w:t>Reformen ska vara genomförd senast den 30 juni 2026.</w:t>
      </w:r>
    </w:p>
    <w:p w14:paraId="30CAAC37" w14:textId="77777777" w:rsidR="003A3D51" w:rsidRDefault="003A3D51">
      <w:pPr>
        <w:rPr>
          <w:noProof/>
        </w:rPr>
        <w:sectPr w:rsidR="003A3D51" w:rsidSect="00932F3F">
          <w:headerReference w:type="even" r:id="rId306"/>
          <w:headerReference w:type="default" r:id="rId307"/>
          <w:footerReference w:type="even" r:id="rId308"/>
          <w:footerReference w:type="default" r:id="rId309"/>
          <w:headerReference w:type="first" r:id="rId310"/>
          <w:footerReference w:type="first" r:id="rId311"/>
          <w:pgSz w:w="12240" w:h="15840"/>
          <w:pgMar w:top="1440" w:right="1440" w:bottom="1440" w:left="1440" w:header="708" w:footer="708" w:gutter="0"/>
          <w:cols w:space="708"/>
          <w:docGrid w:linePitch="360"/>
        </w:sectPr>
      </w:pPr>
    </w:p>
    <w:p w14:paraId="6A3D8668" w14:textId="77777777" w:rsidR="003A3D51" w:rsidRDefault="0002775A">
      <w:pPr>
        <w:pStyle w:val="P68B1DB1-Normal4"/>
        <w:keepNext/>
        <w:tabs>
          <w:tab w:val="num" w:pos="850"/>
        </w:tabs>
        <w:spacing w:before="40" w:after="0"/>
        <w:ind w:left="851"/>
        <w:jc w:val="both"/>
        <w:outlineLvl w:val="1"/>
        <w:rPr>
          <w:noProof/>
        </w:rPr>
      </w:pPr>
      <w:r>
        <w:rPr>
          <w:noProof/>
        </w:rPr>
        <w:t xml:space="preserve">R.2. </w:t>
      </w:r>
      <w:r>
        <w:rPr>
          <w:noProof/>
        </w:rPr>
        <w:tab/>
        <w:t>Delmål, mål, indikatorer och tidsplan för övervakning och genomförande avseende icke återbetalningspliktigt ekonomiskt stöd</w:t>
      </w:r>
    </w:p>
    <w:tbl>
      <w:tblPr>
        <w:tblW w:w="15165" w:type="dxa"/>
        <w:jc w:val="center"/>
        <w:tblCellMar>
          <w:top w:w="28" w:type="dxa"/>
          <w:left w:w="28" w:type="dxa"/>
          <w:bottom w:w="28" w:type="dxa"/>
          <w:right w:w="28" w:type="dxa"/>
        </w:tblCellMar>
        <w:tblLook w:val="04A0" w:firstRow="1" w:lastRow="0" w:firstColumn="1" w:lastColumn="0" w:noHBand="0" w:noVBand="1"/>
      </w:tblPr>
      <w:tblGrid>
        <w:gridCol w:w="737"/>
        <w:gridCol w:w="850"/>
        <w:gridCol w:w="946"/>
        <w:gridCol w:w="2210"/>
        <w:gridCol w:w="2052"/>
        <w:gridCol w:w="1072"/>
        <w:gridCol w:w="826"/>
        <w:gridCol w:w="850"/>
        <w:gridCol w:w="795"/>
        <w:gridCol w:w="846"/>
        <w:gridCol w:w="4498"/>
      </w:tblGrid>
      <w:tr w:rsidR="003A3D51" w14:paraId="4D307C06" w14:textId="77777777">
        <w:trPr>
          <w:trHeight w:val="636"/>
          <w:tblHeader/>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55A281C" w14:textId="77777777" w:rsidR="003A3D51" w:rsidRDefault="0002775A">
            <w:pPr>
              <w:pStyle w:val="P68B1DB1-Normal6"/>
              <w:spacing w:after="0" w:line="276" w:lineRule="auto"/>
              <w:jc w:val="center"/>
              <w:rPr>
                <w:noProof/>
              </w:rPr>
            </w:pPr>
            <w:r>
              <w:rPr>
                <w:noProof/>
              </w:rPr>
              <w:t>Antal</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C19C53" w14:textId="77777777" w:rsidR="003A3D51" w:rsidRDefault="0002775A">
            <w:pPr>
              <w:pStyle w:val="P68B1DB1-Normal6"/>
              <w:spacing w:after="0" w:line="276" w:lineRule="auto"/>
              <w:jc w:val="center"/>
              <w:rPr>
                <w:noProof/>
              </w:rPr>
            </w:pPr>
            <w:r>
              <w:rPr>
                <w:noProof/>
              </w:rPr>
              <w:t>Åtgärd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4971A68" w14:textId="77777777" w:rsidR="003A3D51" w:rsidRDefault="0002775A">
            <w:pPr>
              <w:pStyle w:val="P68B1DB1-Normal6"/>
              <w:spacing w:after="0" w:line="276" w:lineRule="auto"/>
              <w:jc w:val="center"/>
              <w:rPr>
                <w:noProof/>
              </w:rPr>
            </w:pPr>
            <w:r>
              <w:rPr>
                <w:noProof/>
              </w:rPr>
              <w:t>Delmål/mål</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3DCE42C" w14:textId="77777777" w:rsidR="003A3D51" w:rsidRDefault="0002775A">
            <w:pPr>
              <w:pStyle w:val="P68B1DB1-Normal6"/>
              <w:spacing w:after="0" w:line="276" w:lineRule="auto"/>
              <w:jc w:val="center"/>
              <w:rPr>
                <w:noProof/>
              </w:rPr>
            </w:pPr>
            <w:r>
              <w:rPr>
                <w:noProof/>
              </w:rPr>
              <w:t>Namn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C2A1E0A"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2748"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16CF2600"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429" w:type="dxa"/>
            <w:gridSpan w:val="2"/>
            <w:tcBorders>
              <w:top w:val="single" w:sz="4" w:space="0" w:color="auto"/>
              <w:left w:val="nil"/>
              <w:bottom w:val="single" w:sz="4" w:space="0" w:color="auto"/>
              <w:right w:val="single" w:sz="4" w:space="0" w:color="auto"/>
            </w:tcBorders>
            <w:shd w:val="clear" w:color="auto" w:fill="BDD7EE"/>
            <w:vAlign w:val="center"/>
            <w:hideMark/>
          </w:tcPr>
          <w:p w14:paraId="23F1829A" w14:textId="77777777" w:rsidR="003A3D51" w:rsidRDefault="0002775A">
            <w:pPr>
              <w:pStyle w:val="P68B1DB1-Normal6"/>
              <w:spacing w:after="0" w:line="276" w:lineRule="auto"/>
              <w:jc w:val="center"/>
              <w:rPr>
                <w:noProof/>
              </w:rPr>
            </w:pPr>
            <w:r>
              <w:rPr>
                <w:noProof/>
              </w:rPr>
              <w:t>Tid</w:t>
            </w:r>
          </w:p>
        </w:tc>
        <w:tc>
          <w:tcPr>
            <w:tcW w:w="4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2C150E" w14:textId="77777777" w:rsidR="003A3D51" w:rsidRDefault="0002775A">
            <w:pPr>
              <w:pStyle w:val="P68B1DB1-Normal6"/>
              <w:spacing w:after="0" w:line="276" w:lineRule="auto"/>
              <w:jc w:val="center"/>
              <w:rPr>
                <w:noProof/>
              </w:rPr>
            </w:pPr>
            <w:r>
              <w:rPr>
                <w:noProof/>
              </w:rPr>
              <w:t>Beskrivning av varje delmål och mål</w:t>
            </w:r>
          </w:p>
        </w:tc>
      </w:tr>
      <w:tr w:rsidR="003A3D51" w14:paraId="186DCCDB" w14:textId="77777777">
        <w:trPr>
          <w:trHeight w:val="503"/>
          <w:tblHeader/>
          <w:jc w:val="center"/>
        </w:trPr>
        <w:tc>
          <w:tcPr>
            <w:tcW w:w="737" w:type="dxa"/>
            <w:vMerge/>
            <w:tcBorders>
              <w:top w:val="single" w:sz="4" w:space="0" w:color="auto"/>
              <w:left w:val="single" w:sz="4" w:space="0" w:color="auto"/>
              <w:bottom w:val="single" w:sz="4" w:space="0" w:color="auto"/>
              <w:right w:val="single" w:sz="4" w:space="0" w:color="auto"/>
            </w:tcBorders>
            <w:hideMark/>
          </w:tcPr>
          <w:p w14:paraId="5812C607" w14:textId="77777777" w:rsidR="003A3D51" w:rsidRDefault="003A3D51">
            <w:pPr>
              <w:spacing w:after="0" w:line="276" w:lineRule="auto"/>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auto"/>
              <w:right w:val="single" w:sz="4" w:space="0" w:color="auto"/>
            </w:tcBorders>
            <w:hideMark/>
          </w:tcPr>
          <w:p w14:paraId="6343CED6" w14:textId="77777777" w:rsidR="003A3D51" w:rsidRDefault="003A3D51">
            <w:pPr>
              <w:spacing w:after="0" w:line="276" w:lineRule="auto"/>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auto"/>
              <w:right w:val="single" w:sz="4" w:space="0" w:color="auto"/>
            </w:tcBorders>
            <w:hideMark/>
          </w:tcPr>
          <w:p w14:paraId="3B62CED8" w14:textId="77777777" w:rsidR="003A3D51" w:rsidRDefault="003A3D51">
            <w:pPr>
              <w:spacing w:after="0" w:line="276" w:lineRule="auto"/>
              <w:jc w:val="center"/>
              <w:rPr>
                <w:rFonts w:ascii="Times New Roman" w:eastAsia="Times New Roman" w:hAnsi="Times New Roman" w:cs="Times New Roman"/>
                <w:b/>
                <w:noProof/>
              </w:rPr>
            </w:pPr>
          </w:p>
        </w:tc>
        <w:tc>
          <w:tcPr>
            <w:tcW w:w="2210" w:type="dxa"/>
            <w:vMerge/>
            <w:tcBorders>
              <w:top w:val="single" w:sz="4" w:space="0" w:color="auto"/>
              <w:left w:val="single" w:sz="4" w:space="0" w:color="auto"/>
              <w:bottom w:val="single" w:sz="4" w:space="0" w:color="auto"/>
              <w:right w:val="single" w:sz="4" w:space="0" w:color="auto"/>
            </w:tcBorders>
            <w:hideMark/>
          </w:tcPr>
          <w:p w14:paraId="58A60BE9" w14:textId="77777777" w:rsidR="003A3D51" w:rsidRDefault="003A3D51">
            <w:pPr>
              <w:spacing w:after="0" w:line="276" w:lineRule="auto"/>
              <w:rPr>
                <w:rFonts w:ascii="Times New Roman" w:eastAsia="Times New Roman" w:hAnsi="Times New Roman" w:cs="Times New Roman"/>
                <w:b/>
                <w:noProof/>
              </w:rPr>
            </w:pPr>
          </w:p>
        </w:tc>
        <w:tc>
          <w:tcPr>
            <w:tcW w:w="1843" w:type="dxa"/>
            <w:vMerge/>
            <w:tcBorders>
              <w:top w:val="single" w:sz="4" w:space="0" w:color="auto"/>
              <w:left w:val="single" w:sz="4" w:space="0" w:color="auto"/>
              <w:bottom w:val="single" w:sz="4" w:space="0" w:color="auto"/>
              <w:right w:val="single" w:sz="4" w:space="0" w:color="auto"/>
            </w:tcBorders>
            <w:hideMark/>
          </w:tcPr>
          <w:p w14:paraId="7523C282" w14:textId="77777777" w:rsidR="003A3D51" w:rsidRDefault="003A3D51">
            <w:pPr>
              <w:spacing w:after="0" w:line="276" w:lineRule="auto"/>
              <w:rPr>
                <w:rFonts w:ascii="Times New Roman" w:eastAsia="Times New Roman" w:hAnsi="Times New Roman" w:cs="Times New Roman"/>
                <w:b/>
                <w:noProof/>
              </w:rPr>
            </w:pPr>
          </w:p>
        </w:tc>
        <w:tc>
          <w:tcPr>
            <w:tcW w:w="1072" w:type="dxa"/>
            <w:tcBorders>
              <w:top w:val="nil"/>
              <w:left w:val="single" w:sz="4" w:space="0" w:color="auto"/>
              <w:bottom w:val="single" w:sz="4" w:space="0" w:color="auto"/>
              <w:right w:val="single" w:sz="4" w:space="0" w:color="auto"/>
            </w:tcBorders>
            <w:shd w:val="clear" w:color="auto" w:fill="BDD7EE"/>
            <w:vAlign w:val="center"/>
            <w:hideMark/>
          </w:tcPr>
          <w:p w14:paraId="77E9DF66" w14:textId="77777777" w:rsidR="003A3D51" w:rsidRDefault="0002775A">
            <w:pPr>
              <w:pStyle w:val="P68B1DB1-Normal6"/>
              <w:spacing w:after="0" w:line="276" w:lineRule="auto"/>
              <w:jc w:val="center"/>
              <w:rPr>
                <w:noProof/>
              </w:rPr>
            </w:pPr>
            <w:r>
              <w:rPr>
                <w:noProof/>
              </w:rPr>
              <w:t>Enhet</w:t>
            </w:r>
          </w:p>
        </w:tc>
        <w:tc>
          <w:tcPr>
            <w:tcW w:w="826" w:type="dxa"/>
            <w:tcBorders>
              <w:top w:val="nil"/>
              <w:left w:val="nil"/>
              <w:bottom w:val="single" w:sz="4" w:space="0" w:color="auto"/>
              <w:right w:val="single" w:sz="4" w:space="0" w:color="auto"/>
            </w:tcBorders>
            <w:shd w:val="clear" w:color="auto" w:fill="BDD7EE"/>
            <w:vAlign w:val="center"/>
            <w:hideMark/>
          </w:tcPr>
          <w:p w14:paraId="622C34BA" w14:textId="77777777" w:rsidR="003A3D51" w:rsidRDefault="0002775A">
            <w:pPr>
              <w:pStyle w:val="P68B1DB1-Normal6"/>
              <w:spacing w:after="0" w:line="276" w:lineRule="auto"/>
              <w:jc w:val="center"/>
              <w:rPr>
                <w:noProof/>
              </w:rPr>
            </w:pPr>
            <w:r>
              <w:rPr>
                <w:noProof/>
              </w:rPr>
              <w:t>Baslinjen</w:t>
            </w:r>
          </w:p>
        </w:tc>
        <w:tc>
          <w:tcPr>
            <w:tcW w:w="850" w:type="dxa"/>
            <w:tcBorders>
              <w:top w:val="nil"/>
              <w:left w:val="nil"/>
              <w:bottom w:val="single" w:sz="4" w:space="0" w:color="auto"/>
              <w:right w:val="single" w:sz="4" w:space="0" w:color="auto"/>
            </w:tcBorders>
            <w:shd w:val="clear" w:color="auto" w:fill="BDD7EE"/>
            <w:vAlign w:val="center"/>
            <w:hideMark/>
          </w:tcPr>
          <w:p w14:paraId="54EFBA55" w14:textId="77777777" w:rsidR="003A3D51" w:rsidRDefault="0002775A">
            <w:pPr>
              <w:pStyle w:val="P68B1DB1-Normal6"/>
              <w:spacing w:after="0" w:line="276" w:lineRule="auto"/>
              <w:jc w:val="center"/>
              <w:rPr>
                <w:noProof/>
              </w:rPr>
            </w:pPr>
            <w:r>
              <w:rPr>
                <w:noProof/>
              </w:rPr>
              <w:t>Mål</w:t>
            </w:r>
          </w:p>
        </w:tc>
        <w:tc>
          <w:tcPr>
            <w:tcW w:w="583" w:type="dxa"/>
            <w:tcBorders>
              <w:top w:val="nil"/>
              <w:left w:val="nil"/>
              <w:bottom w:val="single" w:sz="4" w:space="0" w:color="auto"/>
              <w:right w:val="single" w:sz="4" w:space="0" w:color="auto"/>
            </w:tcBorders>
            <w:shd w:val="clear" w:color="auto" w:fill="BDD7EE"/>
            <w:vAlign w:val="center"/>
            <w:hideMark/>
          </w:tcPr>
          <w:p w14:paraId="0BCC24E6" w14:textId="77777777" w:rsidR="003A3D51" w:rsidRDefault="0002775A">
            <w:pPr>
              <w:pStyle w:val="P68B1DB1-Normal6"/>
              <w:spacing w:after="0" w:line="276" w:lineRule="auto"/>
              <w:jc w:val="center"/>
              <w:rPr>
                <w:noProof/>
              </w:rPr>
            </w:pPr>
            <w:r>
              <w:rPr>
                <w:noProof/>
              </w:rPr>
              <w:t>Q</w:t>
            </w:r>
          </w:p>
        </w:tc>
        <w:tc>
          <w:tcPr>
            <w:tcW w:w="846" w:type="dxa"/>
            <w:tcBorders>
              <w:top w:val="nil"/>
              <w:left w:val="nil"/>
              <w:bottom w:val="single" w:sz="4" w:space="0" w:color="auto"/>
              <w:right w:val="single" w:sz="4" w:space="0" w:color="auto"/>
            </w:tcBorders>
            <w:shd w:val="clear" w:color="auto" w:fill="BDD7EE"/>
            <w:vAlign w:val="center"/>
            <w:hideMark/>
          </w:tcPr>
          <w:p w14:paraId="31B0531D" w14:textId="77777777" w:rsidR="003A3D51" w:rsidRDefault="0002775A">
            <w:pPr>
              <w:pStyle w:val="P68B1DB1-Normal6"/>
              <w:spacing w:after="0" w:line="276" w:lineRule="auto"/>
              <w:jc w:val="center"/>
              <w:rPr>
                <w:noProof/>
              </w:rPr>
            </w:pPr>
            <w:r>
              <w:rPr>
                <w:noProof/>
              </w:rPr>
              <w:t>Året</w:t>
            </w:r>
          </w:p>
        </w:tc>
        <w:tc>
          <w:tcPr>
            <w:tcW w:w="4498" w:type="dxa"/>
            <w:vMerge/>
            <w:tcBorders>
              <w:top w:val="single" w:sz="4" w:space="0" w:color="auto"/>
              <w:bottom w:val="single" w:sz="4" w:space="0" w:color="auto"/>
              <w:right w:val="single" w:sz="4" w:space="0" w:color="auto"/>
            </w:tcBorders>
            <w:hideMark/>
          </w:tcPr>
          <w:p w14:paraId="547144EB" w14:textId="77777777" w:rsidR="003A3D51" w:rsidRDefault="003A3D51">
            <w:pPr>
              <w:spacing w:after="0" w:line="276" w:lineRule="auto"/>
              <w:rPr>
                <w:rFonts w:ascii="Times New Roman" w:eastAsia="Times New Roman" w:hAnsi="Times New Roman" w:cs="Times New Roman"/>
                <w:b/>
                <w:noProof/>
              </w:rPr>
            </w:pPr>
          </w:p>
        </w:tc>
      </w:tr>
      <w:tr w:rsidR="003A3D51" w14:paraId="19D75129"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758AD19" w14:textId="77777777" w:rsidR="003A3D51" w:rsidRDefault="0002775A">
            <w:pPr>
              <w:pStyle w:val="P68B1DB1-Normal7"/>
              <w:spacing w:after="0" w:line="276" w:lineRule="auto"/>
              <w:jc w:val="center"/>
              <w:rPr>
                <w:rFonts w:ascii="Times New Roman" w:hAnsi="Times New Roman" w:cs="Times New Roman"/>
                <w:noProof/>
              </w:rPr>
            </w:pPr>
            <w:r>
              <w:rPr>
                <w:noProof/>
              </w:rPr>
              <w:t>286</w:t>
            </w:r>
          </w:p>
        </w:tc>
        <w:tc>
          <w:tcPr>
            <w:tcW w:w="850" w:type="dxa"/>
            <w:tcBorders>
              <w:top w:val="single" w:sz="4" w:space="0" w:color="auto"/>
              <w:left w:val="nil"/>
              <w:bottom w:val="single" w:sz="4" w:space="0" w:color="auto"/>
              <w:right w:val="single" w:sz="4" w:space="0" w:color="auto"/>
            </w:tcBorders>
            <w:shd w:val="clear" w:color="auto" w:fill="C6EFCE"/>
            <w:noWrap/>
          </w:tcPr>
          <w:p w14:paraId="2FF5731F" w14:textId="77777777" w:rsidR="003A3D51" w:rsidRDefault="0002775A">
            <w:pPr>
              <w:pStyle w:val="P68B1DB1-Normal7"/>
              <w:spacing w:after="200" w:line="276" w:lineRule="auto"/>
              <w:jc w:val="center"/>
              <w:rPr>
                <w:rFonts w:ascii="Times New Roman" w:hAnsi="Times New Roman" w:cs="Times New Roman"/>
                <w:noProof/>
              </w:rPr>
            </w:pPr>
            <w:r>
              <w:rPr>
                <w:noProof/>
              </w:rPr>
              <w:t>C4.1 R1</w:t>
            </w:r>
          </w:p>
        </w:tc>
        <w:tc>
          <w:tcPr>
            <w:tcW w:w="850" w:type="dxa"/>
            <w:tcBorders>
              <w:top w:val="single" w:sz="4" w:space="0" w:color="auto"/>
              <w:left w:val="nil"/>
              <w:bottom w:val="single" w:sz="4" w:space="0" w:color="auto"/>
              <w:right w:val="single" w:sz="4" w:space="0" w:color="auto"/>
            </w:tcBorders>
            <w:shd w:val="clear" w:color="auto" w:fill="C6EFCE"/>
            <w:noWrap/>
          </w:tcPr>
          <w:p w14:paraId="764E3A5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10" w:type="dxa"/>
            <w:tcBorders>
              <w:top w:val="single" w:sz="4" w:space="0" w:color="auto"/>
              <w:left w:val="nil"/>
              <w:bottom w:val="single" w:sz="4" w:space="0" w:color="auto"/>
              <w:right w:val="single" w:sz="4" w:space="0" w:color="auto"/>
            </w:tcBorders>
            <w:shd w:val="clear" w:color="auto" w:fill="C6EFCE"/>
            <w:noWrap/>
          </w:tcPr>
          <w:p w14:paraId="3220D96C" w14:textId="77777777" w:rsidR="003A3D51" w:rsidRDefault="0002775A">
            <w:pPr>
              <w:pStyle w:val="P68B1DB1-Normal7"/>
              <w:spacing w:after="200" w:line="276" w:lineRule="auto"/>
              <w:rPr>
                <w:rFonts w:ascii="Times New Roman" w:hAnsi="Times New Roman" w:cs="Times New Roman"/>
                <w:noProof/>
              </w:rPr>
            </w:pPr>
            <w:r>
              <w:rPr>
                <w:noProof/>
              </w:rPr>
              <w:t>Komplettering av aktiva arbetsmarknadsåtgärder</w:t>
            </w:r>
          </w:p>
        </w:tc>
        <w:tc>
          <w:tcPr>
            <w:tcW w:w="1843" w:type="dxa"/>
            <w:tcBorders>
              <w:top w:val="single" w:sz="4" w:space="0" w:color="auto"/>
              <w:left w:val="nil"/>
              <w:bottom w:val="single" w:sz="4" w:space="0" w:color="auto"/>
              <w:right w:val="single" w:sz="4" w:space="0" w:color="auto"/>
            </w:tcBorders>
            <w:shd w:val="clear" w:color="auto" w:fill="C6EFCE"/>
            <w:noWrap/>
          </w:tcPr>
          <w:p w14:paraId="3141D888" w14:textId="77777777" w:rsidR="003A3D51" w:rsidRDefault="0002775A">
            <w:pPr>
              <w:pStyle w:val="P68B1DB1-Normal7"/>
              <w:spacing w:after="200" w:line="276" w:lineRule="auto"/>
              <w:rPr>
                <w:rFonts w:ascii="Times New Roman" w:hAnsi="Times New Roman" w:cs="Times New Roman"/>
                <w:noProof/>
              </w:rPr>
            </w:pPr>
            <w:r>
              <w:rPr>
                <w:noProof/>
              </w:rPr>
              <w:t>Tre nya aktiva arbetsmarknadspolitiska åtgärder har antagits</w:t>
            </w:r>
          </w:p>
        </w:tc>
        <w:tc>
          <w:tcPr>
            <w:tcW w:w="1072" w:type="dxa"/>
            <w:tcBorders>
              <w:top w:val="nil"/>
              <w:left w:val="nil"/>
              <w:bottom w:val="single" w:sz="4" w:space="0" w:color="auto"/>
              <w:right w:val="single" w:sz="4" w:space="0" w:color="auto"/>
            </w:tcBorders>
            <w:shd w:val="clear" w:color="auto" w:fill="C6EFCE"/>
            <w:noWrap/>
          </w:tcPr>
          <w:p w14:paraId="461C9A2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525254E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nil"/>
              <w:left w:val="nil"/>
              <w:bottom w:val="single" w:sz="4" w:space="0" w:color="auto"/>
              <w:right w:val="single" w:sz="4" w:space="0" w:color="auto"/>
            </w:tcBorders>
            <w:shd w:val="clear" w:color="auto" w:fill="C6EFCE"/>
            <w:noWrap/>
          </w:tcPr>
          <w:p w14:paraId="3B8F3AF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583" w:type="dxa"/>
            <w:tcBorders>
              <w:top w:val="nil"/>
              <w:left w:val="nil"/>
              <w:bottom w:val="single" w:sz="4" w:space="0" w:color="auto"/>
              <w:right w:val="single" w:sz="4" w:space="0" w:color="auto"/>
            </w:tcBorders>
            <w:shd w:val="clear" w:color="auto" w:fill="C6EFCE"/>
            <w:noWrap/>
          </w:tcPr>
          <w:p w14:paraId="00D5FFE8"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846" w:type="dxa"/>
            <w:tcBorders>
              <w:top w:val="nil"/>
              <w:left w:val="nil"/>
              <w:bottom w:val="single" w:sz="4" w:space="0" w:color="auto"/>
              <w:right w:val="single" w:sz="4" w:space="0" w:color="auto"/>
            </w:tcBorders>
            <w:shd w:val="clear" w:color="auto" w:fill="C6EFCE"/>
            <w:noWrap/>
          </w:tcPr>
          <w:p w14:paraId="2CC72985"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498" w:type="dxa"/>
            <w:tcBorders>
              <w:top w:val="single" w:sz="4" w:space="0" w:color="auto"/>
              <w:left w:val="nil"/>
              <w:bottom w:val="single" w:sz="4" w:space="0" w:color="auto"/>
              <w:right w:val="single" w:sz="4" w:space="0" w:color="auto"/>
            </w:tcBorders>
            <w:shd w:val="clear" w:color="auto" w:fill="C6EFCE"/>
            <w:noWrap/>
          </w:tcPr>
          <w:p w14:paraId="6F909CAB" w14:textId="77777777" w:rsidR="003A3D51" w:rsidRDefault="0002775A">
            <w:pPr>
              <w:pStyle w:val="P68B1DB1-Normal7"/>
              <w:spacing w:after="200" w:line="276" w:lineRule="auto"/>
              <w:rPr>
                <w:rFonts w:ascii="Times New Roman" w:hAnsi="Times New Roman" w:cs="Times New Roman"/>
                <w:noProof/>
              </w:rPr>
            </w:pPr>
            <w:r>
              <w:rPr>
                <w:noProof/>
              </w:rPr>
              <w:t>Den kroatiska arbetsförmedlingen ska anta tre nya åtgärder för att stödja skapandet av arbetstillfällen i den gröna och den digitala omställningen. Villkoren och kriterierna för användningen av medel inom ramen för dessa åtgärder, liksom den kroatiska offentliga arbetsförmedlingens verksamhet, ska utformas för att prioritera återaktivering och (själv-) anställning av personer utanför arbetskraften, långtidsarbetslösa och unga som varken arbetar eller studerar.</w:t>
            </w:r>
          </w:p>
        </w:tc>
      </w:tr>
      <w:tr w:rsidR="003A3D51" w14:paraId="00F8FA3B"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74514584" w14:textId="77777777" w:rsidR="003A3D51" w:rsidRDefault="0002775A">
            <w:pPr>
              <w:pStyle w:val="P68B1DB1-Normal7"/>
              <w:spacing w:after="200" w:line="276" w:lineRule="auto"/>
              <w:jc w:val="center"/>
              <w:rPr>
                <w:rFonts w:ascii="Times New Roman" w:hAnsi="Times New Roman" w:cs="Times New Roman"/>
                <w:noProof/>
              </w:rPr>
            </w:pPr>
            <w:r>
              <w:rPr>
                <w:noProof/>
              </w:rPr>
              <w:t>287</w:t>
            </w:r>
          </w:p>
        </w:tc>
        <w:tc>
          <w:tcPr>
            <w:tcW w:w="850" w:type="dxa"/>
            <w:tcBorders>
              <w:top w:val="nil"/>
              <w:left w:val="nil"/>
              <w:bottom w:val="single" w:sz="4" w:space="0" w:color="auto"/>
              <w:right w:val="single" w:sz="4" w:space="0" w:color="auto"/>
            </w:tcBorders>
            <w:shd w:val="clear" w:color="auto" w:fill="C6EFCE"/>
            <w:noWrap/>
          </w:tcPr>
          <w:p w14:paraId="6CE4DEEC" w14:textId="77777777" w:rsidR="003A3D51" w:rsidRDefault="0002775A">
            <w:pPr>
              <w:pStyle w:val="P68B1DB1-Normal7"/>
              <w:spacing w:after="200" w:line="276" w:lineRule="auto"/>
              <w:jc w:val="center"/>
              <w:rPr>
                <w:rFonts w:ascii="Times New Roman" w:hAnsi="Times New Roman" w:cs="Times New Roman"/>
                <w:noProof/>
              </w:rPr>
            </w:pPr>
            <w:r>
              <w:rPr>
                <w:noProof/>
              </w:rPr>
              <w:t>C4.1 R1</w:t>
            </w:r>
          </w:p>
        </w:tc>
        <w:tc>
          <w:tcPr>
            <w:tcW w:w="850" w:type="dxa"/>
            <w:tcBorders>
              <w:top w:val="nil"/>
              <w:left w:val="nil"/>
              <w:bottom w:val="single" w:sz="4" w:space="0" w:color="auto"/>
              <w:right w:val="single" w:sz="4" w:space="0" w:color="auto"/>
            </w:tcBorders>
            <w:shd w:val="clear" w:color="auto" w:fill="C6EFCE"/>
            <w:noWrap/>
          </w:tcPr>
          <w:p w14:paraId="2348FB3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210" w:type="dxa"/>
            <w:tcBorders>
              <w:top w:val="nil"/>
              <w:left w:val="nil"/>
              <w:bottom w:val="single" w:sz="4" w:space="0" w:color="auto"/>
              <w:right w:val="single" w:sz="4" w:space="0" w:color="auto"/>
            </w:tcBorders>
            <w:shd w:val="clear" w:color="auto" w:fill="C6EFCE"/>
            <w:noWrap/>
          </w:tcPr>
          <w:p w14:paraId="41DB6EF0" w14:textId="77777777" w:rsidR="003A3D51" w:rsidRDefault="0002775A">
            <w:pPr>
              <w:pStyle w:val="P68B1DB1-Normal7"/>
              <w:spacing w:after="200" w:line="276" w:lineRule="auto"/>
              <w:rPr>
                <w:rFonts w:ascii="Times New Roman" w:hAnsi="Times New Roman" w:cs="Times New Roman"/>
                <w:noProof/>
              </w:rPr>
            </w:pPr>
            <w:r>
              <w:rPr>
                <w:noProof/>
              </w:rPr>
              <w:t>Antal mottagare av de nya aktiva arbetsmarknadspolitiska åtgärderna</w:t>
            </w:r>
          </w:p>
        </w:tc>
        <w:tc>
          <w:tcPr>
            <w:tcW w:w="1843" w:type="dxa"/>
            <w:tcBorders>
              <w:top w:val="nil"/>
              <w:left w:val="nil"/>
              <w:bottom w:val="single" w:sz="4" w:space="0" w:color="auto"/>
              <w:right w:val="single" w:sz="4" w:space="0" w:color="auto"/>
            </w:tcBorders>
            <w:shd w:val="clear" w:color="auto" w:fill="C6EFCE"/>
            <w:noWrap/>
          </w:tcPr>
          <w:p w14:paraId="1A3BB8DE"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2" w:type="dxa"/>
            <w:tcBorders>
              <w:top w:val="nil"/>
              <w:left w:val="nil"/>
              <w:bottom w:val="single" w:sz="4" w:space="0" w:color="auto"/>
              <w:right w:val="single" w:sz="4" w:space="0" w:color="auto"/>
            </w:tcBorders>
            <w:shd w:val="clear" w:color="auto" w:fill="C6EFCE"/>
            <w:noWrap/>
          </w:tcPr>
          <w:p w14:paraId="002FE1A9"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nil"/>
              <w:left w:val="nil"/>
              <w:bottom w:val="single" w:sz="4" w:space="0" w:color="auto"/>
              <w:right w:val="single" w:sz="4" w:space="0" w:color="auto"/>
            </w:tcBorders>
            <w:shd w:val="clear" w:color="auto" w:fill="C6EFCE"/>
            <w:noWrap/>
          </w:tcPr>
          <w:p w14:paraId="47F0CF0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tcPr>
          <w:p w14:paraId="7C43606A" w14:textId="58FA0C41" w:rsidR="003A3D51" w:rsidRDefault="0002775A">
            <w:pPr>
              <w:pStyle w:val="P68B1DB1-Normal7"/>
              <w:spacing w:after="200" w:line="276" w:lineRule="auto"/>
              <w:jc w:val="center"/>
              <w:rPr>
                <w:rFonts w:ascii="Times New Roman" w:hAnsi="Times New Roman" w:cs="Times New Roman"/>
                <w:noProof/>
              </w:rPr>
            </w:pPr>
            <w:r>
              <w:rPr>
                <w:noProof/>
              </w:rPr>
              <w:t>13 000</w:t>
            </w:r>
          </w:p>
        </w:tc>
        <w:tc>
          <w:tcPr>
            <w:tcW w:w="583" w:type="dxa"/>
            <w:tcBorders>
              <w:top w:val="nil"/>
              <w:left w:val="nil"/>
              <w:bottom w:val="single" w:sz="4" w:space="0" w:color="auto"/>
              <w:right w:val="single" w:sz="4" w:space="0" w:color="auto"/>
            </w:tcBorders>
            <w:shd w:val="clear" w:color="auto" w:fill="C6EFCE"/>
            <w:noWrap/>
          </w:tcPr>
          <w:p w14:paraId="3FD6AA0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46" w:type="dxa"/>
            <w:tcBorders>
              <w:top w:val="nil"/>
              <w:left w:val="nil"/>
              <w:bottom w:val="single" w:sz="4" w:space="0" w:color="auto"/>
              <w:right w:val="single" w:sz="4" w:space="0" w:color="auto"/>
            </w:tcBorders>
            <w:shd w:val="clear" w:color="auto" w:fill="C6EFCE"/>
            <w:noWrap/>
          </w:tcPr>
          <w:p w14:paraId="2946DC7D"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498" w:type="dxa"/>
            <w:tcBorders>
              <w:top w:val="nil"/>
              <w:left w:val="nil"/>
              <w:bottom w:val="single" w:sz="4" w:space="0" w:color="auto"/>
              <w:right w:val="single" w:sz="4" w:space="0" w:color="auto"/>
            </w:tcBorders>
            <w:shd w:val="clear" w:color="auto" w:fill="C6EFCE"/>
            <w:noWrap/>
          </w:tcPr>
          <w:p w14:paraId="1E85757D" w14:textId="657A94D1" w:rsidR="003A3D51" w:rsidRDefault="0002775A">
            <w:pPr>
              <w:pStyle w:val="P68B1DB1-Normal7"/>
              <w:spacing w:after="200" w:line="276" w:lineRule="auto"/>
              <w:rPr>
                <w:rFonts w:ascii="Times New Roman" w:hAnsi="Times New Roman" w:cs="Times New Roman"/>
                <w:noProof/>
              </w:rPr>
            </w:pPr>
            <w:r>
              <w:rPr>
                <w:noProof/>
              </w:rPr>
              <w:t>Minst 13 000 ska dra nytta av den nya aktiva arbetsmarknadspolitiken, varav minst 6 000 ska vara långtidsarbetslösa, stå utanför arbetskraften och unga som varken arbetar eller studerar.</w:t>
            </w:r>
          </w:p>
        </w:tc>
      </w:tr>
      <w:tr w:rsidR="003A3D51" w14:paraId="15E7F7D1"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6AA4574A" w14:textId="77777777" w:rsidR="003A3D51" w:rsidRDefault="0002775A">
            <w:pPr>
              <w:pStyle w:val="P68B1DB1-Normal7"/>
              <w:spacing w:after="200" w:line="276" w:lineRule="auto"/>
              <w:jc w:val="center"/>
              <w:rPr>
                <w:rFonts w:ascii="Times New Roman" w:hAnsi="Times New Roman" w:cs="Times New Roman"/>
                <w:noProof/>
              </w:rPr>
            </w:pPr>
            <w:r>
              <w:rPr>
                <w:noProof/>
              </w:rPr>
              <w:t>288</w:t>
            </w:r>
          </w:p>
        </w:tc>
        <w:tc>
          <w:tcPr>
            <w:tcW w:w="850" w:type="dxa"/>
            <w:tcBorders>
              <w:top w:val="nil"/>
              <w:left w:val="nil"/>
              <w:bottom w:val="single" w:sz="4" w:space="0" w:color="auto"/>
              <w:right w:val="single" w:sz="4" w:space="0" w:color="auto"/>
            </w:tcBorders>
            <w:shd w:val="clear" w:color="auto" w:fill="C6EFCE"/>
            <w:noWrap/>
          </w:tcPr>
          <w:p w14:paraId="3DB59204" w14:textId="77777777" w:rsidR="003A3D51" w:rsidRDefault="0002775A">
            <w:pPr>
              <w:pStyle w:val="P68B1DB1-Normal7"/>
              <w:spacing w:after="200" w:line="276" w:lineRule="auto"/>
              <w:jc w:val="center"/>
              <w:rPr>
                <w:rFonts w:ascii="Times New Roman" w:hAnsi="Times New Roman" w:cs="Times New Roman"/>
                <w:noProof/>
              </w:rPr>
            </w:pPr>
            <w:r>
              <w:rPr>
                <w:noProof/>
              </w:rPr>
              <w:t>C4.1 R2</w:t>
            </w:r>
          </w:p>
        </w:tc>
        <w:tc>
          <w:tcPr>
            <w:tcW w:w="850" w:type="dxa"/>
            <w:tcBorders>
              <w:top w:val="nil"/>
              <w:left w:val="nil"/>
              <w:bottom w:val="single" w:sz="4" w:space="0" w:color="auto"/>
              <w:right w:val="single" w:sz="4" w:space="0" w:color="auto"/>
            </w:tcBorders>
            <w:shd w:val="clear" w:color="auto" w:fill="C6EFCE"/>
            <w:noWrap/>
          </w:tcPr>
          <w:p w14:paraId="79AF8A7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10" w:type="dxa"/>
            <w:tcBorders>
              <w:top w:val="nil"/>
              <w:left w:val="nil"/>
              <w:bottom w:val="single" w:sz="4" w:space="0" w:color="auto"/>
              <w:right w:val="single" w:sz="4" w:space="0" w:color="auto"/>
            </w:tcBorders>
            <w:shd w:val="clear" w:color="auto" w:fill="C6EFCE"/>
            <w:noWrap/>
          </w:tcPr>
          <w:p w14:paraId="5E606128" w14:textId="77777777" w:rsidR="003A3D51" w:rsidRDefault="0002775A">
            <w:pPr>
              <w:pStyle w:val="P68B1DB1-Normal7"/>
              <w:spacing w:after="200" w:line="276" w:lineRule="auto"/>
              <w:rPr>
                <w:rFonts w:ascii="Times New Roman" w:hAnsi="Times New Roman" w:cs="Times New Roman"/>
                <w:noProof/>
              </w:rPr>
            </w:pPr>
            <w:r>
              <w:rPr>
                <w:noProof/>
              </w:rPr>
              <w:t>Ikraftträdande av ändringarna i arbetsmarknadslagen</w:t>
            </w:r>
          </w:p>
        </w:tc>
        <w:tc>
          <w:tcPr>
            <w:tcW w:w="1843" w:type="dxa"/>
            <w:tcBorders>
              <w:top w:val="nil"/>
              <w:left w:val="nil"/>
              <w:bottom w:val="single" w:sz="4" w:space="0" w:color="auto"/>
              <w:right w:val="single" w:sz="4" w:space="0" w:color="auto"/>
            </w:tcBorders>
            <w:shd w:val="clear" w:color="auto" w:fill="C6EFCE"/>
            <w:noWrap/>
          </w:tcPr>
          <w:p w14:paraId="327C18AB" w14:textId="77777777" w:rsidR="003A3D51" w:rsidRDefault="0002775A">
            <w:pPr>
              <w:pStyle w:val="P68B1DB1-Normal7"/>
              <w:spacing w:after="200" w:line="276" w:lineRule="auto"/>
              <w:rPr>
                <w:rFonts w:ascii="Times New Roman" w:hAnsi="Times New Roman" w:cs="Times New Roman"/>
                <w:noProof/>
              </w:rPr>
            </w:pPr>
            <w:r>
              <w:rPr>
                <w:noProof/>
              </w:rPr>
              <w:t>Ikraftträdande av lagen om ändring av arbetsmarknadslagen</w:t>
            </w:r>
          </w:p>
        </w:tc>
        <w:tc>
          <w:tcPr>
            <w:tcW w:w="1072" w:type="dxa"/>
            <w:tcBorders>
              <w:top w:val="nil"/>
              <w:left w:val="nil"/>
              <w:bottom w:val="single" w:sz="4" w:space="0" w:color="auto"/>
              <w:right w:val="single" w:sz="4" w:space="0" w:color="auto"/>
            </w:tcBorders>
            <w:shd w:val="clear" w:color="auto" w:fill="C6EFCE"/>
            <w:noWrap/>
          </w:tcPr>
          <w:p w14:paraId="5DCB297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5603AAA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nil"/>
              <w:left w:val="nil"/>
              <w:bottom w:val="single" w:sz="4" w:space="0" w:color="auto"/>
              <w:right w:val="single" w:sz="4" w:space="0" w:color="auto"/>
            </w:tcBorders>
            <w:shd w:val="clear" w:color="auto" w:fill="C6EFCE"/>
            <w:noWrap/>
          </w:tcPr>
          <w:p w14:paraId="65B6A76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583" w:type="dxa"/>
            <w:tcBorders>
              <w:top w:val="nil"/>
              <w:left w:val="nil"/>
              <w:bottom w:val="single" w:sz="4" w:space="0" w:color="auto"/>
              <w:right w:val="single" w:sz="4" w:space="0" w:color="auto"/>
            </w:tcBorders>
            <w:shd w:val="clear" w:color="auto" w:fill="C6EFCE"/>
            <w:noWrap/>
          </w:tcPr>
          <w:p w14:paraId="2B3FFE7E" w14:textId="3DE33AA9"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846" w:type="dxa"/>
            <w:tcBorders>
              <w:top w:val="nil"/>
              <w:left w:val="nil"/>
              <w:bottom w:val="single" w:sz="4" w:space="0" w:color="auto"/>
              <w:right w:val="single" w:sz="4" w:space="0" w:color="auto"/>
            </w:tcBorders>
            <w:shd w:val="clear" w:color="auto" w:fill="C6EFCE"/>
            <w:noWrap/>
          </w:tcPr>
          <w:p w14:paraId="511301D6" w14:textId="6F6F44E3"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498" w:type="dxa"/>
            <w:tcBorders>
              <w:top w:val="nil"/>
              <w:left w:val="nil"/>
              <w:bottom w:val="single" w:sz="4" w:space="0" w:color="auto"/>
              <w:right w:val="single" w:sz="4" w:space="0" w:color="auto"/>
            </w:tcBorders>
            <w:shd w:val="clear" w:color="auto" w:fill="C6EFCE"/>
            <w:noWrap/>
          </w:tcPr>
          <w:p w14:paraId="613A5551" w14:textId="77777777" w:rsidR="003A3D51" w:rsidRDefault="0002775A">
            <w:pPr>
              <w:pStyle w:val="P68B1DB1-Normal7"/>
              <w:spacing w:after="200" w:line="276" w:lineRule="auto"/>
              <w:rPr>
                <w:rFonts w:ascii="Times New Roman" w:hAnsi="Times New Roman" w:cs="Times New Roman"/>
                <w:noProof/>
              </w:rPr>
            </w:pPr>
            <w:r>
              <w:rPr>
                <w:noProof/>
              </w:rPr>
              <w:t>Ikraftträdande av en ändrad eller ny arbetsmarknadslag som ökar beloppet och förlänger arbetslöshetsförmånerna, lättar på kraven för utsatta arbetstagare och digitaliserar ansökningsprocessen för arbetslöshetsförmåner i linje med den analys som gjorts.</w:t>
            </w:r>
          </w:p>
        </w:tc>
      </w:tr>
      <w:tr w:rsidR="003A3D51" w14:paraId="4EE07968"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7F1ADC45" w14:textId="77777777" w:rsidR="003A3D51" w:rsidRDefault="0002775A">
            <w:pPr>
              <w:pStyle w:val="P68B1DB1-Normal7"/>
              <w:spacing w:after="200" w:line="276" w:lineRule="auto"/>
              <w:jc w:val="center"/>
              <w:rPr>
                <w:rFonts w:ascii="Times New Roman" w:hAnsi="Times New Roman" w:cs="Times New Roman"/>
                <w:noProof/>
              </w:rPr>
            </w:pPr>
            <w:r>
              <w:rPr>
                <w:noProof/>
              </w:rPr>
              <w:t>289</w:t>
            </w:r>
          </w:p>
        </w:tc>
        <w:tc>
          <w:tcPr>
            <w:tcW w:w="850" w:type="dxa"/>
            <w:tcBorders>
              <w:top w:val="nil"/>
              <w:left w:val="nil"/>
              <w:bottom w:val="single" w:sz="4" w:space="0" w:color="auto"/>
              <w:right w:val="single" w:sz="4" w:space="0" w:color="auto"/>
            </w:tcBorders>
            <w:shd w:val="clear" w:color="auto" w:fill="C6EFCE"/>
            <w:noWrap/>
          </w:tcPr>
          <w:p w14:paraId="448150FB" w14:textId="77777777" w:rsidR="003A3D51" w:rsidRDefault="0002775A">
            <w:pPr>
              <w:pStyle w:val="P68B1DB1-Normal7"/>
              <w:spacing w:after="200" w:line="276" w:lineRule="auto"/>
              <w:jc w:val="center"/>
              <w:rPr>
                <w:rFonts w:ascii="Times New Roman" w:hAnsi="Times New Roman" w:cs="Times New Roman"/>
                <w:noProof/>
              </w:rPr>
            </w:pPr>
            <w:r>
              <w:rPr>
                <w:noProof/>
              </w:rPr>
              <w:t>C4.1 R2</w:t>
            </w:r>
          </w:p>
        </w:tc>
        <w:tc>
          <w:tcPr>
            <w:tcW w:w="850" w:type="dxa"/>
            <w:tcBorders>
              <w:top w:val="nil"/>
              <w:left w:val="nil"/>
              <w:bottom w:val="single" w:sz="4" w:space="0" w:color="auto"/>
              <w:right w:val="single" w:sz="4" w:space="0" w:color="auto"/>
            </w:tcBorders>
            <w:shd w:val="clear" w:color="auto" w:fill="C6EFCE"/>
            <w:noWrap/>
          </w:tcPr>
          <w:p w14:paraId="300C8839"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10" w:type="dxa"/>
            <w:tcBorders>
              <w:top w:val="nil"/>
              <w:left w:val="nil"/>
              <w:bottom w:val="single" w:sz="4" w:space="0" w:color="auto"/>
              <w:right w:val="single" w:sz="4" w:space="0" w:color="auto"/>
            </w:tcBorders>
            <w:shd w:val="clear" w:color="auto" w:fill="C6EFCE"/>
            <w:noWrap/>
          </w:tcPr>
          <w:p w14:paraId="6BD2C0C8" w14:textId="77777777" w:rsidR="003A3D51" w:rsidRDefault="0002775A">
            <w:pPr>
              <w:pStyle w:val="P68B1DB1-Normal7"/>
              <w:spacing w:after="200" w:line="276" w:lineRule="auto"/>
              <w:rPr>
                <w:rFonts w:ascii="Times New Roman" w:hAnsi="Times New Roman" w:cs="Times New Roman"/>
                <w:noProof/>
              </w:rPr>
            </w:pPr>
            <w:r>
              <w:rPr>
                <w:noProof/>
              </w:rPr>
              <w:t xml:space="preserve">Förbättrad kvalitet på stödet till utsatta grupper </w:t>
            </w:r>
          </w:p>
        </w:tc>
        <w:tc>
          <w:tcPr>
            <w:tcW w:w="1843" w:type="dxa"/>
            <w:tcBorders>
              <w:top w:val="nil"/>
              <w:left w:val="nil"/>
              <w:bottom w:val="single" w:sz="4" w:space="0" w:color="auto"/>
              <w:right w:val="single" w:sz="4" w:space="0" w:color="auto"/>
            </w:tcBorders>
            <w:shd w:val="clear" w:color="auto" w:fill="C6EFCE"/>
            <w:noWrap/>
          </w:tcPr>
          <w:p w14:paraId="0F3A9CD7" w14:textId="77777777" w:rsidR="003A3D51" w:rsidRDefault="0002775A">
            <w:pPr>
              <w:pStyle w:val="P68B1DB1-Normal7"/>
              <w:spacing w:after="200" w:line="276" w:lineRule="auto"/>
              <w:rPr>
                <w:rFonts w:ascii="Times New Roman" w:hAnsi="Times New Roman" w:cs="Times New Roman"/>
                <w:noProof/>
              </w:rPr>
            </w:pPr>
            <w:r>
              <w:rPr>
                <w:noProof/>
              </w:rPr>
              <w:t>Ikraftträdande av en delegerad akt eller antagande av en intern regelbok om förbättrade processer för CES:s arbete med profilering, segmentering, integration och aktivering av utsatta grupper</w:t>
            </w:r>
          </w:p>
        </w:tc>
        <w:tc>
          <w:tcPr>
            <w:tcW w:w="1072" w:type="dxa"/>
            <w:tcBorders>
              <w:top w:val="nil"/>
              <w:left w:val="nil"/>
              <w:bottom w:val="single" w:sz="4" w:space="0" w:color="auto"/>
              <w:right w:val="single" w:sz="4" w:space="0" w:color="auto"/>
            </w:tcBorders>
            <w:shd w:val="clear" w:color="auto" w:fill="C6EFCE"/>
            <w:noWrap/>
          </w:tcPr>
          <w:p w14:paraId="569F920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nil"/>
              <w:left w:val="nil"/>
              <w:bottom w:val="single" w:sz="4" w:space="0" w:color="auto"/>
              <w:right w:val="single" w:sz="4" w:space="0" w:color="auto"/>
            </w:tcBorders>
            <w:shd w:val="clear" w:color="auto" w:fill="C6EFCE"/>
            <w:noWrap/>
          </w:tcPr>
          <w:p w14:paraId="42B24A5F" w14:textId="77777777" w:rsidR="003A3D51" w:rsidRDefault="0002775A">
            <w:pPr>
              <w:pStyle w:val="P68B1DB1-Normal7"/>
              <w:spacing w:after="200" w:line="276" w:lineRule="auto"/>
              <w:jc w:val="center"/>
              <w:rPr>
                <w:rFonts w:ascii="Times New Roman" w:hAnsi="Times New Roman" w:cs="Times New Roman"/>
                <w:noProof/>
              </w:rPr>
            </w:pPr>
            <w:r>
              <w:rPr>
                <w:noProof/>
              </w:rPr>
              <w:t> </w:t>
            </w:r>
          </w:p>
          <w:p w14:paraId="4CDBF5F4" w14:textId="77777777" w:rsidR="003A3D51" w:rsidRDefault="003A3D51">
            <w:pPr>
              <w:spacing w:after="200" w:line="276" w:lineRule="auto"/>
              <w:rPr>
                <w:rFonts w:ascii="Times New Roman" w:eastAsia="Calibri" w:hAnsi="Times New Roman" w:cs="Times New Roman"/>
                <w:noProof/>
                <w:sz w:val="20"/>
              </w:rPr>
            </w:pPr>
          </w:p>
          <w:p w14:paraId="2D776A82" w14:textId="77777777" w:rsidR="003A3D51" w:rsidRDefault="003A3D51">
            <w:pPr>
              <w:spacing w:after="200" w:line="276" w:lineRule="auto"/>
              <w:rPr>
                <w:rFonts w:ascii="Times New Roman" w:eastAsia="Calibri" w:hAnsi="Times New Roman" w:cs="Times New Roman"/>
                <w:noProof/>
                <w:sz w:val="20"/>
              </w:rPr>
            </w:pPr>
          </w:p>
          <w:p w14:paraId="593DC109" w14:textId="77777777" w:rsidR="003A3D51" w:rsidRDefault="003A3D51">
            <w:pPr>
              <w:spacing w:after="200" w:line="276" w:lineRule="auto"/>
              <w:rPr>
                <w:rFonts w:ascii="Times New Roman" w:eastAsia="Calibri" w:hAnsi="Times New Roman" w:cs="Times New Roman"/>
                <w:noProof/>
                <w:sz w:val="20"/>
              </w:rPr>
            </w:pPr>
          </w:p>
          <w:p w14:paraId="31235EDF" w14:textId="77777777" w:rsidR="003A3D51" w:rsidRDefault="003A3D51">
            <w:pPr>
              <w:spacing w:after="200" w:line="276" w:lineRule="auto"/>
              <w:rPr>
                <w:rFonts w:ascii="Times New Roman" w:eastAsia="Calibri" w:hAnsi="Times New Roman" w:cs="Times New Roman"/>
                <w:noProof/>
                <w:sz w:val="20"/>
              </w:rPr>
            </w:pPr>
          </w:p>
          <w:p w14:paraId="34FB5A5E" w14:textId="77777777" w:rsidR="003A3D51" w:rsidRDefault="003A3D51">
            <w:pPr>
              <w:spacing w:after="200" w:line="276" w:lineRule="auto"/>
              <w:rPr>
                <w:rFonts w:ascii="Times New Roman" w:eastAsia="Calibri" w:hAnsi="Times New Roman" w:cs="Times New Roman"/>
                <w:noProof/>
                <w:sz w:val="20"/>
              </w:rPr>
            </w:pPr>
          </w:p>
        </w:tc>
        <w:tc>
          <w:tcPr>
            <w:tcW w:w="850" w:type="dxa"/>
            <w:tcBorders>
              <w:top w:val="nil"/>
              <w:left w:val="nil"/>
              <w:bottom w:val="single" w:sz="4" w:space="0" w:color="auto"/>
              <w:right w:val="single" w:sz="4" w:space="0" w:color="auto"/>
            </w:tcBorders>
            <w:shd w:val="clear" w:color="auto" w:fill="C6EFCE"/>
            <w:noWrap/>
          </w:tcPr>
          <w:p w14:paraId="29C69B5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583" w:type="dxa"/>
            <w:tcBorders>
              <w:top w:val="nil"/>
              <w:left w:val="nil"/>
              <w:bottom w:val="single" w:sz="4" w:space="0" w:color="auto"/>
              <w:right w:val="single" w:sz="4" w:space="0" w:color="auto"/>
            </w:tcBorders>
            <w:shd w:val="clear" w:color="auto" w:fill="C6EFCE"/>
            <w:noWrap/>
          </w:tcPr>
          <w:p w14:paraId="4341641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46" w:type="dxa"/>
            <w:tcBorders>
              <w:top w:val="nil"/>
              <w:left w:val="nil"/>
              <w:bottom w:val="single" w:sz="4" w:space="0" w:color="auto"/>
              <w:right w:val="single" w:sz="4" w:space="0" w:color="auto"/>
            </w:tcBorders>
            <w:shd w:val="clear" w:color="auto" w:fill="C6EFCE"/>
            <w:noWrap/>
          </w:tcPr>
          <w:p w14:paraId="3EA9B540"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498" w:type="dxa"/>
            <w:tcBorders>
              <w:top w:val="nil"/>
              <w:left w:val="nil"/>
              <w:bottom w:val="single" w:sz="4" w:space="0" w:color="auto"/>
              <w:right w:val="single" w:sz="4" w:space="0" w:color="auto"/>
            </w:tcBorders>
            <w:shd w:val="clear" w:color="auto" w:fill="C6EFCE"/>
            <w:noWrap/>
          </w:tcPr>
          <w:p w14:paraId="0F9B2B80" w14:textId="77777777" w:rsidR="003A3D51" w:rsidRDefault="0002775A">
            <w:pPr>
              <w:pStyle w:val="P68B1DB1-Normal7"/>
              <w:spacing w:after="200" w:line="276" w:lineRule="auto"/>
              <w:rPr>
                <w:rFonts w:ascii="Times New Roman" w:hAnsi="Times New Roman" w:cs="Times New Roman"/>
                <w:noProof/>
              </w:rPr>
            </w:pPr>
            <w:r>
              <w:rPr>
                <w:noProof/>
              </w:rPr>
              <w:t>De nya kroatiska offentliga arbetsförmedlingarna är operativa för profilering, segmentering, integration och aktivering av utsatta grupper, utveckling av verktyg för att matcha arbetslösa med lediga platser och operationalisering av övervaknings- och utvärderingssystemet för aktiva arbetsmarknadsåtgärder.</w:t>
            </w:r>
          </w:p>
        </w:tc>
      </w:tr>
      <w:tr w:rsidR="003A3D51" w14:paraId="3E75B640" w14:textId="77777777">
        <w:trPr>
          <w:trHeight w:val="283"/>
          <w:jc w:val="center"/>
        </w:trPr>
        <w:tc>
          <w:tcPr>
            <w:tcW w:w="737" w:type="dxa"/>
            <w:tcBorders>
              <w:top w:val="nil"/>
              <w:left w:val="single" w:sz="4" w:space="0" w:color="auto"/>
              <w:bottom w:val="single" w:sz="4" w:space="0" w:color="auto"/>
              <w:right w:val="single" w:sz="4" w:space="0" w:color="auto"/>
            </w:tcBorders>
            <w:shd w:val="clear" w:color="auto" w:fill="C6EFCE"/>
            <w:noWrap/>
          </w:tcPr>
          <w:p w14:paraId="149E758F" w14:textId="77777777" w:rsidR="003A3D51" w:rsidRDefault="0002775A">
            <w:pPr>
              <w:pStyle w:val="P68B1DB1-Normal7"/>
              <w:spacing w:after="200" w:line="276" w:lineRule="auto"/>
              <w:jc w:val="center"/>
              <w:rPr>
                <w:rFonts w:ascii="Times New Roman" w:hAnsi="Times New Roman" w:cs="Times New Roman"/>
                <w:noProof/>
              </w:rPr>
            </w:pPr>
            <w:r>
              <w:rPr>
                <w:noProof/>
              </w:rPr>
              <w:t>290</w:t>
            </w:r>
          </w:p>
        </w:tc>
        <w:tc>
          <w:tcPr>
            <w:tcW w:w="850" w:type="dxa"/>
            <w:tcBorders>
              <w:top w:val="nil"/>
              <w:left w:val="nil"/>
              <w:bottom w:val="single" w:sz="4" w:space="0" w:color="auto"/>
              <w:right w:val="single" w:sz="4" w:space="0" w:color="auto"/>
            </w:tcBorders>
            <w:shd w:val="clear" w:color="auto" w:fill="C6EFCE"/>
            <w:noWrap/>
          </w:tcPr>
          <w:p w14:paraId="1E109C35" w14:textId="77777777" w:rsidR="003A3D51" w:rsidRDefault="0002775A">
            <w:pPr>
              <w:pStyle w:val="P68B1DB1-Normal7"/>
              <w:spacing w:after="200" w:line="276" w:lineRule="auto"/>
              <w:jc w:val="center"/>
              <w:rPr>
                <w:rFonts w:ascii="Times New Roman" w:hAnsi="Times New Roman" w:cs="Times New Roman"/>
                <w:noProof/>
              </w:rPr>
            </w:pPr>
            <w:r>
              <w:rPr>
                <w:noProof/>
              </w:rPr>
              <w:t>C4.1 R2</w:t>
            </w:r>
          </w:p>
        </w:tc>
        <w:tc>
          <w:tcPr>
            <w:tcW w:w="850" w:type="dxa"/>
            <w:tcBorders>
              <w:top w:val="nil"/>
              <w:left w:val="nil"/>
              <w:bottom w:val="single" w:sz="4" w:space="0" w:color="auto"/>
              <w:right w:val="single" w:sz="4" w:space="0" w:color="auto"/>
            </w:tcBorders>
            <w:shd w:val="clear" w:color="auto" w:fill="C6EFCE"/>
            <w:noWrap/>
          </w:tcPr>
          <w:p w14:paraId="7E456C0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210" w:type="dxa"/>
            <w:tcBorders>
              <w:top w:val="nil"/>
              <w:left w:val="nil"/>
              <w:bottom w:val="single" w:sz="4" w:space="0" w:color="auto"/>
              <w:right w:val="single" w:sz="4" w:space="0" w:color="auto"/>
            </w:tcBorders>
            <w:shd w:val="clear" w:color="auto" w:fill="C6EFCE"/>
            <w:noWrap/>
          </w:tcPr>
          <w:p w14:paraId="484D3888" w14:textId="77777777" w:rsidR="003A3D51" w:rsidRDefault="0002775A">
            <w:pPr>
              <w:pStyle w:val="P68B1DB1-Normal7"/>
              <w:spacing w:after="200" w:line="276" w:lineRule="auto"/>
              <w:rPr>
                <w:rFonts w:ascii="Times New Roman" w:hAnsi="Times New Roman" w:cs="Times New Roman"/>
                <w:noProof/>
              </w:rPr>
            </w:pPr>
            <w:r>
              <w:rPr>
                <w:noProof/>
              </w:rPr>
              <w:t>Förbättrad kvalitet på stödet till minst 5 000 personer från utsatta grupper</w:t>
            </w:r>
          </w:p>
        </w:tc>
        <w:tc>
          <w:tcPr>
            <w:tcW w:w="1843" w:type="dxa"/>
            <w:tcBorders>
              <w:top w:val="nil"/>
              <w:left w:val="nil"/>
              <w:bottom w:val="single" w:sz="4" w:space="0" w:color="auto"/>
              <w:right w:val="single" w:sz="4" w:space="0" w:color="auto"/>
            </w:tcBorders>
            <w:shd w:val="clear" w:color="auto" w:fill="C6EFCE"/>
            <w:noWrap/>
          </w:tcPr>
          <w:p w14:paraId="557E8F0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2" w:type="dxa"/>
            <w:tcBorders>
              <w:top w:val="nil"/>
              <w:left w:val="nil"/>
              <w:bottom w:val="single" w:sz="4" w:space="0" w:color="auto"/>
              <w:right w:val="single" w:sz="4" w:space="0" w:color="auto"/>
            </w:tcBorders>
            <w:shd w:val="clear" w:color="auto" w:fill="C6EFCE"/>
            <w:noWrap/>
          </w:tcPr>
          <w:p w14:paraId="7342B0CC"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nil"/>
              <w:left w:val="nil"/>
              <w:bottom w:val="single" w:sz="4" w:space="0" w:color="auto"/>
              <w:right w:val="single" w:sz="4" w:space="0" w:color="auto"/>
            </w:tcBorders>
            <w:shd w:val="clear" w:color="auto" w:fill="C6EFCE"/>
            <w:noWrap/>
          </w:tcPr>
          <w:p w14:paraId="6085827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nil"/>
              <w:left w:val="nil"/>
              <w:bottom w:val="single" w:sz="4" w:space="0" w:color="auto"/>
              <w:right w:val="single" w:sz="4" w:space="0" w:color="auto"/>
            </w:tcBorders>
            <w:shd w:val="clear" w:color="auto" w:fill="C6EFCE"/>
            <w:noWrap/>
          </w:tcPr>
          <w:p w14:paraId="7CEAC88C" w14:textId="77777777" w:rsidR="003A3D51" w:rsidRDefault="0002775A">
            <w:pPr>
              <w:pStyle w:val="P68B1DB1-Normal7"/>
              <w:spacing w:after="200" w:line="276" w:lineRule="auto"/>
              <w:jc w:val="center"/>
              <w:rPr>
                <w:rFonts w:ascii="Times New Roman" w:hAnsi="Times New Roman" w:cs="Times New Roman"/>
                <w:noProof/>
              </w:rPr>
            </w:pPr>
            <w:r>
              <w:rPr>
                <w:noProof/>
              </w:rPr>
              <w:t>5 000</w:t>
            </w:r>
          </w:p>
        </w:tc>
        <w:tc>
          <w:tcPr>
            <w:tcW w:w="583" w:type="dxa"/>
            <w:tcBorders>
              <w:top w:val="nil"/>
              <w:left w:val="nil"/>
              <w:bottom w:val="single" w:sz="4" w:space="0" w:color="auto"/>
              <w:right w:val="single" w:sz="4" w:space="0" w:color="auto"/>
            </w:tcBorders>
            <w:shd w:val="clear" w:color="auto" w:fill="C6EFCE"/>
            <w:noWrap/>
          </w:tcPr>
          <w:p w14:paraId="561CA15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46" w:type="dxa"/>
            <w:tcBorders>
              <w:top w:val="nil"/>
              <w:left w:val="nil"/>
              <w:bottom w:val="single" w:sz="4" w:space="0" w:color="auto"/>
              <w:right w:val="single" w:sz="4" w:space="0" w:color="auto"/>
            </w:tcBorders>
            <w:shd w:val="clear" w:color="auto" w:fill="C6EFCE"/>
            <w:noWrap/>
          </w:tcPr>
          <w:p w14:paraId="23665176"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498" w:type="dxa"/>
            <w:tcBorders>
              <w:top w:val="nil"/>
              <w:left w:val="nil"/>
              <w:bottom w:val="single" w:sz="4" w:space="0" w:color="auto"/>
              <w:right w:val="single" w:sz="4" w:space="0" w:color="auto"/>
            </w:tcBorders>
            <w:shd w:val="clear" w:color="auto" w:fill="C6EFCE"/>
            <w:noWrap/>
          </w:tcPr>
          <w:p w14:paraId="274FE0F4" w14:textId="77777777" w:rsidR="003A3D51" w:rsidRDefault="0002775A">
            <w:pPr>
              <w:pStyle w:val="P68B1DB1-Normal7"/>
              <w:spacing w:after="200" w:line="276" w:lineRule="auto"/>
              <w:rPr>
                <w:rFonts w:ascii="Times New Roman" w:hAnsi="Times New Roman" w:cs="Times New Roman"/>
                <w:noProof/>
              </w:rPr>
            </w:pPr>
            <w:r>
              <w:rPr>
                <w:noProof/>
              </w:rPr>
              <w:t>Utåtriktad verksamhet gentemot utsatta grupper ska göra det möjligt att inkludera 5 000 nya användare.</w:t>
            </w:r>
          </w:p>
        </w:tc>
      </w:tr>
      <w:tr w:rsidR="003A3D51" w14:paraId="2A61419A"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44DD8546" w14:textId="77777777" w:rsidR="003A3D51" w:rsidRDefault="0002775A">
            <w:pPr>
              <w:pStyle w:val="P68B1DB1-Normal7"/>
              <w:spacing w:after="200" w:line="276" w:lineRule="auto"/>
              <w:jc w:val="center"/>
              <w:rPr>
                <w:rFonts w:ascii="Times New Roman" w:hAnsi="Times New Roman" w:cs="Times New Roman"/>
                <w:noProof/>
              </w:rPr>
            </w:pPr>
            <w:r>
              <w:rPr>
                <w:noProof/>
              </w:rPr>
              <w:t>291</w:t>
            </w:r>
          </w:p>
        </w:tc>
        <w:tc>
          <w:tcPr>
            <w:tcW w:w="850" w:type="dxa"/>
            <w:tcBorders>
              <w:top w:val="single" w:sz="4" w:space="0" w:color="auto"/>
              <w:left w:val="nil"/>
              <w:bottom w:val="single" w:sz="4" w:space="0" w:color="auto"/>
              <w:right w:val="single" w:sz="4" w:space="0" w:color="auto"/>
            </w:tcBorders>
            <w:shd w:val="clear" w:color="auto" w:fill="C6EFCE"/>
            <w:noWrap/>
          </w:tcPr>
          <w:p w14:paraId="014EA7F9" w14:textId="77777777" w:rsidR="003A3D51" w:rsidRDefault="0002775A">
            <w:pPr>
              <w:pStyle w:val="P68B1DB1-Normal7"/>
              <w:spacing w:after="200" w:line="276" w:lineRule="auto"/>
              <w:jc w:val="center"/>
              <w:rPr>
                <w:rFonts w:ascii="Times New Roman" w:hAnsi="Times New Roman" w:cs="Times New Roman"/>
                <w:noProof/>
              </w:rPr>
            </w:pPr>
            <w:r>
              <w:rPr>
                <w:noProof/>
              </w:rPr>
              <w:t>C4.1 R3</w:t>
            </w:r>
          </w:p>
        </w:tc>
        <w:tc>
          <w:tcPr>
            <w:tcW w:w="850" w:type="dxa"/>
            <w:tcBorders>
              <w:top w:val="single" w:sz="4" w:space="0" w:color="auto"/>
              <w:left w:val="nil"/>
              <w:bottom w:val="single" w:sz="4" w:space="0" w:color="auto"/>
              <w:right w:val="single" w:sz="4" w:space="0" w:color="auto"/>
            </w:tcBorders>
            <w:shd w:val="clear" w:color="auto" w:fill="C6EFCE"/>
            <w:noWrap/>
          </w:tcPr>
          <w:p w14:paraId="418EB14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10" w:type="dxa"/>
            <w:tcBorders>
              <w:top w:val="single" w:sz="4" w:space="0" w:color="auto"/>
              <w:left w:val="nil"/>
              <w:bottom w:val="single" w:sz="4" w:space="0" w:color="auto"/>
              <w:right w:val="single" w:sz="4" w:space="0" w:color="auto"/>
            </w:tcBorders>
            <w:shd w:val="clear" w:color="auto" w:fill="C6EFCE"/>
            <w:noWrap/>
          </w:tcPr>
          <w:p w14:paraId="1A32F47E" w14:textId="77777777" w:rsidR="003A3D51" w:rsidRDefault="0002775A">
            <w:pPr>
              <w:pStyle w:val="P68B1DB1-Normal7"/>
              <w:spacing w:after="200" w:line="276" w:lineRule="auto"/>
              <w:rPr>
                <w:rFonts w:ascii="Times New Roman" w:hAnsi="Times New Roman" w:cs="Times New Roman"/>
                <w:noProof/>
              </w:rPr>
            </w:pPr>
            <w:r>
              <w:rPr>
                <w:noProof/>
              </w:rPr>
              <w:t>Utveckling av färdigheter i enlighet med marknadens behov</w:t>
            </w:r>
          </w:p>
        </w:tc>
        <w:tc>
          <w:tcPr>
            <w:tcW w:w="1843" w:type="dxa"/>
            <w:tcBorders>
              <w:top w:val="single" w:sz="4" w:space="0" w:color="auto"/>
              <w:left w:val="nil"/>
              <w:bottom w:val="single" w:sz="4" w:space="0" w:color="auto"/>
              <w:right w:val="single" w:sz="4" w:space="0" w:color="auto"/>
            </w:tcBorders>
            <w:shd w:val="clear" w:color="auto" w:fill="C6EFCE"/>
            <w:noWrap/>
          </w:tcPr>
          <w:p w14:paraId="2FDA379A" w14:textId="77777777" w:rsidR="003A3D51" w:rsidRDefault="0002775A">
            <w:pPr>
              <w:pStyle w:val="P68B1DB1-Normal7"/>
              <w:spacing w:after="200" w:line="276" w:lineRule="auto"/>
              <w:rPr>
                <w:rFonts w:ascii="Times New Roman" w:hAnsi="Times New Roman" w:cs="Times New Roman"/>
                <w:noProof/>
              </w:rPr>
            </w:pPr>
            <w:r>
              <w:rPr>
                <w:noProof/>
              </w:rPr>
              <w:t>Kupongsystem som används</w:t>
            </w:r>
          </w:p>
        </w:tc>
        <w:tc>
          <w:tcPr>
            <w:tcW w:w="1072" w:type="dxa"/>
            <w:tcBorders>
              <w:top w:val="single" w:sz="4" w:space="0" w:color="auto"/>
              <w:left w:val="nil"/>
              <w:bottom w:val="single" w:sz="4" w:space="0" w:color="auto"/>
              <w:right w:val="single" w:sz="4" w:space="0" w:color="auto"/>
            </w:tcBorders>
            <w:shd w:val="clear" w:color="auto" w:fill="C6EFCE"/>
            <w:noWrap/>
          </w:tcPr>
          <w:p w14:paraId="6193E0C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0122A68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295B756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583" w:type="dxa"/>
            <w:tcBorders>
              <w:top w:val="single" w:sz="4" w:space="0" w:color="auto"/>
              <w:left w:val="nil"/>
              <w:bottom w:val="single" w:sz="4" w:space="0" w:color="auto"/>
              <w:right w:val="single" w:sz="4" w:space="0" w:color="auto"/>
            </w:tcBorders>
            <w:shd w:val="clear" w:color="auto" w:fill="C6EFCE"/>
            <w:noWrap/>
          </w:tcPr>
          <w:p w14:paraId="34B349D5"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846" w:type="dxa"/>
            <w:tcBorders>
              <w:top w:val="single" w:sz="4" w:space="0" w:color="auto"/>
              <w:left w:val="nil"/>
              <w:bottom w:val="single" w:sz="4" w:space="0" w:color="auto"/>
              <w:right w:val="single" w:sz="4" w:space="0" w:color="auto"/>
            </w:tcBorders>
            <w:shd w:val="clear" w:color="auto" w:fill="C6EFCE"/>
            <w:noWrap/>
          </w:tcPr>
          <w:p w14:paraId="5D2440D0"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498" w:type="dxa"/>
            <w:tcBorders>
              <w:top w:val="single" w:sz="4" w:space="0" w:color="auto"/>
              <w:left w:val="nil"/>
              <w:bottom w:val="single" w:sz="4" w:space="0" w:color="auto"/>
              <w:right w:val="single" w:sz="4" w:space="0" w:color="auto"/>
            </w:tcBorders>
            <w:shd w:val="clear" w:color="auto" w:fill="C6EFCE"/>
            <w:noWrap/>
          </w:tcPr>
          <w:p w14:paraId="52D7583F" w14:textId="77777777" w:rsidR="003A3D51" w:rsidRDefault="0002775A">
            <w:pPr>
              <w:pStyle w:val="P68B1DB1-Normal7"/>
              <w:spacing w:after="200" w:line="276" w:lineRule="auto"/>
              <w:rPr>
                <w:rFonts w:ascii="Times New Roman" w:hAnsi="Times New Roman" w:cs="Times New Roman"/>
                <w:noProof/>
              </w:rPr>
            </w:pPr>
            <w:r>
              <w:rPr>
                <w:noProof/>
              </w:rPr>
              <w:t>Kupongsystemet är i drift och används uteslutande för att finansiera deltagande i utbildningsprogram som utvecklas på grundval av den kroatiska referensramen för kvalifikationer och genomförs genom ackrediterade institutioner i enlighet med den antagna nya lagen om vuxenutbildning. Minst 25 utbildningsprogram ingår. Systemet ska innehålla en kompetenskatalog som kartlägger befintlig och nödvändig kompetens på arbetsmarknaden samt en it-applikation för hantering och tilldelning av vouchrar. Kupongsystemet ska gynna anställda och arbetslösa, med särskilt fokus på utsatta grupper (långtidsarbetslösa, utanför arbetskraften eller unga som varken arbetar eller studerar).</w:t>
            </w:r>
          </w:p>
        </w:tc>
      </w:tr>
      <w:tr w:rsidR="003A3D51" w14:paraId="0A68CCB9"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01E8D2E" w14:textId="77777777" w:rsidR="003A3D51" w:rsidRDefault="0002775A">
            <w:pPr>
              <w:pStyle w:val="P68B1DB1-Normal7"/>
              <w:spacing w:after="200" w:line="276" w:lineRule="auto"/>
              <w:jc w:val="center"/>
              <w:rPr>
                <w:rFonts w:ascii="Times New Roman" w:hAnsi="Times New Roman" w:cs="Times New Roman"/>
                <w:noProof/>
              </w:rPr>
            </w:pPr>
            <w:r>
              <w:rPr>
                <w:noProof/>
              </w:rPr>
              <w:t>292</w:t>
            </w:r>
          </w:p>
        </w:tc>
        <w:tc>
          <w:tcPr>
            <w:tcW w:w="850" w:type="dxa"/>
            <w:tcBorders>
              <w:top w:val="single" w:sz="4" w:space="0" w:color="auto"/>
              <w:left w:val="nil"/>
              <w:bottom w:val="single" w:sz="4" w:space="0" w:color="auto"/>
              <w:right w:val="single" w:sz="4" w:space="0" w:color="auto"/>
            </w:tcBorders>
            <w:shd w:val="clear" w:color="auto" w:fill="C6EFCE"/>
            <w:noWrap/>
          </w:tcPr>
          <w:p w14:paraId="5F1B0E8D" w14:textId="77777777" w:rsidR="003A3D51" w:rsidRDefault="0002775A">
            <w:pPr>
              <w:pStyle w:val="P68B1DB1-Normal7"/>
              <w:spacing w:after="200" w:line="276" w:lineRule="auto"/>
              <w:jc w:val="center"/>
              <w:rPr>
                <w:rFonts w:ascii="Times New Roman" w:hAnsi="Times New Roman" w:cs="Times New Roman"/>
                <w:noProof/>
              </w:rPr>
            </w:pPr>
            <w:r>
              <w:rPr>
                <w:noProof/>
              </w:rPr>
              <w:t>C4.1 R3-I1</w:t>
            </w:r>
          </w:p>
        </w:tc>
        <w:tc>
          <w:tcPr>
            <w:tcW w:w="850" w:type="dxa"/>
            <w:tcBorders>
              <w:top w:val="single" w:sz="4" w:space="0" w:color="auto"/>
              <w:left w:val="nil"/>
              <w:bottom w:val="single" w:sz="4" w:space="0" w:color="auto"/>
              <w:right w:val="single" w:sz="4" w:space="0" w:color="auto"/>
            </w:tcBorders>
            <w:shd w:val="clear" w:color="auto" w:fill="C6EFCE"/>
            <w:noWrap/>
          </w:tcPr>
          <w:p w14:paraId="2C0A265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210" w:type="dxa"/>
            <w:tcBorders>
              <w:top w:val="single" w:sz="4" w:space="0" w:color="auto"/>
              <w:left w:val="nil"/>
              <w:bottom w:val="single" w:sz="4" w:space="0" w:color="auto"/>
              <w:right w:val="single" w:sz="4" w:space="0" w:color="auto"/>
            </w:tcBorders>
            <w:shd w:val="clear" w:color="auto" w:fill="C6EFCE"/>
            <w:noWrap/>
          </w:tcPr>
          <w:p w14:paraId="1C6DBFC2" w14:textId="77777777" w:rsidR="003A3D51" w:rsidRDefault="0002775A">
            <w:pPr>
              <w:pStyle w:val="P68B1DB1-Normal7"/>
              <w:spacing w:after="200" w:line="276" w:lineRule="auto"/>
              <w:rPr>
                <w:rFonts w:ascii="Times New Roman" w:hAnsi="Times New Roman" w:cs="Times New Roman"/>
                <w:noProof/>
              </w:rPr>
            </w:pPr>
            <w:r>
              <w:rPr>
                <w:noProof/>
              </w:rPr>
              <w:t>Användning av utbildningskuponger</w:t>
            </w:r>
          </w:p>
        </w:tc>
        <w:tc>
          <w:tcPr>
            <w:tcW w:w="1843" w:type="dxa"/>
            <w:tcBorders>
              <w:top w:val="single" w:sz="4" w:space="0" w:color="auto"/>
              <w:left w:val="nil"/>
              <w:bottom w:val="single" w:sz="4" w:space="0" w:color="auto"/>
              <w:right w:val="single" w:sz="4" w:space="0" w:color="auto"/>
            </w:tcBorders>
            <w:shd w:val="clear" w:color="auto" w:fill="C6EFCE"/>
            <w:noWrap/>
          </w:tcPr>
          <w:p w14:paraId="39623B63"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2" w:type="dxa"/>
            <w:tcBorders>
              <w:top w:val="single" w:sz="4" w:space="0" w:color="auto"/>
              <w:left w:val="nil"/>
              <w:bottom w:val="single" w:sz="4" w:space="0" w:color="auto"/>
              <w:right w:val="single" w:sz="4" w:space="0" w:color="auto"/>
            </w:tcBorders>
            <w:shd w:val="clear" w:color="auto" w:fill="C6EFCE"/>
            <w:noWrap/>
          </w:tcPr>
          <w:p w14:paraId="088D0A81"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25D8998F"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0187BA40" w14:textId="1AB2AAE2" w:rsidR="003A3D51" w:rsidRDefault="0002775A">
            <w:pPr>
              <w:pStyle w:val="P68B1DB1-Normal7"/>
              <w:spacing w:after="200" w:line="276" w:lineRule="auto"/>
              <w:jc w:val="center"/>
              <w:rPr>
                <w:rFonts w:ascii="Times New Roman" w:hAnsi="Times New Roman" w:cs="Times New Roman"/>
                <w:noProof/>
              </w:rPr>
            </w:pPr>
            <w:r>
              <w:rPr>
                <w:noProof/>
              </w:rPr>
              <w:t>40 000</w:t>
            </w:r>
          </w:p>
        </w:tc>
        <w:tc>
          <w:tcPr>
            <w:tcW w:w="583" w:type="dxa"/>
            <w:tcBorders>
              <w:top w:val="single" w:sz="4" w:space="0" w:color="auto"/>
              <w:left w:val="nil"/>
              <w:bottom w:val="single" w:sz="4" w:space="0" w:color="auto"/>
              <w:right w:val="single" w:sz="4" w:space="0" w:color="auto"/>
            </w:tcBorders>
            <w:shd w:val="clear" w:color="auto" w:fill="C6EFCE"/>
            <w:noWrap/>
          </w:tcPr>
          <w:p w14:paraId="4F00DEAC"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46" w:type="dxa"/>
            <w:tcBorders>
              <w:top w:val="single" w:sz="4" w:space="0" w:color="auto"/>
              <w:left w:val="nil"/>
              <w:bottom w:val="single" w:sz="4" w:space="0" w:color="auto"/>
              <w:right w:val="single" w:sz="4" w:space="0" w:color="auto"/>
            </w:tcBorders>
            <w:shd w:val="clear" w:color="auto" w:fill="C6EFCE"/>
            <w:noWrap/>
          </w:tcPr>
          <w:p w14:paraId="6F6B59E1"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498" w:type="dxa"/>
            <w:tcBorders>
              <w:top w:val="single" w:sz="4" w:space="0" w:color="auto"/>
              <w:left w:val="nil"/>
              <w:bottom w:val="single" w:sz="4" w:space="0" w:color="auto"/>
              <w:right w:val="single" w:sz="4" w:space="0" w:color="auto"/>
            </w:tcBorders>
            <w:shd w:val="clear" w:color="auto" w:fill="C6EFCE"/>
            <w:noWrap/>
          </w:tcPr>
          <w:p w14:paraId="0463F98A" w14:textId="6077610F" w:rsidR="003A3D51" w:rsidRDefault="0002775A">
            <w:pPr>
              <w:pStyle w:val="P68B1DB1-Normal7"/>
              <w:spacing w:after="200" w:line="276" w:lineRule="auto"/>
              <w:rPr>
                <w:rFonts w:ascii="Times New Roman" w:hAnsi="Times New Roman" w:cs="Times New Roman"/>
                <w:noProof/>
              </w:rPr>
            </w:pPr>
            <w:r>
              <w:rPr>
                <w:noProof/>
              </w:rPr>
              <w:t>Kuponger som tilldelas minst 40 000 unika stödmottagare, varav minst 12 000 långtidsarbetslösa, inaktiva eller unga som varken arbetar eller studerar.</w:t>
            </w:r>
          </w:p>
        </w:tc>
      </w:tr>
      <w:tr w:rsidR="003A3D51" w14:paraId="26885E59"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71828169" w14:textId="77777777" w:rsidR="003A3D51" w:rsidRDefault="0002775A">
            <w:pPr>
              <w:pStyle w:val="P68B1DB1-Normal7"/>
              <w:spacing w:after="200" w:line="276" w:lineRule="auto"/>
              <w:jc w:val="center"/>
              <w:rPr>
                <w:rFonts w:ascii="Times New Roman" w:hAnsi="Times New Roman" w:cs="Times New Roman"/>
                <w:noProof/>
              </w:rPr>
            </w:pPr>
            <w:r>
              <w:rPr>
                <w:noProof/>
              </w:rPr>
              <w:t>293</w:t>
            </w:r>
          </w:p>
        </w:tc>
        <w:tc>
          <w:tcPr>
            <w:tcW w:w="850" w:type="dxa"/>
            <w:tcBorders>
              <w:top w:val="single" w:sz="4" w:space="0" w:color="auto"/>
              <w:left w:val="nil"/>
              <w:bottom w:val="single" w:sz="4" w:space="0" w:color="auto"/>
              <w:right w:val="single" w:sz="4" w:space="0" w:color="auto"/>
            </w:tcBorders>
            <w:shd w:val="clear" w:color="auto" w:fill="C6EFCE"/>
            <w:noWrap/>
          </w:tcPr>
          <w:p w14:paraId="36AB9FCB" w14:textId="77777777" w:rsidR="003A3D51" w:rsidRDefault="0002775A">
            <w:pPr>
              <w:pStyle w:val="P68B1DB1-Normal7"/>
              <w:spacing w:after="200" w:line="276" w:lineRule="auto"/>
              <w:jc w:val="center"/>
              <w:rPr>
                <w:rFonts w:ascii="Times New Roman" w:hAnsi="Times New Roman" w:cs="Times New Roman"/>
                <w:noProof/>
              </w:rPr>
            </w:pPr>
            <w:r>
              <w:rPr>
                <w:noProof/>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711DF1F4"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10" w:type="dxa"/>
            <w:tcBorders>
              <w:top w:val="single" w:sz="4" w:space="0" w:color="auto"/>
              <w:left w:val="nil"/>
              <w:bottom w:val="single" w:sz="4" w:space="0" w:color="auto"/>
              <w:right w:val="single" w:sz="4" w:space="0" w:color="auto"/>
            </w:tcBorders>
            <w:shd w:val="clear" w:color="auto" w:fill="C6EFCE"/>
            <w:noWrap/>
          </w:tcPr>
          <w:p w14:paraId="24D81B39" w14:textId="77777777" w:rsidR="003A3D51" w:rsidRDefault="0002775A">
            <w:pPr>
              <w:pStyle w:val="P68B1DB1-Normal7"/>
              <w:spacing w:after="200" w:line="276" w:lineRule="auto"/>
              <w:rPr>
                <w:rFonts w:ascii="Times New Roman" w:hAnsi="Times New Roman" w:cs="Times New Roman"/>
                <w:noProof/>
              </w:rPr>
            </w:pPr>
            <w:r>
              <w:rPr>
                <w:noProof/>
              </w:rPr>
              <w:t>Ikraftträdande av ändringarna av lagen om minimilön</w:t>
            </w:r>
          </w:p>
        </w:tc>
        <w:tc>
          <w:tcPr>
            <w:tcW w:w="1843" w:type="dxa"/>
            <w:tcBorders>
              <w:top w:val="single" w:sz="4" w:space="0" w:color="auto"/>
              <w:left w:val="nil"/>
              <w:bottom w:val="single" w:sz="4" w:space="0" w:color="auto"/>
              <w:right w:val="single" w:sz="4" w:space="0" w:color="auto"/>
            </w:tcBorders>
            <w:shd w:val="clear" w:color="auto" w:fill="C6EFCE"/>
            <w:noWrap/>
          </w:tcPr>
          <w:p w14:paraId="11991DAC" w14:textId="77777777" w:rsidR="003A3D51" w:rsidRDefault="0002775A">
            <w:pPr>
              <w:pStyle w:val="P68B1DB1-Normal7"/>
              <w:spacing w:after="200" w:line="276" w:lineRule="auto"/>
              <w:rPr>
                <w:rFonts w:ascii="Times New Roman" w:hAnsi="Times New Roman" w:cs="Times New Roman"/>
                <w:noProof/>
              </w:rPr>
            </w:pPr>
            <w:r>
              <w:rPr>
                <w:noProof/>
              </w:rPr>
              <w:t>Ikraftträdande av lagen om ändring av lagen om minimilön</w:t>
            </w:r>
          </w:p>
        </w:tc>
        <w:tc>
          <w:tcPr>
            <w:tcW w:w="1072" w:type="dxa"/>
            <w:tcBorders>
              <w:top w:val="single" w:sz="4" w:space="0" w:color="auto"/>
              <w:left w:val="nil"/>
              <w:bottom w:val="single" w:sz="4" w:space="0" w:color="auto"/>
              <w:right w:val="single" w:sz="4" w:space="0" w:color="auto"/>
            </w:tcBorders>
            <w:shd w:val="clear" w:color="auto" w:fill="C6EFCE"/>
            <w:noWrap/>
          </w:tcPr>
          <w:p w14:paraId="3A13F94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2B4F99B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27C9222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583" w:type="dxa"/>
            <w:tcBorders>
              <w:top w:val="single" w:sz="4" w:space="0" w:color="auto"/>
              <w:left w:val="nil"/>
              <w:bottom w:val="single" w:sz="4" w:space="0" w:color="auto"/>
              <w:right w:val="single" w:sz="4" w:space="0" w:color="auto"/>
            </w:tcBorders>
            <w:shd w:val="clear" w:color="auto" w:fill="C6EFCE"/>
            <w:noWrap/>
          </w:tcPr>
          <w:p w14:paraId="6A2F103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46" w:type="dxa"/>
            <w:tcBorders>
              <w:top w:val="single" w:sz="4" w:space="0" w:color="auto"/>
              <w:left w:val="nil"/>
              <w:bottom w:val="single" w:sz="4" w:space="0" w:color="auto"/>
              <w:right w:val="single" w:sz="4" w:space="0" w:color="auto"/>
            </w:tcBorders>
            <w:shd w:val="clear" w:color="auto" w:fill="C6EFCE"/>
            <w:noWrap/>
          </w:tcPr>
          <w:p w14:paraId="2A8F2CEF"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498" w:type="dxa"/>
            <w:tcBorders>
              <w:top w:val="single" w:sz="4" w:space="0" w:color="auto"/>
              <w:left w:val="nil"/>
              <w:bottom w:val="single" w:sz="4" w:space="0" w:color="auto"/>
              <w:right w:val="single" w:sz="4" w:space="0" w:color="auto"/>
            </w:tcBorders>
            <w:shd w:val="clear" w:color="auto" w:fill="C6EFCE"/>
            <w:noWrap/>
          </w:tcPr>
          <w:p w14:paraId="51BBA3D1" w14:textId="77777777" w:rsidR="003A3D51" w:rsidRDefault="0002775A">
            <w:pPr>
              <w:pStyle w:val="P68B1DB1-Normal7"/>
              <w:spacing w:after="200" w:line="276" w:lineRule="auto"/>
              <w:rPr>
                <w:rFonts w:ascii="Times New Roman" w:hAnsi="Times New Roman" w:cs="Times New Roman"/>
                <w:noProof/>
              </w:rPr>
            </w:pPr>
            <w:r>
              <w:rPr>
                <w:noProof/>
              </w:rPr>
              <w:t>Den nya lagen om minimilön utesluter de olika lönetilläggen från minimilönen och mandatets minimihöjningar för övertid, nattarbete, söndagar och allmänna helgdagar. Den ska också förbjuda möjligheten att avstå från minimilönen för att förhindra missbruk, stärka kontrollen av inspektionsorganen och omdefiniera påföljderna för lagöverträdare.</w:t>
            </w:r>
          </w:p>
        </w:tc>
      </w:tr>
      <w:tr w:rsidR="003A3D51" w14:paraId="5D1F98B0"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58983281" w14:textId="77777777" w:rsidR="003A3D51" w:rsidRDefault="0002775A">
            <w:pPr>
              <w:pStyle w:val="P68B1DB1-Normal7"/>
              <w:spacing w:after="200" w:line="276" w:lineRule="auto"/>
              <w:jc w:val="center"/>
              <w:rPr>
                <w:rFonts w:ascii="Times New Roman" w:hAnsi="Times New Roman" w:cs="Times New Roman"/>
                <w:noProof/>
              </w:rPr>
            </w:pPr>
            <w:r>
              <w:rPr>
                <w:noProof/>
              </w:rPr>
              <w:t>294</w:t>
            </w:r>
          </w:p>
        </w:tc>
        <w:tc>
          <w:tcPr>
            <w:tcW w:w="850" w:type="dxa"/>
            <w:tcBorders>
              <w:top w:val="single" w:sz="4" w:space="0" w:color="auto"/>
              <w:left w:val="nil"/>
              <w:bottom w:val="single" w:sz="4" w:space="0" w:color="auto"/>
              <w:right w:val="single" w:sz="4" w:space="0" w:color="auto"/>
            </w:tcBorders>
            <w:shd w:val="clear" w:color="auto" w:fill="C6EFCE"/>
            <w:noWrap/>
          </w:tcPr>
          <w:p w14:paraId="61D66537" w14:textId="77777777" w:rsidR="003A3D51" w:rsidRDefault="0002775A">
            <w:pPr>
              <w:pStyle w:val="P68B1DB1-Normal7"/>
              <w:spacing w:after="200" w:line="276" w:lineRule="auto"/>
              <w:jc w:val="center"/>
              <w:rPr>
                <w:rFonts w:ascii="Times New Roman" w:hAnsi="Times New Roman" w:cs="Times New Roman"/>
                <w:noProof/>
              </w:rPr>
            </w:pPr>
            <w:r>
              <w:rPr>
                <w:noProof/>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78F5CD7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210" w:type="dxa"/>
            <w:tcBorders>
              <w:top w:val="single" w:sz="4" w:space="0" w:color="auto"/>
              <w:left w:val="nil"/>
              <w:bottom w:val="single" w:sz="4" w:space="0" w:color="auto"/>
              <w:right w:val="single" w:sz="4" w:space="0" w:color="auto"/>
            </w:tcBorders>
            <w:shd w:val="clear" w:color="auto" w:fill="C6EFCE"/>
            <w:noWrap/>
          </w:tcPr>
          <w:p w14:paraId="08D829F2" w14:textId="77777777" w:rsidR="003A3D51" w:rsidRDefault="0002775A">
            <w:pPr>
              <w:pStyle w:val="P68B1DB1-Normal7"/>
              <w:spacing w:after="200" w:line="276" w:lineRule="auto"/>
              <w:rPr>
                <w:rFonts w:ascii="Times New Roman" w:hAnsi="Times New Roman" w:cs="Times New Roman"/>
                <w:noProof/>
              </w:rPr>
            </w:pPr>
            <w:r>
              <w:rPr>
                <w:noProof/>
              </w:rPr>
              <w:t>Antagande av lagen om bekämpande av odeklarerat arbete och den nya arbetslagen</w:t>
            </w:r>
          </w:p>
        </w:tc>
        <w:tc>
          <w:tcPr>
            <w:tcW w:w="1843" w:type="dxa"/>
            <w:tcBorders>
              <w:top w:val="single" w:sz="4" w:space="0" w:color="auto"/>
              <w:left w:val="nil"/>
              <w:bottom w:val="single" w:sz="4" w:space="0" w:color="auto"/>
              <w:right w:val="single" w:sz="4" w:space="0" w:color="auto"/>
            </w:tcBorders>
            <w:shd w:val="clear" w:color="auto" w:fill="C6EFCE"/>
            <w:noWrap/>
          </w:tcPr>
          <w:p w14:paraId="67CDE8FA" w14:textId="77777777" w:rsidR="003A3D51" w:rsidRDefault="0002775A">
            <w:pPr>
              <w:pStyle w:val="P68B1DB1-Normal7"/>
              <w:spacing w:after="200" w:line="276" w:lineRule="auto"/>
              <w:rPr>
                <w:rFonts w:ascii="Times New Roman" w:hAnsi="Times New Roman" w:cs="Times New Roman"/>
                <w:noProof/>
              </w:rPr>
            </w:pPr>
            <w:r>
              <w:rPr>
                <w:noProof/>
              </w:rPr>
              <w:t>Ikraftträdande av lagen om bekämpande av odeklarerat arbete och lagen om ändring av arbetsrätten</w:t>
            </w:r>
          </w:p>
        </w:tc>
        <w:tc>
          <w:tcPr>
            <w:tcW w:w="1072" w:type="dxa"/>
            <w:tcBorders>
              <w:top w:val="single" w:sz="4" w:space="0" w:color="auto"/>
              <w:left w:val="nil"/>
              <w:bottom w:val="single" w:sz="4" w:space="0" w:color="auto"/>
              <w:right w:val="single" w:sz="4" w:space="0" w:color="auto"/>
            </w:tcBorders>
            <w:shd w:val="clear" w:color="auto" w:fill="C6EFCE"/>
            <w:noWrap/>
          </w:tcPr>
          <w:p w14:paraId="616FA44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26" w:type="dxa"/>
            <w:tcBorders>
              <w:top w:val="single" w:sz="4" w:space="0" w:color="auto"/>
              <w:left w:val="nil"/>
              <w:bottom w:val="single" w:sz="4" w:space="0" w:color="auto"/>
              <w:right w:val="single" w:sz="4" w:space="0" w:color="auto"/>
            </w:tcBorders>
            <w:shd w:val="clear" w:color="auto" w:fill="C6EFCE"/>
            <w:noWrap/>
          </w:tcPr>
          <w:p w14:paraId="12FDE90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31E14B9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583" w:type="dxa"/>
            <w:tcBorders>
              <w:top w:val="single" w:sz="4" w:space="0" w:color="auto"/>
              <w:left w:val="nil"/>
              <w:bottom w:val="single" w:sz="4" w:space="0" w:color="auto"/>
              <w:right w:val="single" w:sz="4" w:space="0" w:color="auto"/>
            </w:tcBorders>
            <w:shd w:val="clear" w:color="auto" w:fill="C6EFCE"/>
            <w:noWrap/>
          </w:tcPr>
          <w:p w14:paraId="2B1ECE55"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46" w:type="dxa"/>
            <w:tcBorders>
              <w:top w:val="single" w:sz="4" w:space="0" w:color="auto"/>
              <w:left w:val="nil"/>
              <w:bottom w:val="single" w:sz="4" w:space="0" w:color="auto"/>
              <w:right w:val="single" w:sz="4" w:space="0" w:color="auto"/>
            </w:tcBorders>
            <w:shd w:val="clear" w:color="auto" w:fill="C6EFCE"/>
            <w:noWrap/>
          </w:tcPr>
          <w:p w14:paraId="57DE55DD"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498" w:type="dxa"/>
            <w:tcBorders>
              <w:top w:val="single" w:sz="4" w:space="0" w:color="auto"/>
              <w:left w:val="nil"/>
              <w:bottom w:val="single" w:sz="4" w:space="0" w:color="auto"/>
              <w:right w:val="single" w:sz="4" w:space="0" w:color="auto"/>
            </w:tcBorders>
            <w:shd w:val="clear" w:color="auto" w:fill="C6EFCE"/>
            <w:noWrap/>
          </w:tcPr>
          <w:p w14:paraId="0790E7F7" w14:textId="77777777" w:rsidR="003A3D51" w:rsidRDefault="0002775A">
            <w:pPr>
              <w:pStyle w:val="P68B1DB1-Normal7"/>
              <w:spacing w:after="200" w:line="276" w:lineRule="auto"/>
              <w:rPr>
                <w:rFonts w:ascii="Times New Roman" w:hAnsi="Times New Roman" w:cs="Times New Roman"/>
                <w:noProof/>
              </w:rPr>
            </w:pPr>
            <w:r>
              <w:rPr>
                <w:noProof/>
              </w:rPr>
              <w:t xml:space="preserve">Den ändrade eller nya arbetslagen ska reglera distansarbete och plattformsarbete, begränsa antalet på varandra följande tillfälliga kontrakt, stärka rätten att arbeta för andra arbetsgivare och se över klausulen om 65-årig pensionering, ändra bestämmelserna om finansiering av sjukledighet och avgångsvederlag för arbetstagare vid pensionsålder, uppmuntra till ytterligare anställning och deltidsanställning och inkludera bestämmelser för att möjliggöra flexibilitet i arbetstid och arbetsplats och minska lönegapet mellan könen. Den nya eller ändrade lagen om bekämpning av odeklarerat arbete ska definiera odeklarerat arbete och alla dess yttringar, stärka inspektionerna och fastställa bestämmelser om överträdelser samt reglera processen för att överföra arbetstagare från odeklarerat till deklarerat arbete. </w:t>
            </w:r>
          </w:p>
        </w:tc>
      </w:tr>
      <w:tr w:rsidR="003A3D51" w14:paraId="1AE93F06"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20318D5A" w14:textId="77777777" w:rsidR="003A3D51" w:rsidRDefault="0002775A">
            <w:pPr>
              <w:pStyle w:val="P68B1DB1-Normal7"/>
              <w:spacing w:after="200" w:line="276" w:lineRule="auto"/>
              <w:jc w:val="center"/>
              <w:rPr>
                <w:rFonts w:ascii="Times New Roman" w:hAnsi="Times New Roman" w:cs="Times New Roman"/>
                <w:noProof/>
              </w:rPr>
            </w:pPr>
            <w:r>
              <w:rPr>
                <w:noProof/>
              </w:rPr>
              <w:t>295</w:t>
            </w:r>
          </w:p>
        </w:tc>
        <w:tc>
          <w:tcPr>
            <w:tcW w:w="850" w:type="dxa"/>
            <w:tcBorders>
              <w:top w:val="single" w:sz="4" w:space="0" w:color="auto"/>
              <w:left w:val="nil"/>
              <w:bottom w:val="single" w:sz="4" w:space="0" w:color="auto"/>
              <w:right w:val="single" w:sz="4" w:space="0" w:color="auto"/>
            </w:tcBorders>
            <w:shd w:val="clear" w:color="auto" w:fill="C6EFCE"/>
            <w:noWrap/>
          </w:tcPr>
          <w:p w14:paraId="28088160" w14:textId="77777777" w:rsidR="003A3D51" w:rsidRDefault="0002775A">
            <w:pPr>
              <w:pStyle w:val="P68B1DB1-Normal7"/>
              <w:spacing w:after="200" w:line="276" w:lineRule="auto"/>
              <w:jc w:val="center"/>
              <w:rPr>
                <w:rFonts w:ascii="Times New Roman" w:hAnsi="Times New Roman" w:cs="Times New Roman"/>
                <w:noProof/>
              </w:rPr>
            </w:pPr>
            <w:r>
              <w:rPr>
                <w:noProof/>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695804E2"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210" w:type="dxa"/>
            <w:tcBorders>
              <w:top w:val="single" w:sz="4" w:space="0" w:color="auto"/>
              <w:left w:val="nil"/>
              <w:bottom w:val="single" w:sz="4" w:space="0" w:color="auto"/>
              <w:right w:val="single" w:sz="4" w:space="0" w:color="auto"/>
            </w:tcBorders>
            <w:shd w:val="clear" w:color="auto" w:fill="C6EFCE"/>
            <w:noWrap/>
          </w:tcPr>
          <w:p w14:paraId="70C0371A" w14:textId="77777777" w:rsidR="003A3D51" w:rsidRDefault="0002775A">
            <w:pPr>
              <w:pStyle w:val="P68B1DB1-Normal7"/>
              <w:spacing w:after="200" w:line="276" w:lineRule="auto"/>
              <w:rPr>
                <w:rFonts w:ascii="Times New Roman" w:hAnsi="Times New Roman" w:cs="Times New Roman"/>
                <w:noProof/>
              </w:rPr>
            </w:pPr>
            <w:r>
              <w:rPr>
                <w:noProof/>
              </w:rPr>
              <w:t xml:space="preserve">Öka förhållandet mellan minimilönen och den genomsnittliga bruttolönen 2024 till 50 %. </w:t>
            </w:r>
          </w:p>
        </w:tc>
        <w:tc>
          <w:tcPr>
            <w:tcW w:w="1843" w:type="dxa"/>
            <w:tcBorders>
              <w:top w:val="single" w:sz="4" w:space="0" w:color="auto"/>
              <w:left w:val="nil"/>
              <w:bottom w:val="single" w:sz="4" w:space="0" w:color="auto"/>
              <w:right w:val="single" w:sz="4" w:space="0" w:color="auto"/>
            </w:tcBorders>
            <w:shd w:val="clear" w:color="auto" w:fill="C6EFCE"/>
            <w:noWrap/>
          </w:tcPr>
          <w:p w14:paraId="190EDAF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2" w:type="dxa"/>
            <w:tcBorders>
              <w:top w:val="single" w:sz="4" w:space="0" w:color="auto"/>
              <w:left w:val="nil"/>
              <w:bottom w:val="single" w:sz="4" w:space="0" w:color="auto"/>
              <w:right w:val="single" w:sz="4" w:space="0" w:color="auto"/>
            </w:tcBorders>
            <w:shd w:val="clear" w:color="auto" w:fill="C6EFCE"/>
            <w:noWrap/>
          </w:tcPr>
          <w:p w14:paraId="69F29BE1"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826" w:type="dxa"/>
            <w:tcBorders>
              <w:top w:val="single" w:sz="4" w:space="0" w:color="auto"/>
              <w:left w:val="nil"/>
              <w:bottom w:val="single" w:sz="4" w:space="0" w:color="auto"/>
              <w:right w:val="single" w:sz="4" w:space="0" w:color="auto"/>
            </w:tcBorders>
            <w:shd w:val="clear" w:color="auto" w:fill="C6EFCE"/>
            <w:noWrap/>
          </w:tcPr>
          <w:p w14:paraId="1B52ED65" w14:textId="77777777" w:rsidR="003A3D51" w:rsidRDefault="0002775A">
            <w:pPr>
              <w:pStyle w:val="P68B1DB1-Normal7"/>
              <w:spacing w:after="200" w:line="276" w:lineRule="auto"/>
              <w:jc w:val="center"/>
              <w:rPr>
                <w:rFonts w:ascii="Times New Roman" w:hAnsi="Times New Roman" w:cs="Times New Roman"/>
                <w:noProof/>
              </w:rPr>
            </w:pPr>
            <w:r>
              <w:rPr>
                <w:noProof/>
              </w:rPr>
              <w:t>46,29</w:t>
            </w:r>
          </w:p>
        </w:tc>
        <w:tc>
          <w:tcPr>
            <w:tcW w:w="850" w:type="dxa"/>
            <w:tcBorders>
              <w:top w:val="single" w:sz="4" w:space="0" w:color="auto"/>
              <w:left w:val="nil"/>
              <w:bottom w:val="single" w:sz="4" w:space="0" w:color="auto"/>
              <w:right w:val="single" w:sz="4" w:space="0" w:color="auto"/>
            </w:tcBorders>
            <w:shd w:val="clear" w:color="auto" w:fill="C6EFCE"/>
            <w:noWrap/>
          </w:tcPr>
          <w:p w14:paraId="5769E952" w14:textId="77777777" w:rsidR="003A3D51" w:rsidRDefault="0002775A">
            <w:pPr>
              <w:pStyle w:val="P68B1DB1-Normal7"/>
              <w:spacing w:after="200" w:line="276" w:lineRule="auto"/>
              <w:jc w:val="center"/>
              <w:rPr>
                <w:rFonts w:ascii="Times New Roman" w:hAnsi="Times New Roman" w:cs="Times New Roman"/>
                <w:noProof/>
              </w:rPr>
            </w:pPr>
            <w:r>
              <w:rPr>
                <w:noProof/>
              </w:rPr>
              <w:t>50</w:t>
            </w:r>
          </w:p>
        </w:tc>
        <w:tc>
          <w:tcPr>
            <w:tcW w:w="583" w:type="dxa"/>
            <w:tcBorders>
              <w:top w:val="single" w:sz="4" w:space="0" w:color="auto"/>
              <w:left w:val="nil"/>
              <w:bottom w:val="single" w:sz="4" w:space="0" w:color="auto"/>
              <w:right w:val="single" w:sz="4" w:space="0" w:color="auto"/>
            </w:tcBorders>
            <w:shd w:val="clear" w:color="auto" w:fill="C6EFCE"/>
            <w:noWrap/>
          </w:tcPr>
          <w:p w14:paraId="1528E062"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846" w:type="dxa"/>
            <w:tcBorders>
              <w:top w:val="single" w:sz="4" w:space="0" w:color="auto"/>
              <w:left w:val="nil"/>
              <w:bottom w:val="single" w:sz="4" w:space="0" w:color="auto"/>
              <w:right w:val="single" w:sz="4" w:space="0" w:color="auto"/>
            </w:tcBorders>
            <w:shd w:val="clear" w:color="auto" w:fill="C6EFCE"/>
            <w:noWrap/>
          </w:tcPr>
          <w:p w14:paraId="5C34D12A"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498" w:type="dxa"/>
            <w:tcBorders>
              <w:top w:val="single" w:sz="4" w:space="0" w:color="auto"/>
              <w:left w:val="nil"/>
              <w:bottom w:val="single" w:sz="4" w:space="0" w:color="auto"/>
              <w:right w:val="single" w:sz="4" w:space="0" w:color="auto"/>
            </w:tcBorders>
            <w:shd w:val="clear" w:color="auto" w:fill="C6EFCE"/>
            <w:noWrap/>
          </w:tcPr>
          <w:p w14:paraId="71490F9F" w14:textId="77777777" w:rsidR="003A3D51" w:rsidRDefault="0002775A">
            <w:pPr>
              <w:pStyle w:val="P68B1DB1-Normal7"/>
              <w:spacing w:after="200" w:line="276" w:lineRule="auto"/>
              <w:rPr>
                <w:rFonts w:ascii="Times New Roman" w:hAnsi="Times New Roman" w:cs="Times New Roman"/>
                <w:noProof/>
              </w:rPr>
            </w:pPr>
            <w:r>
              <w:rPr>
                <w:noProof/>
              </w:rPr>
              <w:t>I samråd med arbetsmarknadens parter och i samarbete med expertpanelen för övervakning och analys av utvecklingen av minimilöner ska minimilönen höjas till 50 % av genomsnittslönen från föregående år.</w:t>
            </w:r>
          </w:p>
        </w:tc>
      </w:tr>
      <w:tr w:rsidR="003A3D51" w14:paraId="171F69BB" w14:textId="77777777">
        <w:trPr>
          <w:trHeight w:val="283"/>
          <w:jc w:val="center"/>
        </w:trPr>
        <w:tc>
          <w:tcPr>
            <w:tcW w:w="737" w:type="dxa"/>
            <w:tcBorders>
              <w:top w:val="single" w:sz="4" w:space="0" w:color="auto"/>
              <w:left w:val="single" w:sz="4" w:space="0" w:color="auto"/>
              <w:bottom w:val="single" w:sz="4" w:space="0" w:color="auto"/>
              <w:right w:val="single" w:sz="4" w:space="0" w:color="auto"/>
            </w:tcBorders>
            <w:shd w:val="clear" w:color="auto" w:fill="C6EFCE"/>
            <w:noWrap/>
          </w:tcPr>
          <w:p w14:paraId="01239131" w14:textId="77777777" w:rsidR="003A3D51" w:rsidRDefault="0002775A">
            <w:pPr>
              <w:pStyle w:val="P68B1DB1-Normal7"/>
              <w:spacing w:after="200" w:line="276" w:lineRule="auto"/>
              <w:jc w:val="center"/>
              <w:rPr>
                <w:rFonts w:ascii="Times New Roman" w:hAnsi="Times New Roman" w:cs="Times New Roman"/>
                <w:noProof/>
              </w:rPr>
            </w:pPr>
            <w:r>
              <w:rPr>
                <w:noProof/>
              </w:rPr>
              <w:t>296</w:t>
            </w:r>
          </w:p>
        </w:tc>
        <w:tc>
          <w:tcPr>
            <w:tcW w:w="850" w:type="dxa"/>
            <w:tcBorders>
              <w:top w:val="single" w:sz="4" w:space="0" w:color="auto"/>
              <w:left w:val="nil"/>
              <w:bottom w:val="single" w:sz="4" w:space="0" w:color="auto"/>
              <w:right w:val="single" w:sz="4" w:space="0" w:color="auto"/>
            </w:tcBorders>
            <w:shd w:val="clear" w:color="auto" w:fill="C6EFCE"/>
            <w:noWrap/>
          </w:tcPr>
          <w:p w14:paraId="4C85A744" w14:textId="77777777" w:rsidR="003A3D51" w:rsidRDefault="0002775A">
            <w:pPr>
              <w:pStyle w:val="P68B1DB1-Normal7"/>
              <w:spacing w:after="200" w:line="276" w:lineRule="auto"/>
              <w:jc w:val="center"/>
              <w:rPr>
                <w:rFonts w:ascii="Times New Roman" w:hAnsi="Times New Roman" w:cs="Times New Roman"/>
                <w:noProof/>
              </w:rPr>
            </w:pPr>
            <w:r>
              <w:rPr>
                <w:noProof/>
              </w:rPr>
              <w:t>C4.1 R4</w:t>
            </w:r>
          </w:p>
        </w:tc>
        <w:tc>
          <w:tcPr>
            <w:tcW w:w="850" w:type="dxa"/>
            <w:tcBorders>
              <w:top w:val="single" w:sz="4" w:space="0" w:color="auto"/>
              <w:left w:val="nil"/>
              <w:bottom w:val="single" w:sz="4" w:space="0" w:color="auto"/>
              <w:right w:val="single" w:sz="4" w:space="0" w:color="auto"/>
            </w:tcBorders>
            <w:shd w:val="clear" w:color="auto" w:fill="C6EFCE"/>
            <w:noWrap/>
          </w:tcPr>
          <w:p w14:paraId="3E6ECAD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210" w:type="dxa"/>
            <w:tcBorders>
              <w:top w:val="single" w:sz="4" w:space="0" w:color="auto"/>
              <w:left w:val="nil"/>
              <w:bottom w:val="single" w:sz="4" w:space="0" w:color="auto"/>
              <w:right w:val="single" w:sz="4" w:space="0" w:color="auto"/>
            </w:tcBorders>
            <w:shd w:val="clear" w:color="auto" w:fill="C6EFCE"/>
            <w:noWrap/>
          </w:tcPr>
          <w:p w14:paraId="3B67CDE7" w14:textId="77777777" w:rsidR="003A3D51" w:rsidRDefault="0002775A">
            <w:pPr>
              <w:pStyle w:val="P68B1DB1-Normal7"/>
              <w:spacing w:after="200" w:line="276" w:lineRule="auto"/>
              <w:rPr>
                <w:rFonts w:ascii="Times New Roman" w:hAnsi="Times New Roman" w:cs="Times New Roman"/>
                <w:noProof/>
              </w:rPr>
            </w:pPr>
            <w:r>
              <w:rPr>
                <w:noProof/>
              </w:rPr>
              <w:t>Minska andelen visstidsanställningar till 17 %</w:t>
            </w:r>
          </w:p>
        </w:tc>
        <w:tc>
          <w:tcPr>
            <w:tcW w:w="1843" w:type="dxa"/>
            <w:tcBorders>
              <w:top w:val="single" w:sz="4" w:space="0" w:color="auto"/>
              <w:left w:val="nil"/>
              <w:bottom w:val="single" w:sz="4" w:space="0" w:color="auto"/>
              <w:right w:val="single" w:sz="4" w:space="0" w:color="auto"/>
            </w:tcBorders>
            <w:shd w:val="clear" w:color="auto" w:fill="C6EFCE"/>
            <w:noWrap/>
          </w:tcPr>
          <w:p w14:paraId="1852FB2D"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2" w:type="dxa"/>
            <w:tcBorders>
              <w:top w:val="single" w:sz="4" w:space="0" w:color="auto"/>
              <w:left w:val="nil"/>
              <w:bottom w:val="single" w:sz="4" w:space="0" w:color="auto"/>
              <w:right w:val="single" w:sz="4" w:space="0" w:color="auto"/>
            </w:tcBorders>
            <w:shd w:val="clear" w:color="auto" w:fill="C6EFCE"/>
            <w:noWrap/>
          </w:tcPr>
          <w:p w14:paraId="427AA22C"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826" w:type="dxa"/>
            <w:tcBorders>
              <w:top w:val="single" w:sz="4" w:space="0" w:color="auto"/>
              <w:left w:val="nil"/>
              <w:bottom w:val="single" w:sz="4" w:space="0" w:color="auto"/>
              <w:right w:val="single" w:sz="4" w:space="0" w:color="auto"/>
            </w:tcBorders>
            <w:shd w:val="clear" w:color="auto" w:fill="C6EFCE"/>
            <w:noWrap/>
          </w:tcPr>
          <w:p w14:paraId="75AC4DFE" w14:textId="77777777" w:rsidR="003A3D51" w:rsidRDefault="0002775A">
            <w:pPr>
              <w:pStyle w:val="P68B1DB1-Normal7"/>
              <w:spacing w:after="200" w:line="276" w:lineRule="auto"/>
              <w:jc w:val="center"/>
              <w:rPr>
                <w:rFonts w:ascii="Times New Roman" w:hAnsi="Times New Roman" w:cs="Times New Roman"/>
                <w:noProof/>
              </w:rPr>
            </w:pPr>
            <w:r>
              <w:rPr>
                <w:noProof/>
              </w:rPr>
              <w:t>18,1</w:t>
            </w:r>
          </w:p>
        </w:tc>
        <w:tc>
          <w:tcPr>
            <w:tcW w:w="850" w:type="dxa"/>
            <w:tcBorders>
              <w:top w:val="single" w:sz="4" w:space="0" w:color="auto"/>
              <w:left w:val="nil"/>
              <w:bottom w:val="single" w:sz="4" w:space="0" w:color="auto"/>
              <w:right w:val="single" w:sz="4" w:space="0" w:color="auto"/>
            </w:tcBorders>
            <w:shd w:val="clear" w:color="auto" w:fill="C6EFCE"/>
            <w:noWrap/>
          </w:tcPr>
          <w:p w14:paraId="6E390B92" w14:textId="77777777" w:rsidR="003A3D51" w:rsidRDefault="0002775A">
            <w:pPr>
              <w:pStyle w:val="P68B1DB1-Normal7"/>
              <w:spacing w:after="200" w:line="276" w:lineRule="auto"/>
              <w:jc w:val="center"/>
              <w:rPr>
                <w:rFonts w:ascii="Times New Roman" w:hAnsi="Times New Roman" w:cs="Times New Roman"/>
                <w:noProof/>
              </w:rPr>
            </w:pPr>
            <w:r>
              <w:rPr>
                <w:noProof/>
              </w:rPr>
              <w:t>17</w:t>
            </w:r>
          </w:p>
        </w:tc>
        <w:tc>
          <w:tcPr>
            <w:tcW w:w="583" w:type="dxa"/>
            <w:tcBorders>
              <w:top w:val="single" w:sz="4" w:space="0" w:color="auto"/>
              <w:left w:val="nil"/>
              <w:bottom w:val="single" w:sz="4" w:space="0" w:color="auto"/>
              <w:right w:val="single" w:sz="4" w:space="0" w:color="auto"/>
            </w:tcBorders>
            <w:shd w:val="clear" w:color="auto" w:fill="C6EFCE"/>
            <w:noWrap/>
          </w:tcPr>
          <w:p w14:paraId="1D7DDB73"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46" w:type="dxa"/>
            <w:tcBorders>
              <w:top w:val="single" w:sz="4" w:space="0" w:color="auto"/>
              <w:left w:val="nil"/>
              <w:bottom w:val="single" w:sz="4" w:space="0" w:color="auto"/>
              <w:right w:val="single" w:sz="4" w:space="0" w:color="auto"/>
            </w:tcBorders>
            <w:shd w:val="clear" w:color="auto" w:fill="C6EFCE"/>
            <w:noWrap/>
          </w:tcPr>
          <w:p w14:paraId="0058848D"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498" w:type="dxa"/>
            <w:tcBorders>
              <w:top w:val="single" w:sz="4" w:space="0" w:color="auto"/>
              <w:left w:val="nil"/>
              <w:bottom w:val="single" w:sz="4" w:space="0" w:color="auto"/>
              <w:right w:val="single" w:sz="4" w:space="0" w:color="auto"/>
            </w:tcBorders>
            <w:shd w:val="clear" w:color="auto" w:fill="C6EFCE"/>
            <w:noWrap/>
          </w:tcPr>
          <w:p w14:paraId="5EE1CA6C" w14:textId="77777777" w:rsidR="003A3D51" w:rsidRDefault="0002775A">
            <w:pPr>
              <w:pStyle w:val="P68B1DB1-Normal7"/>
              <w:spacing w:after="200" w:line="276" w:lineRule="auto"/>
              <w:rPr>
                <w:rFonts w:ascii="Times New Roman" w:hAnsi="Times New Roman" w:cs="Times New Roman"/>
                <w:noProof/>
              </w:rPr>
            </w:pPr>
            <w:r>
              <w:rPr>
                <w:noProof/>
              </w:rPr>
              <w:t>Ändringar av arbetsrätten ska skapa förutsättningar för att minska antalet visstidsanställningar, som förväntas minska från 18,1 % till högst 17 %.</w:t>
            </w:r>
          </w:p>
        </w:tc>
      </w:tr>
    </w:tbl>
    <w:p w14:paraId="2B27DA4A" w14:textId="77777777" w:rsidR="003A3D51" w:rsidRDefault="003A3D51">
      <w:pPr>
        <w:spacing w:before="120" w:after="120" w:line="240" w:lineRule="auto"/>
        <w:ind w:left="709"/>
        <w:jc w:val="both"/>
        <w:rPr>
          <w:rFonts w:ascii="Times New Roman" w:eastAsia="Calibri" w:hAnsi="Times New Roman" w:cs="Times New Roman"/>
          <w:noProof/>
          <w:sz w:val="24"/>
        </w:rPr>
      </w:pPr>
    </w:p>
    <w:p w14:paraId="32EE1AEE" w14:textId="77777777" w:rsidR="003A3D51" w:rsidRDefault="003A3D51">
      <w:pPr>
        <w:spacing w:before="120" w:after="120" w:line="240" w:lineRule="auto"/>
        <w:ind w:left="709"/>
        <w:jc w:val="both"/>
        <w:rPr>
          <w:rFonts w:ascii="Times New Roman" w:eastAsia="Calibri" w:hAnsi="Times New Roman" w:cs="Times New Roman"/>
          <w:noProof/>
          <w:sz w:val="24"/>
        </w:rPr>
      </w:pPr>
    </w:p>
    <w:p w14:paraId="09F2B51A" w14:textId="77777777" w:rsidR="003A3D51" w:rsidRDefault="003A3D51">
      <w:pPr>
        <w:pStyle w:val="paragraph"/>
        <w:spacing w:before="0" w:beforeAutospacing="0" w:after="0" w:afterAutospacing="0"/>
        <w:jc w:val="both"/>
        <w:textAlignment w:val="baseline"/>
        <w:rPr>
          <w:rStyle w:val="normaltextrun"/>
          <w:b/>
          <w:noProof/>
        </w:rPr>
        <w:sectPr w:rsidR="003A3D51" w:rsidSect="00932F3F">
          <w:headerReference w:type="even" r:id="rId312"/>
          <w:headerReference w:type="default" r:id="rId313"/>
          <w:footerReference w:type="even" r:id="rId314"/>
          <w:footerReference w:type="default" r:id="rId315"/>
          <w:headerReference w:type="first" r:id="rId316"/>
          <w:footerReference w:type="first" r:id="rId317"/>
          <w:pgSz w:w="15840" w:h="12240" w:orient="landscape"/>
          <w:pgMar w:top="1440" w:right="1440" w:bottom="1440" w:left="1440" w:header="708" w:footer="708" w:gutter="0"/>
          <w:cols w:space="708"/>
          <w:docGrid w:linePitch="360"/>
        </w:sectPr>
      </w:pPr>
    </w:p>
    <w:p w14:paraId="4E8BE576" w14:textId="77777777" w:rsidR="003A3D51" w:rsidRDefault="0002775A">
      <w:pPr>
        <w:pStyle w:val="P68B1DB1-Normal2"/>
        <w:keepNext/>
        <w:tabs>
          <w:tab w:val="left" w:pos="850"/>
        </w:tabs>
        <w:spacing w:before="360" w:after="120" w:line="240" w:lineRule="auto"/>
        <w:jc w:val="both"/>
        <w:outlineLvl w:val="0"/>
        <w:rPr>
          <w:noProof/>
        </w:rPr>
      </w:pPr>
      <w:r>
        <w:rPr>
          <w:noProof/>
        </w:rPr>
        <w:t>S. KOMPONENT 4.2: FÖRBÄTTRA PENSIONSSYSTEMET GENOM ATT ÖKA PENSIONERNAS TILLRÄCKLIGHET</w:t>
      </w:r>
    </w:p>
    <w:p w14:paraId="67EEC1DF" w14:textId="77777777" w:rsidR="003A3D51" w:rsidRDefault="0002775A">
      <w:pPr>
        <w:pStyle w:val="P68B1DB1-Normal3"/>
        <w:spacing w:before="120" w:after="120" w:line="240" w:lineRule="auto"/>
        <w:jc w:val="both"/>
        <w:rPr>
          <w:noProof/>
        </w:rPr>
      </w:pPr>
      <w:r>
        <w:rPr>
          <w:noProof/>
        </w:rPr>
        <w:t xml:space="preserve">Denna del av Kroatiens återhämtnings- och resiliensplan syftar till att ytterligare stärka pensionssystemets hållbarhet genom att ge incitament till längre arbetsliv, stärka den andra pensionspelaren och höja de lägsta pensionerna. Det övergripande målet med reformen i denna del är att förbättra pensionernas tillräcklighet och hållbarhet. </w:t>
      </w:r>
    </w:p>
    <w:p w14:paraId="4D907854" w14:textId="77777777" w:rsidR="003A3D51" w:rsidRDefault="0002775A">
      <w:pPr>
        <w:pStyle w:val="P68B1DB1-Normal4"/>
        <w:keepNext/>
        <w:tabs>
          <w:tab w:val="num" w:pos="850"/>
        </w:tabs>
        <w:spacing w:before="40" w:after="0"/>
        <w:ind w:left="851"/>
        <w:jc w:val="both"/>
        <w:outlineLvl w:val="1"/>
        <w:rPr>
          <w:noProof/>
        </w:rPr>
      </w:pPr>
      <w:r>
        <w:rPr>
          <w:noProof/>
        </w:rPr>
        <w:t xml:space="preserve">S.1. </w:t>
      </w:r>
      <w:r>
        <w:rPr>
          <w:noProof/>
        </w:rPr>
        <w:tab/>
        <w:t>Beskrivning av reformer och investeringar avseende icke återbetalningspliktigt ekonomiskt stöd</w:t>
      </w:r>
    </w:p>
    <w:p w14:paraId="3A651312" w14:textId="77777777" w:rsidR="003A3D51" w:rsidRDefault="0002775A">
      <w:pPr>
        <w:pStyle w:val="P68B1DB1-Normal18"/>
        <w:keepNext/>
        <w:spacing w:before="240" w:after="0"/>
        <w:ind w:left="850"/>
        <w:jc w:val="both"/>
        <w:outlineLvl w:val="2"/>
        <w:rPr>
          <w:noProof/>
        </w:rPr>
      </w:pPr>
      <w:r>
        <w:rPr>
          <w:noProof/>
        </w:rPr>
        <w:t>Reform C4.2 R1 – Öka pensionernas tillräcklighet genom fortsatt pensionsreform</w:t>
      </w:r>
    </w:p>
    <w:p w14:paraId="52996A3C" w14:textId="77777777" w:rsidR="003A3D51" w:rsidRDefault="0002775A">
      <w:pPr>
        <w:pStyle w:val="P68B1DB1-Normal3"/>
        <w:spacing w:before="120" w:after="120" w:line="240" w:lineRule="auto"/>
        <w:jc w:val="both"/>
        <w:rPr>
          <w:noProof/>
        </w:rPr>
      </w:pPr>
      <w:r>
        <w:rPr>
          <w:noProof/>
        </w:rPr>
        <w:t>Reformen har tre syften: i) förbättra pensionernas tillräcklighet, särskilt för förmånstagare med lägst inkomst, ii) förbättra pensionssystemets hållbarhet genom att stärka den andra pensionspelaren och iii) blåsa nytt liv i reformarbetet på längre sikt på ett socialt inkluderande sätt genom att inrätta en arbetsgrupp som skulle involvera alla viktiga intressenter och arbetsmarknadens parter.</w:t>
      </w:r>
    </w:p>
    <w:p w14:paraId="628D71B0" w14:textId="77777777" w:rsidR="003A3D51" w:rsidRDefault="0002775A">
      <w:pPr>
        <w:pStyle w:val="P68B1DB1-Normal3"/>
        <w:spacing w:before="120" w:after="120" w:line="240" w:lineRule="auto"/>
        <w:jc w:val="both"/>
        <w:rPr>
          <w:noProof/>
        </w:rPr>
      </w:pPr>
      <w:r>
        <w:rPr>
          <w:noProof/>
        </w:rPr>
        <w:t>För att förbättra pensionernas tillräcklighet ska reformen omfatta följande:</w:t>
      </w:r>
    </w:p>
    <w:p w14:paraId="674F4A5F" w14:textId="77777777" w:rsidR="003A3D51" w:rsidRDefault="0002775A">
      <w:pPr>
        <w:pStyle w:val="P68B1DB1-Normal3"/>
        <w:numPr>
          <w:ilvl w:val="0"/>
          <w:numId w:val="24"/>
        </w:numPr>
        <w:spacing w:before="120" w:after="120" w:line="240" w:lineRule="auto"/>
        <w:contextualSpacing/>
        <w:jc w:val="both"/>
        <w:rPr>
          <w:noProof/>
        </w:rPr>
      </w:pPr>
      <w:r>
        <w:rPr>
          <w:noProof/>
        </w:rPr>
        <w:t>En höjning av minimipensionen med minst 3 % i reala termer (dvs. utöver den regelbundna indexeringen).</w:t>
      </w:r>
    </w:p>
    <w:p w14:paraId="67E50BC1" w14:textId="77777777" w:rsidR="003A3D51" w:rsidRDefault="0002775A">
      <w:pPr>
        <w:pStyle w:val="P68B1DB1-Normal3"/>
        <w:numPr>
          <w:ilvl w:val="0"/>
          <w:numId w:val="24"/>
        </w:numPr>
        <w:spacing w:before="120" w:after="120" w:line="240" w:lineRule="auto"/>
        <w:contextualSpacing/>
        <w:jc w:val="both"/>
        <w:rPr>
          <w:noProof/>
        </w:rPr>
      </w:pPr>
      <w:r>
        <w:rPr>
          <w:noProof/>
        </w:rPr>
        <w:t>Ändringar av beräkningen av efterlevandepensionen, vilket leder till en ökning av den totala pensionsinkomsten med minst 10 % för personer som uppbär efterlevandepension och som inför en möjlighet att använda en del av efterlevandepensionen utöver en personlig pension för lägre pensionstagare (både ålders- och invaliditetspensioner) på villkor som rör ålder och inkomst.</w:t>
      </w:r>
    </w:p>
    <w:p w14:paraId="5900E4DF" w14:textId="77777777" w:rsidR="003A3D51" w:rsidRDefault="0002775A">
      <w:pPr>
        <w:pStyle w:val="P68B1DB1-Normal3"/>
        <w:spacing w:before="120" w:after="120" w:line="240" w:lineRule="auto"/>
        <w:jc w:val="both"/>
        <w:rPr>
          <w:noProof/>
        </w:rPr>
      </w:pPr>
      <w:r>
        <w:rPr>
          <w:noProof/>
        </w:rPr>
        <w:t>För att stärka den andra pensionspelaren ska reformen omfatta följande:</w:t>
      </w:r>
    </w:p>
    <w:p w14:paraId="12591F39" w14:textId="77777777" w:rsidR="003A3D51" w:rsidRDefault="0002775A">
      <w:pPr>
        <w:pStyle w:val="P68B1DB1-Normal3"/>
        <w:numPr>
          <w:ilvl w:val="0"/>
          <w:numId w:val="24"/>
        </w:numPr>
        <w:spacing w:before="120" w:after="120" w:line="240" w:lineRule="auto"/>
        <w:contextualSpacing/>
        <w:jc w:val="both"/>
        <w:rPr>
          <w:noProof/>
        </w:rPr>
      </w:pPr>
      <w:r>
        <w:rPr>
          <w:noProof/>
        </w:rPr>
        <w:t>Utvidgning av tillämpningsområdet för stödberättigande investeringar för pensionsfonder inom den andra pelaren.</w:t>
      </w:r>
    </w:p>
    <w:p w14:paraId="000F89E1" w14:textId="77777777" w:rsidR="003A3D51" w:rsidRDefault="0002775A">
      <w:pPr>
        <w:pStyle w:val="P68B1DB1-Normal3"/>
        <w:numPr>
          <w:ilvl w:val="0"/>
          <w:numId w:val="24"/>
        </w:numPr>
        <w:spacing w:before="120" w:after="120" w:line="240" w:lineRule="auto"/>
        <w:contextualSpacing/>
        <w:jc w:val="both"/>
        <w:rPr>
          <w:noProof/>
        </w:rPr>
      </w:pPr>
      <w:r>
        <w:rPr>
          <w:noProof/>
        </w:rPr>
        <w:t>Regeringens antagande av en slutsats om rapporten om kostnadseffektivitetsanalyser av obligatoriska pensionsfonders investeringar i statsägda företag.</w:t>
      </w:r>
    </w:p>
    <w:p w14:paraId="6F292ABE" w14:textId="77777777" w:rsidR="003A3D51" w:rsidRDefault="0002775A">
      <w:pPr>
        <w:pStyle w:val="P68B1DB1-Normal3"/>
        <w:spacing w:before="120" w:after="120" w:line="240" w:lineRule="auto"/>
        <w:jc w:val="both"/>
        <w:rPr>
          <w:noProof/>
        </w:rPr>
      </w:pPr>
      <w:r>
        <w:rPr>
          <w:noProof/>
        </w:rPr>
        <w:t>För att blåsa nytt liv i reformarbetet inom pensionssystemet ska reformen omfatta följande:</w:t>
      </w:r>
    </w:p>
    <w:p w14:paraId="1959A919" w14:textId="77777777" w:rsidR="003A3D51" w:rsidRDefault="0002775A">
      <w:pPr>
        <w:pStyle w:val="P68B1DB1-Normal3"/>
        <w:numPr>
          <w:ilvl w:val="0"/>
          <w:numId w:val="24"/>
        </w:numPr>
        <w:spacing w:before="120" w:after="120" w:line="240" w:lineRule="auto"/>
        <w:contextualSpacing/>
        <w:jc w:val="both"/>
        <w:rPr>
          <w:noProof/>
        </w:rPr>
      </w:pPr>
      <w:r>
        <w:rPr>
          <w:noProof/>
        </w:rPr>
        <w:t>Inrättandet av en arbetsgrupp för att analysera situationen i pensionssystemet i syfte att förbättra pensionernas tillräcklighet och säkerställa pensionssystemets hållbarhet.</w:t>
      </w:r>
    </w:p>
    <w:p w14:paraId="1FB8DEC1" w14:textId="77777777" w:rsidR="003A3D51" w:rsidRDefault="0002775A">
      <w:pPr>
        <w:pStyle w:val="P68B1DB1-Normal3"/>
        <w:numPr>
          <w:ilvl w:val="0"/>
          <w:numId w:val="24"/>
        </w:numPr>
        <w:spacing w:before="120" w:after="120" w:line="240" w:lineRule="auto"/>
        <w:contextualSpacing/>
        <w:jc w:val="both"/>
        <w:rPr>
          <w:noProof/>
        </w:rPr>
      </w:pPr>
      <w:r>
        <w:rPr>
          <w:noProof/>
        </w:rPr>
        <w:t xml:space="preserve">Genomförande av arbetsgruppens slutsatser genom lagändringar. </w:t>
      </w:r>
    </w:p>
    <w:p w14:paraId="12464E35" w14:textId="77777777" w:rsidR="003A3D51" w:rsidRDefault="0002775A">
      <w:pPr>
        <w:pStyle w:val="P68B1DB1-Normal3"/>
        <w:spacing w:before="120" w:after="120" w:line="240" w:lineRule="auto"/>
        <w:jc w:val="both"/>
        <w:rPr>
          <w:noProof/>
        </w:rPr>
      </w:pPr>
      <w:r>
        <w:rPr>
          <w:noProof/>
        </w:rPr>
        <w:t>Åtgärderna i denna reform ska genomföras genom ändringar av lagen om pensionsförsäkring.</w:t>
      </w:r>
    </w:p>
    <w:p w14:paraId="2E3314A8" w14:textId="77777777" w:rsidR="003A3D51" w:rsidRDefault="0002775A">
      <w:pPr>
        <w:pStyle w:val="P68B1DB1-Normal3"/>
        <w:spacing w:before="120" w:after="120" w:line="240" w:lineRule="auto"/>
        <w:jc w:val="both"/>
        <w:rPr>
          <w:noProof/>
        </w:rPr>
      </w:pPr>
      <w:r>
        <w:rPr>
          <w:noProof/>
        </w:rPr>
        <w:t>Reformen ska vara genomförd senast den 31 mars 2026.</w:t>
      </w:r>
    </w:p>
    <w:p w14:paraId="78AC3CDB" w14:textId="77777777" w:rsidR="003A3D51" w:rsidRDefault="003A3D51">
      <w:pPr>
        <w:rPr>
          <w:noProof/>
        </w:rPr>
        <w:sectPr w:rsidR="003A3D51" w:rsidSect="00932F3F">
          <w:headerReference w:type="even" r:id="rId318"/>
          <w:headerReference w:type="default" r:id="rId319"/>
          <w:footerReference w:type="even" r:id="rId320"/>
          <w:footerReference w:type="default" r:id="rId321"/>
          <w:headerReference w:type="first" r:id="rId322"/>
          <w:footerReference w:type="first" r:id="rId323"/>
          <w:pgSz w:w="12240" w:h="15840"/>
          <w:pgMar w:top="1440" w:right="1440" w:bottom="1440" w:left="1440" w:header="708" w:footer="708" w:gutter="0"/>
          <w:cols w:space="708"/>
          <w:docGrid w:linePitch="360"/>
        </w:sectPr>
      </w:pPr>
    </w:p>
    <w:p w14:paraId="02A796DF" w14:textId="77777777" w:rsidR="003A3D51" w:rsidRDefault="0002775A">
      <w:pPr>
        <w:pStyle w:val="P68B1DB1-Normal4"/>
        <w:keepNext/>
        <w:tabs>
          <w:tab w:val="num" w:pos="850"/>
        </w:tabs>
        <w:spacing w:before="40" w:after="0"/>
        <w:ind w:left="851"/>
        <w:jc w:val="both"/>
        <w:outlineLvl w:val="1"/>
        <w:rPr>
          <w:noProof/>
        </w:rPr>
      </w:pPr>
      <w:r>
        <w:rPr>
          <w:noProof/>
        </w:rPr>
        <w:t xml:space="preserve">S.2. </w:t>
      </w:r>
      <w:r>
        <w:rPr>
          <w:noProof/>
        </w:rPr>
        <w:tab/>
        <w:t>Delmål, mål, indikatorer och tidsplan för övervakning och genomförande avseende icke återbetalningspliktigt ekonomiskt stöd</w:t>
      </w:r>
    </w:p>
    <w:tbl>
      <w:tblPr>
        <w:tblW w:w="5000" w:type="pct"/>
        <w:tblCellMar>
          <w:top w:w="28" w:type="dxa"/>
          <w:left w:w="28" w:type="dxa"/>
          <w:bottom w:w="28" w:type="dxa"/>
          <w:right w:w="28" w:type="dxa"/>
        </w:tblCellMar>
        <w:tblLook w:val="04A0" w:firstRow="1" w:lastRow="0" w:firstColumn="1" w:lastColumn="0" w:noHBand="0" w:noVBand="1"/>
      </w:tblPr>
      <w:tblGrid>
        <w:gridCol w:w="126"/>
        <w:gridCol w:w="156"/>
        <w:gridCol w:w="201"/>
        <w:gridCol w:w="2147"/>
        <w:gridCol w:w="4310"/>
        <w:gridCol w:w="225"/>
        <w:gridCol w:w="174"/>
        <w:gridCol w:w="139"/>
        <w:gridCol w:w="201"/>
        <w:gridCol w:w="122"/>
        <w:gridCol w:w="5215"/>
      </w:tblGrid>
      <w:tr w:rsidR="003A3D51" w14:paraId="4E9C9E65" w14:textId="77777777" w:rsidTr="00937030">
        <w:trPr>
          <w:trHeight w:val="635"/>
          <w:tblHeader/>
        </w:trPr>
        <w:tc>
          <w:tcPr>
            <w:tcW w:w="273"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539F7B" w14:textId="77777777" w:rsidR="003A3D51" w:rsidRDefault="0002775A">
            <w:pPr>
              <w:pStyle w:val="P68B1DB1-Normal6"/>
              <w:spacing w:after="0" w:line="276" w:lineRule="auto"/>
              <w:jc w:val="center"/>
              <w:rPr>
                <w:noProof/>
              </w:rPr>
            </w:pPr>
            <w:r>
              <w:rPr>
                <w:noProof/>
              </w:rPr>
              <w:t>Antal</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1A33EA" w14:textId="77777777" w:rsidR="003A3D51" w:rsidRDefault="0002775A">
            <w:pPr>
              <w:pStyle w:val="P68B1DB1-Normal6"/>
              <w:spacing w:after="0" w:line="276" w:lineRule="auto"/>
              <w:jc w:val="center"/>
              <w:rPr>
                <w:noProof/>
              </w:rPr>
            </w:pPr>
            <w:r>
              <w:rPr>
                <w:noProof/>
              </w:rPr>
              <w:t>Åtgärd</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4656B9" w14:textId="77777777" w:rsidR="003A3D51" w:rsidRDefault="0002775A">
            <w:pPr>
              <w:pStyle w:val="P68B1DB1-Normal6"/>
              <w:spacing w:after="0" w:line="276" w:lineRule="auto"/>
              <w:jc w:val="center"/>
              <w:rPr>
                <w:noProof/>
              </w:rPr>
            </w:pPr>
            <w:r>
              <w:rPr>
                <w:noProof/>
              </w:rPr>
              <w:t>Delmål/mål</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79D252" w14:textId="77777777" w:rsidR="003A3D51" w:rsidRDefault="0002775A">
            <w:pPr>
              <w:pStyle w:val="P68B1DB1-Normal6"/>
              <w:spacing w:after="0" w:line="276" w:lineRule="auto"/>
              <w:jc w:val="center"/>
              <w:rPr>
                <w:noProof/>
              </w:rPr>
            </w:pPr>
            <w:r>
              <w:rPr>
                <w:noProof/>
              </w:rPr>
              <w:t>Namn</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68668D5" w14:textId="77777777" w:rsidR="003A3D51" w:rsidRDefault="0002775A">
            <w:pPr>
              <w:pStyle w:val="P68B1DB1-Normal6"/>
              <w:spacing w:after="0" w:line="276" w:lineRule="auto"/>
              <w:jc w:val="center"/>
              <w:rPr>
                <w:noProof/>
              </w:rPr>
            </w:pPr>
            <w:r>
              <w:rPr>
                <w:noProof/>
              </w:rPr>
              <w:t xml:space="preserve">Kvalitativa indikatorer </w:t>
            </w:r>
            <w:r>
              <w:rPr>
                <w:noProof/>
              </w:rPr>
              <w:br/>
              <w:t>(för delmål)</w:t>
            </w:r>
          </w:p>
        </w:tc>
        <w:tc>
          <w:tcPr>
            <w:tcW w:w="885"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7D70936F" w14:textId="77777777" w:rsidR="003A3D51" w:rsidRDefault="0002775A">
            <w:pPr>
              <w:pStyle w:val="P68B1DB1-Normal6"/>
              <w:spacing w:after="0" w:line="276" w:lineRule="auto"/>
              <w:jc w:val="center"/>
              <w:rPr>
                <w:noProof/>
              </w:rPr>
            </w:pPr>
            <w:r>
              <w:rPr>
                <w:noProof/>
              </w:rPr>
              <w:t xml:space="preserve">Kvantitativa indikatorer </w:t>
            </w:r>
            <w:r>
              <w:rPr>
                <w:noProof/>
              </w:rPr>
              <w:br/>
              <w:t>(för mål)</w:t>
            </w:r>
          </w:p>
        </w:tc>
        <w:tc>
          <w:tcPr>
            <w:tcW w:w="538" w:type="pct"/>
            <w:gridSpan w:val="2"/>
            <w:tcBorders>
              <w:top w:val="single" w:sz="4" w:space="0" w:color="auto"/>
              <w:left w:val="nil"/>
              <w:bottom w:val="single" w:sz="4" w:space="0" w:color="auto"/>
              <w:right w:val="single" w:sz="4" w:space="0" w:color="auto"/>
            </w:tcBorders>
            <w:shd w:val="clear" w:color="auto" w:fill="BDD7EE"/>
            <w:vAlign w:val="center"/>
            <w:hideMark/>
          </w:tcPr>
          <w:p w14:paraId="62D50448" w14:textId="77777777" w:rsidR="003A3D51" w:rsidRDefault="0002775A">
            <w:pPr>
              <w:pStyle w:val="P68B1DB1-Normal6"/>
              <w:spacing w:after="0" w:line="276" w:lineRule="auto"/>
              <w:jc w:val="center"/>
              <w:rPr>
                <w:noProof/>
              </w:rPr>
            </w:pPr>
            <w:r>
              <w:rPr>
                <w:noProof/>
              </w:rPr>
              <w:t>Tid</w:t>
            </w:r>
          </w:p>
        </w:tc>
        <w:tc>
          <w:tcPr>
            <w:tcW w:w="1181"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121AD8" w14:textId="77777777" w:rsidR="003A3D51" w:rsidRDefault="0002775A">
            <w:pPr>
              <w:pStyle w:val="P68B1DB1-Normal6"/>
              <w:spacing w:after="0" w:line="276" w:lineRule="auto"/>
              <w:jc w:val="center"/>
              <w:rPr>
                <w:noProof/>
              </w:rPr>
            </w:pPr>
            <w:r>
              <w:rPr>
                <w:noProof/>
              </w:rPr>
              <w:t>Beskrivning av varje delmål och mål</w:t>
            </w:r>
          </w:p>
        </w:tc>
      </w:tr>
      <w:tr w:rsidR="003A3D51" w14:paraId="66A42984" w14:textId="77777777" w:rsidTr="00937030">
        <w:trPr>
          <w:trHeight w:val="503"/>
          <w:tblHeader/>
        </w:trPr>
        <w:tc>
          <w:tcPr>
            <w:tcW w:w="273" w:type="pct"/>
            <w:vMerge/>
            <w:tcBorders>
              <w:top w:val="single" w:sz="4" w:space="0" w:color="auto"/>
              <w:left w:val="single" w:sz="4" w:space="0" w:color="auto"/>
              <w:bottom w:val="single" w:sz="4" w:space="0" w:color="auto"/>
              <w:right w:val="single" w:sz="4" w:space="0" w:color="auto"/>
            </w:tcBorders>
            <w:hideMark/>
          </w:tcPr>
          <w:p w14:paraId="69755EEF" w14:textId="77777777" w:rsidR="003A3D51" w:rsidRDefault="003A3D51">
            <w:pPr>
              <w:spacing w:after="0" w:line="276" w:lineRule="auto"/>
              <w:jc w:val="center"/>
              <w:rPr>
                <w:rFonts w:ascii="Times New Roman" w:eastAsia="Times New Roman" w:hAnsi="Times New Roman" w:cs="Times New Roman"/>
                <w:b/>
                <w:noProof/>
              </w:rPr>
            </w:pPr>
          </w:p>
        </w:tc>
        <w:tc>
          <w:tcPr>
            <w:tcW w:w="318" w:type="pct"/>
            <w:vMerge/>
            <w:tcBorders>
              <w:top w:val="single" w:sz="4" w:space="0" w:color="auto"/>
              <w:left w:val="single" w:sz="4" w:space="0" w:color="auto"/>
              <w:bottom w:val="single" w:sz="4" w:space="0" w:color="auto"/>
              <w:right w:val="single" w:sz="4" w:space="0" w:color="auto"/>
            </w:tcBorders>
            <w:hideMark/>
          </w:tcPr>
          <w:p w14:paraId="56C7D349" w14:textId="77777777" w:rsidR="003A3D51" w:rsidRDefault="003A3D51">
            <w:pPr>
              <w:spacing w:after="0" w:line="276" w:lineRule="auto"/>
              <w:jc w:val="center"/>
              <w:rPr>
                <w:rFonts w:ascii="Times New Roman" w:eastAsia="Times New Roman" w:hAnsi="Times New Roman" w:cs="Times New Roman"/>
                <w:b/>
                <w:noProof/>
              </w:rPr>
            </w:pPr>
          </w:p>
        </w:tc>
        <w:tc>
          <w:tcPr>
            <w:tcW w:w="318" w:type="pct"/>
            <w:vMerge/>
            <w:tcBorders>
              <w:top w:val="single" w:sz="4" w:space="0" w:color="auto"/>
              <w:left w:val="single" w:sz="4" w:space="0" w:color="auto"/>
              <w:bottom w:val="single" w:sz="4" w:space="0" w:color="auto"/>
              <w:right w:val="single" w:sz="4" w:space="0" w:color="auto"/>
            </w:tcBorders>
            <w:hideMark/>
          </w:tcPr>
          <w:p w14:paraId="4B0176E7" w14:textId="77777777" w:rsidR="003A3D51" w:rsidRDefault="003A3D51">
            <w:pPr>
              <w:spacing w:after="0" w:line="276" w:lineRule="auto"/>
              <w:jc w:val="center"/>
              <w:rPr>
                <w:rFonts w:ascii="Times New Roman" w:eastAsia="Times New Roman" w:hAnsi="Times New Roman" w:cs="Times New Roman"/>
                <w:b/>
                <w:noProof/>
              </w:rPr>
            </w:pPr>
          </w:p>
        </w:tc>
        <w:tc>
          <w:tcPr>
            <w:tcW w:w="818" w:type="pct"/>
            <w:vMerge/>
            <w:tcBorders>
              <w:top w:val="single" w:sz="4" w:space="0" w:color="auto"/>
              <w:left w:val="single" w:sz="4" w:space="0" w:color="auto"/>
              <w:bottom w:val="single" w:sz="4" w:space="0" w:color="auto"/>
              <w:right w:val="single" w:sz="4" w:space="0" w:color="auto"/>
            </w:tcBorders>
            <w:hideMark/>
          </w:tcPr>
          <w:p w14:paraId="123B5E87" w14:textId="77777777" w:rsidR="003A3D51" w:rsidRDefault="003A3D51">
            <w:pPr>
              <w:spacing w:after="0" w:line="276" w:lineRule="auto"/>
              <w:rPr>
                <w:rFonts w:ascii="Times New Roman" w:eastAsia="Times New Roman" w:hAnsi="Times New Roman" w:cs="Times New Roman"/>
                <w:b/>
                <w:noProof/>
              </w:rPr>
            </w:pPr>
          </w:p>
        </w:tc>
        <w:tc>
          <w:tcPr>
            <w:tcW w:w="671" w:type="pct"/>
            <w:vMerge/>
            <w:tcBorders>
              <w:top w:val="single" w:sz="4" w:space="0" w:color="auto"/>
              <w:left w:val="single" w:sz="4" w:space="0" w:color="auto"/>
              <w:bottom w:val="single" w:sz="4" w:space="0" w:color="auto"/>
              <w:right w:val="single" w:sz="4" w:space="0" w:color="auto"/>
            </w:tcBorders>
            <w:hideMark/>
          </w:tcPr>
          <w:p w14:paraId="0AA61605" w14:textId="77777777" w:rsidR="003A3D51" w:rsidRDefault="003A3D51">
            <w:pPr>
              <w:spacing w:after="0" w:line="276" w:lineRule="auto"/>
              <w:rPr>
                <w:rFonts w:ascii="Times New Roman" w:eastAsia="Times New Roman" w:hAnsi="Times New Roman" w:cs="Times New Roman"/>
                <w:b/>
                <w:noProof/>
              </w:rPr>
            </w:pPr>
          </w:p>
        </w:tc>
        <w:tc>
          <w:tcPr>
            <w:tcW w:w="363" w:type="pct"/>
            <w:tcBorders>
              <w:top w:val="nil"/>
              <w:left w:val="single" w:sz="4" w:space="0" w:color="auto"/>
              <w:bottom w:val="single" w:sz="4" w:space="0" w:color="auto"/>
              <w:right w:val="single" w:sz="4" w:space="0" w:color="auto"/>
            </w:tcBorders>
            <w:shd w:val="clear" w:color="auto" w:fill="BDD7EE"/>
            <w:vAlign w:val="center"/>
            <w:hideMark/>
          </w:tcPr>
          <w:p w14:paraId="20A78167" w14:textId="77777777" w:rsidR="003A3D51" w:rsidRDefault="0002775A">
            <w:pPr>
              <w:pStyle w:val="P68B1DB1-Normal6"/>
              <w:spacing w:after="0" w:line="276" w:lineRule="auto"/>
              <w:jc w:val="center"/>
              <w:rPr>
                <w:noProof/>
              </w:rPr>
            </w:pPr>
            <w:r>
              <w:rPr>
                <w:noProof/>
              </w:rPr>
              <w:t>Enhet</w:t>
            </w:r>
          </w:p>
        </w:tc>
        <w:tc>
          <w:tcPr>
            <w:tcW w:w="249" w:type="pct"/>
            <w:tcBorders>
              <w:top w:val="nil"/>
              <w:left w:val="nil"/>
              <w:bottom w:val="single" w:sz="4" w:space="0" w:color="auto"/>
              <w:right w:val="single" w:sz="4" w:space="0" w:color="auto"/>
            </w:tcBorders>
            <w:shd w:val="clear" w:color="auto" w:fill="BDD7EE"/>
            <w:vAlign w:val="center"/>
            <w:hideMark/>
          </w:tcPr>
          <w:p w14:paraId="551C201D" w14:textId="77777777" w:rsidR="003A3D51" w:rsidRDefault="0002775A">
            <w:pPr>
              <w:pStyle w:val="P68B1DB1-Normal6"/>
              <w:spacing w:after="0" w:line="276" w:lineRule="auto"/>
              <w:jc w:val="center"/>
              <w:rPr>
                <w:noProof/>
              </w:rPr>
            </w:pPr>
            <w:r>
              <w:rPr>
                <w:noProof/>
              </w:rPr>
              <w:t>Baslinjen</w:t>
            </w:r>
          </w:p>
        </w:tc>
        <w:tc>
          <w:tcPr>
            <w:tcW w:w="272" w:type="pct"/>
            <w:tcBorders>
              <w:top w:val="nil"/>
              <w:left w:val="nil"/>
              <w:bottom w:val="single" w:sz="4" w:space="0" w:color="auto"/>
              <w:right w:val="single" w:sz="4" w:space="0" w:color="auto"/>
            </w:tcBorders>
            <w:shd w:val="clear" w:color="auto" w:fill="BDD7EE"/>
            <w:vAlign w:val="center"/>
            <w:hideMark/>
          </w:tcPr>
          <w:p w14:paraId="3308CE41" w14:textId="77777777" w:rsidR="003A3D51" w:rsidRDefault="0002775A">
            <w:pPr>
              <w:pStyle w:val="P68B1DB1-Normal6"/>
              <w:spacing w:after="0" w:line="276" w:lineRule="auto"/>
              <w:jc w:val="center"/>
              <w:rPr>
                <w:noProof/>
              </w:rPr>
            </w:pPr>
            <w:r>
              <w:rPr>
                <w:noProof/>
              </w:rPr>
              <w:t>Mål</w:t>
            </w:r>
          </w:p>
        </w:tc>
        <w:tc>
          <w:tcPr>
            <w:tcW w:w="255" w:type="pct"/>
            <w:tcBorders>
              <w:top w:val="nil"/>
              <w:left w:val="nil"/>
              <w:bottom w:val="single" w:sz="4" w:space="0" w:color="auto"/>
              <w:right w:val="single" w:sz="4" w:space="0" w:color="auto"/>
            </w:tcBorders>
            <w:shd w:val="clear" w:color="auto" w:fill="BDD7EE"/>
            <w:vAlign w:val="center"/>
            <w:hideMark/>
          </w:tcPr>
          <w:p w14:paraId="73DD65A8" w14:textId="77777777" w:rsidR="003A3D51" w:rsidRDefault="0002775A">
            <w:pPr>
              <w:pStyle w:val="P68B1DB1-Normal6"/>
              <w:spacing w:after="0" w:line="276" w:lineRule="auto"/>
              <w:jc w:val="center"/>
              <w:rPr>
                <w:noProof/>
              </w:rPr>
            </w:pPr>
            <w:r>
              <w:rPr>
                <w:noProof/>
              </w:rPr>
              <w:t>Q</w:t>
            </w:r>
          </w:p>
        </w:tc>
        <w:tc>
          <w:tcPr>
            <w:tcW w:w="283" w:type="pct"/>
            <w:tcBorders>
              <w:top w:val="nil"/>
              <w:left w:val="nil"/>
              <w:bottom w:val="single" w:sz="4" w:space="0" w:color="auto"/>
              <w:right w:val="single" w:sz="4" w:space="0" w:color="auto"/>
            </w:tcBorders>
            <w:shd w:val="clear" w:color="auto" w:fill="BDD7EE"/>
            <w:vAlign w:val="center"/>
            <w:hideMark/>
          </w:tcPr>
          <w:p w14:paraId="0F91DA44" w14:textId="77777777" w:rsidR="003A3D51" w:rsidRDefault="0002775A">
            <w:pPr>
              <w:pStyle w:val="P68B1DB1-Normal6"/>
              <w:spacing w:after="0" w:line="276" w:lineRule="auto"/>
              <w:jc w:val="center"/>
              <w:rPr>
                <w:noProof/>
              </w:rPr>
            </w:pPr>
            <w:r>
              <w:rPr>
                <w:noProof/>
              </w:rPr>
              <w:t>Året</w:t>
            </w:r>
          </w:p>
        </w:tc>
        <w:tc>
          <w:tcPr>
            <w:tcW w:w="1181" w:type="pct"/>
            <w:vMerge/>
            <w:tcBorders>
              <w:top w:val="single" w:sz="4" w:space="0" w:color="auto"/>
              <w:bottom w:val="single" w:sz="4" w:space="0" w:color="auto"/>
              <w:right w:val="single" w:sz="4" w:space="0" w:color="auto"/>
            </w:tcBorders>
            <w:hideMark/>
          </w:tcPr>
          <w:p w14:paraId="696F1C78" w14:textId="77777777" w:rsidR="003A3D51" w:rsidRDefault="003A3D51">
            <w:pPr>
              <w:spacing w:after="0" w:line="276" w:lineRule="auto"/>
              <w:rPr>
                <w:rFonts w:ascii="Times New Roman" w:eastAsia="Times New Roman" w:hAnsi="Times New Roman" w:cs="Times New Roman"/>
                <w:b/>
                <w:noProof/>
              </w:rPr>
            </w:pPr>
          </w:p>
        </w:tc>
      </w:tr>
      <w:tr w:rsidR="003A3D51" w14:paraId="04341A6D" w14:textId="77777777" w:rsidTr="00937030">
        <w:trPr>
          <w:trHeight w:val="283"/>
        </w:trPr>
        <w:tc>
          <w:tcPr>
            <w:tcW w:w="273" w:type="pct"/>
            <w:tcBorders>
              <w:top w:val="single" w:sz="4" w:space="0" w:color="auto"/>
              <w:left w:val="single" w:sz="4" w:space="0" w:color="auto"/>
              <w:bottom w:val="single" w:sz="4" w:space="0" w:color="auto"/>
              <w:right w:val="single" w:sz="4" w:space="0" w:color="auto"/>
            </w:tcBorders>
            <w:shd w:val="clear" w:color="auto" w:fill="C6EFCE"/>
            <w:noWrap/>
          </w:tcPr>
          <w:p w14:paraId="42D9ABCF" w14:textId="77777777" w:rsidR="003A3D51" w:rsidRDefault="0002775A">
            <w:pPr>
              <w:pStyle w:val="P68B1DB1-Normal7"/>
              <w:spacing w:after="0" w:line="276" w:lineRule="auto"/>
              <w:jc w:val="center"/>
              <w:rPr>
                <w:rFonts w:ascii="Times New Roman" w:hAnsi="Times New Roman" w:cs="Times New Roman"/>
                <w:noProof/>
              </w:rPr>
            </w:pPr>
            <w:r>
              <w:rPr>
                <w:noProof/>
              </w:rPr>
              <w:t>297</w:t>
            </w:r>
          </w:p>
        </w:tc>
        <w:tc>
          <w:tcPr>
            <w:tcW w:w="318" w:type="pct"/>
            <w:tcBorders>
              <w:top w:val="single" w:sz="4" w:space="0" w:color="auto"/>
              <w:left w:val="nil"/>
              <w:bottom w:val="single" w:sz="4" w:space="0" w:color="auto"/>
              <w:right w:val="single" w:sz="4" w:space="0" w:color="auto"/>
            </w:tcBorders>
            <w:shd w:val="clear" w:color="auto" w:fill="C6EFCE"/>
            <w:noWrap/>
          </w:tcPr>
          <w:p w14:paraId="33A0EB88" w14:textId="77777777" w:rsidR="003A3D51" w:rsidRDefault="0002775A">
            <w:pPr>
              <w:pStyle w:val="P68B1DB1-Normal7"/>
              <w:spacing w:after="200" w:line="276" w:lineRule="auto"/>
              <w:jc w:val="center"/>
              <w:rPr>
                <w:rFonts w:ascii="Times New Roman" w:hAnsi="Times New Roman" w:cs="Times New Roman"/>
                <w:noProof/>
              </w:rPr>
            </w:pPr>
            <w:r>
              <w:rPr>
                <w:noProof/>
              </w:rPr>
              <w:t>C4.2 R1</w:t>
            </w:r>
          </w:p>
        </w:tc>
        <w:tc>
          <w:tcPr>
            <w:tcW w:w="318" w:type="pct"/>
            <w:tcBorders>
              <w:top w:val="single" w:sz="4" w:space="0" w:color="auto"/>
              <w:left w:val="nil"/>
              <w:bottom w:val="single" w:sz="4" w:space="0" w:color="auto"/>
              <w:right w:val="single" w:sz="4" w:space="0" w:color="auto"/>
            </w:tcBorders>
            <w:shd w:val="clear" w:color="auto" w:fill="C6EFCE"/>
            <w:noWrap/>
          </w:tcPr>
          <w:p w14:paraId="3F789740"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18" w:type="pct"/>
            <w:tcBorders>
              <w:top w:val="single" w:sz="4" w:space="0" w:color="auto"/>
              <w:left w:val="nil"/>
              <w:bottom w:val="single" w:sz="4" w:space="0" w:color="auto"/>
              <w:right w:val="single" w:sz="4" w:space="0" w:color="auto"/>
            </w:tcBorders>
            <w:shd w:val="clear" w:color="auto" w:fill="C6EFCE"/>
            <w:noWrap/>
          </w:tcPr>
          <w:p w14:paraId="104F39BC" w14:textId="77777777" w:rsidR="003A3D51" w:rsidRDefault="0002775A">
            <w:pPr>
              <w:pStyle w:val="P68B1DB1-Normal7"/>
              <w:spacing w:after="200" w:line="276" w:lineRule="auto"/>
              <w:rPr>
                <w:rFonts w:ascii="Times New Roman" w:hAnsi="Times New Roman" w:cs="Times New Roman"/>
                <w:noProof/>
              </w:rPr>
            </w:pPr>
            <w:r>
              <w:rPr>
                <w:noProof/>
              </w:rPr>
              <w:t>Antagande av ändringar av pensionsförsäkringslagen</w:t>
            </w:r>
          </w:p>
        </w:tc>
        <w:tc>
          <w:tcPr>
            <w:tcW w:w="671" w:type="pct"/>
            <w:tcBorders>
              <w:top w:val="single" w:sz="4" w:space="0" w:color="auto"/>
              <w:left w:val="nil"/>
              <w:bottom w:val="single" w:sz="4" w:space="0" w:color="auto"/>
              <w:right w:val="single" w:sz="4" w:space="0" w:color="auto"/>
            </w:tcBorders>
            <w:shd w:val="clear" w:color="auto" w:fill="C6EFCE"/>
            <w:noWrap/>
          </w:tcPr>
          <w:p w14:paraId="4A669FB6"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den nya eller ändrade lagen om pensionsförsäkring. </w:t>
            </w:r>
          </w:p>
        </w:tc>
        <w:tc>
          <w:tcPr>
            <w:tcW w:w="363" w:type="pct"/>
            <w:tcBorders>
              <w:top w:val="nil"/>
              <w:left w:val="nil"/>
              <w:bottom w:val="single" w:sz="4" w:space="0" w:color="auto"/>
              <w:right w:val="single" w:sz="4" w:space="0" w:color="auto"/>
            </w:tcBorders>
            <w:shd w:val="clear" w:color="auto" w:fill="C6EFCE"/>
            <w:noWrap/>
          </w:tcPr>
          <w:p w14:paraId="5E09EEB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9" w:type="pct"/>
            <w:tcBorders>
              <w:top w:val="nil"/>
              <w:left w:val="nil"/>
              <w:bottom w:val="single" w:sz="4" w:space="0" w:color="auto"/>
              <w:right w:val="single" w:sz="4" w:space="0" w:color="auto"/>
            </w:tcBorders>
            <w:shd w:val="clear" w:color="auto" w:fill="C6EFCE"/>
            <w:noWrap/>
          </w:tcPr>
          <w:p w14:paraId="3E17EE5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2" w:type="pct"/>
            <w:tcBorders>
              <w:top w:val="nil"/>
              <w:left w:val="nil"/>
              <w:bottom w:val="single" w:sz="4" w:space="0" w:color="auto"/>
              <w:right w:val="single" w:sz="4" w:space="0" w:color="auto"/>
            </w:tcBorders>
            <w:shd w:val="clear" w:color="auto" w:fill="C6EFCE"/>
            <w:noWrap/>
          </w:tcPr>
          <w:p w14:paraId="3720911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5" w:type="pct"/>
            <w:tcBorders>
              <w:top w:val="nil"/>
              <w:left w:val="nil"/>
              <w:bottom w:val="single" w:sz="4" w:space="0" w:color="auto"/>
              <w:right w:val="single" w:sz="4" w:space="0" w:color="auto"/>
            </w:tcBorders>
            <w:shd w:val="clear" w:color="auto" w:fill="C6EFCE"/>
            <w:noWrap/>
          </w:tcPr>
          <w:p w14:paraId="776A4237"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83" w:type="pct"/>
            <w:tcBorders>
              <w:top w:val="nil"/>
              <w:left w:val="nil"/>
              <w:bottom w:val="single" w:sz="4" w:space="0" w:color="auto"/>
              <w:right w:val="single" w:sz="4" w:space="0" w:color="auto"/>
            </w:tcBorders>
            <w:shd w:val="clear" w:color="auto" w:fill="C6EFCE"/>
            <w:noWrap/>
          </w:tcPr>
          <w:p w14:paraId="427B40A6"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81" w:type="pct"/>
            <w:tcBorders>
              <w:top w:val="single" w:sz="4" w:space="0" w:color="auto"/>
              <w:left w:val="nil"/>
              <w:bottom w:val="single" w:sz="4" w:space="0" w:color="auto"/>
              <w:right w:val="single" w:sz="4" w:space="0" w:color="auto"/>
            </w:tcBorders>
            <w:shd w:val="clear" w:color="auto" w:fill="C6EFCE"/>
            <w:noWrap/>
          </w:tcPr>
          <w:p w14:paraId="0D6C0623" w14:textId="77777777" w:rsidR="003A3D51" w:rsidRDefault="0002775A">
            <w:pPr>
              <w:pStyle w:val="P68B1DB1-Normal7"/>
              <w:spacing w:after="200" w:line="276" w:lineRule="auto"/>
              <w:rPr>
                <w:rFonts w:ascii="Times New Roman" w:hAnsi="Times New Roman" w:cs="Times New Roman"/>
                <w:noProof/>
              </w:rPr>
            </w:pPr>
            <w:r>
              <w:rPr>
                <w:noProof/>
              </w:rPr>
              <w:t>Ändringarna av pensionsförsäkringslagen ska öka minimipensionen och den pensionsfaktor som används för att beräkna efterlevandepensionens storlek för att göra det möjligt att använda en del av efterlevandepensionen utöver en personlig pension (ålders- och invaliditetspension) på villkor som rör ålder och inkomst för pensionärer med lägre inkomst.</w:t>
            </w:r>
          </w:p>
        </w:tc>
      </w:tr>
      <w:tr w:rsidR="003A3D51" w14:paraId="4D968275" w14:textId="77777777" w:rsidTr="00937030">
        <w:trPr>
          <w:trHeight w:val="283"/>
        </w:trPr>
        <w:tc>
          <w:tcPr>
            <w:tcW w:w="273" w:type="pct"/>
            <w:tcBorders>
              <w:top w:val="nil"/>
              <w:left w:val="single" w:sz="4" w:space="0" w:color="auto"/>
              <w:bottom w:val="single" w:sz="4" w:space="0" w:color="auto"/>
              <w:right w:val="single" w:sz="4" w:space="0" w:color="auto"/>
            </w:tcBorders>
            <w:shd w:val="clear" w:color="auto" w:fill="C6EFCE"/>
            <w:noWrap/>
          </w:tcPr>
          <w:p w14:paraId="5DE6736E" w14:textId="77777777" w:rsidR="003A3D51" w:rsidRDefault="0002775A">
            <w:pPr>
              <w:pStyle w:val="P68B1DB1-Normal7"/>
              <w:spacing w:after="200" w:line="276" w:lineRule="auto"/>
              <w:jc w:val="center"/>
              <w:rPr>
                <w:rFonts w:ascii="Times New Roman" w:hAnsi="Times New Roman" w:cs="Times New Roman"/>
                <w:noProof/>
              </w:rPr>
            </w:pPr>
            <w:r>
              <w:rPr>
                <w:noProof/>
              </w:rPr>
              <w:t>298</w:t>
            </w:r>
          </w:p>
        </w:tc>
        <w:tc>
          <w:tcPr>
            <w:tcW w:w="318" w:type="pct"/>
            <w:tcBorders>
              <w:top w:val="nil"/>
              <w:left w:val="nil"/>
              <w:bottom w:val="single" w:sz="4" w:space="0" w:color="auto"/>
              <w:right w:val="single" w:sz="4" w:space="0" w:color="auto"/>
            </w:tcBorders>
            <w:shd w:val="clear" w:color="auto" w:fill="C6EFCE"/>
            <w:noWrap/>
          </w:tcPr>
          <w:p w14:paraId="6CE726C3" w14:textId="77777777" w:rsidR="003A3D51" w:rsidRDefault="0002775A">
            <w:pPr>
              <w:pStyle w:val="P68B1DB1-Normal7"/>
              <w:spacing w:after="200" w:line="276" w:lineRule="auto"/>
              <w:jc w:val="center"/>
              <w:rPr>
                <w:rFonts w:ascii="Times New Roman" w:hAnsi="Times New Roman" w:cs="Times New Roman"/>
                <w:noProof/>
              </w:rPr>
            </w:pPr>
            <w:r>
              <w:rPr>
                <w:noProof/>
              </w:rPr>
              <w:t>C4.2 R1</w:t>
            </w:r>
          </w:p>
        </w:tc>
        <w:tc>
          <w:tcPr>
            <w:tcW w:w="318" w:type="pct"/>
            <w:tcBorders>
              <w:top w:val="nil"/>
              <w:left w:val="nil"/>
              <w:bottom w:val="single" w:sz="4" w:space="0" w:color="auto"/>
              <w:right w:val="single" w:sz="4" w:space="0" w:color="auto"/>
            </w:tcBorders>
            <w:shd w:val="clear" w:color="auto" w:fill="C6EFCE"/>
            <w:noWrap/>
          </w:tcPr>
          <w:p w14:paraId="7AC704F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18" w:type="pct"/>
            <w:tcBorders>
              <w:top w:val="nil"/>
              <w:left w:val="nil"/>
              <w:bottom w:val="single" w:sz="4" w:space="0" w:color="auto"/>
              <w:right w:val="single" w:sz="4" w:space="0" w:color="auto"/>
            </w:tcBorders>
            <w:shd w:val="clear" w:color="auto" w:fill="C6EFCE"/>
            <w:noWrap/>
          </w:tcPr>
          <w:p w14:paraId="4015865D"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slutsatserna om godtagande av rapporten om kostnadseffektivitetsanalyser av obligatoriska pensionsfonders investeringar i statsägda företag. </w:t>
            </w:r>
          </w:p>
        </w:tc>
        <w:tc>
          <w:tcPr>
            <w:tcW w:w="671" w:type="pct"/>
            <w:tcBorders>
              <w:top w:val="nil"/>
              <w:left w:val="nil"/>
              <w:bottom w:val="single" w:sz="4" w:space="0" w:color="auto"/>
              <w:right w:val="single" w:sz="4" w:space="0" w:color="auto"/>
            </w:tcBorders>
            <w:shd w:val="clear" w:color="auto" w:fill="C6EFCE"/>
            <w:noWrap/>
          </w:tcPr>
          <w:p w14:paraId="14D07E85" w14:textId="77777777" w:rsidR="003A3D51" w:rsidRDefault="0002775A">
            <w:pPr>
              <w:pStyle w:val="P68B1DB1-Normal7"/>
              <w:spacing w:after="200" w:line="276" w:lineRule="auto"/>
              <w:rPr>
                <w:rFonts w:ascii="Times New Roman" w:hAnsi="Times New Roman" w:cs="Times New Roman"/>
                <w:noProof/>
              </w:rPr>
            </w:pPr>
            <w:r>
              <w:rPr>
                <w:noProof/>
              </w:rPr>
              <w:t xml:space="preserve">Regeringens antagande av slutsatserna om godtagande av rapporten om lönsamhetsanalys av obligatoriska pensionsfonders investeringar i statsägda företag. </w:t>
            </w:r>
          </w:p>
        </w:tc>
        <w:tc>
          <w:tcPr>
            <w:tcW w:w="363" w:type="pct"/>
            <w:tcBorders>
              <w:top w:val="nil"/>
              <w:left w:val="nil"/>
              <w:bottom w:val="single" w:sz="4" w:space="0" w:color="auto"/>
              <w:right w:val="single" w:sz="4" w:space="0" w:color="auto"/>
            </w:tcBorders>
            <w:shd w:val="clear" w:color="auto" w:fill="C6EFCE"/>
            <w:noWrap/>
          </w:tcPr>
          <w:p w14:paraId="1D927AE7"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9" w:type="pct"/>
            <w:tcBorders>
              <w:top w:val="nil"/>
              <w:left w:val="nil"/>
              <w:bottom w:val="single" w:sz="4" w:space="0" w:color="auto"/>
              <w:right w:val="single" w:sz="4" w:space="0" w:color="auto"/>
            </w:tcBorders>
            <w:shd w:val="clear" w:color="auto" w:fill="C6EFCE"/>
            <w:noWrap/>
          </w:tcPr>
          <w:p w14:paraId="1781A77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2" w:type="pct"/>
            <w:tcBorders>
              <w:top w:val="nil"/>
              <w:left w:val="nil"/>
              <w:bottom w:val="single" w:sz="4" w:space="0" w:color="auto"/>
              <w:right w:val="single" w:sz="4" w:space="0" w:color="auto"/>
            </w:tcBorders>
            <w:shd w:val="clear" w:color="auto" w:fill="C6EFCE"/>
            <w:noWrap/>
          </w:tcPr>
          <w:p w14:paraId="6401646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5" w:type="pct"/>
            <w:tcBorders>
              <w:top w:val="nil"/>
              <w:left w:val="nil"/>
              <w:bottom w:val="single" w:sz="4" w:space="0" w:color="auto"/>
              <w:right w:val="single" w:sz="4" w:space="0" w:color="auto"/>
            </w:tcBorders>
            <w:shd w:val="clear" w:color="auto" w:fill="C6EFCE"/>
            <w:noWrap/>
          </w:tcPr>
          <w:p w14:paraId="2474BE46"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83" w:type="pct"/>
            <w:tcBorders>
              <w:top w:val="nil"/>
              <w:left w:val="nil"/>
              <w:bottom w:val="single" w:sz="4" w:space="0" w:color="auto"/>
              <w:right w:val="single" w:sz="4" w:space="0" w:color="auto"/>
            </w:tcBorders>
            <w:shd w:val="clear" w:color="auto" w:fill="C6EFCE"/>
            <w:noWrap/>
          </w:tcPr>
          <w:p w14:paraId="2DB43F86" w14:textId="4BAF26CC" w:rsidR="003A3D51" w:rsidRDefault="0002775A">
            <w:pPr>
              <w:pStyle w:val="P68B1DB1-Normal7"/>
              <w:spacing w:after="200" w:line="276" w:lineRule="auto"/>
              <w:jc w:val="center"/>
              <w:rPr>
                <w:noProof/>
                <w:color w:val="000000" w:themeColor="text1"/>
              </w:rPr>
            </w:pPr>
            <w:r>
              <w:rPr>
                <w:noProof/>
              </w:rPr>
              <w:t>2025</w:t>
            </w:r>
          </w:p>
        </w:tc>
        <w:tc>
          <w:tcPr>
            <w:tcW w:w="1181" w:type="pct"/>
            <w:tcBorders>
              <w:top w:val="nil"/>
              <w:left w:val="nil"/>
              <w:bottom w:val="single" w:sz="4" w:space="0" w:color="auto"/>
              <w:right w:val="single" w:sz="4" w:space="0" w:color="auto"/>
            </w:tcBorders>
            <w:shd w:val="clear" w:color="auto" w:fill="C6EFCE"/>
            <w:noWrap/>
          </w:tcPr>
          <w:p w14:paraId="76F5C514" w14:textId="77777777" w:rsidR="003A3D51" w:rsidRDefault="0002775A">
            <w:pPr>
              <w:pStyle w:val="P68B1DB1-Normal7"/>
              <w:spacing w:after="200" w:line="276" w:lineRule="auto"/>
              <w:rPr>
                <w:rFonts w:ascii="Times New Roman" w:hAnsi="Times New Roman" w:cs="Times New Roman"/>
                <w:noProof/>
              </w:rPr>
            </w:pPr>
            <w:r>
              <w:rPr>
                <w:noProof/>
              </w:rPr>
              <w:t xml:space="preserve">En expertanalys ska genomföras, följt av en rapport om de analyser som genomförts och godkänts av regeringen, och för att avgöra om en ändring av regelverket i form av kapitaliserat sparande är nödvändig för att öka pensionernas tillräcklighet inom ramen för den 2:a pensionspelaren. </w:t>
            </w:r>
          </w:p>
        </w:tc>
      </w:tr>
      <w:tr w:rsidR="003A3D51" w14:paraId="31A620AF" w14:textId="77777777" w:rsidTr="00937030">
        <w:trPr>
          <w:trHeight w:val="283"/>
        </w:trPr>
        <w:tc>
          <w:tcPr>
            <w:tcW w:w="273" w:type="pct"/>
            <w:tcBorders>
              <w:top w:val="nil"/>
              <w:left w:val="single" w:sz="4" w:space="0" w:color="auto"/>
              <w:bottom w:val="single" w:sz="4" w:space="0" w:color="auto"/>
              <w:right w:val="single" w:sz="4" w:space="0" w:color="auto"/>
            </w:tcBorders>
            <w:shd w:val="clear" w:color="auto" w:fill="C6EFCE"/>
            <w:noWrap/>
          </w:tcPr>
          <w:p w14:paraId="22179574" w14:textId="77777777" w:rsidR="003A3D51" w:rsidRDefault="0002775A">
            <w:pPr>
              <w:pStyle w:val="P68B1DB1-Normal7"/>
              <w:spacing w:after="200" w:line="276" w:lineRule="auto"/>
              <w:jc w:val="center"/>
              <w:rPr>
                <w:rFonts w:ascii="Times New Roman" w:hAnsi="Times New Roman" w:cs="Times New Roman"/>
                <w:noProof/>
              </w:rPr>
            </w:pPr>
            <w:r>
              <w:rPr>
                <w:noProof/>
              </w:rPr>
              <w:t>299</w:t>
            </w:r>
          </w:p>
        </w:tc>
        <w:tc>
          <w:tcPr>
            <w:tcW w:w="318" w:type="pct"/>
            <w:tcBorders>
              <w:top w:val="nil"/>
              <w:left w:val="nil"/>
              <w:bottom w:val="single" w:sz="4" w:space="0" w:color="auto"/>
              <w:right w:val="single" w:sz="4" w:space="0" w:color="auto"/>
            </w:tcBorders>
            <w:shd w:val="clear" w:color="auto" w:fill="C6EFCE"/>
            <w:noWrap/>
          </w:tcPr>
          <w:p w14:paraId="7DCD3989" w14:textId="77777777" w:rsidR="003A3D51" w:rsidRDefault="0002775A">
            <w:pPr>
              <w:pStyle w:val="P68B1DB1-Normal7"/>
              <w:spacing w:after="200" w:line="276" w:lineRule="auto"/>
              <w:jc w:val="center"/>
              <w:rPr>
                <w:rFonts w:ascii="Times New Roman" w:hAnsi="Times New Roman" w:cs="Times New Roman"/>
                <w:noProof/>
              </w:rPr>
            </w:pPr>
            <w:r>
              <w:rPr>
                <w:noProof/>
              </w:rPr>
              <w:t>C4.2 R1</w:t>
            </w:r>
          </w:p>
        </w:tc>
        <w:tc>
          <w:tcPr>
            <w:tcW w:w="318" w:type="pct"/>
            <w:tcBorders>
              <w:top w:val="nil"/>
              <w:left w:val="nil"/>
              <w:bottom w:val="single" w:sz="4" w:space="0" w:color="auto"/>
              <w:right w:val="single" w:sz="4" w:space="0" w:color="auto"/>
            </w:tcBorders>
            <w:shd w:val="clear" w:color="auto" w:fill="C6EFCE"/>
            <w:noWrap/>
          </w:tcPr>
          <w:p w14:paraId="4525380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18" w:type="pct"/>
            <w:tcBorders>
              <w:top w:val="nil"/>
              <w:left w:val="nil"/>
              <w:bottom w:val="single" w:sz="4" w:space="0" w:color="auto"/>
              <w:right w:val="single" w:sz="4" w:space="0" w:color="auto"/>
            </w:tcBorders>
            <w:shd w:val="clear" w:color="auto" w:fill="C6EFCE"/>
            <w:noWrap/>
          </w:tcPr>
          <w:p w14:paraId="3FE336BD" w14:textId="77777777" w:rsidR="003A3D51" w:rsidRDefault="0002775A">
            <w:pPr>
              <w:pStyle w:val="P68B1DB1-Normal7"/>
              <w:spacing w:after="200" w:line="276" w:lineRule="auto"/>
              <w:rPr>
                <w:rFonts w:ascii="Times New Roman" w:hAnsi="Times New Roman" w:cs="Times New Roman"/>
                <w:noProof/>
              </w:rPr>
            </w:pPr>
            <w:r>
              <w:rPr>
                <w:noProof/>
              </w:rPr>
              <w:t>En ökning med mellan 10 % och 15 % av den totala pensionsinkomsten för förmånstagare av den omdefinierade formen av efterlevandepension (minst 10 %).</w:t>
            </w:r>
          </w:p>
        </w:tc>
        <w:tc>
          <w:tcPr>
            <w:tcW w:w="671" w:type="pct"/>
            <w:tcBorders>
              <w:top w:val="nil"/>
              <w:left w:val="nil"/>
              <w:bottom w:val="single" w:sz="4" w:space="0" w:color="auto"/>
              <w:right w:val="single" w:sz="4" w:space="0" w:color="auto"/>
            </w:tcBorders>
            <w:shd w:val="clear" w:color="auto" w:fill="C6EFCE"/>
            <w:noWrap/>
          </w:tcPr>
          <w:p w14:paraId="0AB7D478"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3" w:type="pct"/>
            <w:tcBorders>
              <w:top w:val="nil"/>
              <w:left w:val="nil"/>
              <w:bottom w:val="single" w:sz="4" w:space="0" w:color="auto"/>
              <w:right w:val="single" w:sz="4" w:space="0" w:color="auto"/>
            </w:tcBorders>
            <w:shd w:val="clear" w:color="auto" w:fill="C6EFCE"/>
            <w:noWrap/>
          </w:tcPr>
          <w:p w14:paraId="495EB0F9"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49" w:type="pct"/>
            <w:tcBorders>
              <w:top w:val="nil"/>
              <w:left w:val="nil"/>
              <w:bottom w:val="single" w:sz="4" w:space="0" w:color="auto"/>
              <w:right w:val="single" w:sz="4" w:space="0" w:color="auto"/>
            </w:tcBorders>
            <w:shd w:val="clear" w:color="auto" w:fill="C6EFCE"/>
            <w:noWrap/>
          </w:tcPr>
          <w:p w14:paraId="50B80ED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72" w:type="pct"/>
            <w:tcBorders>
              <w:top w:val="nil"/>
              <w:left w:val="nil"/>
              <w:bottom w:val="single" w:sz="4" w:space="0" w:color="auto"/>
              <w:right w:val="single" w:sz="4" w:space="0" w:color="auto"/>
            </w:tcBorders>
            <w:shd w:val="clear" w:color="auto" w:fill="C6EFCE"/>
            <w:noWrap/>
          </w:tcPr>
          <w:p w14:paraId="401DDB12" w14:textId="77777777" w:rsidR="003A3D51" w:rsidRDefault="0002775A">
            <w:pPr>
              <w:pStyle w:val="P68B1DB1-Normal7"/>
              <w:spacing w:after="200" w:line="276" w:lineRule="auto"/>
              <w:jc w:val="center"/>
              <w:rPr>
                <w:rFonts w:ascii="Times New Roman" w:hAnsi="Times New Roman" w:cs="Times New Roman"/>
                <w:noProof/>
              </w:rPr>
            </w:pPr>
            <w:r>
              <w:rPr>
                <w:noProof/>
              </w:rPr>
              <w:t>10–15</w:t>
            </w:r>
          </w:p>
        </w:tc>
        <w:tc>
          <w:tcPr>
            <w:tcW w:w="255" w:type="pct"/>
            <w:tcBorders>
              <w:top w:val="nil"/>
              <w:left w:val="nil"/>
              <w:bottom w:val="single" w:sz="4" w:space="0" w:color="auto"/>
              <w:right w:val="single" w:sz="4" w:space="0" w:color="auto"/>
            </w:tcBorders>
            <w:shd w:val="clear" w:color="auto" w:fill="C6EFCE"/>
            <w:noWrap/>
          </w:tcPr>
          <w:p w14:paraId="546A0546"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83" w:type="pct"/>
            <w:tcBorders>
              <w:top w:val="nil"/>
              <w:left w:val="nil"/>
              <w:bottom w:val="single" w:sz="4" w:space="0" w:color="auto"/>
              <w:right w:val="single" w:sz="4" w:space="0" w:color="auto"/>
            </w:tcBorders>
            <w:shd w:val="clear" w:color="auto" w:fill="C6EFCE"/>
            <w:noWrap/>
          </w:tcPr>
          <w:p w14:paraId="02593011"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81" w:type="pct"/>
            <w:tcBorders>
              <w:top w:val="nil"/>
              <w:left w:val="nil"/>
              <w:bottom w:val="single" w:sz="4" w:space="0" w:color="auto"/>
              <w:right w:val="single" w:sz="4" w:space="0" w:color="auto"/>
            </w:tcBorders>
            <w:shd w:val="clear" w:color="auto" w:fill="C6EFCE"/>
            <w:noWrap/>
          </w:tcPr>
          <w:p w14:paraId="3295A34A" w14:textId="77777777" w:rsidR="003A3D51" w:rsidRDefault="0002775A">
            <w:pPr>
              <w:pStyle w:val="P68B1DB1-Normal7"/>
              <w:spacing w:after="200" w:line="276" w:lineRule="auto"/>
              <w:rPr>
                <w:rFonts w:ascii="Times New Roman" w:hAnsi="Times New Roman" w:cs="Times New Roman"/>
                <w:noProof/>
              </w:rPr>
            </w:pPr>
            <w:r>
              <w:rPr>
                <w:noProof/>
              </w:rPr>
              <w:t xml:space="preserve">En omdefiniering av modellen för efterlevandepension ska öka efterlevandepensionen med totalt 10 % – 15 % jämfört med 2014 års nivåer. </w:t>
            </w:r>
          </w:p>
        </w:tc>
      </w:tr>
      <w:tr w:rsidR="003A3D51" w14:paraId="36FB2FFE" w14:textId="77777777" w:rsidTr="00937030">
        <w:trPr>
          <w:trHeight w:val="283"/>
        </w:trPr>
        <w:tc>
          <w:tcPr>
            <w:tcW w:w="273" w:type="pct"/>
            <w:tcBorders>
              <w:top w:val="nil"/>
              <w:left w:val="single" w:sz="4" w:space="0" w:color="auto"/>
              <w:bottom w:val="single" w:sz="4" w:space="0" w:color="auto"/>
              <w:right w:val="single" w:sz="4" w:space="0" w:color="auto"/>
            </w:tcBorders>
            <w:shd w:val="clear" w:color="auto" w:fill="C6EFCE"/>
            <w:noWrap/>
          </w:tcPr>
          <w:p w14:paraId="4D40990A" w14:textId="77777777" w:rsidR="003A3D51" w:rsidRDefault="0002775A">
            <w:pPr>
              <w:pStyle w:val="P68B1DB1-Normal7"/>
              <w:spacing w:after="200" w:line="276" w:lineRule="auto"/>
              <w:jc w:val="center"/>
              <w:rPr>
                <w:rFonts w:ascii="Times New Roman" w:hAnsi="Times New Roman" w:cs="Times New Roman"/>
                <w:noProof/>
              </w:rPr>
            </w:pPr>
            <w:r>
              <w:rPr>
                <w:noProof/>
              </w:rPr>
              <w:t>300</w:t>
            </w:r>
          </w:p>
        </w:tc>
        <w:tc>
          <w:tcPr>
            <w:tcW w:w="318" w:type="pct"/>
            <w:tcBorders>
              <w:top w:val="nil"/>
              <w:left w:val="nil"/>
              <w:bottom w:val="single" w:sz="4" w:space="0" w:color="auto"/>
              <w:right w:val="single" w:sz="4" w:space="0" w:color="auto"/>
            </w:tcBorders>
            <w:shd w:val="clear" w:color="auto" w:fill="C6EFCE"/>
            <w:noWrap/>
          </w:tcPr>
          <w:p w14:paraId="423BE8B4" w14:textId="77777777" w:rsidR="003A3D51" w:rsidRDefault="0002775A">
            <w:pPr>
              <w:pStyle w:val="P68B1DB1-Normal7"/>
              <w:spacing w:after="200" w:line="276" w:lineRule="auto"/>
              <w:jc w:val="center"/>
              <w:rPr>
                <w:rFonts w:ascii="Times New Roman" w:hAnsi="Times New Roman" w:cs="Times New Roman"/>
                <w:noProof/>
              </w:rPr>
            </w:pPr>
            <w:r>
              <w:rPr>
                <w:noProof/>
              </w:rPr>
              <w:t>C4.2 R1</w:t>
            </w:r>
          </w:p>
        </w:tc>
        <w:tc>
          <w:tcPr>
            <w:tcW w:w="318" w:type="pct"/>
            <w:tcBorders>
              <w:top w:val="nil"/>
              <w:left w:val="nil"/>
              <w:bottom w:val="single" w:sz="4" w:space="0" w:color="auto"/>
              <w:right w:val="single" w:sz="4" w:space="0" w:color="auto"/>
            </w:tcBorders>
            <w:shd w:val="clear" w:color="auto" w:fill="C6EFCE"/>
            <w:noWrap/>
          </w:tcPr>
          <w:p w14:paraId="0F5B1397"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18" w:type="pct"/>
            <w:tcBorders>
              <w:top w:val="nil"/>
              <w:left w:val="nil"/>
              <w:bottom w:val="single" w:sz="4" w:space="0" w:color="auto"/>
              <w:right w:val="single" w:sz="4" w:space="0" w:color="auto"/>
            </w:tcBorders>
            <w:shd w:val="clear" w:color="auto" w:fill="C6EFCE"/>
            <w:noWrap/>
          </w:tcPr>
          <w:p w14:paraId="340B454C"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ändringar av pensionsförsäkringslagen </w:t>
            </w:r>
          </w:p>
        </w:tc>
        <w:tc>
          <w:tcPr>
            <w:tcW w:w="671" w:type="pct"/>
            <w:tcBorders>
              <w:top w:val="nil"/>
              <w:left w:val="nil"/>
              <w:bottom w:val="single" w:sz="4" w:space="0" w:color="auto"/>
              <w:right w:val="single" w:sz="4" w:space="0" w:color="auto"/>
            </w:tcBorders>
            <w:shd w:val="clear" w:color="auto" w:fill="C6EFCE"/>
            <w:noWrap/>
          </w:tcPr>
          <w:p w14:paraId="2F6E4C5A" w14:textId="77777777" w:rsidR="003A3D51" w:rsidRDefault="0002775A">
            <w:pPr>
              <w:pStyle w:val="P68B1DB1-Normal7"/>
              <w:spacing w:after="200" w:line="276" w:lineRule="auto"/>
              <w:rPr>
                <w:rFonts w:ascii="Times New Roman" w:hAnsi="Times New Roman" w:cs="Times New Roman"/>
                <w:noProof/>
              </w:rPr>
            </w:pPr>
            <w:r>
              <w:rPr>
                <w:noProof/>
              </w:rPr>
              <w:t>Ikraftträdandet av den nya eller ändrade lagen om pensionsförsäkring, som ska innehålla åtgärder, i linje med slutsatserna från arbetsgruppen för analys av situationen i pensionssystemet, för att förbättra pensionernas tillräcklighet och hållbarhet i pensionssystemet. (offentliggjord i Europeiska unionens officiella tidning)</w:t>
            </w:r>
          </w:p>
        </w:tc>
        <w:tc>
          <w:tcPr>
            <w:tcW w:w="363" w:type="pct"/>
            <w:tcBorders>
              <w:top w:val="nil"/>
              <w:left w:val="nil"/>
              <w:bottom w:val="single" w:sz="4" w:space="0" w:color="auto"/>
              <w:right w:val="single" w:sz="4" w:space="0" w:color="auto"/>
            </w:tcBorders>
            <w:shd w:val="clear" w:color="auto" w:fill="C6EFCE"/>
            <w:noWrap/>
          </w:tcPr>
          <w:p w14:paraId="3573E71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9" w:type="pct"/>
            <w:tcBorders>
              <w:top w:val="nil"/>
              <w:left w:val="nil"/>
              <w:bottom w:val="single" w:sz="4" w:space="0" w:color="auto"/>
              <w:right w:val="single" w:sz="4" w:space="0" w:color="auto"/>
            </w:tcBorders>
            <w:shd w:val="clear" w:color="auto" w:fill="C6EFCE"/>
            <w:noWrap/>
          </w:tcPr>
          <w:p w14:paraId="3A74773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72" w:type="pct"/>
            <w:tcBorders>
              <w:top w:val="nil"/>
              <w:left w:val="nil"/>
              <w:bottom w:val="single" w:sz="4" w:space="0" w:color="auto"/>
              <w:right w:val="single" w:sz="4" w:space="0" w:color="auto"/>
            </w:tcBorders>
            <w:shd w:val="clear" w:color="auto" w:fill="C6EFCE"/>
            <w:noWrap/>
          </w:tcPr>
          <w:p w14:paraId="210ED62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55" w:type="pct"/>
            <w:tcBorders>
              <w:top w:val="nil"/>
              <w:left w:val="nil"/>
              <w:bottom w:val="single" w:sz="4" w:space="0" w:color="auto"/>
              <w:right w:val="single" w:sz="4" w:space="0" w:color="auto"/>
            </w:tcBorders>
            <w:shd w:val="clear" w:color="auto" w:fill="C6EFCE"/>
            <w:noWrap/>
          </w:tcPr>
          <w:p w14:paraId="513B114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83" w:type="pct"/>
            <w:tcBorders>
              <w:top w:val="nil"/>
              <w:left w:val="nil"/>
              <w:bottom w:val="single" w:sz="4" w:space="0" w:color="auto"/>
              <w:right w:val="single" w:sz="4" w:space="0" w:color="auto"/>
            </w:tcBorders>
            <w:shd w:val="clear" w:color="auto" w:fill="C6EFCE"/>
            <w:noWrap/>
          </w:tcPr>
          <w:p w14:paraId="6211B816"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81" w:type="pct"/>
            <w:tcBorders>
              <w:top w:val="nil"/>
              <w:left w:val="nil"/>
              <w:bottom w:val="single" w:sz="4" w:space="0" w:color="auto"/>
              <w:right w:val="single" w:sz="4" w:space="0" w:color="auto"/>
            </w:tcBorders>
            <w:shd w:val="clear" w:color="auto" w:fill="C6EFCE"/>
            <w:noWrap/>
          </w:tcPr>
          <w:p w14:paraId="5CD01D26" w14:textId="77777777" w:rsidR="003A3D51" w:rsidRDefault="0002775A">
            <w:pPr>
              <w:pStyle w:val="P68B1DB1-Normal7"/>
              <w:spacing w:after="200" w:line="276" w:lineRule="auto"/>
              <w:rPr>
                <w:rFonts w:ascii="Times New Roman" w:hAnsi="Times New Roman" w:cs="Times New Roman"/>
                <w:noProof/>
              </w:rPr>
            </w:pPr>
            <w:r>
              <w:rPr>
                <w:noProof/>
              </w:rPr>
              <w:t>En arbetsgrupp ska inrättas med uppgift att analysera situationen i pensionssystemet och diskutera ytterligare alternativ för att förbättra dess tillräcklighet och hållbarhet. Den ska bestå av arbetsmarknadens parter, pensionsföreningar, den akademiska världen, specialiserade konsulter och andra berörda parter. Arbetsgruppens slutsatser och rekommendationer ska beaktas i största möjliga utsträckning vid ändringar av den rättsliga ramen, som ska bli föremål för offentliga samråd.</w:t>
            </w:r>
          </w:p>
        </w:tc>
      </w:tr>
      <w:tr w:rsidR="003A3D51" w14:paraId="4971B980" w14:textId="77777777" w:rsidTr="00937030">
        <w:trPr>
          <w:trHeight w:val="283"/>
        </w:trPr>
        <w:tc>
          <w:tcPr>
            <w:tcW w:w="273" w:type="pct"/>
            <w:tcBorders>
              <w:top w:val="nil"/>
              <w:left w:val="single" w:sz="4" w:space="0" w:color="auto"/>
              <w:bottom w:val="single" w:sz="4" w:space="0" w:color="auto"/>
              <w:right w:val="single" w:sz="4" w:space="0" w:color="auto"/>
            </w:tcBorders>
            <w:shd w:val="clear" w:color="auto" w:fill="C6EFCE"/>
            <w:noWrap/>
          </w:tcPr>
          <w:p w14:paraId="5D6D0068" w14:textId="77777777" w:rsidR="003A3D51" w:rsidRDefault="0002775A">
            <w:pPr>
              <w:pStyle w:val="P68B1DB1-Normal7"/>
              <w:spacing w:after="200" w:line="276" w:lineRule="auto"/>
              <w:jc w:val="center"/>
              <w:rPr>
                <w:rFonts w:ascii="Times New Roman" w:hAnsi="Times New Roman" w:cs="Times New Roman"/>
                <w:noProof/>
              </w:rPr>
            </w:pPr>
            <w:r>
              <w:rPr>
                <w:noProof/>
              </w:rPr>
              <w:t>301</w:t>
            </w:r>
          </w:p>
        </w:tc>
        <w:tc>
          <w:tcPr>
            <w:tcW w:w="318" w:type="pct"/>
            <w:tcBorders>
              <w:top w:val="nil"/>
              <w:left w:val="nil"/>
              <w:bottom w:val="single" w:sz="4" w:space="0" w:color="auto"/>
              <w:right w:val="single" w:sz="4" w:space="0" w:color="auto"/>
            </w:tcBorders>
            <w:shd w:val="clear" w:color="auto" w:fill="C6EFCE"/>
            <w:noWrap/>
          </w:tcPr>
          <w:p w14:paraId="39B58D84" w14:textId="77777777" w:rsidR="003A3D51" w:rsidRDefault="0002775A">
            <w:pPr>
              <w:pStyle w:val="P68B1DB1-Normal7"/>
              <w:spacing w:after="200" w:line="276" w:lineRule="auto"/>
              <w:jc w:val="center"/>
              <w:rPr>
                <w:rFonts w:ascii="Times New Roman" w:hAnsi="Times New Roman" w:cs="Times New Roman"/>
                <w:noProof/>
              </w:rPr>
            </w:pPr>
            <w:r>
              <w:rPr>
                <w:noProof/>
              </w:rPr>
              <w:t>C4.2 R1</w:t>
            </w:r>
          </w:p>
        </w:tc>
        <w:tc>
          <w:tcPr>
            <w:tcW w:w="318" w:type="pct"/>
            <w:tcBorders>
              <w:top w:val="nil"/>
              <w:left w:val="nil"/>
              <w:bottom w:val="single" w:sz="4" w:space="0" w:color="auto"/>
              <w:right w:val="single" w:sz="4" w:space="0" w:color="auto"/>
            </w:tcBorders>
            <w:shd w:val="clear" w:color="auto" w:fill="C6EFCE"/>
            <w:noWrap/>
          </w:tcPr>
          <w:p w14:paraId="0502E4D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18" w:type="pct"/>
            <w:tcBorders>
              <w:top w:val="nil"/>
              <w:left w:val="nil"/>
              <w:bottom w:val="single" w:sz="4" w:space="0" w:color="auto"/>
              <w:right w:val="single" w:sz="4" w:space="0" w:color="auto"/>
            </w:tcBorders>
            <w:shd w:val="clear" w:color="auto" w:fill="C6EFCE"/>
            <w:noWrap/>
          </w:tcPr>
          <w:p w14:paraId="5B119E16" w14:textId="77777777" w:rsidR="003A3D51" w:rsidRDefault="0002775A">
            <w:pPr>
              <w:pStyle w:val="P68B1DB1-Normal7"/>
              <w:spacing w:after="200" w:line="276" w:lineRule="auto"/>
              <w:rPr>
                <w:rFonts w:ascii="Times New Roman" w:hAnsi="Times New Roman" w:cs="Times New Roman"/>
                <w:noProof/>
              </w:rPr>
            </w:pPr>
            <w:r>
              <w:rPr>
                <w:noProof/>
              </w:rPr>
              <w:t>Ökning av minimipensionen med 3 %</w:t>
            </w:r>
          </w:p>
        </w:tc>
        <w:tc>
          <w:tcPr>
            <w:tcW w:w="671" w:type="pct"/>
            <w:tcBorders>
              <w:top w:val="nil"/>
              <w:left w:val="nil"/>
              <w:bottom w:val="single" w:sz="4" w:space="0" w:color="auto"/>
              <w:right w:val="single" w:sz="4" w:space="0" w:color="auto"/>
            </w:tcBorders>
            <w:shd w:val="clear" w:color="auto" w:fill="C6EFCE"/>
            <w:noWrap/>
          </w:tcPr>
          <w:p w14:paraId="4DEAA29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63" w:type="pct"/>
            <w:tcBorders>
              <w:top w:val="nil"/>
              <w:left w:val="nil"/>
              <w:bottom w:val="single" w:sz="4" w:space="0" w:color="auto"/>
              <w:right w:val="single" w:sz="4" w:space="0" w:color="auto"/>
            </w:tcBorders>
            <w:shd w:val="clear" w:color="auto" w:fill="C6EFCE"/>
            <w:noWrap/>
          </w:tcPr>
          <w:p w14:paraId="3D6D14BC"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249" w:type="pct"/>
            <w:tcBorders>
              <w:top w:val="nil"/>
              <w:left w:val="nil"/>
              <w:bottom w:val="single" w:sz="4" w:space="0" w:color="auto"/>
              <w:right w:val="single" w:sz="4" w:space="0" w:color="auto"/>
            </w:tcBorders>
            <w:shd w:val="clear" w:color="auto" w:fill="C6EFCE"/>
            <w:noWrap/>
          </w:tcPr>
          <w:p w14:paraId="1CC156E0"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72" w:type="pct"/>
            <w:tcBorders>
              <w:top w:val="nil"/>
              <w:left w:val="nil"/>
              <w:bottom w:val="single" w:sz="4" w:space="0" w:color="auto"/>
              <w:right w:val="single" w:sz="4" w:space="0" w:color="auto"/>
            </w:tcBorders>
            <w:shd w:val="clear" w:color="auto" w:fill="C6EFCE"/>
            <w:noWrap/>
          </w:tcPr>
          <w:p w14:paraId="402E9C67" w14:textId="77777777" w:rsidR="003A3D51" w:rsidRDefault="0002775A">
            <w:pPr>
              <w:pStyle w:val="P68B1DB1-Normal7"/>
              <w:spacing w:after="200" w:line="276" w:lineRule="auto"/>
              <w:jc w:val="center"/>
              <w:rPr>
                <w:rFonts w:ascii="Times New Roman" w:hAnsi="Times New Roman" w:cs="Times New Roman"/>
                <w:noProof/>
              </w:rPr>
            </w:pPr>
            <w:r>
              <w:rPr>
                <w:noProof/>
              </w:rPr>
              <w:t>3</w:t>
            </w:r>
          </w:p>
        </w:tc>
        <w:tc>
          <w:tcPr>
            <w:tcW w:w="255" w:type="pct"/>
            <w:tcBorders>
              <w:top w:val="nil"/>
              <w:left w:val="nil"/>
              <w:bottom w:val="single" w:sz="4" w:space="0" w:color="auto"/>
              <w:right w:val="single" w:sz="4" w:space="0" w:color="auto"/>
            </w:tcBorders>
            <w:shd w:val="clear" w:color="auto" w:fill="C6EFCE"/>
            <w:noWrap/>
          </w:tcPr>
          <w:p w14:paraId="5732EAC4"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83" w:type="pct"/>
            <w:tcBorders>
              <w:top w:val="nil"/>
              <w:left w:val="nil"/>
              <w:bottom w:val="single" w:sz="4" w:space="0" w:color="auto"/>
              <w:right w:val="single" w:sz="4" w:space="0" w:color="auto"/>
            </w:tcBorders>
            <w:shd w:val="clear" w:color="auto" w:fill="C6EFCE"/>
            <w:noWrap/>
          </w:tcPr>
          <w:p w14:paraId="576548C1"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81" w:type="pct"/>
            <w:tcBorders>
              <w:top w:val="nil"/>
              <w:left w:val="nil"/>
              <w:bottom w:val="single" w:sz="4" w:space="0" w:color="auto"/>
              <w:right w:val="single" w:sz="4" w:space="0" w:color="auto"/>
            </w:tcBorders>
            <w:shd w:val="clear" w:color="auto" w:fill="C6EFCE"/>
            <w:noWrap/>
          </w:tcPr>
          <w:p w14:paraId="63A4EF00" w14:textId="77777777" w:rsidR="003A3D51" w:rsidRDefault="0002775A">
            <w:pPr>
              <w:pStyle w:val="P68B1DB1-Normal7"/>
              <w:spacing w:after="200" w:line="276" w:lineRule="auto"/>
              <w:rPr>
                <w:rFonts w:ascii="Times New Roman" w:hAnsi="Times New Roman" w:cs="Times New Roman"/>
                <w:noProof/>
              </w:rPr>
            </w:pPr>
            <w:r>
              <w:rPr>
                <w:noProof/>
              </w:rPr>
              <w:t>En ökning av minimipensionen med totalt minst 3 % i reala termer (dvs. utöver den regelbundna indexeringen) jämfört med 2020.</w:t>
            </w:r>
          </w:p>
        </w:tc>
      </w:tr>
    </w:tbl>
    <w:p w14:paraId="2AE64FEC" w14:textId="77777777" w:rsidR="003A3D51" w:rsidRDefault="003A3D51">
      <w:pPr>
        <w:rPr>
          <w:noProof/>
        </w:rPr>
      </w:pPr>
    </w:p>
    <w:p w14:paraId="3DD3040E" w14:textId="77777777" w:rsidR="003A3D51" w:rsidRDefault="003A3D51">
      <w:pPr>
        <w:keepNext/>
        <w:tabs>
          <w:tab w:val="left" w:pos="850"/>
        </w:tabs>
        <w:spacing w:before="360" w:after="120" w:line="240" w:lineRule="auto"/>
        <w:jc w:val="both"/>
        <w:outlineLvl w:val="0"/>
        <w:rPr>
          <w:rFonts w:ascii="Times New Roman" w:eastAsia="Calibri" w:hAnsi="Times New Roman" w:cs="Times New Roman"/>
          <w:b/>
          <w:smallCaps/>
          <w:noProof/>
          <w:sz w:val="24"/>
        </w:rPr>
        <w:sectPr w:rsidR="003A3D51" w:rsidSect="0001477B">
          <w:headerReference w:type="even" r:id="rId324"/>
          <w:headerReference w:type="default" r:id="rId325"/>
          <w:footerReference w:type="even" r:id="rId326"/>
          <w:footerReference w:type="default" r:id="rId327"/>
          <w:headerReference w:type="first" r:id="rId328"/>
          <w:footerReference w:type="first" r:id="rId329"/>
          <w:pgSz w:w="15840" w:h="12240" w:orient="landscape"/>
          <w:pgMar w:top="1440" w:right="1440" w:bottom="1440" w:left="1440" w:header="708" w:footer="708" w:gutter="0"/>
          <w:cols w:space="708"/>
          <w:docGrid w:linePitch="360"/>
        </w:sectPr>
      </w:pPr>
    </w:p>
    <w:p w14:paraId="78B70C61" w14:textId="77777777" w:rsidR="003A3D51" w:rsidRDefault="0002775A">
      <w:pPr>
        <w:pStyle w:val="P68B1DB1-Normal2"/>
        <w:keepNext/>
        <w:tabs>
          <w:tab w:val="left" w:pos="850"/>
        </w:tabs>
        <w:spacing w:before="360" w:after="120" w:line="240" w:lineRule="auto"/>
        <w:jc w:val="both"/>
        <w:outlineLvl w:val="0"/>
        <w:rPr>
          <w:noProof/>
        </w:rPr>
      </w:pPr>
      <w:r>
        <w:rPr>
          <w:noProof/>
        </w:rPr>
        <w:t>T. KOMPONENT 4.3: FÖRBÄTTRING AV DET SOCIALA TRYGGHETSSYSTEMET</w:t>
      </w:r>
    </w:p>
    <w:p w14:paraId="2162D961" w14:textId="77777777" w:rsidR="003A3D51" w:rsidRDefault="0002775A">
      <w:pPr>
        <w:pStyle w:val="P68B1DB1-Normal3"/>
        <w:spacing w:before="120" w:after="120" w:line="240" w:lineRule="auto"/>
        <w:jc w:val="both"/>
        <w:rPr>
          <w:noProof/>
        </w:rPr>
      </w:pPr>
      <w:r>
        <w:rPr>
          <w:noProof/>
        </w:rPr>
        <w:t xml:space="preserve">Denna del av Kroatiens återhämtnings- och resiliensplan tar upp utmaningar som rör det sociala välfärdssystemet, både när det gäller sociala förmåner och sociala tjänster. Det övergripande målet för reformerna och investeringarna i denna del är att minska fattigdomen, förebygga social utestängning och utveckla sociala tjänster som är skräddarsydda för utsatta grupper och på så sätt bygga upp ett mer motståndskraftigt samhälle. </w:t>
      </w:r>
    </w:p>
    <w:p w14:paraId="683A26B1" w14:textId="77777777" w:rsidR="003A3D51" w:rsidRDefault="0002775A">
      <w:pPr>
        <w:pStyle w:val="P68B1DB1-Normal3"/>
        <w:spacing w:before="120" w:after="120" w:line="240" w:lineRule="auto"/>
        <w:jc w:val="both"/>
        <w:rPr>
          <w:noProof/>
        </w:rPr>
      </w:pPr>
      <w:r>
        <w:rPr>
          <w:noProof/>
          <w:shd w:val="clear" w:color="auto" w:fill="FFFFFF"/>
        </w:rPr>
        <w:t>Komponenten ska omfatta följande åtgärder: </w:t>
      </w:r>
      <w:r>
        <w:rPr>
          <w:noProof/>
        </w:rPr>
        <w:t xml:space="preserve"> </w:t>
      </w:r>
    </w:p>
    <w:p w14:paraId="19EB46F2" w14:textId="77777777" w:rsidR="003A3D51" w:rsidRDefault="0002775A">
      <w:pPr>
        <w:pStyle w:val="P68B1DB1-Normal3"/>
        <w:numPr>
          <w:ilvl w:val="0"/>
          <w:numId w:val="28"/>
        </w:numPr>
        <w:spacing w:before="120" w:after="120" w:line="240" w:lineRule="auto"/>
        <w:jc w:val="both"/>
        <w:rPr>
          <w:noProof/>
        </w:rPr>
      </w:pPr>
      <w:r>
        <w:rPr>
          <w:noProof/>
        </w:rPr>
        <w:t>Förbättra den rättsliga ramen genom att anta den nya lagen om social trygghet och tre strategiska dokument</w:t>
      </w:r>
      <w:r>
        <w:rPr>
          <w:i/>
          <w:noProof/>
        </w:rPr>
        <w:t>.</w:t>
      </w:r>
    </w:p>
    <w:p w14:paraId="720D61F1" w14:textId="77777777" w:rsidR="003A3D51" w:rsidRDefault="0002775A">
      <w:pPr>
        <w:pStyle w:val="P68B1DB1-Normal3"/>
        <w:numPr>
          <w:ilvl w:val="0"/>
          <w:numId w:val="28"/>
        </w:numPr>
        <w:spacing w:before="120" w:after="120" w:line="240" w:lineRule="auto"/>
        <w:jc w:val="both"/>
        <w:rPr>
          <w:noProof/>
        </w:rPr>
      </w:pPr>
      <w:r>
        <w:rPr>
          <w:noProof/>
        </w:rPr>
        <w:t>Öka tillräckligheten och täckningen av den garanterade minimiförmånen, som är den viktigaste fattigdomsminskande förmånen på nationell nivå,</w:t>
      </w:r>
    </w:p>
    <w:p w14:paraId="067344F4" w14:textId="77777777" w:rsidR="003A3D51" w:rsidRDefault="0002775A">
      <w:pPr>
        <w:pStyle w:val="P68B1DB1-Normal3"/>
        <w:numPr>
          <w:ilvl w:val="0"/>
          <w:numId w:val="28"/>
        </w:numPr>
        <w:spacing w:before="120" w:after="120" w:line="240" w:lineRule="auto"/>
        <w:jc w:val="both"/>
        <w:rPr>
          <w:noProof/>
        </w:rPr>
      </w:pPr>
      <w:r>
        <w:rPr>
          <w:noProof/>
        </w:rPr>
        <w:t>Teknisk och funktionell konsolidering av sociala förmåner på nationell och lokal nivå, med införande av regelbunden indexering och anpassning av kriterierna för stödberättigande.</w:t>
      </w:r>
    </w:p>
    <w:p w14:paraId="0F28F56C" w14:textId="77777777" w:rsidR="003A3D51" w:rsidRDefault="0002775A">
      <w:pPr>
        <w:pStyle w:val="P68B1DB1-Normal3"/>
        <w:numPr>
          <w:ilvl w:val="0"/>
          <w:numId w:val="28"/>
        </w:numPr>
        <w:spacing w:before="120" w:after="120" w:line="240" w:lineRule="auto"/>
        <w:jc w:val="both"/>
        <w:rPr>
          <w:noProof/>
        </w:rPr>
      </w:pPr>
      <w:r>
        <w:rPr>
          <w:noProof/>
        </w:rPr>
        <w:t>Harmonisera prissättningen av sociala tjänster mellan olika befintliga leverantörer,</w:t>
      </w:r>
    </w:p>
    <w:p w14:paraId="315BED3A" w14:textId="77777777" w:rsidR="003A3D51" w:rsidRDefault="0002775A">
      <w:pPr>
        <w:pStyle w:val="P68B1DB1-Normal3"/>
        <w:numPr>
          <w:ilvl w:val="0"/>
          <w:numId w:val="28"/>
        </w:numPr>
        <w:spacing w:before="120" w:after="120" w:line="240" w:lineRule="auto"/>
        <w:jc w:val="both"/>
        <w:rPr>
          <w:noProof/>
        </w:rPr>
      </w:pPr>
      <w:r>
        <w:rPr>
          <w:noProof/>
        </w:rPr>
        <w:t>Utveckling av nya sociala tjänster (socialt mentorskap och familjeassistenter) i syfte att förhindra institutionalisering och social utestängning.</w:t>
      </w:r>
    </w:p>
    <w:p w14:paraId="2EA89E5E" w14:textId="77777777" w:rsidR="003A3D51" w:rsidRDefault="0002775A">
      <w:pPr>
        <w:pStyle w:val="P68B1DB1-Normal3"/>
        <w:numPr>
          <w:ilvl w:val="0"/>
          <w:numId w:val="28"/>
        </w:numPr>
        <w:spacing w:before="120" w:after="120" w:line="240" w:lineRule="auto"/>
        <w:jc w:val="both"/>
        <w:rPr>
          <w:noProof/>
        </w:rPr>
      </w:pPr>
      <w:r>
        <w:rPr>
          <w:noProof/>
        </w:rPr>
        <w:t>Främja övergången till hemvård och samhällsbaserad långtidsvård för äldre genom att utveckla icke-institutionella tjänster, samtidigt som man tillhandahåller tillräcklig inkvarteringskapacitet uteslutande för personer i behov av långvarig vård och omsorg utan livskraftiga hem- och samhällsbaserade alternativ.</w:t>
      </w:r>
    </w:p>
    <w:p w14:paraId="15D03CE4" w14:textId="77777777" w:rsidR="003A3D51" w:rsidRDefault="0002775A">
      <w:pPr>
        <w:pStyle w:val="P68B1DB1-Normal49"/>
        <w:spacing w:before="120" w:after="120" w:line="240" w:lineRule="auto"/>
        <w:jc w:val="both"/>
        <w:rPr>
          <w:noProof/>
        </w:rPr>
      </w:pPr>
      <w:r>
        <w:rPr>
          <w:noProof/>
        </w:rPr>
        <w:t>Komponenten är inriktad på den landsspecifika rekommendationen att konsolidera sociala förmåner och förbättra deras förmåga att minska fattigdomen (landsspecifika rekommendationer 2.2 och 2019), om huruvida arbetslöshetsförmåner och förbättrade minimiinkomstsystem är tillräckliga (de landsspecifika rekommendationerna 2.2 och 2020) samt om att bidra till ökad tillgång till digital infrastruktur och digitala tjänster (landsspecifika rekommendationer 2.3 och 2020) och främjande av kompetensutveckling (de landsspecifika rekommendationerna 2.4 och 2020).</w:t>
      </w:r>
    </w:p>
    <w:p w14:paraId="70BCA7E7" w14:textId="77777777" w:rsidR="003A3D51" w:rsidRDefault="0002775A">
      <w:pPr>
        <w:pStyle w:val="P68B1DB1-Normal4"/>
        <w:keepNext/>
        <w:tabs>
          <w:tab w:val="num" w:pos="850"/>
        </w:tabs>
        <w:spacing w:before="40" w:after="0"/>
        <w:ind w:left="851"/>
        <w:jc w:val="both"/>
        <w:outlineLvl w:val="1"/>
        <w:rPr>
          <w:noProof/>
        </w:rPr>
      </w:pPr>
      <w:r>
        <w:rPr>
          <w:noProof/>
        </w:rPr>
        <w:t xml:space="preserve">T.1. </w:t>
      </w:r>
      <w:r>
        <w:rPr>
          <w:noProof/>
        </w:rPr>
        <w:tab/>
        <w:t>Beskrivning av reformer och investeringar avseende icke återbetalningspliktigt ekonomiskt stöd</w:t>
      </w:r>
    </w:p>
    <w:p w14:paraId="10824826" w14:textId="77777777" w:rsidR="003A3D51" w:rsidRDefault="0002775A">
      <w:pPr>
        <w:pStyle w:val="P68B1DB1-Normal18"/>
        <w:keepNext/>
        <w:tabs>
          <w:tab w:val="num" w:pos="850"/>
        </w:tabs>
        <w:spacing w:before="240" w:after="0"/>
        <w:ind w:left="851"/>
        <w:jc w:val="both"/>
        <w:outlineLvl w:val="2"/>
        <w:rPr>
          <w:noProof/>
        </w:rPr>
      </w:pPr>
      <w:r>
        <w:rPr>
          <w:noProof/>
        </w:rPr>
        <w:t xml:space="preserve">Reform C4.3 R1 – Insyn och tillräcklighet i fråga om sociala förmåner i det sociala trygghetssystemet </w:t>
      </w:r>
    </w:p>
    <w:p w14:paraId="71169DC3" w14:textId="77777777" w:rsidR="003A3D51" w:rsidRDefault="0002775A">
      <w:pPr>
        <w:pStyle w:val="P68B1DB1-Normal3"/>
        <w:spacing w:before="120" w:after="120" w:line="240" w:lineRule="auto"/>
        <w:jc w:val="both"/>
        <w:rPr>
          <w:noProof/>
        </w:rPr>
      </w:pPr>
      <w:r>
        <w:rPr>
          <w:noProof/>
          <w:bdr w:val="none" w:sz="0" w:space="0" w:color="auto" w:frame="1"/>
        </w:rPr>
        <w:t xml:space="preserve">Syftet med denna åtgärd är att </w:t>
      </w:r>
      <w:r>
        <w:rPr>
          <w:noProof/>
          <w:shd w:val="clear" w:color="auto" w:fill="FFFFFF"/>
        </w:rPr>
        <w:t>öka tillräckligheten hos de viktigaste sociala förmåner som riktar sig till de mest utsatta grupperna i samhället, bidra till att minska ojämlikheter och administrativa bördor och öka insynen i systemet. Dessutom ska reformen möjliggöra snabbare och effektivare tillhandahållande av förmåner genom att befintliga sociala förmåner slås samman till en enda förmån. Reformåtgärden ska syfta till att uppnå bättre täckning och rättvisa genom att förbättra berättigandet och tillräckligheten vid tillämpningen av förmånerna. Vissa aspekter av denna reform planeras fasas in gradvis under en längre period, medan andra kan genomföras snabbare. Därför kommer reformen att kräva ändringar av viss lagstiftning vid två tillfällen.</w:t>
      </w:r>
    </w:p>
    <w:p w14:paraId="0BAF3861" w14:textId="77777777" w:rsidR="003A3D51" w:rsidRDefault="0002775A">
      <w:pPr>
        <w:pStyle w:val="P68B1DB1-Normal20"/>
        <w:spacing w:before="120" w:after="120" w:line="240" w:lineRule="auto"/>
        <w:jc w:val="both"/>
        <w:rPr>
          <w:noProof/>
        </w:rPr>
      </w:pPr>
      <w:r>
        <w:rPr>
          <w:noProof/>
        </w:rPr>
        <w:t xml:space="preserve">Reformen ska medföra följande ändringar av de sociala förmånerna, vilka ska ingå i den nya socialskyddslagen: </w:t>
      </w:r>
    </w:p>
    <w:p w14:paraId="5C12A280" w14:textId="77777777" w:rsidR="003A3D51" w:rsidRDefault="0002775A">
      <w:pPr>
        <w:pStyle w:val="P68B1DB1-Normal3"/>
        <w:numPr>
          <w:ilvl w:val="0"/>
          <w:numId w:val="28"/>
        </w:numPr>
        <w:spacing w:before="120" w:after="120" w:line="240" w:lineRule="auto"/>
        <w:jc w:val="both"/>
        <w:rPr>
          <w:noProof/>
        </w:rPr>
      </w:pPr>
      <w:r>
        <w:rPr>
          <w:noProof/>
        </w:rPr>
        <w:t>Kombinera kostnader för bostads- och uppvärmningsbidrag.</w:t>
      </w:r>
    </w:p>
    <w:p w14:paraId="51F0EA5B" w14:textId="77777777" w:rsidR="003A3D51" w:rsidRDefault="0002775A">
      <w:pPr>
        <w:pStyle w:val="P68B1DB1-Normal3"/>
        <w:numPr>
          <w:ilvl w:val="0"/>
          <w:numId w:val="28"/>
        </w:numPr>
        <w:spacing w:before="120" w:after="120" w:line="240" w:lineRule="auto"/>
        <w:jc w:val="both"/>
        <w:rPr>
          <w:noProof/>
        </w:rPr>
      </w:pPr>
      <w:r>
        <w:rPr>
          <w:noProof/>
        </w:rPr>
        <w:t>Höja grundbeloppet för den garanterade minimiförmånen till 1 000 kroatiska kuna och med 25 % för barn, och lätta på de svåraste kriterierna för stödberättigande, inklusive en höjning av inkomsttröskeln för stödberättigande till 1 000 kuna.</w:t>
      </w:r>
    </w:p>
    <w:p w14:paraId="225B8771" w14:textId="77777777" w:rsidR="003A3D51" w:rsidRDefault="0002775A">
      <w:pPr>
        <w:pStyle w:val="P68B1DB1-Normal20"/>
        <w:spacing w:before="120" w:after="120" w:line="240" w:lineRule="auto"/>
        <w:jc w:val="both"/>
        <w:rPr>
          <w:noProof/>
        </w:rPr>
      </w:pPr>
      <w:r>
        <w:rPr>
          <w:noProof/>
        </w:rPr>
        <w:t>Reformen ska också omfatta antagandet av den nationella planen mot fattigdom och social utestängning 2021–2027 för att</w:t>
      </w:r>
    </w:p>
    <w:p w14:paraId="2C67C07C" w14:textId="77777777" w:rsidR="003A3D51" w:rsidRDefault="0002775A">
      <w:pPr>
        <w:pStyle w:val="P68B1DB1-Normal3"/>
        <w:numPr>
          <w:ilvl w:val="0"/>
          <w:numId w:val="28"/>
        </w:numPr>
        <w:spacing w:before="120" w:after="120" w:line="240" w:lineRule="auto"/>
        <w:jc w:val="both"/>
        <w:rPr>
          <w:noProof/>
        </w:rPr>
      </w:pPr>
      <w:r>
        <w:rPr>
          <w:noProof/>
        </w:rPr>
        <w:t>Fastställa ett mål för att minska fattigdomsrisken till mindre än 15 % från ett utgångsvärde på 18,3 % för 2019 och en genomförandeplan.</w:t>
      </w:r>
    </w:p>
    <w:p w14:paraId="235024FF" w14:textId="77777777" w:rsidR="003A3D51" w:rsidRDefault="0002775A">
      <w:pPr>
        <w:pStyle w:val="P68B1DB1-Normal3"/>
        <w:numPr>
          <w:ilvl w:val="0"/>
          <w:numId w:val="28"/>
        </w:numPr>
        <w:spacing w:before="120" w:after="120" w:line="240" w:lineRule="auto"/>
        <w:jc w:val="both"/>
        <w:rPr>
          <w:noProof/>
        </w:rPr>
      </w:pPr>
      <w:r>
        <w:rPr>
          <w:noProof/>
        </w:rPr>
        <w:t>Säkerställa förhållanden som effektivt minskar fattigdomen och den sociala utestängningen och förbättrar vardagen för människor som riskerar att drabbas av fattigdom, särskilt för dem som lever i allvarlig materiell fattigdom.</w:t>
      </w:r>
    </w:p>
    <w:p w14:paraId="54A81D35" w14:textId="77777777" w:rsidR="003A3D51" w:rsidRDefault="0002775A">
      <w:pPr>
        <w:pStyle w:val="P68B1DB1-Normal3"/>
        <w:numPr>
          <w:ilvl w:val="0"/>
          <w:numId w:val="28"/>
        </w:numPr>
        <w:spacing w:before="120" w:after="120" w:line="240" w:lineRule="auto"/>
        <w:jc w:val="both"/>
        <w:rPr>
          <w:noProof/>
        </w:rPr>
      </w:pPr>
      <w:r>
        <w:rPr>
          <w:noProof/>
        </w:rPr>
        <w:t>Fastställa utvecklingsprioriteringar för kampen mot fattigdom och social utestängning och erkänna särskilda systemrelevanta krav för utsatta grupper.</w:t>
      </w:r>
    </w:p>
    <w:p w14:paraId="50755A89" w14:textId="77777777" w:rsidR="003A3D51" w:rsidRDefault="0002775A">
      <w:pPr>
        <w:pStyle w:val="P68B1DB1-Normal20"/>
        <w:spacing w:before="120" w:after="120" w:line="240" w:lineRule="auto"/>
        <w:jc w:val="both"/>
        <w:rPr>
          <w:noProof/>
        </w:rPr>
      </w:pPr>
      <w:r>
        <w:rPr>
          <w:noProof/>
        </w:rPr>
        <w:t>Reformen ska omfatta antagandet av lagen om ändring av lagen om social trygghet eller den inkluderande lagen om integrerade sociala förmåner för att</w:t>
      </w:r>
    </w:p>
    <w:p w14:paraId="411F2345" w14:textId="5036C7BB" w:rsidR="003A3D51" w:rsidRDefault="0002775A">
      <w:pPr>
        <w:pStyle w:val="P68B1DB1-Normal3"/>
        <w:numPr>
          <w:ilvl w:val="0"/>
          <w:numId w:val="28"/>
        </w:numPr>
        <w:spacing w:before="120" w:after="120" w:line="240" w:lineRule="auto"/>
        <w:jc w:val="both"/>
        <w:rPr>
          <w:noProof/>
        </w:rPr>
      </w:pPr>
      <w:r>
        <w:rPr>
          <w:noProof/>
        </w:rPr>
        <w:t>Ändra den garanterade minimiförmånen genom att höja grundbeloppet till 160 EUR, beslut på grundval av beräkningen av den garanterade minimiförmånen och med minst 25 % för hushåll med barn, och säkerställa att den garanterade minimiförmånen integreras fullt ut med andra sociala förmåner, som träder i kraft den 1 januari 2025.</w:t>
      </w:r>
    </w:p>
    <w:p w14:paraId="6298DE50" w14:textId="77777777" w:rsidR="003A3D51" w:rsidRDefault="0002775A">
      <w:pPr>
        <w:pStyle w:val="P68B1DB1-Normal3"/>
        <w:numPr>
          <w:ilvl w:val="0"/>
          <w:numId w:val="28"/>
        </w:numPr>
        <w:spacing w:before="120" w:after="120" w:line="240" w:lineRule="auto"/>
        <w:jc w:val="both"/>
        <w:rPr>
          <w:noProof/>
        </w:rPr>
      </w:pPr>
      <w:r>
        <w:rPr>
          <w:noProof/>
        </w:rPr>
        <w:t xml:space="preserve">På grundval av resultaten av expertanalyser, specificera omfattningen av sammanslagningen av förmåner med samma funktioner och inkludera åtgärder för att förbättra de sociala förmånernas täckning, tillräcklighet och inriktning, med särskilt fokus på personer som lider av ihållande fattigdom. </w:t>
      </w:r>
    </w:p>
    <w:p w14:paraId="1D959182" w14:textId="77777777" w:rsidR="003A3D51" w:rsidRDefault="0002775A">
      <w:pPr>
        <w:pStyle w:val="P68B1DB1-Normal3"/>
        <w:numPr>
          <w:ilvl w:val="0"/>
          <w:numId w:val="28"/>
        </w:numPr>
        <w:spacing w:before="120" w:after="120" w:line="240" w:lineRule="auto"/>
        <w:jc w:val="both"/>
        <w:rPr>
          <w:noProof/>
        </w:rPr>
      </w:pPr>
      <w:r>
        <w:rPr>
          <w:noProof/>
        </w:rPr>
        <w:t>Innehålla bestämmelser om utvärdering och övervakning av de sociala förmånernas effektivitet och tillräcklighet,</w:t>
      </w:r>
    </w:p>
    <w:p w14:paraId="0DFBF807" w14:textId="77777777" w:rsidR="003A3D51" w:rsidRDefault="0002775A">
      <w:pPr>
        <w:pStyle w:val="P68B1DB1-Normal3"/>
        <w:numPr>
          <w:ilvl w:val="0"/>
          <w:numId w:val="28"/>
        </w:numPr>
        <w:spacing w:before="120" w:after="120" w:line="240" w:lineRule="auto"/>
        <w:jc w:val="both"/>
        <w:rPr>
          <w:noProof/>
        </w:rPr>
      </w:pPr>
      <w:r>
        <w:rPr>
          <w:noProof/>
        </w:rPr>
        <w:t>Införa indexering som standardinslag i sociala förmåner.</w:t>
      </w:r>
    </w:p>
    <w:p w14:paraId="1666E92E" w14:textId="03EB98A2" w:rsidR="003A3D51" w:rsidRDefault="0002775A">
      <w:pPr>
        <w:pStyle w:val="P68B1DB1-Normal3"/>
        <w:spacing w:before="120" w:after="120" w:line="240" w:lineRule="auto"/>
        <w:jc w:val="both"/>
        <w:rPr>
          <w:noProof/>
        </w:rPr>
      </w:pPr>
      <w:r>
        <w:rPr>
          <w:noProof/>
          <w:shd w:val="clear" w:color="auto" w:fill="FFFFFF"/>
        </w:rPr>
        <w:t>Reformen ska vara genomförd senast den 30 juni 2026.</w:t>
      </w:r>
      <w:r>
        <w:rPr>
          <w:noProof/>
        </w:rPr>
        <w:t> </w:t>
      </w:r>
    </w:p>
    <w:p w14:paraId="050C4BE0" w14:textId="77777777" w:rsidR="003A3D51" w:rsidRDefault="0002775A">
      <w:pPr>
        <w:pStyle w:val="P68B1DB1-Normal5"/>
        <w:spacing w:before="120" w:after="120" w:line="240" w:lineRule="auto"/>
        <w:ind w:left="850"/>
        <w:jc w:val="both"/>
        <w:rPr>
          <w:noProof/>
        </w:rPr>
      </w:pPr>
      <w:r>
        <w:rPr>
          <w:noProof/>
        </w:rPr>
        <w:t>Investering C4.3 R1 – I1 – Förbättra digitaliseringen av systemet för sociala förmåner mellan nationell och lokal nivå</w:t>
      </w:r>
    </w:p>
    <w:p w14:paraId="43C792C3" w14:textId="77777777" w:rsidR="003A3D51" w:rsidRDefault="0002775A">
      <w:pPr>
        <w:pStyle w:val="P68B1DB1-Normal3"/>
        <w:keepLines/>
        <w:spacing w:after="0" w:line="276" w:lineRule="auto"/>
        <w:jc w:val="both"/>
        <w:rPr>
          <w:noProof/>
        </w:rPr>
      </w:pPr>
      <w:r>
        <w:rPr>
          <w:noProof/>
        </w:rPr>
        <w:t>Syftet med denna investering är att vidareutveckla den funktionella tillgången till alla tillgängliga uppgifter om sociala förmåner för varje enskild stödmottagare. I samarbete med skatteförvaltningen ska återvinning av skattebelagda inkomster och bruttoinkomstregister (EDIP) och utvidgningen av rapporten om bruttoinkomst, inkomstskatt, tilläggsskatt och obligatoriska försäkringsavgifter (JOPPD) på socialförsäkringssystemets sociala förmånsdel göra det möjligt att inhämta uppgifter om sociala förmåner för varje enskild förmånstagare till alla lokala och regionala enheter samt tjänster på nationell nivå.</w:t>
      </w:r>
    </w:p>
    <w:p w14:paraId="5A561A21" w14:textId="77777777" w:rsidR="003A3D51" w:rsidRDefault="0002775A">
      <w:pPr>
        <w:pStyle w:val="P68B1DB1-Normal20"/>
        <w:spacing w:before="120" w:after="120" w:line="240" w:lineRule="auto"/>
        <w:jc w:val="both"/>
        <w:rPr>
          <w:noProof/>
        </w:rPr>
      </w:pPr>
      <w:r>
        <w:rPr>
          <w:noProof/>
        </w:rPr>
        <w:t>Investeringen ska vara slutförd senast den 31 december 2025. </w:t>
      </w:r>
    </w:p>
    <w:p w14:paraId="34355548" w14:textId="77777777" w:rsidR="003A3D51" w:rsidRDefault="0002775A">
      <w:pPr>
        <w:pStyle w:val="P68B1DB1-Normal5"/>
        <w:spacing w:before="120" w:after="120" w:line="240" w:lineRule="auto"/>
        <w:ind w:left="850"/>
        <w:jc w:val="both"/>
        <w:rPr>
          <w:noProof/>
        </w:rPr>
      </w:pPr>
      <w:r>
        <w:rPr>
          <w:noProof/>
        </w:rPr>
        <w:t>Investering C4.3 R1-I2 – Utveckling av en webbapplikation om möjligheten att få sociala förmåner på nationell nivå</w:t>
      </w:r>
    </w:p>
    <w:p w14:paraId="7D157734" w14:textId="77777777" w:rsidR="003A3D51" w:rsidRDefault="0002775A">
      <w:pPr>
        <w:pStyle w:val="P68B1DB1-Normal49"/>
        <w:spacing w:before="120" w:after="120" w:line="240" w:lineRule="auto"/>
        <w:jc w:val="both"/>
        <w:rPr>
          <w:noProof/>
        </w:rPr>
      </w:pPr>
      <w:r>
        <w:rPr>
          <w:noProof/>
        </w:rPr>
        <w:t>Syftet med denna investering är att skapa en webbapplikation som är tillgänglig för medborgarna och som sammanför sociala förmåner i det sociala trygghetssystemet på nationell nivå och villkoren för deras tillhandahållande. Villkoren för att erhålla 12 typer av sociala förmåner i ett system för socialt skydd på nationell nivå ska anges i ansökan.</w:t>
      </w:r>
    </w:p>
    <w:p w14:paraId="3B8B141B" w14:textId="77777777" w:rsidR="003A3D51" w:rsidRDefault="0002775A">
      <w:pPr>
        <w:pStyle w:val="P68B1DB1-Normal20"/>
        <w:spacing w:before="120" w:after="120" w:line="240" w:lineRule="auto"/>
        <w:jc w:val="both"/>
        <w:rPr>
          <w:noProof/>
        </w:rPr>
      </w:pPr>
      <w:r>
        <w:rPr>
          <w:noProof/>
        </w:rPr>
        <w:t>Åtgärden ska vara slutförd senast den 31 december 2024. </w:t>
      </w:r>
    </w:p>
    <w:p w14:paraId="618F205B" w14:textId="77777777" w:rsidR="003A3D51" w:rsidRDefault="0002775A">
      <w:pPr>
        <w:pStyle w:val="P68B1DB1-Normal5"/>
        <w:spacing w:before="120" w:after="120" w:line="240" w:lineRule="auto"/>
        <w:ind w:left="850"/>
        <w:jc w:val="both"/>
        <w:rPr>
          <w:noProof/>
        </w:rPr>
      </w:pPr>
      <w:r>
        <w:rPr>
          <w:noProof/>
        </w:rPr>
        <w:t>Reform C4.3 R2 – Utveckling av sociala mentortjänster</w:t>
      </w:r>
    </w:p>
    <w:p w14:paraId="4AD92703" w14:textId="77777777" w:rsidR="003A3D51" w:rsidRDefault="0002775A">
      <w:pPr>
        <w:pStyle w:val="P68B1DB1-Normal3"/>
        <w:spacing w:before="120" w:after="120" w:line="240" w:lineRule="auto"/>
        <w:jc w:val="both"/>
        <w:rPr>
          <w:noProof/>
        </w:rPr>
      </w:pPr>
      <w:r>
        <w:rPr>
          <w:noProof/>
          <w:shd w:val="clear" w:color="auto" w:fill="FFFFFF"/>
        </w:rPr>
        <w:t xml:space="preserve">Syftet med denna reform är att säkerställa tillräcklig mänsklig kapacitet för att utföra sociala tjänster, genom bättre samarbete och datadelning, </w:t>
      </w:r>
      <w:r>
        <w:rPr>
          <w:noProof/>
        </w:rPr>
        <w:t>för mottagare av garanterade minimiförmåner och missgynnade grupper av stödmottagare.</w:t>
      </w:r>
      <w:r>
        <w:rPr>
          <w:noProof/>
          <w:shd w:val="clear" w:color="auto" w:fill="FFFFFF"/>
        </w:rPr>
        <w:t xml:space="preserve"> Reformen ska införa en ny social mentorstjänst som riktar sig till personer i riskzonen eller som redan befinner sig i en marginaliserad ställning i samhället och som ska ingå i den nya socialskyddslagen.</w:t>
      </w:r>
    </w:p>
    <w:p w14:paraId="07BA83C5" w14:textId="77777777" w:rsidR="003A3D51" w:rsidRDefault="0002775A">
      <w:pPr>
        <w:pStyle w:val="P68B1DB1-Normal20"/>
        <w:spacing w:before="120" w:after="120" w:line="240" w:lineRule="auto"/>
        <w:jc w:val="both"/>
        <w:rPr>
          <w:noProof/>
        </w:rPr>
      </w:pPr>
      <w:r>
        <w:rPr>
          <w:noProof/>
        </w:rPr>
        <w:t>Reformen ska vara genomförd senast den 31 december 2025. </w:t>
      </w:r>
    </w:p>
    <w:p w14:paraId="195DE2B4" w14:textId="77777777" w:rsidR="003A3D51" w:rsidRDefault="0002775A">
      <w:pPr>
        <w:pStyle w:val="P68B1DB1-Normal5"/>
        <w:spacing w:before="120" w:after="120" w:line="240" w:lineRule="auto"/>
        <w:ind w:left="850"/>
        <w:jc w:val="both"/>
        <w:rPr>
          <w:noProof/>
        </w:rPr>
      </w:pPr>
      <w:r>
        <w:rPr>
          <w:noProof/>
        </w:rPr>
        <w:t xml:space="preserve">Investering C4.3 R2-I1 – Införande av sociala mentortjänster </w:t>
      </w:r>
    </w:p>
    <w:p w14:paraId="41CEC777" w14:textId="77777777" w:rsidR="003A3D51" w:rsidRDefault="0002775A">
      <w:pPr>
        <w:pStyle w:val="P68B1DB1-Normal49"/>
        <w:spacing w:before="120" w:after="120" w:line="240" w:lineRule="auto"/>
        <w:jc w:val="both"/>
        <w:rPr>
          <w:noProof/>
        </w:rPr>
      </w:pPr>
      <w:r>
        <w:rPr>
          <w:noProof/>
        </w:rPr>
        <w:t xml:space="preserve">Syftet med denna investering är att göra den nya sociala mentorstjänsten tillgänglig för alla potentiella stödmottagare, särskilt mottagare av garanterad minimiersättning, personer med funktionsnedsättning, våldsoffer, hemlösa, migranter, romer och ungdomar som lämnar det sociala trygghetssystemet, personer som avtjänar fängelsestraff och medlemmar av andra socialt utsatta grupper.  För att få till stånd ett mer verkningsfullt och effektivt socialt mentorsystem ska investeringen omfatta utarbetande av ett protokoll om samarbete och åtaganden mellan socialvårdscentrum och sysselsättning som inrättar en gemensam ärendehantering och datadelning. </w:t>
      </w:r>
    </w:p>
    <w:p w14:paraId="34C70349" w14:textId="77777777" w:rsidR="003A3D51" w:rsidRDefault="0002775A">
      <w:pPr>
        <w:pStyle w:val="P68B1DB1-Normal20"/>
        <w:spacing w:before="120" w:after="120" w:line="240" w:lineRule="auto"/>
        <w:ind w:left="850"/>
        <w:jc w:val="both"/>
        <w:rPr>
          <w:noProof/>
        </w:rPr>
      </w:pPr>
      <w:r>
        <w:rPr>
          <w:noProof/>
        </w:rPr>
        <w:t>Investeringen ska vara slutförd senast den 31 december 2025.</w:t>
      </w:r>
    </w:p>
    <w:p w14:paraId="51D5E64E" w14:textId="77777777" w:rsidR="003A3D51" w:rsidRDefault="0002775A">
      <w:pPr>
        <w:pStyle w:val="P68B1DB1-Normal5"/>
        <w:spacing w:before="120" w:after="120" w:line="240" w:lineRule="auto"/>
        <w:ind w:left="850"/>
        <w:jc w:val="both"/>
        <w:rPr>
          <w:noProof/>
        </w:rPr>
      </w:pPr>
      <w:r>
        <w:rPr>
          <w:noProof/>
        </w:rPr>
        <w:t>Reform C4.3 R3 – Utveckling av samhällsbaserade tjänster för att förhindra institutionalisering</w:t>
      </w:r>
    </w:p>
    <w:p w14:paraId="15F10F90" w14:textId="77777777" w:rsidR="003A3D51" w:rsidRDefault="0002775A">
      <w:pPr>
        <w:pStyle w:val="P68B1DB1-Normal3"/>
        <w:spacing w:before="120" w:after="120" w:line="240" w:lineRule="auto"/>
        <w:jc w:val="both"/>
        <w:rPr>
          <w:noProof/>
        </w:rPr>
      </w:pPr>
      <w:r>
        <w:rPr>
          <w:noProof/>
          <w:bdr w:val="none" w:sz="0" w:space="0" w:color="auto" w:frame="1"/>
        </w:rPr>
        <w:t>Syftet med denna reform är att</w:t>
      </w:r>
      <w:r>
        <w:rPr>
          <w:noProof/>
          <w:shd w:val="clear" w:color="auto" w:fill="FFFFFF"/>
        </w:rPr>
        <w:t xml:space="preserve"> anta den nationella planen för utveckling av sociala tjänster 2021–2027, som ska</w:t>
      </w:r>
    </w:p>
    <w:p w14:paraId="5BEEB6E4" w14:textId="77777777" w:rsidR="003A3D51" w:rsidRDefault="0002775A">
      <w:pPr>
        <w:pStyle w:val="P68B1DB1-Normal3"/>
        <w:numPr>
          <w:ilvl w:val="0"/>
          <w:numId w:val="28"/>
        </w:numPr>
        <w:spacing w:before="120" w:after="120" w:line="240" w:lineRule="auto"/>
        <w:jc w:val="both"/>
        <w:rPr>
          <w:noProof/>
        </w:rPr>
      </w:pPr>
      <w:r>
        <w:rPr>
          <w:noProof/>
        </w:rPr>
        <w:t>Fastställa prioriteringar för utvecklingen av sociala tjänster,</w:t>
      </w:r>
    </w:p>
    <w:p w14:paraId="6FEB2FC7" w14:textId="77777777" w:rsidR="003A3D51" w:rsidRDefault="0002775A">
      <w:pPr>
        <w:pStyle w:val="P68B1DB1-Normal3"/>
        <w:numPr>
          <w:ilvl w:val="0"/>
          <w:numId w:val="28"/>
        </w:numPr>
        <w:spacing w:before="120" w:after="120" w:line="240" w:lineRule="auto"/>
        <w:jc w:val="both"/>
        <w:rPr>
          <w:noProof/>
        </w:rPr>
      </w:pPr>
      <w:r>
        <w:rPr>
          <w:noProof/>
        </w:rPr>
        <w:t xml:space="preserve">Se över behoven av olika former av social omsorg, både icke-institutionell och institutionell, med särskilt fokus på långtidsarbetslösa, personer med funktionsnedsättning, mottagare av garanterade minimiförmåner, offer för våld och människohandel, ungdomar utan vård, hemlösa, migranter, romer och personer som avtjänar fängelsestraff, </w:t>
      </w:r>
    </w:p>
    <w:p w14:paraId="2C94D52A" w14:textId="77777777" w:rsidR="003A3D51" w:rsidRDefault="0002775A">
      <w:pPr>
        <w:pStyle w:val="P68B1DB1-Normal3"/>
        <w:numPr>
          <w:ilvl w:val="0"/>
          <w:numId w:val="28"/>
        </w:numPr>
        <w:spacing w:before="120" w:after="120" w:line="240" w:lineRule="auto"/>
        <w:jc w:val="both"/>
        <w:rPr>
          <w:noProof/>
        </w:rPr>
      </w:pPr>
      <w:r>
        <w:rPr>
          <w:noProof/>
        </w:rPr>
        <w:t xml:space="preserve">Utarbeta en systematisk plan för långvarig vård och omsorg som är anpassad till mottagarnas särskilda behov, </w:t>
      </w:r>
    </w:p>
    <w:p w14:paraId="64C26713" w14:textId="77777777" w:rsidR="003A3D51" w:rsidRDefault="0002775A">
      <w:pPr>
        <w:pStyle w:val="P68B1DB1-Normal3"/>
        <w:numPr>
          <w:ilvl w:val="0"/>
          <w:numId w:val="28"/>
        </w:numPr>
        <w:spacing w:before="120" w:after="120" w:line="240" w:lineRule="auto"/>
        <w:jc w:val="both"/>
        <w:rPr>
          <w:noProof/>
        </w:rPr>
      </w:pPr>
      <w:r>
        <w:rPr>
          <w:noProof/>
        </w:rPr>
        <w:t>Förteckna mål och kriterier för utveckling av boendetjänster för användare som funktionellt helt och hållet är beroende av institutionsvård och vars behov inte kan tillgodoses genom utominstitutionella tjänster, samhällstjänster och hemtjänster samt andra tjänster som förbättrar livskvaliteten och gör det möjligt för användarna att bo längre i sina hem och i samhället,</w:t>
      </w:r>
    </w:p>
    <w:p w14:paraId="10F9344C" w14:textId="77777777" w:rsidR="003A3D51" w:rsidRDefault="0002775A">
      <w:pPr>
        <w:pStyle w:val="P68B1DB1-Normal3"/>
        <w:numPr>
          <w:ilvl w:val="0"/>
          <w:numId w:val="28"/>
        </w:numPr>
        <w:spacing w:before="120" w:after="120" w:line="240" w:lineRule="auto"/>
        <w:jc w:val="both"/>
        <w:rPr>
          <w:noProof/>
        </w:rPr>
      </w:pPr>
      <w:r>
        <w:rPr>
          <w:noProof/>
        </w:rPr>
        <w:t>Anpassa tjänsterna för att fokusera på att ge enskilda personer möjlighet att påverka sin sociala ställning genom att gå från utestängning till inkludering och arbeta för att utvidga sitt sociala nätverk,</w:t>
      </w:r>
    </w:p>
    <w:p w14:paraId="43580CC5" w14:textId="77777777" w:rsidR="003A3D51" w:rsidRDefault="0002775A">
      <w:pPr>
        <w:pStyle w:val="P68B1DB1-Normal49"/>
        <w:numPr>
          <w:ilvl w:val="0"/>
          <w:numId w:val="28"/>
        </w:numPr>
        <w:spacing w:before="120" w:after="120" w:line="240" w:lineRule="auto"/>
        <w:jc w:val="both"/>
        <w:rPr>
          <w:noProof/>
        </w:rPr>
      </w:pPr>
      <w:r>
        <w:rPr>
          <w:noProof/>
        </w:rPr>
        <w:t>Utveckla en systematisk och integrerad långtidsvård för äldre som ska prioritera övergången från institutionaliserad vård till hemvård och samhällsbaserad äldreomsorg.</w:t>
      </w:r>
    </w:p>
    <w:p w14:paraId="23EEAE25" w14:textId="77777777" w:rsidR="003A3D51" w:rsidRDefault="0002775A">
      <w:pPr>
        <w:pStyle w:val="P68B1DB1-Normal3"/>
        <w:numPr>
          <w:ilvl w:val="0"/>
          <w:numId w:val="28"/>
        </w:numPr>
        <w:spacing w:before="120" w:after="120" w:line="240" w:lineRule="auto"/>
        <w:jc w:val="both"/>
        <w:rPr>
          <w:noProof/>
        </w:rPr>
      </w:pPr>
      <w:r>
        <w:rPr>
          <w:noProof/>
        </w:rPr>
        <w:t xml:space="preserve">Stödja utvecklingen av hemtjänster och samhällsbaserade tjänster för långvarig vård och omsorg. </w:t>
      </w:r>
    </w:p>
    <w:p w14:paraId="169B8D59" w14:textId="77777777" w:rsidR="003A3D51" w:rsidRDefault="0002775A">
      <w:pPr>
        <w:pStyle w:val="P68B1DB1-Normal3"/>
        <w:numPr>
          <w:ilvl w:val="0"/>
          <w:numId w:val="28"/>
        </w:numPr>
        <w:spacing w:before="120" w:after="120" w:line="240" w:lineRule="auto"/>
        <w:jc w:val="both"/>
        <w:rPr>
          <w:noProof/>
        </w:rPr>
      </w:pPr>
      <w:r>
        <w:rPr>
          <w:noProof/>
        </w:rPr>
        <w:t>Säkerställa tillgången till institutionella tjänster endast för äldre personer som funktionellt helt och hållet är beroende av institutionsvård och vars behov inte kan tillgodoses genom tjänster utanför institutionerna,</w:t>
      </w:r>
    </w:p>
    <w:p w14:paraId="688A42E1" w14:textId="77777777" w:rsidR="003A3D51" w:rsidRDefault="0002775A">
      <w:pPr>
        <w:pStyle w:val="P68B1DB1-Normal3"/>
        <w:numPr>
          <w:ilvl w:val="0"/>
          <w:numId w:val="28"/>
        </w:numPr>
        <w:spacing w:before="120" w:after="120" w:line="240" w:lineRule="auto"/>
        <w:jc w:val="both"/>
        <w:rPr>
          <w:noProof/>
        </w:rPr>
      </w:pPr>
      <w:r>
        <w:rPr>
          <w:noProof/>
        </w:rPr>
        <w:t xml:space="preserve">Planera för vård- och omsorgsboende eller vårdtid i hemmet, med en stark preferens för hemtjänst med beaktande av tillgången till tjänster och användarnas behov. </w:t>
      </w:r>
    </w:p>
    <w:p w14:paraId="1B34B0BF" w14:textId="77777777" w:rsidR="003A3D51" w:rsidRDefault="0002775A">
      <w:pPr>
        <w:pStyle w:val="P68B1DB1-Normal3"/>
        <w:spacing w:before="120" w:after="120" w:line="240" w:lineRule="auto"/>
        <w:jc w:val="both"/>
        <w:rPr>
          <w:noProof/>
        </w:rPr>
      </w:pPr>
      <w:r>
        <w:rPr>
          <w:noProof/>
          <w:bdr w:val="none" w:sz="0" w:space="0" w:color="auto" w:frame="1"/>
        </w:rPr>
        <w:t xml:space="preserve">Dessutom ska </w:t>
      </w:r>
      <w:r>
        <w:rPr>
          <w:noProof/>
          <w:shd w:val="clear" w:color="auto" w:fill="FFFFFF"/>
        </w:rPr>
        <w:t>standarder för behandling av familjeassistenter utvecklas som en del av reformen. Standardiseringen av yrkespraxis vid genomförandet av åtgärder för skydd av familjer ska bidra till att förbättra skyddet av barn, vuxna med funktionsnedsättning och äldre, utjämna kvaliteten på den tillhandahållna tjänsten och förhindra institutionalisering genom att tillhandahålla tjänster direkt i användarnas hem i samarbete med andra relevanta aktörer på lokal nivå.</w:t>
      </w:r>
    </w:p>
    <w:p w14:paraId="4F6D3E4B" w14:textId="77777777" w:rsidR="003A3D51" w:rsidRDefault="0002775A">
      <w:pPr>
        <w:pStyle w:val="P68B1DB1-Normal20"/>
        <w:spacing w:before="120" w:after="120" w:line="240" w:lineRule="auto"/>
        <w:jc w:val="both"/>
        <w:rPr>
          <w:noProof/>
        </w:rPr>
      </w:pPr>
      <w:r>
        <w:rPr>
          <w:noProof/>
        </w:rPr>
        <w:t>Reformen ska omfatta ändringar i den nya socialskyddslagen för att</w:t>
      </w:r>
    </w:p>
    <w:p w14:paraId="2CFB91D9" w14:textId="77777777" w:rsidR="003A3D51" w:rsidRDefault="0002775A">
      <w:pPr>
        <w:pStyle w:val="P68B1DB1-Normal20"/>
        <w:numPr>
          <w:ilvl w:val="0"/>
          <w:numId w:val="28"/>
        </w:numPr>
        <w:spacing w:before="120" w:after="120" w:line="240" w:lineRule="auto"/>
        <w:jc w:val="both"/>
        <w:rPr>
          <w:noProof/>
        </w:rPr>
      </w:pPr>
      <w:r>
        <w:rPr>
          <w:noProof/>
        </w:rPr>
        <w:t>Prioritera avinstitutionalisering inom långvarig vård och omsorg för att få till stånd strukturella förändringar på detta socialpolitiska område.</w:t>
      </w:r>
    </w:p>
    <w:p w14:paraId="4A16FA10" w14:textId="77777777" w:rsidR="003A3D51" w:rsidRDefault="0002775A">
      <w:pPr>
        <w:pStyle w:val="P68B1DB1-Normal20"/>
        <w:numPr>
          <w:ilvl w:val="0"/>
          <w:numId w:val="28"/>
        </w:numPr>
        <w:spacing w:before="120" w:after="120" w:line="240" w:lineRule="auto"/>
        <w:jc w:val="both"/>
        <w:rPr>
          <w:noProof/>
        </w:rPr>
      </w:pPr>
      <w:r>
        <w:rPr>
          <w:noProof/>
        </w:rPr>
        <w:t>Möjliggöra och främja samordning mellan sociala tjänster och säkerställa en samordnad strategi för det breda utbud av tjänster av hög kvalitet som de tillhandahåller.</w:t>
      </w:r>
    </w:p>
    <w:p w14:paraId="6E84158C" w14:textId="77777777" w:rsidR="003A3D51" w:rsidRDefault="0002775A">
      <w:pPr>
        <w:pStyle w:val="P68B1DB1-Normal20"/>
        <w:spacing w:before="120" w:after="120" w:line="240" w:lineRule="auto"/>
        <w:jc w:val="both"/>
        <w:rPr>
          <w:noProof/>
        </w:rPr>
      </w:pPr>
      <w:r>
        <w:rPr>
          <w:noProof/>
        </w:rPr>
        <w:t>Reformen ska vara genomförd senast den 31 december 2022. </w:t>
      </w:r>
    </w:p>
    <w:p w14:paraId="5C3B7E9D" w14:textId="77777777" w:rsidR="003A3D51" w:rsidRDefault="0002775A">
      <w:pPr>
        <w:pStyle w:val="P68B1DB1-Normal5"/>
        <w:spacing w:before="120" w:after="120" w:line="240" w:lineRule="auto"/>
        <w:ind w:left="850"/>
        <w:jc w:val="both"/>
        <w:rPr>
          <w:noProof/>
        </w:rPr>
      </w:pPr>
      <w:r>
        <w:rPr>
          <w:noProof/>
        </w:rPr>
        <w:t>Investering C4.3 R3-I1 – Stärka kapaciteten hos personer som arbetar med samhällsservice</w:t>
      </w:r>
    </w:p>
    <w:p w14:paraId="71753675" w14:textId="77777777" w:rsidR="003A3D51" w:rsidRDefault="0002775A">
      <w:pPr>
        <w:pStyle w:val="P68B1DB1-Normal49"/>
        <w:spacing w:before="120" w:after="120" w:line="240" w:lineRule="auto"/>
        <w:jc w:val="both"/>
        <w:rPr>
          <w:noProof/>
        </w:rPr>
      </w:pPr>
      <w:r>
        <w:rPr>
          <w:noProof/>
        </w:rPr>
        <w:t xml:space="preserve">Syftet med denna åtgärd är att förbättra den mänskliga kapaciteten att tillhandahålla sociala tjänster genom utbildning och rekrytering av yrkesverksamma. Investeringen ska finansiera utbildning och licensiering av 750 rådgivare om rättsliga familjeskyddsåtgärder och 40 familjeassistenter. Dessutom ska 400 professionella arbetstagare vid socialvårdsinstitutioner rekryteras för att tillhandahålla tjänster utanför institutionerna. Investeringen ska bidra till utvecklingen av och den regionala tillgängligheten till samhällsbaserade sociala tjänster och stärka de yrkesverksammas kompetens för standardiserad behandling i familje- och rättsskyddsarbete för att förhindra institutionalisering av barn, ungdomar och andra socialt utsatta grupper. </w:t>
      </w:r>
    </w:p>
    <w:p w14:paraId="38B71626" w14:textId="77777777" w:rsidR="003A3D51" w:rsidRDefault="0002775A">
      <w:pPr>
        <w:pStyle w:val="P68B1DB1-Normal20"/>
        <w:spacing w:before="120" w:after="120" w:line="240" w:lineRule="auto"/>
        <w:jc w:val="both"/>
        <w:rPr>
          <w:noProof/>
        </w:rPr>
      </w:pPr>
      <w:r>
        <w:rPr>
          <w:noProof/>
        </w:rPr>
        <w:t>Investeringen ska vara slutförd senast den 31 december 2024. </w:t>
      </w:r>
    </w:p>
    <w:p w14:paraId="154C6F54" w14:textId="77777777" w:rsidR="003A3D51" w:rsidRDefault="0002775A">
      <w:pPr>
        <w:pStyle w:val="P68B1DB1-Normal5"/>
        <w:spacing w:before="120" w:after="120" w:line="240" w:lineRule="auto"/>
        <w:ind w:left="850"/>
        <w:jc w:val="both"/>
        <w:rPr>
          <w:noProof/>
        </w:rPr>
      </w:pPr>
      <w:r>
        <w:rPr>
          <w:noProof/>
        </w:rPr>
        <w:t>Investering C4.3 R3 – I3 – Förbättra digitaliseringen av de sociala välfärdssystemen och införa ett system för beräkning av priser på sociala tjänster</w:t>
      </w:r>
    </w:p>
    <w:p w14:paraId="3057A2FD" w14:textId="77777777" w:rsidR="003A3D51" w:rsidRDefault="0002775A">
      <w:pPr>
        <w:pStyle w:val="P68B1DB1-Normal3"/>
        <w:spacing w:before="120" w:after="120" w:line="240" w:lineRule="auto"/>
        <w:jc w:val="both"/>
        <w:rPr>
          <w:noProof/>
        </w:rPr>
      </w:pPr>
      <w:r>
        <w:rPr>
          <w:noProof/>
          <w:bdr w:val="none" w:sz="0" w:space="0" w:color="auto" w:frame="1"/>
        </w:rPr>
        <w:t>Syftet med denna åtgärd är att</w:t>
      </w:r>
      <w:r>
        <w:rPr>
          <w:noProof/>
          <w:shd w:val="clear" w:color="auto" w:fill="FFFFFF"/>
        </w:rPr>
        <w:t xml:space="preserve"> utveckla en </w:t>
      </w:r>
      <w:r>
        <w:rPr>
          <w:noProof/>
        </w:rPr>
        <w:t xml:space="preserve">ny datahanteringslösning för leverantörer av sociala tjänster som finansieras genom statsbudgeten. Den viktigaste funktionen hos den utvecklade datahanteringslösningen ska vara automatiserad datainsamling, kvalitetsanalys och beräkning av priser på sociala tjänster. Investeringen ska finansiera programvaru-, maskinvaru- och utbildningskrav för att möjliggöra en fullständig funktionalitet för lösningen. </w:t>
      </w:r>
    </w:p>
    <w:p w14:paraId="2D14839A" w14:textId="77777777" w:rsidR="003A3D51" w:rsidRDefault="0002775A">
      <w:pPr>
        <w:pStyle w:val="P68B1DB1-Normal50"/>
        <w:rPr>
          <w:noProof/>
        </w:rPr>
      </w:pPr>
      <w:r>
        <w:rPr>
          <w:noProof/>
        </w:rPr>
        <w:t>Åtgärden ska vara slutförd senast den 31 december 2023. </w:t>
      </w:r>
    </w:p>
    <w:p w14:paraId="07096D8F" w14:textId="77777777" w:rsidR="003A3D51" w:rsidRDefault="0002775A">
      <w:pPr>
        <w:pStyle w:val="P68B1DB1-Normal3"/>
        <w:spacing w:before="120" w:after="120" w:line="240" w:lineRule="auto"/>
        <w:ind w:left="850"/>
        <w:jc w:val="both"/>
        <w:rPr>
          <w:noProof/>
          <w:u w:val="single"/>
        </w:rPr>
      </w:pPr>
      <w:r>
        <w:rPr>
          <w:noProof/>
          <w:shd w:val="clear" w:color="auto" w:fill="FFFFFF"/>
        </w:rPr>
        <w:t> </w:t>
      </w:r>
      <w:r>
        <w:rPr>
          <w:noProof/>
          <w:u w:val="single"/>
        </w:rPr>
        <w:t>Investering C4.3 R3-I4 – Byggande och utrustning av centrum för äldreomsorg (hemtjänst och närvård samt institutionella tjänster)</w:t>
      </w:r>
    </w:p>
    <w:p w14:paraId="0FBCCCC9" w14:textId="77777777" w:rsidR="003A3D51" w:rsidRDefault="0002775A">
      <w:pPr>
        <w:pStyle w:val="P68B1DB1-Normal49"/>
        <w:spacing w:before="120" w:after="120" w:line="240" w:lineRule="auto"/>
        <w:jc w:val="both"/>
        <w:rPr>
          <w:noProof/>
        </w:rPr>
      </w:pPr>
      <w:r>
        <w:rPr>
          <w:noProof/>
        </w:rPr>
        <w:t xml:space="preserve">Syftet med denna åtgärd är att uppföra åtta centrum för äldre som ska rymma 800 äldre vuxna som funktionellt helt och hållet är beroende av institutionsvård och vars behov inte kan tillgodoses genom tjänster utanför institutionerna. Dessutom ska äldrecentren skapa förutsättningar för att tillhandahålla samhällsvård och tjänster utanför institutionerna till äldre som bor i hemmet. Placeringen av centrum för äldreomsorg ska fastställas genom en offentlig inbjudan för att göra det möjligt för städer och län att delta i byggandet och utrustningen av centrum för äldre, medan urvalskriterierna ska baseras på förmågan att säkerställa investeringarnas hållbarhet och den regionala dimensionen för att uppnå en jämn territoriell kapacitetstäckning, på grundval av kartläggningsanalysen. </w:t>
      </w:r>
    </w:p>
    <w:p w14:paraId="5908F995" w14:textId="77777777" w:rsidR="003A3D51" w:rsidRDefault="0002775A">
      <w:pPr>
        <w:pStyle w:val="P68B1DB1-Normal20"/>
        <w:spacing w:before="120" w:after="120" w:line="240" w:lineRule="auto"/>
        <w:jc w:val="both"/>
        <w:rPr>
          <w:noProof/>
        </w:rPr>
      </w:pPr>
      <w:r>
        <w:rPr>
          <w:noProof/>
        </w:rPr>
        <w:t>Investeringen ska vara slutförd senast den 30 juni 2026. </w:t>
      </w:r>
    </w:p>
    <w:p w14:paraId="485BBCAB" w14:textId="77777777" w:rsidR="003A3D51" w:rsidRDefault="003A3D51">
      <w:pPr>
        <w:rPr>
          <w:rFonts w:ascii="Calibri" w:eastAsia="Calibri" w:hAnsi="Calibri" w:cs="Arial"/>
          <w:noProof/>
          <w:shd w:val="clear" w:color="auto" w:fill="FFFFFF"/>
        </w:rPr>
      </w:pPr>
    </w:p>
    <w:p w14:paraId="0261C969" w14:textId="77777777" w:rsidR="003A3D51" w:rsidRDefault="003A3D51">
      <w:pPr>
        <w:rPr>
          <w:rFonts w:ascii="Calibri" w:eastAsia="Calibri" w:hAnsi="Calibri" w:cs="Arial"/>
          <w:noProof/>
          <w:shd w:val="clear" w:color="auto" w:fill="FFFFFF"/>
        </w:rPr>
      </w:pPr>
    </w:p>
    <w:p w14:paraId="7C787A16" w14:textId="77777777" w:rsidR="003A3D51" w:rsidRDefault="003A3D51">
      <w:pPr>
        <w:rPr>
          <w:noProof/>
        </w:rPr>
        <w:sectPr w:rsidR="003A3D51" w:rsidSect="00932F3F">
          <w:headerReference w:type="even" r:id="rId330"/>
          <w:headerReference w:type="default" r:id="rId331"/>
          <w:footerReference w:type="even" r:id="rId332"/>
          <w:footerReference w:type="default" r:id="rId333"/>
          <w:headerReference w:type="first" r:id="rId334"/>
          <w:footerReference w:type="first" r:id="rId335"/>
          <w:pgSz w:w="12240" w:h="15840"/>
          <w:pgMar w:top="1440" w:right="1440" w:bottom="1440" w:left="1440" w:header="708" w:footer="708" w:gutter="0"/>
          <w:cols w:space="708"/>
          <w:docGrid w:linePitch="360"/>
        </w:sectPr>
      </w:pPr>
    </w:p>
    <w:p w14:paraId="34F09FFF" w14:textId="77777777" w:rsidR="003A3D51" w:rsidRDefault="0002775A">
      <w:pPr>
        <w:pStyle w:val="P68B1DB1-Normal4"/>
        <w:keepNext/>
        <w:tabs>
          <w:tab w:val="num" w:pos="284"/>
        </w:tabs>
        <w:spacing w:before="40" w:after="0"/>
        <w:jc w:val="both"/>
        <w:outlineLvl w:val="1"/>
        <w:rPr>
          <w:noProof/>
        </w:rPr>
      </w:pPr>
      <w:r>
        <w:rPr>
          <w:noProof/>
        </w:rPr>
        <w:t xml:space="preserve">T.2. </w:t>
      </w:r>
      <w:r>
        <w:rPr>
          <w:noProof/>
        </w:rPr>
        <w:tab/>
        <w:t>Delmål, mål, indikatorer och tidsplan för övervakning och genomförande avseende icke återbetalningspliktigt ekonomiskt stöd</w:t>
      </w:r>
    </w:p>
    <w:p w14:paraId="0E36C9BD" w14:textId="77777777" w:rsidR="003A3D51" w:rsidRDefault="003A3D51">
      <w:pPr>
        <w:keepNext/>
        <w:tabs>
          <w:tab w:val="num" w:pos="850"/>
        </w:tabs>
        <w:spacing w:before="40" w:after="0"/>
        <w:ind w:left="851"/>
        <w:jc w:val="both"/>
        <w:outlineLvl w:val="1"/>
        <w:rPr>
          <w:rFonts w:ascii="Times New Roman" w:eastAsia="SimSun" w:hAnsi="Times New Roman" w:cs="Times New Roman"/>
          <w:b/>
          <w:noProof/>
          <w:sz w:val="24"/>
          <w:u w:val="single"/>
        </w:rPr>
      </w:pPr>
    </w:p>
    <w:tbl>
      <w:tblPr>
        <w:tblW w:w="14970" w:type="dxa"/>
        <w:jc w:val="center"/>
        <w:tblCellMar>
          <w:top w:w="28" w:type="dxa"/>
          <w:left w:w="28" w:type="dxa"/>
          <w:bottom w:w="28" w:type="dxa"/>
          <w:right w:w="28" w:type="dxa"/>
        </w:tblCellMar>
        <w:tblLook w:val="04A0" w:firstRow="1" w:lastRow="0" w:firstColumn="1" w:lastColumn="0" w:noHBand="0" w:noVBand="1"/>
      </w:tblPr>
      <w:tblGrid>
        <w:gridCol w:w="716"/>
        <w:gridCol w:w="825"/>
        <w:gridCol w:w="946"/>
        <w:gridCol w:w="2039"/>
        <w:gridCol w:w="2171"/>
        <w:gridCol w:w="1010"/>
        <w:gridCol w:w="802"/>
        <w:gridCol w:w="874"/>
        <w:gridCol w:w="795"/>
        <w:gridCol w:w="907"/>
        <w:gridCol w:w="4127"/>
      </w:tblGrid>
      <w:tr w:rsidR="003A3D51" w14:paraId="52943171" w14:textId="77777777">
        <w:trPr>
          <w:trHeight w:val="634"/>
          <w:tblHeader/>
          <w:jc w:val="center"/>
        </w:trPr>
        <w:tc>
          <w:tcPr>
            <w:tcW w:w="7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E611CD" w14:textId="77777777" w:rsidR="003A3D51" w:rsidRDefault="0002775A">
            <w:pPr>
              <w:pStyle w:val="P68B1DB1-Normal6"/>
              <w:spacing w:after="0" w:line="276" w:lineRule="auto"/>
              <w:jc w:val="center"/>
              <w:rPr>
                <w:noProof/>
              </w:rPr>
            </w:pPr>
            <w:r>
              <w:rPr>
                <w:noProof/>
              </w:rPr>
              <w:t>Antal</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345E3E1" w14:textId="77777777" w:rsidR="003A3D51" w:rsidRDefault="0002775A">
            <w:pPr>
              <w:pStyle w:val="P68B1DB1-Normal6"/>
              <w:spacing w:after="0" w:line="276" w:lineRule="auto"/>
              <w:jc w:val="center"/>
              <w:rPr>
                <w:noProof/>
              </w:rPr>
            </w:pPr>
            <w:r>
              <w:rPr>
                <w:noProof/>
              </w:rPr>
              <w:t>Åtgärd</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43F29F" w14:textId="77777777" w:rsidR="003A3D51" w:rsidRDefault="0002775A">
            <w:pPr>
              <w:pStyle w:val="P68B1DB1-Normal6"/>
              <w:spacing w:after="0" w:line="276" w:lineRule="auto"/>
              <w:jc w:val="center"/>
              <w:rPr>
                <w:noProof/>
              </w:rPr>
            </w:pPr>
            <w:r>
              <w:rPr>
                <w:noProof/>
              </w:rPr>
              <w:t>Delmål/mål</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BFAD55" w14:textId="77777777" w:rsidR="003A3D51" w:rsidRDefault="0002775A">
            <w:pPr>
              <w:pStyle w:val="P68B1DB1-Normal6"/>
              <w:spacing w:after="0" w:line="276" w:lineRule="auto"/>
              <w:jc w:val="center"/>
              <w:rPr>
                <w:noProof/>
              </w:rPr>
            </w:pPr>
            <w:r>
              <w:rPr>
                <w:noProof/>
              </w:rPr>
              <w:t>Namn</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695B1D"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30D93B15"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616" w:type="dxa"/>
            <w:gridSpan w:val="2"/>
            <w:tcBorders>
              <w:top w:val="single" w:sz="4" w:space="0" w:color="auto"/>
              <w:left w:val="nil"/>
              <w:bottom w:val="single" w:sz="4" w:space="0" w:color="auto"/>
              <w:right w:val="single" w:sz="4" w:space="0" w:color="auto"/>
            </w:tcBorders>
            <w:shd w:val="clear" w:color="auto" w:fill="BDD7EE"/>
            <w:vAlign w:val="center"/>
            <w:hideMark/>
          </w:tcPr>
          <w:p w14:paraId="18BC5C6A" w14:textId="77777777" w:rsidR="003A3D51" w:rsidRDefault="0002775A">
            <w:pPr>
              <w:pStyle w:val="P68B1DB1-Normal6"/>
              <w:spacing w:after="0" w:line="276" w:lineRule="auto"/>
              <w:jc w:val="center"/>
              <w:rPr>
                <w:noProof/>
              </w:rPr>
            </w:pPr>
            <w:r>
              <w:rPr>
                <w:noProof/>
              </w:rPr>
              <w:t>Tid</w:t>
            </w:r>
          </w:p>
        </w:tc>
        <w:tc>
          <w:tcPr>
            <w:tcW w:w="41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320270" w14:textId="77777777" w:rsidR="003A3D51" w:rsidRDefault="0002775A">
            <w:pPr>
              <w:pStyle w:val="P68B1DB1-Normal6"/>
              <w:spacing w:after="0" w:line="276" w:lineRule="auto"/>
              <w:jc w:val="center"/>
              <w:rPr>
                <w:noProof/>
              </w:rPr>
            </w:pPr>
            <w:r>
              <w:rPr>
                <w:noProof/>
              </w:rPr>
              <w:t>Beskrivning av varje delmål och mål</w:t>
            </w:r>
          </w:p>
        </w:tc>
      </w:tr>
      <w:tr w:rsidR="003A3D51" w14:paraId="660EC861" w14:textId="77777777">
        <w:trPr>
          <w:trHeight w:val="502"/>
          <w:tblHeader/>
          <w:jc w:val="center"/>
        </w:trPr>
        <w:tc>
          <w:tcPr>
            <w:tcW w:w="716" w:type="dxa"/>
            <w:vMerge/>
            <w:tcBorders>
              <w:top w:val="single" w:sz="4" w:space="0" w:color="auto"/>
              <w:left w:val="single" w:sz="4" w:space="0" w:color="auto"/>
              <w:bottom w:val="single" w:sz="4" w:space="0" w:color="auto"/>
              <w:right w:val="single" w:sz="4" w:space="0" w:color="auto"/>
            </w:tcBorders>
            <w:hideMark/>
          </w:tcPr>
          <w:p w14:paraId="1A39A314" w14:textId="77777777" w:rsidR="003A3D51" w:rsidRDefault="003A3D51">
            <w:pPr>
              <w:spacing w:after="0" w:line="276" w:lineRule="auto"/>
              <w:jc w:val="center"/>
              <w:rPr>
                <w:rFonts w:ascii="Times New Roman" w:eastAsia="Times New Roman" w:hAnsi="Times New Roman" w:cs="Times New Roman"/>
                <w:b/>
                <w:noProof/>
              </w:rPr>
            </w:pPr>
          </w:p>
        </w:tc>
        <w:tc>
          <w:tcPr>
            <w:tcW w:w="825" w:type="dxa"/>
            <w:vMerge/>
            <w:tcBorders>
              <w:top w:val="single" w:sz="4" w:space="0" w:color="auto"/>
              <w:left w:val="single" w:sz="4" w:space="0" w:color="auto"/>
              <w:bottom w:val="single" w:sz="4" w:space="0" w:color="auto"/>
              <w:right w:val="single" w:sz="4" w:space="0" w:color="auto"/>
            </w:tcBorders>
            <w:hideMark/>
          </w:tcPr>
          <w:p w14:paraId="303206BD" w14:textId="77777777" w:rsidR="003A3D51" w:rsidRDefault="003A3D51">
            <w:pPr>
              <w:spacing w:after="0" w:line="276" w:lineRule="auto"/>
              <w:jc w:val="center"/>
              <w:rPr>
                <w:rFonts w:ascii="Times New Roman" w:eastAsia="Times New Roman" w:hAnsi="Times New Roman" w:cs="Times New Roman"/>
                <w:b/>
                <w:noProof/>
              </w:rPr>
            </w:pPr>
          </w:p>
        </w:tc>
        <w:tc>
          <w:tcPr>
            <w:tcW w:w="825" w:type="dxa"/>
            <w:vMerge/>
            <w:tcBorders>
              <w:top w:val="single" w:sz="4" w:space="0" w:color="auto"/>
              <w:left w:val="single" w:sz="4" w:space="0" w:color="auto"/>
              <w:bottom w:val="single" w:sz="4" w:space="0" w:color="auto"/>
              <w:right w:val="single" w:sz="4" w:space="0" w:color="auto"/>
            </w:tcBorders>
            <w:hideMark/>
          </w:tcPr>
          <w:p w14:paraId="0A395DA6" w14:textId="77777777" w:rsidR="003A3D51" w:rsidRDefault="003A3D51">
            <w:pPr>
              <w:spacing w:after="0" w:line="276" w:lineRule="auto"/>
              <w:jc w:val="center"/>
              <w:rPr>
                <w:rFonts w:ascii="Times New Roman" w:eastAsia="Times New Roman" w:hAnsi="Times New Roman" w:cs="Times New Roman"/>
                <w:b/>
                <w:noProof/>
              </w:rPr>
            </w:pPr>
          </w:p>
        </w:tc>
        <w:tc>
          <w:tcPr>
            <w:tcW w:w="2039" w:type="dxa"/>
            <w:vMerge/>
            <w:tcBorders>
              <w:top w:val="single" w:sz="4" w:space="0" w:color="auto"/>
              <w:left w:val="single" w:sz="4" w:space="0" w:color="auto"/>
              <w:bottom w:val="single" w:sz="4" w:space="0" w:color="auto"/>
              <w:right w:val="single" w:sz="4" w:space="0" w:color="auto"/>
            </w:tcBorders>
            <w:hideMark/>
          </w:tcPr>
          <w:p w14:paraId="55CA6CBD" w14:textId="77777777" w:rsidR="003A3D51" w:rsidRDefault="003A3D51">
            <w:pPr>
              <w:spacing w:after="0" w:line="276" w:lineRule="auto"/>
              <w:rPr>
                <w:rFonts w:ascii="Times New Roman" w:eastAsia="Times New Roman" w:hAnsi="Times New Roman" w:cs="Times New Roman"/>
                <w:b/>
                <w:noProof/>
              </w:rPr>
            </w:pPr>
          </w:p>
        </w:tc>
        <w:tc>
          <w:tcPr>
            <w:tcW w:w="2171" w:type="dxa"/>
            <w:vMerge/>
            <w:tcBorders>
              <w:top w:val="single" w:sz="4" w:space="0" w:color="auto"/>
              <w:left w:val="single" w:sz="4" w:space="0" w:color="auto"/>
              <w:bottom w:val="single" w:sz="4" w:space="0" w:color="auto"/>
              <w:right w:val="single" w:sz="4" w:space="0" w:color="auto"/>
            </w:tcBorders>
            <w:hideMark/>
          </w:tcPr>
          <w:p w14:paraId="51BA7AC8" w14:textId="77777777" w:rsidR="003A3D51" w:rsidRDefault="003A3D51">
            <w:pPr>
              <w:spacing w:after="0" w:line="276" w:lineRule="auto"/>
              <w:rPr>
                <w:rFonts w:ascii="Times New Roman" w:eastAsia="Times New Roman" w:hAnsi="Times New Roman" w:cs="Times New Roman"/>
                <w:b/>
                <w:noProof/>
              </w:rPr>
            </w:pPr>
          </w:p>
        </w:tc>
        <w:tc>
          <w:tcPr>
            <w:tcW w:w="975" w:type="dxa"/>
            <w:tcBorders>
              <w:top w:val="nil"/>
              <w:left w:val="single" w:sz="4" w:space="0" w:color="auto"/>
              <w:bottom w:val="single" w:sz="4" w:space="0" w:color="auto"/>
              <w:right w:val="single" w:sz="4" w:space="0" w:color="auto"/>
            </w:tcBorders>
            <w:shd w:val="clear" w:color="auto" w:fill="BDD7EE"/>
            <w:vAlign w:val="center"/>
            <w:hideMark/>
          </w:tcPr>
          <w:p w14:paraId="7A05289D" w14:textId="77777777" w:rsidR="003A3D51" w:rsidRDefault="0002775A">
            <w:pPr>
              <w:pStyle w:val="P68B1DB1-Normal6"/>
              <w:spacing w:after="0" w:line="276" w:lineRule="auto"/>
              <w:jc w:val="center"/>
              <w:rPr>
                <w:noProof/>
              </w:rPr>
            </w:pPr>
            <w:r>
              <w:rPr>
                <w:noProof/>
              </w:rPr>
              <w:t>Enhet</w:t>
            </w:r>
          </w:p>
        </w:tc>
        <w:tc>
          <w:tcPr>
            <w:tcW w:w="802" w:type="dxa"/>
            <w:tcBorders>
              <w:top w:val="nil"/>
              <w:left w:val="nil"/>
              <w:bottom w:val="single" w:sz="4" w:space="0" w:color="auto"/>
              <w:right w:val="single" w:sz="4" w:space="0" w:color="auto"/>
            </w:tcBorders>
            <w:shd w:val="clear" w:color="auto" w:fill="BDD7EE"/>
            <w:vAlign w:val="center"/>
            <w:hideMark/>
          </w:tcPr>
          <w:p w14:paraId="32F406B2" w14:textId="77777777" w:rsidR="003A3D51" w:rsidRDefault="0002775A">
            <w:pPr>
              <w:pStyle w:val="P68B1DB1-Normal6"/>
              <w:spacing w:after="0" w:line="276" w:lineRule="auto"/>
              <w:jc w:val="center"/>
              <w:rPr>
                <w:noProof/>
              </w:rPr>
            </w:pPr>
            <w:r>
              <w:rPr>
                <w:noProof/>
              </w:rPr>
              <w:t>Baslinjen</w:t>
            </w:r>
          </w:p>
        </w:tc>
        <w:tc>
          <w:tcPr>
            <w:tcW w:w="874" w:type="dxa"/>
            <w:tcBorders>
              <w:top w:val="nil"/>
              <w:left w:val="nil"/>
              <w:bottom w:val="single" w:sz="4" w:space="0" w:color="auto"/>
              <w:right w:val="single" w:sz="4" w:space="0" w:color="auto"/>
            </w:tcBorders>
            <w:shd w:val="clear" w:color="auto" w:fill="BDD7EE"/>
            <w:vAlign w:val="center"/>
            <w:hideMark/>
          </w:tcPr>
          <w:p w14:paraId="56B1B7A6" w14:textId="77777777" w:rsidR="003A3D51" w:rsidRDefault="0002775A">
            <w:pPr>
              <w:pStyle w:val="P68B1DB1-Normal6"/>
              <w:spacing w:after="0" w:line="276" w:lineRule="auto"/>
              <w:jc w:val="center"/>
              <w:rPr>
                <w:noProof/>
              </w:rPr>
            </w:pPr>
            <w:r>
              <w:rPr>
                <w:noProof/>
              </w:rPr>
              <w:t>Mål</w:t>
            </w:r>
          </w:p>
        </w:tc>
        <w:tc>
          <w:tcPr>
            <w:tcW w:w="709" w:type="dxa"/>
            <w:tcBorders>
              <w:top w:val="nil"/>
              <w:left w:val="nil"/>
              <w:bottom w:val="single" w:sz="4" w:space="0" w:color="auto"/>
              <w:right w:val="single" w:sz="4" w:space="0" w:color="auto"/>
            </w:tcBorders>
            <w:shd w:val="clear" w:color="auto" w:fill="BDD7EE"/>
            <w:vAlign w:val="center"/>
            <w:hideMark/>
          </w:tcPr>
          <w:p w14:paraId="7ADF451A" w14:textId="77777777" w:rsidR="003A3D51" w:rsidRDefault="0002775A">
            <w:pPr>
              <w:pStyle w:val="P68B1DB1-Normal6"/>
              <w:spacing w:after="0" w:line="276" w:lineRule="auto"/>
              <w:jc w:val="center"/>
              <w:rPr>
                <w:noProof/>
              </w:rPr>
            </w:pPr>
            <w:r>
              <w:rPr>
                <w:noProof/>
              </w:rPr>
              <w:t>Q</w:t>
            </w:r>
          </w:p>
        </w:tc>
        <w:tc>
          <w:tcPr>
            <w:tcW w:w="907" w:type="dxa"/>
            <w:tcBorders>
              <w:top w:val="nil"/>
              <w:left w:val="nil"/>
              <w:bottom w:val="single" w:sz="4" w:space="0" w:color="auto"/>
              <w:right w:val="single" w:sz="4" w:space="0" w:color="auto"/>
            </w:tcBorders>
            <w:shd w:val="clear" w:color="auto" w:fill="BDD7EE"/>
            <w:vAlign w:val="center"/>
            <w:hideMark/>
          </w:tcPr>
          <w:p w14:paraId="626AE291" w14:textId="77777777" w:rsidR="003A3D51" w:rsidRDefault="0002775A">
            <w:pPr>
              <w:pStyle w:val="P68B1DB1-Normal6"/>
              <w:spacing w:after="0" w:line="276" w:lineRule="auto"/>
              <w:jc w:val="center"/>
              <w:rPr>
                <w:noProof/>
              </w:rPr>
            </w:pPr>
            <w:r>
              <w:rPr>
                <w:noProof/>
              </w:rPr>
              <w:t>Året</w:t>
            </w:r>
          </w:p>
        </w:tc>
        <w:tc>
          <w:tcPr>
            <w:tcW w:w="4127" w:type="dxa"/>
            <w:vMerge/>
            <w:tcBorders>
              <w:bottom w:val="single" w:sz="4" w:space="0" w:color="auto"/>
              <w:right w:val="single" w:sz="4" w:space="0" w:color="auto"/>
            </w:tcBorders>
            <w:hideMark/>
          </w:tcPr>
          <w:p w14:paraId="3982B2B6" w14:textId="77777777" w:rsidR="003A3D51" w:rsidRDefault="003A3D51">
            <w:pPr>
              <w:spacing w:after="0" w:line="276" w:lineRule="auto"/>
              <w:rPr>
                <w:rFonts w:ascii="Times New Roman" w:eastAsia="Times New Roman" w:hAnsi="Times New Roman" w:cs="Times New Roman"/>
                <w:b/>
                <w:noProof/>
              </w:rPr>
            </w:pPr>
          </w:p>
        </w:tc>
      </w:tr>
      <w:tr w:rsidR="003A3D51" w14:paraId="24E2C322"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602A3064" w14:textId="77777777" w:rsidR="003A3D51" w:rsidRDefault="0002775A">
            <w:pPr>
              <w:pStyle w:val="P68B1DB1-Normal7"/>
              <w:spacing w:after="0" w:line="276" w:lineRule="auto"/>
              <w:jc w:val="center"/>
              <w:rPr>
                <w:rFonts w:ascii="Times New Roman" w:hAnsi="Times New Roman" w:cs="Times New Roman"/>
                <w:noProof/>
              </w:rPr>
            </w:pPr>
            <w:r>
              <w:rPr>
                <w:noProof/>
              </w:rPr>
              <w:t>302</w:t>
            </w:r>
          </w:p>
        </w:tc>
        <w:tc>
          <w:tcPr>
            <w:tcW w:w="825" w:type="dxa"/>
            <w:tcBorders>
              <w:top w:val="single" w:sz="4" w:space="0" w:color="auto"/>
              <w:left w:val="nil"/>
              <w:bottom w:val="single" w:sz="4" w:space="0" w:color="auto"/>
              <w:right w:val="single" w:sz="4" w:space="0" w:color="auto"/>
            </w:tcBorders>
            <w:shd w:val="clear" w:color="auto" w:fill="C6EFCE"/>
            <w:noWrap/>
          </w:tcPr>
          <w:p w14:paraId="4D8F4F88" w14:textId="77777777" w:rsidR="003A3D51" w:rsidRDefault="0002775A">
            <w:pPr>
              <w:pStyle w:val="P68B1DB1-Normal7"/>
              <w:spacing w:after="200" w:line="276" w:lineRule="auto"/>
              <w:jc w:val="center"/>
              <w:rPr>
                <w:rFonts w:ascii="Times New Roman" w:hAnsi="Times New Roman" w:cs="Times New Roman"/>
                <w:noProof/>
              </w:rPr>
            </w:pPr>
            <w:r>
              <w:rPr>
                <w:noProof/>
              </w:rPr>
              <w:t>C4.3 R1</w:t>
            </w:r>
          </w:p>
        </w:tc>
        <w:tc>
          <w:tcPr>
            <w:tcW w:w="825" w:type="dxa"/>
            <w:tcBorders>
              <w:top w:val="single" w:sz="4" w:space="0" w:color="auto"/>
              <w:left w:val="nil"/>
              <w:bottom w:val="single" w:sz="4" w:space="0" w:color="auto"/>
              <w:right w:val="single" w:sz="4" w:space="0" w:color="auto"/>
            </w:tcBorders>
            <w:shd w:val="clear" w:color="auto" w:fill="C6EFCE"/>
            <w:noWrap/>
          </w:tcPr>
          <w:p w14:paraId="0DEB012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single" w:sz="4" w:space="0" w:color="auto"/>
              <w:left w:val="nil"/>
              <w:bottom w:val="single" w:sz="4" w:space="0" w:color="auto"/>
              <w:right w:val="single" w:sz="4" w:space="0" w:color="auto"/>
            </w:tcBorders>
            <w:shd w:val="clear" w:color="auto" w:fill="C6EFCE"/>
            <w:noWrap/>
          </w:tcPr>
          <w:p w14:paraId="0B9717F9" w14:textId="77777777" w:rsidR="003A3D51" w:rsidRDefault="0002775A">
            <w:pPr>
              <w:pStyle w:val="P68B1DB1-Normal7"/>
              <w:spacing w:after="200" w:line="276" w:lineRule="auto"/>
              <w:rPr>
                <w:rFonts w:ascii="Times New Roman" w:hAnsi="Times New Roman" w:cs="Times New Roman"/>
                <w:noProof/>
              </w:rPr>
            </w:pPr>
            <w:r>
              <w:rPr>
                <w:noProof/>
              </w:rPr>
              <w:t>Antagande av den nationella planen mot fattigdom och social utestängning 2021–2027</w:t>
            </w:r>
          </w:p>
        </w:tc>
        <w:tc>
          <w:tcPr>
            <w:tcW w:w="2171" w:type="dxa"/>
            <w:tcBorders>
              <w:top w:val="single" w:sz="4" w:space="0" w:color="auto"/>
              <w:left w:val="nil"/>
              <w:bottom w:val="single" w:sz="4" w:space="0" w:color="auto"/>
              <w:right w:val="single" w:sz="4" w:space="0" w:color="auto"/>
            </w:tcBorders>
            <w:shd w:val="clear" w:color="auto" w:fill="C6EFCE"/>
            <w:noWrap/>
          </w:tcPr>
          <w:p w14:paraId="3E7F5BC9" w14:textId="77777777" w:rsidR="003A3D51" w:rsidRDefault="0002775A">
            <w:pPr>
              <w:pStyle w:val="P68B1DB1-Normal7"/>
              <w:spacing w:after="200" w:line="276" w:lineRule="auto"/>
              <w:rPr>
                <w:rFonts w:ascii="Times New Roman" w:hAnsi="Times New Roman" w:cs="Times New Roman"/>
                <w:noProof/>
              </w:rPr>
            </w:pPr>
            <w:r>
              <w:rPr>
                <w:noProof/>
              </w:rPr>
              <w:t>Antagande av den nationella planen mot fattigdom och social utestängning 2021–2027</w:t>
            </w:r>
          </w:p>
        </w:tc>
        <w:tc>
          <w:tcPr>
            <w:tcW w:w="975" w:type="dxa"/>
            <w:tcBorders>
              <w:top w:val="nil"/>
              <w:left w:val="nil"/>
              <w:bottom w:val="single" w:sz="4" w:space="0" w:color="auto"/>
              <w:right w:val="single" w:sz="4" w:space="0" w:color="auto"/>
            </w:tcBorders>
            <w:shd w:val="clear" w:color="auto" w:fill="C6EFCE"/>
            <w:noWrap/>
          </w:tcPr>
          <w:p w14:paraId="36F10DE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02" w:type="dxa"/>
            <w:tcBorders>
              <w:top w:val="nil"/>
              <w:left w:val="nil"/>
              <w:bottom w:val="single" w:sz="4" w:space="0" w:color="auto"/>
              <w:right w:val="single" w:sz="4" w:space="0" w:color="auto"/>
            </w:tcBorders>
            <w:shd w:val="clear" w:color="auto" w:fill="C6EFCE"/>
            <w:noWrap/>
          </w:tcPr>
          <w:p w14:paraId="58B02A1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74" w:type="dxa"/>
            <w:tcBorders>
              <w:top w:val="nil"/>
              <w:left w:val="nil"/>
              <w:bottom w:val="single" w:sz="4" w:space="0" w:color="auto"/>
              <w:right w:val="single" w:sz="4" w:space="0" w:color="auto"/>
            </w:tcBorders>
            <w:shd w:val="clear" w:color="auto" w:fill="C6EFCE"/>
            <w:noWrap/>
          </w:tcPr>
          <w:p w14:paraId="794CA5C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0C7FA353"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nil"/>
              <w:left w:val="nil"/>
              <w:bottom w:val="single" w:sz="4" w:space="0" w:color="auto"/>
              <w:right w:val="single" w:sz="4" w:space="0" w:color="auto"/>
            </w:tcBorders>
            <w:shd w:val="clear" w:color="auto" w:fill="C6EFCE"/>
            <w:noWrap/>
          </w:tcPr>
          <w:p w14:paraId="17A96246"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127" w:type="dxa"/>
            <w:tcBorders>
              <w:top w:val="single" w:sz="4" w:space="0" w:color="auto"/>
              <w:left w:val="nil"/>
              <w:bottom w:val="single" w:sz="4" w:space="0" w:color="auto"/>
              <w:right w:val="single" w:sz="4" w:space="0" w:color="auto"/>
            </w:tcBorders>
            <w:shd w:val="clear" w:color="auto" w:fill="C6EFCE"/>
            <w:noWrap/>
          </w:tcPr>
          <w:p w14:paraId="582BD6F8" w14:textId="77777777" w:rsidR="003A3D51" w:rsidRDefault="0002775A">
            <w:pPr>
              <w:pStyle w:val="P68B1DB1-Normal7"/>
              <w:spacing w:after="200" w:line="276" w:lineRule="auto"/>
              <w:rPr>
                <w:rFonts w:ascii="Times New Roman" w:hAnsi="Times New Roman" w:cs="Times New Roman"/>
                <w:noProof/>
              </w:rPr>
            </w:pPr>
            <w:r>
              <w:rPr>
                <w:noProof/>
              </w:rPr>
              <w:t xml:space="preserve">Nationell plan mot fattigdom och social utestängning, antagen 2021–2027, som ska </w:t>
            </w:r>
            <w:r>
              <w:rPr>
                <w:noProof/>
              </w:rPr>
              <w:br/>
            </w:r>
            <w:r>
              <w:rPr>
                <w:noProof/>
              </w:rPr>
              <w:br/>
              <w:t>Fastställa målet att minska fattigdomsrisken till mindre än 15 % från ett utgångsvärde på 18,3 % för 2019 och genomförandeplanen,</w:t>
            </w:r>
            <w:r>
              <w:rPr>
                <w:noProof/>
              </w:rPr>
              <w:br/>
              <w:t>— Säkerställa förhållanden som effektivt minskar fattigdomen och den sociala utestängningen och förbättrar vardagen för människor som riskerar att drabbas av fattigdom samt för dem som lever i allvarlig materiell fattigdom.</w:t>
            </w:r>
            <w:r>
              <w:rPr>
                <w:noProof/>
              </w:rPr>
              <w:br/>
              <w:t>— Fastställa utvecklingsprioriteringar för kampen mot fattigdom och social utestängning och identifiera behov i förhållande till sårbara grupper i systemen.</w:t>
            </w:r>
          </w:p>
        </w:tc>
      </w:tr>
      <w:tr w:rsidR="003A3D51" w14:paraId="411A5F7D"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2A64BD6E" w14:textId="77777777" w:rsidR="003A3D51" w:rsidRDefault="0002775A">
            <w:pPr>
              <w:pStyle w:val="P68B1DB1-Normal7"/>
              <w:spacing w:after="200" w:line="276" w:lineRule="auto"/>
              <w:jc w:val="center"/>
              <w:rPr>
                <w:rFonts w:ascii="Times New Roman" w:hAnsi="Times New Roman" w:cs="Times New Roman"/>
                <w:noProof/>
              </w:rPr>
            </w:pPr>
            <w:r>
              <w:rPr>
                <w:noProof/>
              </w:rPr>
              <w:t>303</w:t>
            </w:r>
          </w:p>
        </w:tc>
        <w:tc>
          <w:tcPr>
            <w:tcW w:w="825" w:type="dxa"/>
            <w:tcBorders>
              <w:top w:val="nil"/>
              <w:left w:val="nil"/>
              <w:bottom w:val="single" w:sz="4" w:space="0" w:color="auto"/>
              <w:right w:val="single" w:sz="4" w:space="0" w:color="auto"/>
            </w:tcBorders>
            <w:shd w:val="clear" w:color="auto" w:fill="C6EFCE"/>
            <w:noWrap/>
          </w:tcPr>
          <w:p w14:paraId="75C3E2C6" w14:textId="77777777" w:rsidR="003A3D51" w:rsidRDefault="0002775A">
            <w:pPr>
              <w:pStyle w:val="P68B1DB1-Normal7"/>
              <w:spacing w:after="200" w:line="276" w:lineRule="auto"/>
              <w:jc w:val="center"/>
              <w:rPr>
                <w:rFonts w:ascii="Times New Roman" w:hAnsi="Times New Roman" w:cs="Times New Roman"/>
                <w:noProof/>
              </w:rPr>
            </w:pPr>
            <w:r>
              <w:rPr>
                <w:noProof/>
              </w:rPr>
              <w:t>C4.3 R1</w:t>
            </w:r>
          </w:p>
        </w:tc>
        <w:tc>
          <w:tcPr>
            <w:tcW w:w="825" w:type="dxa"/>
            <w:tcBorders>
              <w:top w:val="nil"/>
              <w:left w:val="nil"/>
              <w:bottom w:val="single" w:sz="4" w:space="0" w:color="auto"/>
              <w:right w:val="single" w:sz="4" w:space="0" w:color="auto"/>
            </w:tcBorders>
            <w:shd w:val="clear" w:color="auto" w:fill="C6EFCE"/>
            <w:noWrap/>
          </w:tcPr>
          <w:p w14:paraId="76DFC082"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nil"/>
              <w:left w:val="nil"/>
              <w:bottom w:val="single" w:sz="4" w:space="0" w:color="auto"/>
              <w:right w:val="single" w:sz="4" w:space="0" w:color="auto"/>
            </w:tcBorders>
            <w:shd w:val="clear" w:color="auto" w:fill="C6EFCE"/>
            <w:noWrap/>
          </w:tcPr>
          <w:p w14:paraId="00E941BA" w14:textId="77777777" w:rsidR="003A3D51" w:rsidRDefault="0002775A">
            <w:pPr>
              <w:pStyle w:val="P68B1DB1-Normal7"/>
              <w:spacing w:after="200" w:line="276" w:lineRule="auto"/>
              <w:rPr>
                <w:rFonts w:ascii="Times New Roman" w:hAnsi="Times New Roman" w:cs="Times New Roman"/>
                <w:noProof/>
              </w:rPr>
            </w:pPr>
            <w:r>
              <w:rPr>
                <w:noProof/>
              </w:rPr>
              <w:t>Antagande av den nya lagen om social trygghet</w:t>
            </w:r>
          </w:p>
        </w:tc>
        <w:tc>
          <w:tcPr>
            <w:tcW w:w="2171" w:type="dxa"/>
            <w:tcBorders>
              <w:top w:val="nil"/>
              <w:left w:val="nil"/>
              <w:bottom w:val="single" w:sz="4" w:space="0" w:color="auto"/>
              <w:right w:val="single" w:sz="4" w:space="0" w:color="auto"/>
            </w:tcBorders>
            <w:shd w:val="clear" w:color="auto" w:fill="C6EFCE"/>
            <w:noWrap/>
          </w:tcPr>
          <w:p w14:paraId="0F8B31D9" w14:textId="77777777" w:rsidR="003A3D51" w:rsidRDefault="0002775A">
            <w:pPr>
              <w:pStyle w:val="P68B1DB1-Normal7"/>
              <w:spacing w:after="200" w:line="276" w:lineRule="auto"/>
              <w:rPr>
                <w:rFonts w:ascii="Times New Roman" w:hAnsi="Times New Roman" w:cs="Times New Roman"/>
                <w:noProof/>
              </w:rPr>
            </w:pPr>
            <w:r>
              <w:rPr>
                <w:noProof/>
              </w:rPr>
              <w:t>Ikraftträdande av den nya lagen om social trygghet</w:t>
            </w:r>
          </w:p>
        </w:tc>
        <w:tc>
          <w:tcPr>
            <w:tcW w:w="975" w:type="dxa"/>
            <w:tcBorders>
              <w:top w:val="nil"/>
              <w:left w:val="nil"/>
              <w:bottom w:val="single" w:sz="4" w:space="0" w:color="auto"/>
              <w:right w:val="single" w:sz="4" w:space="0" w:color="auto"/>
            </w:tcBorders>
            <w:shd w:val="clear" w:color="auto" w:fill="C6EFCE"/>
            <w:noWrap/>
          </w:tcPr>
          <w:p w14:paraId="6A040AE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02" w:type="dxa"/>
            <w:tcBorders>
              <w:top w:val="nil"/>
              <w:left w:val="nil"/>
              <w:bottom w:val="single" w:sz="4" w:space="0" w:color="auto"/>
              <w:right w:val="single" w:sz="4" w:space="0" w:color="auto"/>
            </w:tcBorders>
            <w:shd w:val="clear" w:color="auto" w:fill="C6EFCE"/>
            <w:noWrap/>
          </w:tcPr>
          <w:p w14:paraId="07240049" w14:textId="2EA81D14" w:rsidR="003A3D51" w:rsidRDefault="0002775A">
            <w:pPr>
              <w:pStyle w:val="P68B1DB1-Normal7"/>
              <w:spacing w:after="200" w:line="276" w:lineRule="auto"/>
              <w:jc w:val="center"/>
              <w:rPr>
                <w:rFonts w:ascii="Times New Roman" w:hAnsi="Times New Roman" w:cs="Times New Roman"/>
                <w:noProof/>
              </w:rPr>
            </w:pPr>
            <w:r>
              <w:rPr>
                <w:noProof/>
              </w:rPr>
              <w:t> </w:t>
            </w:r>
          </w:p>
          <w:p w14:paraId="0B2BA5CC" w14:textId="77777777" w:rsidR="003A3D51" w:rsidRDefault="003A3D51">
            <w:pPr>
              <w:spacing w:after="200" w:line="276" w:lineRule="auto"/>
              <w:rPr>
                <w:rFonts w:ascii="Times New Roman" w:eastAsia="Calibri" w:hAnsi="Times New Roman" w:cs="Times New Roman"/>
                <w:noProof/>
                <w:sz w:val="20"/>
              </w:rPr>
            </w:pPr>
          </w:p>
        </w:tc>
        <w:tc>
          <w:tcPr>
            <w:tcW w:w="874" w:type="dxa"/>
            <w:tcBorders>
              <w:top w:val="nil"/>
              <w:left w:val="nil"/>
              <w:bottom w:val="single" w:sz="4" w:space="0" w:color="auto"/>
              <w:right w:val="single" w:sz="4" w:space="0" w:color="auto"/>
            </w:tcBorders>
            <w:shd w:val="clear" w:color="auto" w:fill="C6EFCE"/>
            <w:noWrap/>
          </w:tcPr>
          <w:p w14:paraId="24843C3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00068078"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907" w:type="dxa"/>
            <w:tcBorders>
              <w:top w:val="nil"/>
              <w:left w:val="nil"/>
              <w:bottom w:val="single" w:sz="4" w:space="0" w:color="auto"/>
              <w:right w:val="single" w:sz="4" w:space="0" w:color="auto"/>
            </w:tcBorders>
            <w:shd w:val="clear" w:color="auto" w:fill="C6EFCE"/>
            <w:noWrap/>
          </w:tcPr>
          <w:p w14:paraId="147B2C73"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27" w:type="dxa"/>
            <w:tcBorders>
              <w:top w:val="nil"/>
              <w:left w:val="nil"/>
              <w:bottom w:val="single" w:sz="4" w:space="0" w:color="auto"/>
              <w:right w:val="single" w:sz="4" w:space="0" w:color="auto"/>
            </w:tcBorders>
            <w:shd w:val="clear" w:color="auto" w:fill="C6EFCE"/>
            <w:noWrap/>
          </w:tcPr>
          <w:p w14:paraId="5464FBBD" w14:textId="77777777" w:rsidR="003A3D51" w:rsidRDefault="0002775A">
            <w:pPr>
              <w:pStyle w:val="P68B1DB1-Normal7"/>
              <w:spacing w:after="200" w:line="276" w:lineRule="auto"/>
              <w:rPr>
                <w:rFonts w:ascii="Times New Roman" w:hAnsi="Times New Roman" w:cs="Times New Roman"/>
                <w:noProof/>
              </w:rPr>
            </w:pPr>
            <w:r>
              <w:rPr>
                <w:noProof/>
              </w:rPr>
              <w:t xml:space="preserve">Genom den nya socialskyddslagen införs följande ändringar: </w:t>
            </w:r>
            <w:r>
              <w:rPr>
                <w:noProof/>
              </w:rPr>
              <w:br/>
              <w:t>— Kombinera befintliga boendekostnader och uppvärmningsbidrag till ett enda integrerat bidrag.</w:t>
            </w:r>
            <w:r>
              <w:rPr>
                <w:noProof/>
              </w:rPr>
              <w:br/>
              <w:t xml:space="preserve">— Bestämmelsen om garanterad minimiförmån ska ändras genom att grundbeloppet höjs till 1 000 kroatiska kuna och ökas med minst 25 % för hushåll med barn genom att man lättar på de svåraste kriterierna för stödberättigande, inbegripet en höjning av inkomstgränsen till 1 000 HRK. </w:t>
            </w:r>
            <w:r>
              <w:rPr>
                <w:noProof/>
              </w:rPr>
              <w:br/>
              <w:t>— Införande av en ny social mentortjänst.</w:t>
            </w:r>
            <w:r>
              <w:rPr>
                <w:noProof/>
              </w:rPr>
              <w:br/>
              <w:t>— Strukturella förändringar som införts för långvarig vård och omsorg för att underlätta avinstitutionalisering och övergång till hemtjänster och samhällsbaserade tjänster.</w:t>
            </w:r>
            <w:r>
              <w:rPr>
                <w:noProof/>
              </w:rPr>
              <w:br/>
              <w:t>— Bestämmelser om mandat för samarbete och regelbundet informationsutbyte mellan institutioner som tillhandahåller sociala tjänster och sociala förmåner för att säkerställa en samordnad strategi för alla tillhandahållna tjänster.</w:t>
            </w:r>
          </w:p>
        </w:tc>
      </w:tr>
      <w:tr w:rsidR="003A3D51" w14:paraId="6EF521C0"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2BCE2045" w14:textId="77777777" w:rsidR="003A3D51" w:rsidRDefault="0002775A">
            <w:pPr>
              <w:pStyle w:val="P68B1DB1-Normal7"/>
              <w:spacing w:after="200" w:line="276" w:lineRule="auto"/>
              <w:jc w:val="center"/>
              <w:rPr>
                <w:rFonts w:ascii="Times New Roman" w:hAnsi="Times New Roman" w:cs="Times New Roman"/>
                <w:noProof/>
              </w:rPr>
            </w:pPr>
            <w:r>
              <w:rPr>
                <w:noProof/>
              </w:rPr>
              <w:t>304</w:t>
            </w:r>
          </w:p>
        </w:tc>
        <w:tc>
          <w:tcPr>
            <w:tcW w:w="825" w:type="dxa"/>
            <w:tcBorders>
              <w:top w:val="nil"/>
              <w:left w:val="nil"/>
              <w:bottom w:val="single" w:sz="4" w:space="0" w:color="auto"/>
              <w:right w:val="single" w:sz="4" w:space="0" w:color="auto"/>
            </w:tcBorders>
            <w:shd w:val="clear" w:color="auto" w:fill="C6EFCE"/>
            <w:noWrap/>
          </w:tcPr>
          <w:p w14:paraId="1DB8B316" w14:textId="77777777" w:rsidR="003A3D51" w:rsidRDefault="0002775A">
            <w:pPr>
              <w:pStyle w:val="P68B1DB1-Normal7"/>
              <w:spacing w:after="200" w:line="276" w:lineRule="auto"/>
              <w:jc w:val="center"/>
              <w:rPr>
                <w:rFonts w:ascii="Times New Roman" w:hAnsi="Times New Roman" w:cs="Times New Roman"/>
                <w:noProof/>
              </w:rPr>
            </w:pPr>
            <w:r>
              <w:rPr>
                <w:noProof/>
              </w:rPr>
              <w:t>C4.3 R1</w:t>
            </w:r>
          </w:p>
        </w:tc>
        <w:tc>
          <w:tcPr>
            <w:tcW w:w="825" w:type="dxa"/>
            <w:tcBorders>
              <w:top w:val="nil"/>
              <w:left w:val="nil"/>
              <w:bottom w:val="single" w:sz="4" w:space="0" w:color="auto"/>
              <w:right w:val="single" w:sz="4" w:space="0" w:color="auto"/>
            </w:tcBorders>
            <w:shd w:val="clear" w:color="auto" w:fill="C6EFCE"/>
            <w:noWrap/>
          </w:tcPr>
          <w:p w14:paraId="51BB196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nil"/>
              <w:left w:val="nil"/>
              <w:bottom w:val="single" w:sz="4" w:space="0" w:color="auto"/>
              <w:right w:val="single" w:sz="4" w:space="0" w:color="auto"/>
            </w:tcBorders>
            <w:shd w:val="clear" w:color="auto" w:fill="C6EFCE"/>
            <w:noWrap/>
          </w:tcPr>
          <w:p w14:paraId="11CB3A8D" w14:textId="77777777" w:rsidR="003A3D51" w:rsidRDefault="0002775A">
            <w:pPr>
              <w:pStyle w:val="P68B1DB1-Normal7"/>
              <w:spacing w:after="200" w:line="276" w:lineRule="auto"/>
              <w:rPr>
                <w:noProof/>
                <w:color w:val="000000" w:themeColor="text1"/>
              </w:rPr>
            </w:pPr>
            <w:r>
              <w:rPr>
                <w:noProof/>
              </w:rPr>
              <w:t xml:space="preserve">Mottagare av garanterad minimiförmån och nationell ersättning till äldre personer </w:t>
            </w:r>
          </w:p>
        </w:tc>
        <w:tc>
          <w:tcPr>
            <w:tcW w:w="2171" w:type="dxa"/>
            <w:tcBorders>
              <w:top w:val="nil"/>
              <w:left w:val="nil"/>
              <w:bottom w:val="single" w:sz="4" w:space="0" w:color="auto"/>
              <w:right w:val="single" w:sz="4" w:space="0" w:color="auto"/>
            </w:tcBorders>
            <w:shd w:val="clear" w:color="auto" w:fill="C6EFCE"/>
            <w:noWrap/>
          </w:tcPr>
          <w:p w14:paraId="3C91DF6E"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975" w:type="dxa"/>
            <w:tcBorders>
              <w:top w:val="nil"/>
              <w:left w:val="nil"/>
              <w:bottom w:val="single" w:sz="4" w:space="0" w:color="auto"/>
              <w:right w:val="single" w:sz="4" w:space="0" w:color="auto"/>
            </w:tcBorders>
            <w:shd w:val="clear" w:color="auto" w:fill="C6EFCE"/>
            <w:noWrap/>
          </w:tcPr>
          <w:p w14:paraId="43355F3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nil"/>
              <w:left w:val="nil"/>
              <w:bottom w:val="single" w:sz="4" w:space="0" w:color="auto"/>
              <w:right w:val="single" w:sz="4" w:space="0" w:color="auto"/>
            </w:tcBorders>
            <w:shd w:val="clear" w:color="auto" w:fill="C6EFCE"/>
            <w:noWrap/>
          </w:tcPr>
          <w:p w14:paraId="7193B705" w14:textId="77777777" w:rsidR="003A3D51" w:rsidRDefault="0002775A">
            <w:pPr>
              <w:pStyle w:val="P68B1DB1-Normal7"/>
              <w:spacing w:after="200" w:line="276" w:lineRule="auto"/>
              <w:jc w:val="center"/>
              <w:rPr>
                <w:rFonts w:ascii="Times New Roman" w:hAnsi="Times New Roman" w:cs="Times New Roman"/>
                <w:noProof/>
              </w:rPr>
            </w:pPr>
            <w:r>
              <w:rPr>
                <w:noProof/>
              </w:rPr>
              <w:t>56 905</w:t>
            </w:r>
          </w:p>
        </w:tc>
        <w:tc>
          <w:tcPr>
            <w:tcW w:w="874" w:type="dxa"/>
            <w:tcBorders>
              <w:top w:val="nil"/>
              <w:left w:val="nil"/>
              <w:bottom w:val="single" w:sz="4" w:space="0" w:color="auto"/>
              <w:right w:val="single" w:sz="4" w:space="0" w:color="auto"/>
            </w:tcBorders>
            <w:shd w:val="clear" w:color="auto" w:fill="C6EFCE"/>
            <w:noWrap/>
          </w:tcPr>
          <w:p w14:paraId="4AE1316D" w14:textId="77777777" w:rsidR="003A3D51" w:rsidRDefault="0002775A">
            <w:pPr>
              <w:pStyle w:val="P68B1DB1-Normal7"/>
              <w:spacing w:after="200" w:line="276" w:lineRule="auto"/>
              <w:jc w:val="center"/>
              <w:rPr>
                <w:rFonts w:ascii="Times New Roman" w:hAnsi="Times New Roman" w:cs="Times New Roman"/>
                <w:noProof/>
              </w:rPr>
            </w:pPr>
            <w:r>
              <w:rPr>
                <w:noProof/>
              </w:rPr>
              <w:t>68 000</w:t>
            </w:r>
          </w:p>
        </w:tc>
        <w:tc>
          <w:tcPr>
            <w:tcW w:w="709" w:type="dxa"/>
            <w:tcBorders>
              <w:top w:val="nil"/>
              <w:left w:val="nil"/>
              <w:bottom w:val="single" w:sz="4" w:space="0" w:color="auto"/>
              <w:right w:val="single" w:sz="4" w:space="0" w:color="auto"/>
            </w:tcBorders>
            <w:shd w:val="clear" w:color="auto" w:fill="C6EFCE"/>
            <w:noWrap/>
          </w:tcPr>
          <w:p w14:paraId="3C32111E" w14:textId="6675502D"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907" w:type="dxa"/>
            <w:tcBorders>
              <w:top w:val="nil"/>
              <w:left w:val="nil"/>
              <w:bottom w:val="single" w:sz="4" w:space="0" w:color="auto"/>
              <w:right w:val="single" w:sz="4" w:space="0" w:color="auto"/>
            </w:tcBorders>
            <w:shd w:val="clear" w:color="auto" w:fill="C6EFCE"/>
            <w:noWrap/>
          </w:tcPr>
          <w:p w14:paraId="67C782AA" w14:textId="3F5AC05C"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27" w:type="dxa"/>
            <w:tcBorders>
              <w:top w:val="nil"/>
              <w:left w:val="nil"/>
              <w:bottom w:val="single" w:sz="4" w:space="0" w:color="auto"/>
              <w:right w:val="single" w:sz="4" w:space="0" w:color="auto"/>
            </w:tcBorders>
            <w:shd w:val="clear" w:color="auto" w:fill="C6EFCE"/>
            <w:noWrap/>
          </w:tcPr>
          <w:p w14:paraId="6BEC9AA2" w14:textId="77777777" w:rsidR="003A3D51" w:rsidRDefault="0002775A">
            <w:pPr>
              <w:pStyle w:val="P68B1DB1-Normal7"/>
              <w:spacing w:after="200" w:line="276" w:lineRule="auto"/>
              <w:contextualSpacing/>
              <w:rPr>
                <w:noProof/>
                <w:color w:val="000000" w:themeColor="text1"/>
              </w:rPr>
            </w:pPr>
            <w:r>
              <w:rPr>
                <w:noProof/>
              </w:rPr>
              <w:t>Det totala antalet stödmottagare som får antingen den garanterade minimiförmånen eller den nationella ersättningen till äldre ska uppgå till 68,000.</w:t>
            </w:r>
          </w:p>
        </w:tc>
      </w:tr>
      <w:tr w:rsidR="003A3D51" w14:paraId="537F2BAF"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4D1CA7FA" w14:textId="77777777" w:rsidR="003A3D51" w:rsidRDefault="0002775A">
            <w:pPr>
              <w:pStyle w:val="P68B1DB1-Normal7"/>
              <w:spacing w:after="200" w:line="276" w:lineRule="auto"/>
              <w:jc w:val="center"/>
              <w:rPr>
                <w:rFonts w:ascii="Times New Roman" w:hAnsi="Times New Roman" w:cs="Times New Roman"/>
                <w:noProof/>
              </w:rPr>
            </w:pPr>
            <w:r>
              <w:rPr>
                <w:noProof/>
              </w:rPr>
              <w:t>305</w:t>
            </w:r>
          </w:p>
        </w:tc>
        <w:tc>
          <w:tcPr>
            <w:tcW w:w="825" w:type="dxa"/>
            <w:tcBorders>
              <w:top w:val="nil"/>
              <w:left w:val="nil"/>
              <w:bottom w:val="single" w:sz="4" w:space="0" w:color="auto"/>
              <w:right w:val="single" w:sz="4" w:space="0" w:color="auto"/>
            </w:tcBorders>
            <w:shd w:val="clear" w:color="auto" w:fill="C6EFCE"/>
            <w:noWrap/>
          </w:tcPr>
          <w:p w14:paraId="5F650AF1" w14:textId="77777777" w:rsidR="003A3D51" w:rsidRDefault="0002775A">
            <w:pPr>
              <w:pStyle w:val="P68B1DB1-Normal7"/>
              <w:spacing w:after="200" w:line="276" w:lineRule="auto"/>
              <w:jc w:val="center"/>
              <w:rPr>
                <w:rFonts w:ascii="Times New Roman" w:hAnsi="Times New Roman" w:cs="Times New Roman"/>
                <w:noProof/>
              </w:rPr>
            </w:pPr>
            <w:r>
              <w:rPr>
                <w:noProof/>
              </w:rPr>
              <w:t>C4.3 R1</w:t>
            </w:r>
          </w:p>
        </w:tc>
        <w:tc>
          <w:tcPr>
            <w:tcW w:w="825" w:type="dxa"/>
            <w:tcBorders>
              <w:top w:val="nil"/>
              <w:left w:val="nil"/>
              <w:bottom w:val="single" w:sz="4" w:space="0" w:color="auto"/>
              <w:right w:val="single" w:sz="4" w:space="0" w:color="auto"/>
            </w:tcBorders>
            <w:shd w:val="clear" w:color="auto" w:fill="C6EFCE"/>
            <w:noWrap/>
          </w:tcPr>
          <w:p w14:paraId="4261B9AF"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nil"/>
              <w:left w:val="nil"/>
              <w:bottom w:val="single" w:sz="4" w:space="0" w:color="auto"/>
              <w:right w:val="single" w:sz="4" w:space="0" w:color="auto"/>
            </w:tcBorders>
            <w:shd w:val="clear" w:color="auto" w:fill="C6EFCE"/>
            <w:noWrap/>
          </w:tcPr>
          <w:p w14:paraId="3A1D4B43"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en normativ regel om funktionellt integrerade sociala förmåner </w:t>
            </w:r>
          </w:p>
        </w:tc>
        <w:tc>
          <w:tcPr>
            <w:tcW w:w="2171" w:type="dxa"/>
            <w:tcBorders>
              <w:top w:val="nil"/>
              <w:left w:val="nil"/>
              <w:bottom w:val="single" w:sz="4" w:space="0" w:color="auto"/>
              <w:right w:val="single" w:sz="4" w:space="0" w:color="auto"/>
            </w:tcBorders>
            <w:shd w:val="clear" w:color="auto" w:fill="C6EFCE"/>
            <w:noWrap/>
          </w:tcPr>
          <w:p w14:paraId="10DD1745" w14:textId="77777777" w:rsidR="003A3D51" w:rsidRDefault="0002775A">
            <w:pPr>
              <w:pStyle w:val="P68B1DB1-Normal7"/>
              <w:spacing w:after="200" w:line="276" w:lineRule="auto"/>
              <w:rPr>
                <w:rFonts w:ascii="Times New Roman" w:hAnsi="Times New Roman" w:cs="Times New Roman"/>
                <w:noProof/>
              </w:rPr>
            </w:pPr>
            <w:r>
              <w:rPr>
                <w:noProof/>
              </w:rPr>
              <w:t xml:space="preserve">Ikraftträdande av lagen om social trygghet eller lagen om inkluderande tillägg </w:t>
            </w:r>
          </w:p>
        </w:tc>
        <w:tc>
          <w:tcPr>
            <w:tcW w:w="975" w:type="dxa"/>
            <w:tcBorders>
              <w:top w:val="nil"/>
              <w:left w:val="nil"/>
              <w:bottom w:val="single" w:sz="4" w:space="0" w:color="auto"/>
              <w:right w:val="single" w:sz="4" w:space="0" w:color="auto"/>
            </w:tcBorders>
            <w:shd w:val="clear" w:color="auto" w:fill="C6EFCE"/>
            <w:noWrap/>
          </w:tcPr>
          <w:p w14:paraId="0CD261F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02" w:type="dxa"/>
            <w:tcBorders>
              <w:top w:val="nil"/>
              <w:left w:val="nil"/>
              <w:bottom w:val="single" w:sz="4" w:space="0" w:color="auto"/>
              <w:right w:val="single" w:sz="4" w:space="0" w:color="auto"/>
            </w:tcBorders>
            <w:shd w:val="clear" w:color="auto" w:fill="C6EFCE"/>
            <w:noWrap/>
          </w:tcPr>
          <w:p w14:paraId="7E045D5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74" w:type="dxa"/>
            <w:tcBorders>
              <w:top w:val="nil"/>
              <w:left w:val="nil"/>
              <w:bottom w:val="single" w:sz="4" w:space="0" w:color="auto"/>
              <w:right w:val="single" w:sz="4" w:space="0" w:color="auto"/>
            </w:tcBorders>
            <w:shd w:val="clear" w:color="auto" w:fill="C6EFCE"/>
            <w:noWrap/>
          </w:tcPr>
          <w:p w14:paraId="087F0B43"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0CDFC5A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nil"/>
              <w:left w:val="nil"/>
              <w:bottom w:val="single" w:sz="4" w:space="0" w:color="auto"/>
              <w:right w:val="single" w:sz="4" w:space="0" w:color="auto"/>
            </w:tcBorders>
            <w:shd w:val="clear" w:color="auto" w:fill="C6EFCE"/>
            <w:noWrap/>
          </w:tcPr>
          <w:p w14:paraId="7FAEA055"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127" w:type="dxa"/>
            <w:tcBorders>
              <w:top w:val="nil"/>
              <w:left w:val="nil"/>
              <w:bottom w:val="single" w:sz="4" w:space="0" w:color="auto"/>
              <w:right w:val="single" w:sz="4" w:space="0" w:color="auto"/>
            </w:tcBorders>
            <w:shd w:val="clear" w:color="auto" w:fill="C6EFCE"/>
            <w:noWrap/>
          </w:tcPr>
          <w:p w14:paraId="6949E911" w14:textId="3407FBE0" w:rsidR="003A3D51" w:rsidRDefault="0002775A">
            <w:pPr>
              <w:pStyle w:val="P68B1DB1-Normal7"/>
              <w:spacing w:after="0" w:line="276" w:lineRule="auto"/>
              <w:rPr>
                <w:rFonts w:ascii="Times New Roman" w:hAnsi="Times New Roman" w:cs="Times New Roman"/>
                <w:noProof/>
              </w:rPr>
            </w:pPr>
            <w:r>
              <w:rPr>
                <w:noProof/>
              </w:rPr>
              <w:t>Ändringar av socialförsäkringslagen eller det inkluderande tillägget integrerar sociala förmåner som ska</w:t>
            </w:r>
            <w:r>
              <w:rPr>
                <w:noProof/>
              </w:rPr>
              <w:br/>
              <w:t xml:space="preserve">— Ändra den garanterade minimiförmånen genom att höja grundbeloppet till 160 EUR, genom beslut på grundval av beräkningen av den garanterade minimiförmånen, och med minst 25 % för hushåll med barn, och säkerställa att den garanterade minimiförmånen integreras fullt ut med andra sociala förmåner. </w:t>
            </w:r>
            <w:r>
              <w:rPr>
                <w:noProof/>
              </w:rPr>
              <w:br/>
              <w:t>Definiera (funktionell) integrering av sociala förmåner på grundval av expertanalyser,</w:t>
            </w:r>
            <w:r>
              <w:rPr>
                <w:noProof/>
              </w:rPr>
              <w:br/>
              <w:t>Stärka bestämmelserna om rätt till sociala förmåner, bland annat genom bättre användning av medel och inkomstprövning,</w:t>
            </w:r>
            <w:r>
              <w:rPr>
                <w:noProof/>
              </w:rPr>
              <w:br/>
              <w:t>— Inkludera åtgärder och bestämmelser för att förbättra de sociala förmånernas täckning, tillräcklighet och inriktning, på grundval av expertanalyser och med särskilt fokus på personer som lider av ihållande fattigdom,</w:t>
            </w:r>
            <w:r>
              <w:rPr>
                <w:noProof/>
              </w:rPr>
              <w:br/>
              <w:t>Innehålla bestämmelser om övervakningsprocessen och berörda parters deltagande under genomförandet,</w:t>
            </w:r>
            <w:r>
              <w:rPr>
                <w:noProof/>
              </w:rPr>
              <w:br/>
              <w:t>— Införa indexering av sociala förmåner.</w:t>
            </w:r>
          </w:p>
        </w:tc>
      </w:tr>
      <w:tr w:rsidR="003A3D51" w14:paraId="174AD6A3"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50BBB1BD" w14:textId="1CEE395B" w:rsidR="003A3D51" w:rsidRDefault="0002775A">
            <w:pPr>
              <w:pStyle w:val="P68B1DB1-Normal7"/>
              <w:spacing w:after="200" w:line="276" w:lineRule="auto"/>
              <w:jc w:val="center"/>
              <w:rPr>
                <w:noProof/>
              </w:rPr>
            </w:pPr>
            <w:r>
              <w:rPr>
                <w:noProof/>
              </w:rPr>
              <w:t>398</w:t>
            </w:r>
          </w:p>
        </w:tc>
        <w:tc>
          <w:tcPr>
            <w:tcW w:w="825" w:type="dxa"/>
            <w:tcBorders>
              <w:top w:val="nil"/>
              <w:left w:val="nil"/>
              <w:bottom w:val="single" w:sz="4" w:space="0" w:color="auto"/>
              <w:right w:val="single" w:sz="4" w:space="0" w:color="auto"/>
            </w:tcBorders>
            <w:shd w:val="clear" w:color="auto" w:fill="C6EFCE"/>
            <w:noWrap/>
          </w:tcPr>
          <w:p w14:paraId="4B9E7F58" w14:textId="77777777" w:rsidR="003A3D51" w:rsidRDefault="0002775A">
            <w:pPr>
              <w:pStyle w:val="P68B1DB1-Normal7"/>
              <w:spacing w:after="200" w:line="276" w:lineRule="auto"/>
              <w:jc w:val="center"/>
              <w:rPr>
                <w:noProof/>
              </w:rPr>
            </w:pPr>
            <w:r>
              <w:rPr>
                <w:noProof/>
              </w:rPr>
              <w:t>C4.3 R1</w:t>
            </w:r>
          </w:p>
        </w:tc>
        <w:tc>
          <w:tcPr>
            <w:tcW w:w="825" w:type="dxa"/>
            <w:tcBorders>
              <w:top w:val="nil"/>
              <w:left w:val="nil"/>
              <w:bottom w:val="single" w:sz="4" w:space="0" w:color="auto"/>
              <w:right w:val="single" w:sz="4" w:space="0" w:color="auto"/>
            </w:tcBorders>
            <w:shd w:val="clear" w:color="auto" w:fill="C6EFCE"/>
            <w:noWrap/>
          </w:tcPr>
          <w:p w14:paraId="1A882B16" w14:textId="77777777" w:rsidR="003A3D51" w:rsidRDefault="0002775A">
            <w:pPr>
              <w:pStyle w:val="P68B1DB1-Normal7"/>
              <w:spacing w:after="200" w:line="276" w:lineRule="auto"/>
              <w:jc w:val="center"/>
              <w:rPr>
                <w:noProof/>
              </w:rPr>
            </w:pPr>
            <w:r>
              <w:rPr>
                <w:noProof/>
              </w:rPr>
              <w:t>M</w:t>
            </w:r>
          </w:p>
        </w:tc>
        <w:tc>
          <w:tcPr>
            <w:tcW w:w="2039" w:type="dxa"/>
            <w:tcBorders>
              <w:top w:val="nil"/>
              <w:left w:val="nil"/>
              <w:bottom w:val="single" w:sz="4" w:space="0" w:color="auto"/>
              <w:right w:val="single" w:sz="4" w:space="0" w:color="auto"/>
            </w:tcBorders>
            <w:shd w:val="clear" w:color="auto" w:fill="C6EFCE"/>
            <w:noWrap/>
          </w:tcPr>
          <w:p w14:paraId="74E9B5D8" w14:textId="04582F6F" w:rsidR="003A3D51" w:rsidRDefault="0002775A">
            <w:pPr>
              <w:pStyle w:val="P68B1DB1-Normal7"/>
              <w:spacing w:after="200" w:line="276" w:lineRule="auto"/>
              <w:rPr>
                <w:noProof/>
              </w:rPr>
            </w:pPr>
            <w:r>
              <w:rPr>
                <w:noProof/>
              </w:rPr>
              <w:t>Ikraftträdande av ändringarna i socialskyddslagen och antagande av beslutet om garanterad minimiförmån</w:t>
            </w:r>
          </w:p>
        </w:tc>
        <w:tc>
          <w:tcPr>
            <w:tcW w:w="2171" w:type="dxa"/>
            <w:tcBorders>
              <w:top w:val="nil"/>
              <w:left w:val="nil"/>
              <w:bottom w:val="single" w:sz="4" w:space="0" w:color="auto"/>
              <w:right w:val="single" w:sz="4" w:space="0" w:color="auto"/>
            </w:tcBorders>
            <w:shd w:val="clear" w:color="auto" w:fill="C6EFCE"/>
            <w:noWrap/>
          </w:tcPr>
          <w:p w14:paraId="44F20AEA" w14:textId="77777777" w:rsidR="003A3D51" w:rsidRDefault="0002775A">
            <w:pPr>
              <w:pStyle w:val="P68B1DB1-Normal7"/>
              <w:spacing w:after="200" w:line="276" w:lineRule="auto"/>
              <w:rPr>
                <w:noProof/>
              </w:rPr>
            </w:pPr>
            <w:r>
              <w:rPr>
                <w:noProof/>
              </w:rPr>
              <w:t>Ikraftträdande av den ändrade lagen om social trygghet och regeringens beslut</w:t>
            </w:r>
          </w:p>
        </w:tc>
        <w:tc>
          <w:tcPr>
            <w:tcW w:w="975" w:type="dxa"/>
            <w:tcBorders>
              <w:top w:val="nil"/>
              <w:left w:val="nil"/>
              <w:bottom w:val="single" w:sz="4" w:space="0" w:color="auto"/>
              <w:right w:val="single" w:sz="4" w:space="0" w:color="auto"/>
            </w:tcBorders>
            <w:shd w:val="clear" w:color="auto" w:fill="C6EFCE"/>
            <w:noWrap/>
          </w:tcPr>
          <w:p w14:paraId="14999F22" w14:textId="77777777" w:rsidR="003A3D51" w:rsidRDefault="003A3D51">
            <w:pPr>
              <w:spacing w:after="200" w:line="276" w:lineRule="auto"/>
              <w:jc w:val="center"/>
              <w:rPr>
                <w:rFonts w:ascii="Calibri" w:eastAsia="Calibri" w:hAnsi="Calibri" w:cs="Arial"/>
                <w:noProof/>
                <w:color w:val="000000"/>
                <w:sz w:val="20"/>
              </w:rPr>
            </w:pPr>
          </w:p>
        </w:tc>
        <w:tc>
          <w:tcPr>
            <w:tcW w:w="802" w:type="dxa"/>
            <w:tcBorders>
              <w:top w:val="nil"/>
              <w:left w:val="nil"/>
              <w:bottom w:val="single" w:sz="4" w:space="0" w:color="auto"/>
              <w:right w:val="single" w:sz="4" w:space="0" w:color="auto"/>
            </w:tcBorders>
            <w:shd w:val="clear" w:color="auto" w:fill="C6EFCE"/>
            <w:noWrap/>
          </w:tcPr>
          <w:p w14:paraId="647A92F2" w14:textId="77777777" w:rsidR="003A3D51" w:rsidRDefault="003A3D51">
            <w:pPr>
              <w:spacing w:after="200" w:line="276" w:lineRule="auto"/>
              <w:jc w:val="center"/>
              <w:rPr>
                <w:rFonts w:ascii="Calibri" w:eastAsia="Calibri" w:hAnsi="Calibri" w:cs="Arial"/>
                <w:noProof/>
                <w:color w:val="000000"/>
                <w:sz w:val="20"/>
              </w:rPr>
            </w:pPr>
          </w:p>
        </w:tc>
        <w:tc>
          <w:tcPr>
            <w:tcW w:w="874" w:type="dxa"/>
            <w:tcBorders>
              <w:top w:val="nil"/>
              <w:left w:val="nil"/>
              <w:bottom w:val="single" w:sz="4" w:space="0" w:color="auto"/>
              <w:right w:val="single" w:sz="4" w:space="0" w:color="auto"/>
            </w:tcBorders>
            <w:shd w:val="clear" w:color="auto" w:fill="C6EFCE"/>
            <w:noWrap/>
          </w:tcPr>
          <w:p w14:paraId="4D644593" w14:textId="77777777" w:rsidR="003A3D51" w:rsidRDefault="003A3D51">
            <w:pPr>
              <w:spacing w:after="200" w:line="276" w:lineRule="auto"/>
              <w:jc w:val="center"/>
              <w:rPr>
                <w:rFonts w:ascii="Calibri" w:eastAsia="Calibri" w:hAnsi="Calibri" w:cs="Arial"/>
                <w:noProof/>
                <w:color w:val="000000"/>
                <w:sz w:val="20"/>
              </w:rPr>
            </w:pPr>
          </w:p>
        </w:tc>
        <w:tc>
          <w:tcPr>
            <w:tcW w:w="709" w:type="dxa"/>
            <w:tcBorders>
              <w:top w:val="nil"/>
              <w:left w:val="nil"/>
              <w:bottom w:val="single" w:sz="4" w:space="0" w:color="auto"/>
              <w:right w:val="single" w:sz="4" w:space="0" w:color="auto"/>
            </w:tcBorders>
            <w:shd w:val="clear" w:color="auto" w:fill="C6EFCE"/>
            <w:noWrap/>
          </w:tcPr>
          <w:p w14:paraId="1ACDF551" w14:textId="77777777" w:rsidR="003A3D51" w:rsidRDefault="0002775A">
            <w:pPr>
              <w:pStyle w:val="P68B1DB1-Normal7"/>
              <w:spacing w:after="200" w:line="276" w:lineRule="auto"/>
              <w:jc w:val="center"/>
              <w:rPr>
                <w:noProof/>
              </w:rPr>
            </w:pPr>
            <w:r>
              <w:rPr>
                <w:noProof/>
              </w:rPr>
              <w:t>KVARTAL 4</w:t>
            </w:r>
          </w:p>
        </w:tc>
        <w:tc>
          <w:tcPr>
            <w:tcW w:w="907" w:type="dxa"/>
            <w:tcBorders>
              <w:top w:val="nil"/>
              <w:left w:val="nil"/>
              <w:bottom w:val="single" w:sz="4" w:space="0" w:color="auto"/>
              <w:right w:val="single" w:sz="4" w:space="0" w:color="auto"/>
            </w:tcBorders>
            <w:shd w:val="clear" w:color="auto" w:fill="C6EFCE"/>
            <w:noWrap/>
          </w:tcPr>
          <w:p w14:paraId="6A48E0E4" w14:textId="77777777" w:rsidR="003A3D51" w:rsidRDefault="0002775A">
            <w:pPr>
              <w:pStyle w:val="P68B1DB1-Normal7"/>
              <w:spacing w:after="200" w:line="276" w:lineRule="auto"/>
              <w:jc w:val="center"/>
              <w:rPr>
                <w:noProof/>
              </w:rPr>
            </w:pPr>
            <w:r>
              <w:rPr>
                <w:noProof/>
              </w:rPr>
              <w:t>2023</w:t>
            </w:r>
          </w:p>
        </w:tc>
        <w:tc>
          <w:tcPr>
            <w:tcW w:w="4127" w:type="dxa"/>
            <w:tcBorders>
              <w:top w:val="nil"/>
              <w:left w:val="nil"/>
              <w:bottom w:val="single" w:sz="4" w:space="0" w:color="auto"/>
              <w:right w:val="single" w:sz="4" w:space="0" w:color="auto"/>
            </w:tcBorders>
            <w:shd w:val="clear" w:color="auto" w:fill="C6EFCE"/>
            <w:noWrap/>
          </w:tcPr>
          <w:p w14:paraId="08E87B13" w14:textId="77777777" w:rsidR="003A3D51" w:rsidRDefault="0002775A">
            <w:pPr>
              <w:pStyle w:val="P68B1DB1-Normal7"/>
              <w:spacing w:after="0" w:line="276" w:lineRule="auto"/>
              <w:rPr>
                <w:noProof/>
              </w:rPr>
            </w:pPr>
            <w:r>
              <w:rPr>
                <w:noProof/>
              </w:rPr>
              <w:t>Ändringar i socialvårdslagen ska</w:t>
            </w:r>
          </w:p>
          <w:p w14:paraId="59C63F20" w14:textId="208991CF" w:rsidR="003A3D51" w:rsidRDefault="0002775A">
            <w:pPr>
              <w:pStyle w:val="P68B1DB1-Normal7"/>
              <w:spacing w:after="0" w:line="276" w:lineRule="auto"/>
              <w:rPr>
                <w:noProof/>
              </w:rPr>
            </w:pPr>
            <w:r>
              <w:rPr>
                <w:noProof/>
              </w:rPr>
              <w:t>Avskaffa de rättsliga bestämmelser som föreskriver återbetalning av utbetalade belopp för garanterade minimiförmåner (GMB) och åläggande av panträtter på fastigheter som ägs av GMB-förmånstagare,</w:t>
            </w:r>
          </w:p>
          <w:p w14:paraId="25708372" w14:textId="77777777" w:rsidR="003A3D51" w:rsidRDefault="0002775A">
            <w:pPr>
              <w:pStyle w:val="P68B1DB1-Normal7"/>
              <w:spacing w:after="0" w:line="276" w:lineRule="auto"/>
              <w:rPr>
                <w:noProof/>
              </w:rPr>
            </w:pPr>
            <w:r>
              <w:rPr>
                <w:noProof/>
              </w:rPr>
              <w:t xml:space="preserve">— Minska den administrativa bördan för GMB-förmånstagare genom att inrätta en lagstadgad mekanism för automatiskt avlägsnande av panträtter.  </w:t>
            </w:r>
          </w:p>
          <w:p w14:paraId="686F7791" w14:textId="77777777" w:rsidR="003A3D51" w:rsidRDefault="0002775A">
            <w:pPr>
              <w:pStyle w:val="P68B1DB1-Normal7"/>
              <w:spacing w:after="0" w:line="276" w:lineRule="auto"/>
              <w:rPr>
                <w:noProof/>
              </w:rPr>
            </w:pPr>
            <w:r>
              <w:rPr>
                <w:noProof/>
              </w:rPr>
              <w:t>Regeringen ska fatta beslut på grundval av beräkningen av det garanterade minimiförmånsbeloppet. Beslutet träder i kraft den 1 januari 2024 och innebär att grundbeloppet höjs till 150 EUR.</w:t>
            </w:r>
          </w:p>
        </w:tc>
      </w:tr>
      <w:tr w:rsidR="003A3D51" w14:paraId="6ACFE69C"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2D18E057" w14:textId="77777777" w:rsidR="003A3D51" w:rsidRDefault="0002775A">
            <w:pPr>
              <w:pStyle w:val="P68B1DB1-Normal7"/>
              <w:spacing w:after="200" w:line="276" w:lineRule="auto"/>
              <w:jc w:val="center"/>
              <w:rPr>
                <w:rFonts w:ascii="Times New Roman" w:hAnsi="Times New Roman" w:cs="Times New Roman"/>
                <w:noProof/>
              </w:rPr>
            </w:pPr>
            <w:r>
              <w:rPr>
                <w:noProof/>
              </w:rPr>
              <w:t>306</w:t>
            </w:r>
          </w:p>
        </w:tc>
        <w:tc>
          <w:tcPr>
            <w:tcW w:w="825" w:type="dxa"/>
            <w:tcBorders>
              <w:top w:val="nil"/>
              <w:left w:val="nil"/>
              <w:bottom w:val="single" w:sz="4" w:space="0" w:color="auto"/>
              <w:right w:val="single" w:sz="4" w:space="0" w:color="auto"/>
            </w:tcBorders>
            <w:shd w:val="clear" w:color="auto" w:fill="C6EFCE"/>
            <w:noWrap/>
          </w:tcPr>
          <w:p w14:paraId="2E633B21" w14:textId="77777777" w:rsidR="003A3D51" w:rsidRDefault="0002775A">
            <w:pPr>
              <w:pStyle w:val="P68B1DB1-Normal7"/>
              <w:spacing w:after="200" w:line="276" w:lineRule="auto"/>
              <w:jc w:val="center"/>
              <w:rPr>
                <w:rFonts w:ascii="Times New Roman" w:hAnsi="Times New Roman" w:cs="Times New Roman"/>
                <w:noProof/>
              </w:rPr>
            </w:pPr>
            <w:r>
              <w:rPr>
                <w:noProof/>
              </w:rPr>
              <w:t>C4.3 R1</w:t>
            </w:r>
          </w:p>
        </w:tc>
        <w:tc>
          <w:tcPr>
            <w:tcW w:w="825" w:type="dxa"/>
            <w:tcBorders>
              <w:top w:val="nil"/>
              <w:left w:val="nil"/>
              <w:bottom w:val="single" w:sz="4" w:space="0" w:color="auto"/>
              <w:right w:val="single" w:sz="4" w:space="0" w:color="auto"/>
            </w:tcBorders>
            <w:shd w:val="clear" w:color="auto" w:fill="C6EFCE"/>
            <w:noWrap/>
          </w:tcPr>
          <w:p w14:paraId="2FE02C7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nil"/>
              <w:left w:val="nil"/>
              <w:bottom w:val="single" w:sz="4" w:space="0" w:color="auto"/>
              <w:right w:val="single" w:sz="4" w:space="0" w:color="auto"/>
            </w:tcBorders>
            <w:shd w:val="clear" w:color="auto" w:fill="C6EFCE"/>
            <w:noWrap/>
          </w:tcPr>
          <w:p w14:paraId="4615C185" w14:textId="0A7FB6F8" w:rsidR="003A3D51" w:rsidRDefault="0002775A">
            <w:pPr>
              <w:pStyle w:val="P68B1DB1-Normal7"/>
              <w:spacing w:after="200" w:line="276" w:lineRule="auto"/>
              <w:rPr>
                <w:rFonts w:ascii="Times New Roman" w:hAnsi="Times New Roman" w:cs="Times New Roman"/>
                <w:noProof/>
              </w:rPr>
            </w:pPr>
            <w:r>
              <w:rPr>
                <w:noProof/>
              </w:rPr>
              <w:t xml:space="preserve">Minskning av fattigdomsrisken </w:t>
            </w:r>
          </w:p>
        </w:tc>
        <w:tc>
          <w:tcPr>
            <w:tcW w:w="2171" w:type="dxa"/>
            <w:tcBorders>
              <w:top w:val="nil"/>
              <w:left w:val="nil"/>
              <w:bottom w:val="single" w:sz="4" w:space="0" w:color="auto"/>
              <w:right w:val="single" w:sz="4" w:space="0" w:color="auto"/>
            </w:tcBorders>
            <w:shd w:val="clear" w:color="auto" w:fill="C6EFCE"/>
            <w:noWrap/>
          </w:tcPr>
          <w:p w14:paraId="4BADD652"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975" w:type="dxa"/>
            <w:tcBorders>
              <w:top w:val="nil"/>
              <w:left w:val="nil"/>
              <w:bottom w:val="single" w:sz="4" w:space="0" w:color="auto"/>
              <w:right w:val="single" w:sz="4" w:space="0" w:color="auto"/>
            </w:tcBorders>
            <w:shd w:val="clear" w:color="auto" w:fill="C6EFCE"/>
            <w:noWrap/>
          </w:tcPr>
          <w:p w14:paraId="6703DACF" w14:textId="77777777" w:rsidR="003A3D51" w:rsidRDefault="0002775A">
            <w:pPr>
              <w:pStyle w:val="P68B1DB1-Normal7"/>
              <w:spacing w:after="200" w:line="276" w:lineRule="auto"/>
              <w:jc w:val="center"/>
              <w:rPr>
                <w:rFonts w:ascii="Times New Roman" w:hAnsi="Times New Roman" w:cs="Times New Roman"/>
                <w:noProof/>
              </w:rPr>
            </w:pPr>
            <w:r>
              <w:rPr>
                <w:noProof/>
              </w:rPr>
              <w:t>Procentsats</w:t>
            </w:r>
          </w:p>
        </w:tc>
        <w:tc>
          <w:tcPr>
            <w:tcW w:w="802" w:type="dxa"/>
            <w:tcBorders>
              <w:top w:val="nil"/>
              <w:left w:val="nil"/>
              <w:bottom w:val="single" w:sz="4" w:space="0" w:color="auto"/>
              <w:right w:val="single" w:sz="4" w:space="0" w:color="auto"/>
            </w:tcBorders>
            <w:shd w:val="clear" w:color="auto" w:fill="C6EFCE"/>
            <w:noWrap/>
          </w:tcPr>
          <w:p w14:paraId="19EE1AEE" w14:textId="644E9702" w:rsidR="003A3D51" w:rsidRDefault="0002775A">
            <w:pPr>
              <w:pStyle w:val="P68B1DB1-Normal7"/>
              <w:spacing w:after="200" w:line="276" w:lineRule="auto"/>
              <w:jc w:val="center"/>
              <w:rPr>
                <w:rFonts w:ascii="Times New Roman" w:hAnsi="Times New Roman" w:cs="Times New Roman"/>
                <w:noProof/>
              </w:rPr>
            </w:pPr>
            <w:r>
              <w:rPr>
                <w:noProof/>
              </w:rPr>
              <w:t>18.3 (2019)</w:t>
            </w:r>
          </w:p>
        </w:tc>
        <w:tc>
          <w:tcPr>
            <w:tcW w:w="874" w:type="dxa"/>
            <w:tcBorders>
              <w:top w:val="nil"/>
              <w:left w:val="nil"/>
              <w:bottom w:val="single" w:sz="4" w:space="0" w:color="auto"/>
              <w:right w:val="single" w:sz="4" w:space="0" w:color="auto"/>
            </w:tcBorders>
            <w:shd w:val="clear" w:color="auto" w:fill="C6EFCE"/>
            <w:noWrap/>
          </w:tcPr>
          <w:p w14:paraId="5E8BED3B" w14:textId="5A1A751E" w:rsidR="003A3D51" w:rsidRDefault="0002775A">
            <w:pPr>
              <w:pStyle w:val="P68B1DB1-Normal7"/>
              <w:spacing w:after="200" w:line="276" w:lineRule="auto"/>
              <w:jc w:val="center"/>
              <w:rPr>
                <w:rFonts w:ascii="Times New Roman" w:hAnsi="Times New Roman" w:cs="Times New Roman"/>
                <w:noProof/>
              </w:rPr>
            </w:pPr>
            <w:r>
              <w:rPr>
                <w:noProof/>
              </w:rPr>
              <w:t>16.5</w:t>
            </w:r>
          </w:p>
        </w:tc>
        <w:tc>
          <w:tcPr>
            <w:tcW w:w="709" w:type="dxa"/>
            <w:tcBorders>
              <w:top w:val="nil"/>
              <w:left w:val="nil"/>
              <w:bottom w:val="single" w:sz="4" w:space="0" w:color="auto"/>
              <w:right w:val="single" w:sz="4" w:space="0" w:color="auto"/>
            </w:tcBorders>
            <w:shd w:val="clear" w:color="auto" w:fill="C6EFCE"/>
            <w:noWrap/>
          </w:tcPr>
          <w:p w14:paraId="3918E94B" w14:textId="0F053742"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907" w:type="dxa"/>
            <w:tcBorders>
              <w:top w:val="nil"/>
              <w:left w:val="nil"/>
              <w:bottom w:val="single" w:sz="4" w:space="0" w:color="auto"/>
              <w:right w:val="single" w:sz="4" w:space="0" w:color="auto"/>
            </w:tcBorders>
            <w:shd w:val="clear" w:color="auto" w:fill="C6EFCE"/>
            <w:noWrap/>
          </w:tcPr>
          <w:p w14:paraId="0BBABB90" w14:textId="3323C9CD"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27" w:type="dxa"/>
            <w:tcBorders>
              <w:top w:val="nil"/>
              <w:left w:val="nil"/>
              <w:bottom w:val="single" w:sz="4" w:space="0" w:color="auto"/>
              <w:right w:val="single" w:sz="4" w:space="0" w:color="auto"/>
            </w:tcBorders>
            <w:shd w:val="clear" w:color="auto" w:fill="C6EFCE"/>
            <w:noWrap/>
          </w:tcPr>
          <w:p w14:paraId="15BA4A92" w14:textId="77777777" w:rsidR="003A3D51" w:rsidRDefault="0002775A">
            <w:pPr>
              <w:pStyle w:val="P68B1DB1-Normal7"/>
              <w:spacing w:after="200" w:line="276" w:lineRule="auto"/>
              <w:rPr>
                <w:noProof/>
                <w:color w:val="000000" w:themeColor="text1"/>
              </w:rPr>
            </w:pPr>
            <w:r>
              <w:rPr>
                <w:noProof/>
              </w:rPr>
              <w:t xml:space="preserve"> Fattigdomsrisken ska minska från 18,3 % till minst 16,5 %. </w:t>
            </w:r>
          </w:p>
          <w:p w14:paraId="26CB92EA" w14:textId="77777777" w:rsidR="003A3D51" w:rsidRDefault="003A3D51">
            <w:pPr>
              <w:spacing w:after="200" w:line="276" w:lineRule="auto"/>
              <w:rPr>
                <w:rFonts w:ascii="Calibri" w:eastAsia="Calibri" w:hAnsi="Calibri" w:cs="Arial"/>
                <w:noProof/>
                <w:color w:val="000000" w:themeColor="text1"/>
                <w:sz w:val="20"/>
              </w:rPr>
            </w:pPr>
          </w:p>
        </w:tc>
      </w:tr>
      <w:tr w:rsidR="003A3D51" w14:paraId="66FACE18"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44CED313" w14:textId="77777777" w:rsidR="003A3D51" w:rsidRDefault="0002775A">
            <w:pPr>
              <w:pStyle w:val="P68B1DB1-Normal7"/>
              <w:spacing w:after="200" w:line="276" w:lineRule="auto"/>
              <w:jc w:val="center"/>
              <w:rPr>
                <w:rFonts w:ascii="Times New Roman" w:hAnsi="Times New Roman" w:cs="Times New Roman"/>
                <w:noProof/>
              </w:rPr>
            </w:pPr>
            <w:r>
              <w:rPr>
                <w:noProof/>
              </w:rPr>
              <w:t>307</w:t>
            </w:r>
          </w:p>
        </w:tc>
        <w:tc>
          <w:tcPr>
            <w:tcW w:w="825" w:type="dxa"/>
            <w:tcBorders>
              <w:top w:val="nil"/>
              <w:left w:val="nil"/>
              <w:bottom w:val="single" w:sz="4" w:space="0" w:color="auto"/>
              <w:right w:val="single" w:sz="4" w:space="0" w:color="auto"/>
            </w:tcBorders>
            <w:shd w:val="clear" w:color="auto" w:fill="C6EFCE"/>
            <w:noWrap/>
          </w:tcPr>
          <w:p w14:paraId="4D846907" w14:textId="77777777" w:rsidR="003A3D51" w:rsidRDefault="0002775A">
            <w:pPr>
              <w:pStyle w:val="P68B1DB1-Normal7"/>
              <w:spacing w:after="200" w:line="276" w:lineRule="auto"/>
              <w:jc w:val="center"/>
              <w:rPr>
                <w:rFonts w:ascii="Times New Roman" w:hAnsi="Times New Roman" w:cs="Times New Roman"/>
                <w:noProof/>
              </w:rPr>
            </w:pPr>
            <w:r>
              <w:rPr>
                <w:noProof/>
              </w:rPr>
              <w:t>C4.3 R1-I1</w:t>
            </w:r>
          </w:p>
        </w:tc>
        <w:tc>
          <w:tcPr>
            <w:tcW w:w="825" w:type="dxa"/>
            <w:tcBorders>
              <w:top w:val="nil"/>
              <w:left w:val="nil"/>
              <w:bottom w:val="single" w:sz="4" w:space="0" w:color="auto"/>
              <w:right w:val="single" w:sz="4" w:space="0" w:color="auto"/>
            </w:tcBorders>
            <w:shd w:val="clear" w:color="auto" w:fill="C6EFCE"/>
            <w:noWrap/>
          </w:tcPr>
          <w:p w14:paraId="6BBE054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nil"/>
              <w:left w:val="nil"/>
              <w:bottom w:val="single" w:sz="4" w:space="0" w:color="auto"/>
              <w:right w:val="single" w:sz="4" w:space="0" w:color="auto"/>
            </w:tcBorders>
            <w:shd w:val="clear" w:color="auto" w:fill="C6EFCE"/>
            <w:noWrap/>
          </w:tcPr>
          <w:p w14:paraId="73DEAABF" w14:textId="77777777" w:rsidR="003A3D51" w:rsidRDefault="0002775A">
            <w:pPr>
              <w:pStyle w:val="P68B1DB1-Normal7"/>
              <w:spacing w:after="200" w:line="276" w:lineRule="auto"/>
              <w:rPr>
                <w:rFonts w:ascii="Times New Roman" w:hAnsi="Times New Roman" w:cs="Times New Roman"/>
                <w:noProof/>
              </w:rPr>
            </w:pPr>
            <w:r>
              <w:rPr>
                <w:noProof/>
              </w:rPr>
              <w:t>Tillgång till uppgifter om sociala förmåner för varje enskild stödmottagare</w:t>
            </w:r>
          </w:p>
        </w:tc>
        <w:tc>
          <w:tcPr>
            <w:tcW w:w="2171" w:type="dxa"/>
            <w:tcBorders>
              <w:top w:val="nil"/>
              <w:left w:val="nil"/>
              <w:bottom w:val="single" w:sz="4" w:space="0" w:color="auto"/>
              <w:right w:val="single" w:sz="4" w:space="0" w:color="auto"/>
            </w:tcBorders>
            <w:shd w:val="clear" w:color="auto" w:fill="C6EFCE"/>
            <w:noWrap/>
          </w:tcPr>
          <w:p w14:paraId="404955C0"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975" w:type="dxa"/>
            <w:tcBorders>
              <w:top w:val="nil"/>
              <w:left w:val="nil"/>
              <w:bottom w:val="single" w:sz="4" w:space="0" w:color="auto"/>
              <w:right w:val="single" w:sz="4" w:space="0" w:color="auto"/>
            </w:tcBorders>
            <w:shd w:val="clear" w:color="auto" w:fill="C6EFCE"/>
            <w:noWrap/>
          </w:tcPr>
          <w:p w14:paraId="586B8409" w14:textId="77777777" w:rsidR="003A3D51" w:rsidRDefault="0002775A">
            <w:pPr>
              <w:pStyle w:val="P68B1DB1-Normal7"/>
              <w:spacing w:after="200" w:line="276" w:lineRule="auto"/>
              <w:jc w:val="center"/>
              <w:rPr>
                <w:rFonts w:ascii="Times New Roman" w:hAnsi="Times New Roman" w:cs="Times New Roman"/>
                <w:noProof/>
              </w:rPr>
            </w:pPr>
            <w:r>
              <w:rPr>
                <w:noProof/>
              </w:rPr>
              <w:t>Procentsats</w:t>
            </w:r>
          </w:p>
        </w:tc>
        <w:tc>
          <w:tcPr>
            <w:tcW w:w="802" w:type="dxa"/>
            <w:tcBorders>
              <w:top w:val="nil"/>
              <w:left w:val="nil"/>
              <w:bottom w:val="single" w:sz="4" w:space="0" w:color="auto"/>
              <w:right w:val="single" w:sz="4" w:space="0" w:color="auto"/>
            </w:tcBorders>
            <w:shd w:val="clear" w:color="auto" w:fill="C6EFCE"/>
            <w:noWrap/>
          </w:tcPr>
          <w:p w14:paraId="2FB52C9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nil"/>
              <w:left w:val="nil"/>
              <w:bottom w:val="single" w:sz="4" w:space="0" w:color="auto"/>
              <w:right w:val="single" w:sz="4" w:space="0" w:color="auto"/>
            </w:tcBorders>
            <w:shd w:val="clear" w:color="auto" w:fill="C6EFCE"/>
            <w:noWrap/>
          </w:tcPr>
          <w:p w14:paraId="547C0567"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709" w:type="dxa"/>
            <w:tcBorders>
              <w:top w:val="nil"/>
              <w:left w:val="nil"/>
              <w:bottom w:val="single" w:sz="4" w:space="0" w:color="auto"/>
              <w:right w:val="single" w:sz="4" w:space="0" w:color="auto"/>
            </w:tcBorders>
            <w:shd w:val="clear" w:color="auto" w:fill="C6EFCE"/>
            <w:noWrap/>
          </w:tcPr>
          <w:p w14:paraId="34E81FE1"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nil"/>
              <w:left w:val="nil"/>
              <w:bottom w:val="single" w:sz="4" w:space="0" w:color="auto"/>
              <w:right w:val="single" w:sz="4" w:space="0" w:color="auto"/>
            </w:tcBorders>
            <w:shd w:val="clear" w:color="auto" w:fill="C6EFCE"/>
            <w:noWrap/>
          </w:tcPr>
          <w:p w14:paraId="481BBDF3"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127" w:type="dxa"/>
            <w:tcBorders>
              <w:top w:val="nil"/>
              <w:left w:val="nil"/>
              <w:bottom w:val="single" w:sz="4" w:space="0" w:color="auto"/>
              <w:right w:val="single" w:sz="4" w:space="0" w:color="auto"/>
            </w:tcBorders>
            <w:shd w:val="clear" w:color="auto" w:fill="C6EFCE"/>
            <w:noWrap/>
          </w:tcPr>
          <w:p w14:paraId="6B52EA7E" w14:textId="77777777" w:rsidR="003A3D51" w:rsidRDefault="0002775A">
            <w:pPr>
              <w:pStyle w:val="P68B1DB1-Normal7"/>
              <w:spacing w:after="200" w:line="276" w:lineRule="auto"/>
              <w:rPr>
                <w:rFonts w:ascii="Times New Roman" w:hAnsi="Times New Roman" w:cs="Times New Roman"/>
                <w:noProof/>
              </w:rPr>
            </w:pPr>
            <w:r>
              <w:rPr>
                <w:noProof/>
              </w:rPr>
              <w:t xml:space="preserve">Alla lokala och regionala förvaltningsenheter ska ha funktionell tillgång till alla tillgängliga uppgifter om sociala förmåner för varje enskild stödmottagare. I samarbete med skatteförvaltningen ska återvinning av skattebelagda inkomster och bruttoinkomstregister (EDIP) och utvidgningen av rapporten om bruttoinkomst, inkomstskatt, tilläggsskatt och obligatoriska försäkringsavgifter (JOPPD) på socialförsäkringssystemets sociala förmånsdel göra det möjligt att inhämta uppgifter om sociala förmåner för varje enskild förmånstagare till alla lokala och regionala enheter samt tjänster på nationell nivå. </w:t>
            </w:r>
          </w:p>
        </w:tc>
      </w:tr>
      <w:tr w:rsidR="003A3D51" w14:paraId="7D5260BD" w14:textId="77777777">
        <w:trPr>
          <w:trHeight w:val="282"/>
          <w:jc w:val="center"/>
        </w:trPr>
        <w:tc>
          <w:tcPr>
            <w:tcW w:w="716" w:type="dxa"/>
            <w:tcBorders>
              <w:top w:val="nil"/>
              <w:left w:val="single" w:sz="4" w:space="0" w:color="auto"/>
              <w:bottom w:val="single" w:sz="4" w:space="0" w:color="auto"/>
              <w:right w:val="single" w:sz="4" w:space="0" w:color="auto"/>
            </w:tcBorders>
            <w:shd w:val="clear" w:color="auto" w:fill="C6EFCE"/>
            <w:noWrap/>
          </w:tcPr>
          <w:p w14:paraId="3EC16555" w14:textId="77777777" w:rsidR="003A3D51" w:rsidRDefault="0002775A">
            <w:pPr>
              <w:pStyle w:val="P68B1DB1-Normal7"/>
              <w:spacing w:after="200" w:line="276" w:lineRule="auto"/>
              <w:jc w:val="center"/>
              <w:rPr>
                <w:rFonts w:ascii="Times New Roman" w:hAnsi="Times New Roman" w:cs="Times New Roman"/>
                <w:noProof/>
              </w:rPr>
            </w:pPr>
            <w:r>
              <w:rPr>
                <w:noProof/>
              </w:rPr>
              <w:t>308</w:t>
            </w:r>
          </w:p>
        </w:tc>
        <w:tc>
          <w:tcPr>
            <w:tcW w:w="825" w:type="dxa"/>
            <w:tcBorders>
              <w:top w:val="nil"/>
              <w:left w:val="nil"/>
              <w:bottom w:val="single" w:sz="4" w:space="0" w:color="auto"/>
              <w:right w:val="single" w:sz="4" w:space="0" w:color="auto"/>
            </w:tcBorders>
            <w:shd w:val="clear" w:color="auto" w:fill="C6EFCE"/>
            <w:noWrap/>
          </w:tcPr>
          <w:p w14:paraId="1C5935F6" w14:textId="77777777" w:rsidR="003A3D51" w:rsidRDefault="0002775A">
            <w:pPr>
              <w:pStyle w:val="P68B1DB1-Normal7"/>
              <w:spacing w:after="200" w:line="276" w:lineRule="auto"/>
              <w:jc w:val="center"/>
              <w:rPr>
                <w:rFonts w:ascii="Times New Roman" w:hAnsi="Times New Roman" w:cs="Times New Roman"/>
                <w:noProof/>
              </w:rPr>
            </w:pPr>
            <w:r>
              <w:rPr>
                <w:noProof/>
              </w:rPr>
              <w:t>C4.3 R1-I2</w:t>
            </w:r>
          </w:p>
        </w:tc>
        <w:tc>
          <w:tcPr>
            <w:tcW w:w="825" w:type="dxa"/>
            <w:tcBorders>
              <w:top w:val="nil"/>
              <w:left w:val="nil"/>
              <w:bottom w:val="single" w:sz="4" w:space="0" w:color="auto"/>
              <w:right w:val="single" w:sz="4" w:space="0" w:color="auto"/>
            </w:tcBorders>
            <w:shd w:val="clear" w:color="auto" w:fill="C6EFCE"/>
            <w:noWrap/>
          </w:tcPr>
          <w:p w14:paraId="2577EE2B"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nil"/>
              <w:left w:val="nil"/>
              <w:bottom w:val="single" w:sz="4" w:space="0" w:color="auto"/>
              <w:right w:val="single" w:sz="4" w:space="0" w:color="auto"/>
            </w:tcBorders>
            <w:shd w:val="clear" w:color="auto" w:fill="C6EFCE"/>
            <w:noWrap/>
          </w:tcPr>
          <w:p w14:paraId="04F8AC42" w14:textId="77777777" w:rsidR="003A3D51" w:rsidRDefault="0002775A">
            <w:pPr>
              <w:pStyle w:val="P68B1DB1-Normal7"/>
              <w:spacing w:after="200" w:line="276" w:lineRule="auto"/>
              <w:rPr>
                <w:rFonts w:ascii="Times New Roman" w:hAnsi="Times New Roman" w:cs="Times New Roman"/>
                <w:noProof/>
              </w:rPr>
            </w:pPr>
            <w:r>
              <w:rPr>
                <w:noProof/>
              </w:rPr>
              <w:t>Digital tillgång till information om sociala förmåner på nationell nivå</w:t>
            </w:r>
          </w:p>
        </w:tc>
        <w:tc>
          <w:tcPr>
            <w:tcW w:w="2171" w:type="dxa"/>
            <w:tcBorders>
              <w:top w:val="nil"/>
              <w:left w:val="nil"/>
              <w:bottom w:val="single" w:sz="4" w:space="0" w:color="auto"/>
              <w:right w:val="single" w:sz="4" w:space="0" w:color="auto"/>
            </w:tcBorders>
            <w:shd w:val="clear" w:color="auto" w:fill="C6EFCE"/>
            <w:noWrap/>
          </w:tcPr>
          <w:p w14:paraId="52F52223" w14:textId="77777777" w:rsidR="003A3D51" w:rsidRDefault="0002775A">
            <w:pPr>
              <w:pStyle w:val="P68B1DB1-Normal7"/>
              <w:spacing w:after="200" w:line="276" w:lineRule="auto"/>
              <w:rPr>
                <w:rFonts w:ascii="Times New Roman" w:hAnsi="Times New Roman" w:cs="Times New Roman"/>
                <w:noProof/>
              </w:rPr>
            </w:pPr>
            <w:r>
              <w:rPr>
                <w:noProof/>
              </w:rPr>
              <w:t>Utvecklad och funktionell webbapplikation för att tillhandahålla information om sociala förmåner med kriterier och villkor för att erhålla 12 typer av sociala förmåner i ett socialt trygghetssystem på nationell nivå.</w:t>
            </w:r>
          </w:p>
        </w:tc>
        <w:tc>
          <w:tcPr>
            <w:tcW w:w="975" w:type="dxa"/>
            <w:tcBorders>
              <w:top w:val="nil"/>
              <w:left w:val="nil"/>
              <w:bottom w:val="single" w:sz="4" w:space="0" w:color="auto"/>
              <w:right w:val="single" w:sz="4" w:space="0" w:color="auto"/>
            </w:tcBorders>
            <w:shd w:val="clear" w:color="auto" w:fill="C6EFCE"/>
            <w:noWrap/>
          </w:tcPr>
          <w:p w14:paraId="212B817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02" w:type="dxa"/>
            <w:tcBorders>
              <w:top w:val="nil"/>
              <w:left w:val="nil"/>
              <w:bottom w:val="single" w:sz="4" w:space="0" w:color="auto"/>
              <w:right w:val="single" w:sz="4" w:space="0" w:color="auto"/>
            </w:tcBorders>
            <w:shd w:val="clear" w:color="auto" w:fill="C6EFCE"/>
            <w:noWrap/>
          </w:tcPr>
          <w:p w14:paraId="1D12898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74" w:type="dxa"/>
            <w:tcBorders>
              <w:top w:val="nil"/>
              <w:left w:val="nil"/>
              <w:bottom w:val="single" w:sz="4" w:space="0" w:color="auto"/>
              <w:right w:val="single" w:sz="4" w:space="0" w:color="auto"/>
            </w:tcBorders>
            <w:shd w:val="clear" w:color="auto" w:fill="C6EFCE"/>
            <w:noWrap/>
          </w:tcPr>
          <w:p w14:paraId="6B32A49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9" w:type="dxa"/>
            <w:tcBorders>
              <w:top w:val="nil"/>
              <w:left w:val="nil"/>
              <w:bottom w:val="single" w:sz="4" w:space="0" w:color="auto"/>
              <w:right w:val="single" w:sz="4" w:space="0" w:color="auto"/>
            </w:tcBorders>
            <w:shd w:val="clear" w:color="auto" w:fill="C6EFCE"/>
            <w:noWrap/>
          </w:tcPr>
          <w:p w14:paraId="10E1C0BA"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nil"/>
              <w:left w:val="nil"/>
              <w:bottom w:val="single" w:sz="4" w:space="0" w:color="auto"/>
              <w:right w:val="single" w:sz="4" w:space="0" w:color="auto"/>
            </w:tcBorders>
            <w:shd w:val="clear" w:color="auto" w:fill="C6EFCE"/>
            <w:noWrap/>
          </w:tcPr>
          <w:p w14:paraId="3FAB6122"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127" w:type="dxa"/>
            <w:tcBorders>
              <w:top w:val="nil"/>
              <w:left w:val="nil"/>
              <w:bottom w:val="single" w:sz="4" w:space="0" w:color="auto"/>
              <w:right w:val="single" w:sz="4" w:space="0" w:color="auto"/>
            </w:tcBorders>
            <w:shd w:val="clear" w:color="auto" w:fill="C6EFCE"/>
            <w:noWrap/>
          </w:tcPr>
          <w:p w14:paraId="2CBA2CB8" w14:textId="77777777" w:rsidR="003A3D51" w:rsidRDefault="0002775A">
            <w:pPr>
              <w:pStyle w:val="P68B1DB1-Normal7"/>
              <w:spacing w:after="200" w:line="276" w:lineRule="auto"/>
              <w:rPr>
                <w:rFonts w:ascii="Times New Roman" w:hAnsi="Times New Roman" w:cs="Times New Roman"/>
                <w:noProof/>
              </w:rPr>
            </w:pPr>
            <w:r>
              <w:rPr>
                <w:noProof/>
              </w:rPr>
              <w:t>På grundval av projektfilen och en teknisk specifikation ska en webbapplikation utvecklas och göras tillgänglig för alla medborgare.  Ansökan ska ge tillgång till information om alla befintliga sociala trygghetsförmåner i systemet för socialt skydd och den indikativa möjligheten att erhålla dem på nationell nivå. Kriterierna och villkoren för att erhålla 12 typer av sociala förmåner i ett socialt skyddssystem på nationell nivå ska anges i ansökan.</w:t>
            </w:r>
          </w:p>
        </w:tc>
      </w:tr>
      <w:tr w:rsidR="003A3D51" w14:paraId="36F44259"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C5620F4" w14:textId="77777777" w:rsidR="003A3D51" w:rsidRDefault="0002775A">
            <w:pPr>
              <w:pStyle w:val="P68B1DB1-Normal7"/>
              <w:spacing w:after="200" w:line="276" w:lineRule="auto"/>
              <w:jc w:val="center"/>
              <w:rPr>
                <w:rFonts w:ascii="Times New Roman" w:hAnsi="Times New Roman" w:cs="Times New Roman"/>
                <w:noProof/>
              </w:rPr>
            </w:pPr>
            <w:r>
              <w:rPr>
                <w:noProof/>
              </w:rPr>
              <w:t>309</w:t>
            </w:r>
          </w:p>
        </w:tc>
        <w:tc>
          <w:tcPr>
            <w:tcW w:w="825" w:type="dxa"/>
            <w:tcBorders>
              <w:top w:val="single" w:sz="4" w:space="0" w:color="auto"/>
              <w:left w:val="nil"/>
              <w:bottom w:val="single" w:sz="4" w:space="0" w:color="auto"/>
              <w:right w:val="single" w:sz="4" w:space="0" w:color="auto"/>
            </w:tcBorders>
            <w:shd w:val="clear" w:color="auto" w:fill="C6EFCE"/>
            <w:noWrap/>
          </w:tcPr>
          <w:p w14:paraId="6F3B18DD" w14:textId="77777777" w:rsidR="003A3D51" w:rsidRDefault="0002775A">
            <w:pPr>
              <w:pStyle w:val="P68B1DB1-Normal7"/>
              <w:spacing w:after="200" w:line="276" w:lineRule="auto"/>
              <w:jc w:val="center"/>
              <w:rPr>
                <w:rFonts w:ascii="Times New Roman" w:hAnsi="Times New Roman" w:cs="Times New Roman"/>
                <w:noProof/>
              </w:rPr>
            </w:pPr>
            <w:r>
              <w:rPr>
                <w:noProof/>
              </w:rPr>
              <w:t>C4.3 R2</w:t>
            </w:r>
          </w:p>
        </w:tc>
        <w:tc>
          <w:tcPr>
            <w:tcW w:w="825" w:type="dxa"/>
            <w:tcBorders>
              <w:top w:val="single" w:sz="4" w:space="0" w:color="auto"/>
              <w:left w:val="nil"/>
              <w:bottom w:val="single" w:sz="4" w:space="0" w:color="auto"/>
              <w:right w:val="single" w:sz="4" w:space="0" w:color="auto"/>
            </w:tcBorders>
            <w:shd w:val="clear" w:color="auto" w:fill="C6EFCE"/>
            <w:noWrap/>
          </w:tcPr>
          <w:p w14:paraId="4935C98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single" w:sz="4" w:space="0" w:color="auto"/>
              <w:left w:val="nil"/>
              <w:bottom w:val="single" w:sz="4" w:space="0" w:color="auto"/>
              <w:right w:val="single" w:sz="4" w:space="0" w:color="auto"/>
            </w:tcBorders>
            <w:shd w:val="clear" w:color="auto" w:fill="C6EFCE"/>
            <w:noWrap/>
          </w:tcPr>
          <w:p w14:paraId="2F81019B" w14:textId="77777777" w:rsidR="003A3D51" w:rsidRDefault="0002775A">
            <w:pPr>
              <w:pStyle w:val="P68B1DB1-Normal7"/>
              <w:spacing w:after="200" w:line="276" w:lineRule="auto"/>
              <w:rPr>
                <w:rFonts w:ascii="Times New Roman" w:hAnsi="Times New Roman" w:cs="Times New Roman"/>
                <w:noProof/>
              </w:rPr>
            </w:pPr>
            <w:r>
              <w:rPr>
                <w:noProof/>
              </w:rPr>
              <w:t xml:space="preserve">Utbildning av yrkesverksamma inom social mentorsverksamhet </w:t>
            </w:r>
          </w:p>
        </w:tc>
        <w:tc>
          <w:tcPr>
            <w:tcW w:w="2171" w:type="dxa"/>
            <w:tcBorders>
              <w:top w:val="single" w:sz="4" w:space="0" w:color="auto"/>
              <w:left w:val="nil"/>
              <w:bottom w:val="single" w:sz="4" w:space="0" w:color="auto"/>
              <w:right w:val="single" w:sz="4" w:space="0" w:color="auto"/>
            </w:tcBorders>
            <w:shd w:val="clear" w:color="auto" w:fill="C6EFCE"/>
            <w:noWrap/>
          </w:tcPr>
          <w:p w14:paraId="03276EAE"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975" w:type="dxa"/>
            <w:tcBorders>
              <w:top w:val="single" w:sz="4" w:space="0" w:color="auto"/>
              <w:left w:val="nil"/>
              <w:bottom w:val="single" w:sz="4" w:space="0" w:color="auto"/>
              <w:right w:val="single" w:sz="4" w:space="0" w:color="auto"/>
            </w:tcBorders>
            <w:shd w:val="clear" w:color="auto" w:fill="C6EFCE"/>
            <w:noWrap/>
          </w:tcPr>
          <w:p w14:paraId="1ACDB4B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single" w:sz="4" w:space="0" w:color="auto"/>
              <w:left w:val="nil"/>
              <w:bottom w:val="single" w:sz="4" w:space="0" w:color="auto"/>
              <w:right w:val="single" w:sz="4" w:space="0" w:color="auto"/>
            </w:tcBorders>
            <w:shd w:val="clear" w:color="auto" w:fill="C6EFCE"/>
            <w:noWrap/>
          </w:tcPr>
          <w:p w14:paraId="609BCB5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single" w:sz="4" w:space="0" w:color="auto"/>
              <w:left w:val="nil"/>
              <w:bottom w:val="single" w:sz="4" w:space="0" w:color="auto"/>
              <w:right w:val="single" w:sz="4" w:space="0" w:color="auto"/>
            </w:tcBorders>
            <w:shd w:val="clear" w:color="auto" w:fill="C6EFCE"/>
            <w:noWrap/>
          </w:tcPr>
          <w:p w14:paraId="53D3E1A7" w14:textId="77777777" w:rsidR="003A3D51" w:rsidRDefault="0002775A">
            <w:pPr>
              <w:pStyle w:val="P68B1DB1-Normal7"/>
              <w:spacing w:after="200" w:line="276" w:lineRule="auto"/>
              <w:jc w:val="center"/>
              <w:rPr>
                <w:rFonts w:ascii="Times New Roman" w:hAnsi="Times New Roman" w:cs="Times New Roman"/>
                <w:noProof/>
              </w:rPr>
            </w:pPr>
            <w:r>
              <w:rPr>
                <w:noProof/>
              </w:rPr>
              <w:t>220</w:t>
            </w:r>
          </w:p>
        </w:tc>
        <w:tc>
          <w:tcPr>
            <w:tcW w:w="709" w:type="dxa"/>
            <w:tcBorders>
              <w:top w:val="single" w:sz="4" w:space="0" w:color="auto"/>
              <w:left w:val="nil"/>
              <w:bottom w:val="single" w:sz="4" w:space="0" w:color="auto"/>
              <w:right w:val="single" w:sz="4" w:space="0" w:color="auto"/>
            </w:tcBorders>
            <w:shd w:val="clear" w:color="auto" w:fill="C6EFCE"/>
            <w:noWrap/>
          </w:tcPr>
          <w:p w14:paraId="0284ADD8"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907" w:type="dxa"/>
            <w:tcBorders>
              <w:top w:val="single" w:sz="4" w:space="0" w:color="auto"/>
              <w:left w:val="nil"/>
              <w:bottom w:val="single" w:sz="4" w:space="0" w:color="auto"/>
              <w:right w:val="single" w:sz="4" w:space="0" w:color="auto"/>
            </w:tcBorders>
            <w:shd w:val="clear" w:color="auto" w:fill="C6EFCE"/>
            <w:noWrap/>
          </w:tcPr>
          <w:p w14:paraId="370DF9B5"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27" w:type="dxa"/>
            <w:tcBorders>
              <w:top w:val="single" w:sz="4" w:space="0" w:color="auto"/>
              <w:left w:val="nil"/>
              <w:bottom w:val="single" w:sz="4" w:space="0" w:color="auto"/>
              <w:right w:val="single" w:sz="4" w:space="0" w:color="auto"/>
            </w:tcBorders>
            <w:shd w:val="clear" w:color="auto" w:fill="C6EFCE"/>
            <w:noWrap/>
          </w:tcPr>
          <w:p w14:paraId="2E315E1D" w14:textId="77777777" w:rsidR="003A3D51" w:rsidRDefault="0002775A">
            <w:pPr>
              <w:pStyle w:val="P68B1DB1-Normal7"/>
              <w:spacing w:after="200" w:line="276" w:lineRule="auto"/>
              <w:rPr>
                <w:rFonts w:ascii="Times New Roman" w:hAnsi="Times New Roman" w:cs="Times New Roman"/>
                <w:noProof/>
              </w:rPr>
            </w:pPr>
            <w:r>
              <w:rPr>
                <w:noProof/>
              </w:rPr>
              <w:t>Utbildningen av sociala mentorer ska genomföras genom 15 moduler och ska slutföras av 220 yrkesutövare. Denna tjänst ska följa principerna för socialt arbete och komplettera redan befintlig verksamhet vid socialvårdscentrum. Den ska ta upp behovet av att samarbeta med andra samhällsbaserade leverantörer av sociala tjänster och behovet av att aktivt engagera mottagarna av sociala trygghetssystem för att komma till rätta med deras egen sociala utestängning.</w:t>
            </w:r>
          </w:p>
        </w:tc>
      </w:tr>
      <w:tr w:rsidR="003A3D51" w14:paraId="5AC5E3C0"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3A21291" w14:textId="77777777" w:rsidR="003A3D51" w:rsidRDefault="0002775A">
            <w:pPr>
              <w:pStyle w:val="P68B1DB1-Normal7"/>
              <w:spacing w:after="200" w:line="276" w:lineRule="auto"/>
              <w:jc w:val="center"/>
              <w:rPr>
                <w:rFonts w:ascii="Times New Roman" w:hAnsi="Times New Roman" w:cs="Times New Roman"/>
                <w:noProof/>
              </w:rPr>
            </w:pPr>
            <w:r>
              <w:rPr>
                <w:noProof/>
              </w:rPr>
              <w:t>310</w:t>
            </w:r>
          </w:p>
        </w:tc>
        <w:tc>
          <w:tcPr>
            <w:tcW w:w="825" w:type="dxa"/>
            <w:tcBorders>
              <w:top w:val="single" w:sz="4" w:space="0" w:color="auto"/>
              <w:left w:val="nil"/>
              <w:bottom w:val="single" w:sz="4" w:space="0" w:color="auto"/>
              <w:right w:val="single" w:sz="4" w:space="0" w:color="auto"/>
            </w:tcBorders>
            <w:shd w:val="clear" w:color="auto" w:fill="C6EFCE"/>
            <w:noWrap/>
          </w:tcPr>
          <w:p w14:paraId="0BAF3466" w14:textId="77777777" w:rsidR="003A3D51" w:rsidRDefault="0002775A">
            <w:pPr>
              <w:pStyle w:val="P68B1DB1-Normal7"/>
              <w:spacing w:after="200" w:line="276" w:lineRule="auto"/>
              <w:jc w:val="center"/>
              <w:rPr>
                <w:rFonts w:ascii="Times New Roman" w:hAnsi="Times New Roman" w:cs="Times New Roman"/>
                <w:noProof/>
              </w:rPr>
            </w:pPr>
            <w:r>
              <w:rPr>
                <w:noProof/>
              </w:rPr>
              <w:t>C4.3 R2</w:t>
            </w:r>
          </w:p>
        </w:tc>
        <w:tc>
          <w:tcPr>
            <w:tcW w:w="825" w:type="dxa"/>
            <w:tcBorders>
              <w:top w:val="single" w:sz="4" w:space="0" w:color="auto"/>
              <w:left w:val="nil"/>
              <w:bottom w:val="single" w:sz="4" w:space="0" w:color="auto"/>
              <w:right w:val="single" w:sz="4" w:space="0" w:color="auto"/>
            </w:tcBorders>
            <w:shd w:val="clear" w:color="auto" w:fill="C6EFCE"/>
            <w:noWrap/>
          </w:tcPr>
          <w:p w14:paraId="5B79D9DC"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single" w:sz="4" w:space="0" w:color="auto"/>
              <w:left w:val="nil"/>
              <w:bottom w:val="single" w:sz="4" w:space="0" w:color="auto"/>
              <w:right w:val="single" w:sz="4" w:space="0" w:color="auto"/>
            </w:tcBorders>
            <w:shd w:val="clear" w:color="auto" w:fill="C6EFCE"/>
            <w:noWrap/>
          </w:tcPr>
          <w:p w14:paraId="6CA7BE96" w14:textId="77777777" w:rsidR="003A3D51" w:rsidRDefault="0002775A">
            <w:pPr>
              <w:pStyle w:val="P68B1DB1-Normal7"/>
              <w:spacing w:after="200" w:line="276" w:lineRule="auto"/>
              <w:rPr>
                <w:rFonts w:ascii="Times New Roman" w:hAnsi="Times New Roman" w:cs="Times New Roman"/>
                <w:noProof/>
              </w:rPr>
            </w:pPr>
            <w:r>
              <w:rPr>
                <w:noProof/>
              </w:rPr>
              <w:t xml:space="preserve">Anställning av socialmentorspersonal </w:t>
            </w:r>
          </w:p>
        </w:tc>
        <w:tc>
          <w:tcPr>
            <w:tcW w:w="2171" w:type="dxa"/>
            <w:tcBorders>
              <w:top w:val="single" w:sz="4" w:space="0" w:color="auto"/>
              <w:left w:val="nil"/>
              <w:bottom w:val="single" w:sz="4" w:space="0" w:color="auto"/>
              <w:right w:val="single" w:sz="4" w:space="0" w:color="auto"/>
            </w:tcBorders>
            <w:shd w:val="clear" w:color="auto" w:fill="C6EFCE"/>
            <w:noWrap/>
          </w:tcPr>
          <w:p w14:paraId="7A476F62"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2188FC36"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single" w:sz="4" w:space="0" w:color="auto"/>
              <w:left w:val="nil"/>
              <w:bottom w:val="single" w:sz="4" w:space="0" w:color="auto"/>
              <w:right w:val="single" w:sz="4" w:space="0" w:color="auto"/>
            </w:tcBorders>
            <w:shd w:val="clear" w:color="auto" w:fill="C6EFCE"/>
            <w:noWrap/>
          </w:tcPr>
          <w:p w14:paraId="1F4075F7"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single" w:sz="4" w:space="0" w:color="auto"/>
              <w:left w:val="nil"/>
              <w:bottom w:val="single" w:sz="4" w:space="0" w:color="auto"/>
              <w:right w:val="single" w:sz="4" w:space="0" w:color="auto"/>
            </w:tcBorders>
            <w:shd w:val="clear" w:color="auto" w:fill="C6EFCE"/>
            <w:noWrap/>
          </w:tcPr>
          <w:p w14:paraId="06FA501D" w14:textId="77777777" w:rsidR="003A3D51" w:rsidRDefault="0002775A">
            <w:pPr>
              <w:pStyle w:val="P68B1DB1-Normal7"/>
              <w:spacing w:after="200" w:line="276" w:lineRule="auto"/>
              <w:jc w:val="center"/>
              <w:rPr>
                <w:rFonts w:ascii="Times New Roman" w:hAnsi="Times New Roman" w:cs="Times New Roman"/>
                <w:noProof/>
              </w:rPr>
            </w:pPr>
            <w:r>
              <w:rPr>
                <w:noProof/>
              </w:rPr>
              <w:t>220</w:t>
            </w:r>
          </w:p>
        </w:tc>
        <w:tc>
          <w:tcPr>
            <w:tcW w:w="709" w:type="dxa"/>
            <w:tcBorders>
              <w:top w:val="single" w:sz="4" w:space="0" w:color="auto"/>
              <w:left w:val="nil"/>
              <w:bottom w:val="single" w:sz="4" w:space="0" w:color="auto"/>
              <w:right w:val="single" w:sz="4" w:space="0" w:color="auto"/>
            </w:tcBorders>
            <w:shd w:val="clear" w:color="auto" w:fill="C6EFCE"/>
            <w:noWrap/>
          </w:tcPr>
          <w:p w14:paraId="4BE011AC"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single" w:sz="4" w:space="0" w:color="auto"/>
              <w:left w:val="nil"/>
              <w:bottom w:val="single" w:sz="4" w:space="0" w:color="auto"/>
              <w:right w:val="single" w:sz="4" w:space="0" w:color="auto"/>
            </w:tcBorders>
            <w:shd w:val="clear" w:color="auto" w:fill="C6EFCE"/>
            <w:noWrap/>
          </w:tcPr>
          <w:p w14:paraId="6E12C29B"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127" w:type="dxa"/>
            <w:tcBorders>
              <w:top w:val="single" w:sz="4" w:space="0" w:color="auto"/>
              <w:left w:val="nil"/>
              <w:bottom w:val="single" w:sz="4" w:space="0" w:color="auto"/>
              <w:right w:val="single" w:sz="4" w:space="0" w:color="auto"/>
            </w:tcBorders>
            <w:shd w:val="clear" w:color="auto" w:fill="C6EFCE"/>
            <w:noWrap/>
          </w:tcPr>
          <w:p w14:paraId="60C0AD51" w14:textId="77777777" w:rsidR="003A3D51" w:rsidRDefault="0002775A">
            <w:pPr>
              <w:pStyle w:val="P68B1DB1-Normal7"/>
              <w:spacing w:after="200" w:line="276" w:lineRule="auto"/>
              <w:rPr>
                <w:rFonts w:ascii="Times New Roman" w:hAnsi="Times New Roman" w:cs="Times New Roman"/>
                <w:noProof/>
              </w:rPr>
            </w:pPr>
            <w:r>
              <w:rPr>
                <w:noProof/>
              </w:rPr>
              <w:t xml:space="preserve">Anställning av 220 yrkesverksamma inom social mentorsverksamhet som slutfört utbildningen i socialt mentorskap ska skapa en förutsättning för att inrätta socialt mentorskap för missgynnade och socialt utestängda grupper av stödmottagare, som ska få individanpassad strategi och egenmakt i form av utveckling av de färdigheter som krävs för aktiv inkludering på arbetsmarknaden och i samhället. </w:t>
            </w:r>
          </w:p>
        </w:tc>
      </w:tr>
      <w:tr w:rsidR="003A3D51" w14:paraId="49CA63D4"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74BF2918" w14:textId="77777777" w:rsidR="003A3D51" w:rsidRDefault="0002775A">
            <w:pPr>
              <w:pStyle w:val="P68B1DB1-Normal7"/>
              <w:spacing w:after="200" w:line="276" w:lineRule="auto"/>
              <w:jc w:val="center"/>
              <w:rPr>
                <w:rFonts w:ascii="Times New Roman" w:hAnsi="Times New Roman" w:cs="Times New Roman"/>
                <w:noProof/>
              </w:rPr>
            </w:pPr>
            <w:r>
              <w:rPr>
                <w:noProof/>
              </w:rPr>
              <w:t>311</w:t>
            </w:r>
          </w:p>
        </w:tc>
        <w:tc>
          <w:tcPr>
            <w:tcW w:w="825" w:type="dxa"/>
            <w:tcBorders>
              <w:top w:val="single" w:sz="4" w:space="0" w:color="auto"/>
              <w:left w:val="nil"/>
              <w:bottom w:val="single" w:sz="4" w:space="0" w:color="auto"/>
              <w:right w:val="single" w:sz="4" w:space="0" w:color="auto"/>
            </w:tcBorders>
            <w:shd w:val="clear" w:color="auto" w:fill="C6EFCE"/>
            <w:noWrap/>
          </w:tcPr>
          <w:p w14:paraId="64987095" w14:textId="77777777" w:rsidR="003A3D51" w:rsidRDefault="0002775A">
            <w:pPr>
              <w:pStyle w:val="P68B1DB1-Normal7"/>
              <w:spacing w:after="200" w:line="276" w:lineRule="auto"/>
              <w:jc w:val="center"/>
              <w:rPr>
                <w:rFonts w:ascii="Times New Roman" w:hAnsi="Times New Roman" w:cs="Times New Roman"/>
                <w:noProof/>
              </w:rPr>
            </w:pPr>
            <w:r>
              <w:rPr>
                <w:noProof/>
              </w:rPr>
              <w:t>C4.3 R2-I1</w:t>
            </w:r>
          </w:p>
        </w:tc>
        <w:tc>
          <w:tcPr>
            <w:tcW w:w="825" w:type="dxa"/>
            <w:tcBorders>
              <w:top w:val="single" w:sz="4" w:space="0" w:color="auto"/>
              <w:left w:val="nil"/>
              <w:bottom w:val="single" w:sz="4" w:space="0" w:color="auto"/>
              <w:right w:val="single" w:sz="4" w:space="0" w:color="auto"/>
            </w:tcBorders>
            <w:shd w:val="clear" w:color="auto" w:fill="C6EFCE"/>
            <w:noWrap/>
          </w:tcPr>
          <w:p w14:paraId="4723EF8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single" w:sz="4" w:space="0" w:color="auto"/>
              <w:left w:val="nil"/>
              <w:bottom w:val="single" w:sz="4" w:space="0" w:color="auto"/>
              <w:right w:val="single" w:sz="4" w:space="0" w:color="auto"/>
            </w:tcBorders>
            <w:shd w:val="clear" w:color="auto" w:fill="C6EFCE"/>
            <w:noWrap/>
          </w:tcPr>
          <w:p w14:paraId="48A7E681" w14:textId="77777777" w:rsidR="003A3D51" w:rsidRDefault="0002775A">
            <w:pPr>
              <w:pStyle w:val="P68B1DB1-Normal7"/>
              <w:spacing w:after="200" w:line="276" w:lineRule="auto"/>
              <w:rPr>
                <w:rFonts w:ascii="Times New Roman" w:hAnsi="Times New Roman" w:cs="Times New Roman"/>
                <w:noProof/>
              </w:rPr>
            </w:pPr>
            <w:r>
              <w:rPr>
                <w:noProof/>
              </w:rPr>
              <w:t>Sociala mentortjänster som tillhandahålls stödmottagarna</w:t>
            </w:r>
          </w:p>
        </w:tc>
        <w:tc>
          <w:tcPr>
            <w:tcW w:w="2171" w:type="dxa"/>
            <w:tcBorders>
              <w:top w:val="single" w:sz="4" w:space="0" w:color="auto"/>
              <w:left w:val="nil"/>
              <w:bottom w:val="single" w:sz="4" w:space="0" w:color="auto"/>
              <w:right w:val="single" w:sz="4" w:space="0" w:color="auto"/>
            </w:tcBorders>
            <w:shd w:val="clear" w:color="auto" w:fill="C6EFCE"/>
            <w:noWrap/>
          </w:tcPr>
          <w:p w14:paraId="6C42B70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5673A0E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single" w:sz="4" w:space="0" w:color="auto"/>
              <w:left w:val="nil"/>
              <w:bottom w:val="single" w:sz="4" w:space="0" w:color="auto"/>
              <w:right w:val="single" w:sz="4" w:space="0" w:color="auto"/>
            </w:tcBorders>
            <w:shd w:val="clear" w:color="auto" w:fill="C6EFCE"/>
            <w:noWrap/>
          </w:tcPr>
          <w:p w14:paraId="2CF02AA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single" w:sz="4" w:space="0" w:color="auto"/>
              <w:left w:val="nil"/>
              <w:bottom w:val="single" w:sz="4" w:space="0" w:color="auto"/>
              <w:right w:val="single" w:sz="4" w:space="0" w:color="auto"/>
            </w:tcBorders>
            <w:shd w:val="clear" w:color="auto" w:fill="C6EFCE"/>
            <w:noWrap/>
          </w:tcPr>
          <w:p w14:paraId="14A17B73" w14:textId="77777777" w:rsidR="003A3D51" w:rsidRDefault="0002775A">
            <w:pPr>
              <w:pStyle w:val="P68B1DB1-Normal7"/>
              <w:spacing w:after="200" w:line="276" w:lineRule="auto"/>
              <w:jc w:val="center"/>
              <w:rPr>
                <w:rFonts w:ascii="Times New Roman" w:hAnsi="Times New Roman" w:cs="Times New Roman"/>
                <w:noProof/>
              </w:rPr>
            </w:pPr>
            <w:r>
              <w:rPr>
                <w:noProof/>
              </w:rPr>
              <w:t>30 000</w:t>
            </w:r>
          </w:p>
        </w:tc>
        <w:tc>
          <w:tcPr>
            <w:tcW w:w="709" w:type="dxa"/>
            <w:tcBorders>
              <w:top w:val="single" w:sz="4" w:space="0" w:color="auto"/>
              <w:left w:val="nil"/>
              <w:bottom w:val="single" w:sz="4" w:space="0" w:color="auto"/>
              <w:right w:val="single" w:sz="4" w:space="0" w:color="auto"/>
            </w:tcBorders>
            <w:shd w:val="clear" w:color="auto" w:fill="C6EFCE"/>
            <w:noWrap/>
          </w:tcPr>
          <w:p w14:paraId="1209AD64"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single" w:sz="4" w:space="0" w:color="auto"/>
              <w:left w:val="nil"/>
              <w:bottom w:val="single" w:sz="4" w:space="0" w:color="auto"/>
              <w:right w:val="single" w:sz="4" w:space="0" w:color="auto"/>
            </w:tcBorders>
            <w:shd w:val="clear" w:color="auto" w:fill="C6EFCE"/>
            <w:noWrap/>
          </w:tcPr>
          <w:p w14:paraId="184D9B2A"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127" w:type="dxa"/>
            <w:tcBorders>
              <w:top w:val="single" w:sz="4" w:space="0" w:color="auto"/>
              <w:left w:val="nil"/>
              <w:bottom w:val="single" w:sz="4" w:space="0" w:color="auto"/>
              <w:right w:val="single" w:sz="4" w:space="0" w:color="auto"/>
            </w:tcBorders>
            <w:shd w:val="clear" w:color="auto" w:fill="C6EFCE"/>
            <w:noWrap/>
          </w:tcPr>
          <w:p w14:paraId="744658D2" w14:textId="77777777" w:rsidR="003A3D51" w:rsidRDefault="0002775A">
            <w:pPr>
              <w:pStyle w:val="P68B1DB1-Normal7"/>
              <w:spacing w:after="200" w:line="276" w:lineRule="auto"/>
              <w:rPr>
                <w:rFonts w:ascii="Times New Roman" w:hAnsi="Times New Roman" w:cs="Times New Roman"/>
                <w:noProof/>
              </w:rPr>
            </w:pPr>
            <w:r>
              <w:rPr>
                <w:noProof/>
              </w:rPr>
              <w:t>Inrättandet av en social mentortjänst ska bidra till rekryteringen av långtidsarbetslösa och andra socialt utestängda grupper. Genom gradvis införande av den sociala mentorstjänst som ska finnas tillgänglig vid alla 118 socialvårdscentraler, inklusive deras dotterbolag, och i slutändan göra tjänsten till nytta för minst 30 000 användare.</w:t>
            </w:r>
          </w:p>
        </w:tc>
      </w:tr>
      <w:tr w:rsidR="003A3D51" w14:paraId="254EE52F"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74649973" w14:textId="77777777" w:rsidR="003A3D51" w:rsidRDefault="0002775A">
            <w:pPr>
              <w:pStyle w:val="P68B1DB1-Normal7"/>
              <w:spacing w:after="200" w:line="276" w:lineRule="auto"/>
              <w:rPr>
                <w:rFonts w:ascii="Times New Roman" w:hAnsi="Times New Roman" w:cs="Times New Roman"/>
                <w:noProof/>
              </w:rPr>
            </w:pPr>
            <w:r>
              <w:rPr>
                <w:noProof/>
              </w:rPr>
              <w:t>312</w:t>
            </w:r>
          </w:p>
        </w:tc>
        <w:tc>
          <w:tcPr>
            <w:tcW w:w="825" w:type="dxa"/>
            <w:tcBorders>
              <w:top w:val="single" w:sz="4" w:space="0" w:color="auto"/>
              <w:left w:val="nil"/>
              <w:bottom w:val="single" w:sz="4" w:space="0" w:color="auto"/>
              <w:right w:val="single" w:sz="4" w:space="0" w:color="auto"/>
            </w:tcBorders>
            <w:shd w:val="clear" w:color="auto" w:fill="C6EFCE"/>
            <w:noWrap/>
          </w:tcPr>
          <w:p w14:paraId="525FBE06" w14:textId="77777777" w:rsidR="003A3D51" w:rsidRDefault="0002775A">
            <w:pPr>
              <w:pStyle w:val="P68B1DB1-Normal7"/>
              <w:spacing w:after="200" w:line="276" w:lineRule="auto"/>
              <w:jc w:val="center"/>
              <w:rPr>
                <w:rFonts w:ascii="Times New Roman" w:hAnsi="Times New Roman" w:cs="Times New Roman"/>
                <w:noProof/>
              </w:rPr>
            </w:pPr>
            <w:r>
              <w:rPr>
                <w:noProof/>
              </w:rPr>
              <w:t>C4.3 R3</w:t>
            </w:r>
          </w:p>
        </w:tc>
        <w:tc>
          <w:tcPr>
            <w:tcW w:w="825" w:type="dxa"/>
            <w:tcBorders>
              <w:top w:val="single" w:sz="4" w:space="0" w:color="auto"/>
              <w:left w:val="nil"/>
              <w:bottom w:val="single" w:sz="4" w:space="0" w:color="auto"/>
              <w:right w:val="single" w:sz="4" w:space="0" w:color="auto"/>
            </w:tcBorders>
            <w:shd w:val="clear" w:color="auto" w:fill="C6EFCE"/>
            <w:noWrap/>
          </w:tcPr>
          <w:p w14:paraId="3E09BFB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single" w:sz="4" w:space="0" w:color="auto"/>
              <w:left w:val="nil"/>
              <w:bottom w:val="single" w:sz="4" w:space="0" w:color="auto"/>
              <w:right w:val="single" w:sz="4" w:space="0" w:color="auto"/>
            </w:tcBorders>
            <w:shd w:val="clear" w:color="auto" w:fill="C6EFCE"/>
            <w:noWrap/>
          </w:tcPr>
          <w:p w14:paraId="170D0A5B" w14:textId="77777777" w:rsidR="003A3D51" w:rsidRDefault="0002775A">
            <w:pPr>
              <w:pStyle w:val="P68B1DB1-Normal7"/>
              <w:spacing w:after="200" w:line="276" w:lineRule="auto"/>
              <w:rPr>
                <w:rFonts w:ascii="Times New Roman" w:hAnsi="Times New Roman" w:cs="Times New Roman"/>
                <w:noProof/>
              </w:rPr>
            </w:pPr>
            <w:r>
              <w:rPr>
                <w:noProof/>
              </w:rPr>
              <w:t>Antagande av den nationella planen för utveckling av sociala tjänster 2021–2027</w:t>
            </w:r>
          </w:p>
        </w:tc>
        <w:tc>
          <w:tcPr>
            <w:tcW w:w="2171" w:type="dxa"/>
            <w:tcBorders>
              <w:top w:val="single" w:sz="4" w:space="0" w:color="auto"/>
              <w:left w:val="nil"/>
              <w:bottom w:val="single" w:sz="4" w:space="0" w:color="auto"/>
              <w:right w:val="single" w:sz="4" w:space="0" w:color="auto"/>
            </w:tcBorders>
            <w:shd w:val="clear" w:color="auto" w:fill="C6EFCE"/>
            <w:noWrap/>
          </w:tcPr>
          <w:p w14:paraId="6A52F8FB" w14:textId="77777777" w:rsidR="003A3D51" w:rsidRDefault="0002775A">
            <w:pPr>
              <w:pStyle w:val="P68B1DB1-Normal7"/>
              <w:spacing w:after="200" w:line="276" w:lineRule="auto"/>
              <w:rPr>
                <w:rFonts w:ascii="Times New Roman" w:hAnsi="Times New Roman" w:cs="Times New Roman"/>
                <w:noProof/>
              </w:rPr>
            </w:pPr>
            <w:r>
              <w:rPr>
                <w:noProof/>
              </w:rPr>
              <w:t>Antagande av den nationella planen för utveckling av sociala tjänster 2021–2027</w:t>
            </w:r>
          </w:p>
        </w:tc>
        <w:tc>
          <w:tcPr>
            <w:tcW w:w="975" w:type="dxa"/>
            <w:tcBorders>
              <w:top w:val="single" w:sz="4" w:space="0" w:color="auto"/>
              <w:left w:val="nil"/>
              <w:bottom w:val="single" w:sz="4" w:space="0" w:color="auto"/>
              <w:right w:val="single" w:sz="4" w:space="0" w:color="auto"/>
            </w:tcBorders>
            <w:shd w:val="clear" w:color="auto" w:fill="C6EFCE"/>
            <w:noWrap/>
          </w:tcPr>
          <w:p w14:paraId="0C26B0A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02" w:type="dxa"/>
            <w:tcBorders>
              <w:top w:val="single" w:sz="4" w:space="0" w:color="auto"/>
              <w:left w:val="nil"/>
              <w:bottom w:val="single" w:sz="4" w:space="0" w:color="auto"/>
              <w:right w:val="single" w:sz="4" w:space="0" w:color="auto"/>
            </w:tcBorders>
            <w:shd w:val="clear" w:color="auto" w:fill="C6EFCE"/>
            <w:noWrap/>
          </w:tcPr>
          <w:p w14:paraId="435450C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74" w:type="dxa"/>
            <w:tcBorders>
              <w:top w:val="single" w:sz="4" w:space="0" w:color="auto"/>
              <w:left w:val="nil"/>
              <w:bottom w:val="single" w:sz="4" w:space="0" w:color="auto"/>
              <w:right w:val="single" w:sz="4" w:space="0" w:color="auto"/>
            </w:tcBorders>
            <w:shd w:val="clear" w:color="auto" w:fill="C6EFCE"/>
            <w:noWrap/>
          </w:tcPr>
          <w:p w14:paraId="14ABFF7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9" w:type="dxa"/>
            <w:tcBorders>
              <w:top w:val="single" w:sz="4" w:space="0" w:color="auto"/>
              <w:left w:val="nil"/>
              <w:bottom w:val="single" w:sz="4" w:space="0" w:color="auto"/>
              <w:right w:val="single" w:sz="4" w:space="0" w:color="auto"/>
            </w:tcBorders>
            <w:shd w:val="clear" w:color="auto" w:fill="C6EFCE"/>
            <w:noWrap/>
          </w:tcPr>
          <w:p w14:paraId="257561C3"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907" w:type="dxa"/>
            <w:tcBorders>
              <w:top w:val="single" w:sz="4" w:space="0" w:color="auto"/>
              <w:left w:val="nil"/>
              <w:bottom w:val="single" w:sz="4" w:space="0" w:color="auto"/>
              <w:right w:val="single" w:sz="4" w:space="0" w:color="auto"/>
            </w:tcBorders>
            <w:shd w:val="clear" w:color="auto" w:fill="C6EFCE"/>
            <w:noWrap/>
          </w:tcPr>
          <w:p w14:paraId="23343947"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127" w:type="dxa"/>
            <w:tcBorders>
              <w:top w:val="single" w:sz="4" w:space="0" w:color="auto"/>
              <w:left w:val="nil"/>
              <w:bottom w:val="single" w:sz="4" w:space="0" w:color="auto"/>
              <w:right w:val="single" w:sz="4" w:space="0" w:color="auto"/>
            </w:tcBorders>
            <w:shd w:val="clear" w:color="auto" w:fill="C6EFCE"/>
            <w:noWrap/>
          </w:tcPr>
          <w:p w14:paraId="25861E8E" w14:textId="77777777" w:rsidR="003A3D51" w:rsidRDefault="0002775A">
            <w:pPr>
              <w:spacing w:after="200" w:line="276" w:lineRule="auto"/>
              <w:contextualSpacing/>
              <w:rPr>
                <w:rFonts w:ascii="Times New Roman" w:eastAsia="Calibri" w:hAnsi="Times New Roman" w:cs="Times New Roman"/>
                <w:noProof/>
                <w:sz w:val="20"/>
              </w:rPr>
            </w:pPr>
            <w:r>
              <w:rPr>
                <w:rFonts w:ascii="Calibri" w:eastAsia="Calibri" w:hAnsi="Calibri" w:cs="Arial"/>
                <w:noProof/>
                <w:color w:val="000000" w:themeColor="text1"/>
                <w:sz w:val="20"/>
              </w:rPr>
              <w:t>Den nationella planen för utveckling av sociala tjänster 2021–2027 ska fastställa prioriteringar för utvecklingen av sociala tjänster och beskriva alla användargruppers behov av olika former av vård, både icke-institutionell och institutionell, i syfte att uppnå en systematisk och heltäckande vårdplan som är anpassad till användarnas behov. Planen ska också fastställa och fastställa de kriterier som är nödvändiga för att utveckla boendetjänster, hembaserade tjänster och samhällstjänster samt andra tjänster som förbättrar livskvaliteten och gör det möjligt för användarna att stanna kvar längre i sina hem och i samhället. Planen ska också innehålla en beskrivning av införandet av en social mentortjänst samt övergången från institutionstjänster till hemtjänst och samhällsbaserade tjänster inom äldreomsorgen, som ska</w:t>
            </w:r>
            <w:r>
              <w:rPr>
                <w:noProof/>
              </w:rPr>
              <w:br/>
            </w:r>
            <w:r>
              <w:rPr>
                <w:rFonts w:ascii="Calibri" w:eastAsia="Calibri" w:hAnsi="Calibri" w:cs="Arial"/>
                <w:noProof/>
                <w:color w:val="000000" w:themeColor="text1"/>
                <w:sz w:val="20"/>
              </w:rPr>
              <w:t xml:space="preserve">Stödja utvecklingen av hemtjänster och samhällsbaserade tjänster för långvarig vård och omsorg. </w:t>
            </w:r>
            <w:r>
              <w:rPr>
                <w:noProof/>
              </w:rPr>
              <w:br/>
            </w:r>
            <w:r>
              <w:rPr>
                <w:rFonts w:ascii="Calibri" w:eastAsia="Calibri" w:hAnsi="Calibri" w:cs="Arial"/>
                <w:noProof/>
                <w:color w:val="000000" w:themeColor="text1"/>
                <w:sz w:val="20"/>
              </w:rPr>
              <w:t>— Säkerställa tillgången till institutionella tjänster endast för äldre personer som funktionellt helt och hållet är beroende av institutionsvård och vars behov inte kan tillgodoses genom tjänster utanför institutionerna.</w:t>
            </w:r>
            <w:r>
              <w:rPr>
                <w:noProof/>
              </w:rPr>
              <w:br/>
            </w:r>
            <w:r>
              <w:rPr>
                <w:rFonts w:ascii="Calibri" w:eastAsia="Calibri" w:hAnsi="Calibri" w:cs="Arial"/>
                <w:noProof/>
                <w:color w:val="000000" w:themeColor="text1"/>
                <w:sz w:val="20"/>
              </w:rPr>
              <w:t>— Införa planering av vård- och omsorgsboenden, med en stark preferens för hemtjänst med beaktande av tillgången till tjänster och användarnas behov.</w:t>
            </w:r>
          </w:p>
        </w:tc>
      </w:tr>
      <w:tr w:rsidR="003A3D51" w14:paraId="066E6627"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EBB0D5F" w14:textId="77777777" w:rsidR="003A3D51" w:rsidRDefault="0002775A">
            <w:pPr>
              <w:pStyle w:val="P68B1DB1-Normal7"/>
              <w:spacing w:after="200" w:line="276" w:lineRule="auto"/>
              <w:jc w:val="center"/>
              <w:rPr>
                <w:rFonts w:ascii="Times New Roman" w:hAnsi="Times New Roman" w:cs="Times New Roman"/>
                <w:noProof/>
              </w:rPr>
            </w:pPr>
            <w:r>
              <w:rPr>
                <w:noProof/>
              </w:rPr>
              <w:t>313</w:t>
            </w:r>
          </w:p>
        </w:tc>
        <w:tc>
          <w:tcPr>
            <w:tcW w:w="825" w:type="dxa"/>
            <w:tcBorders>
              <w:top w:val="single" w:sz="4" w:space="0" w:color="auto"/>
              <w:left w:val="nil"/>
              <w:bottom w:val="single" w:sz="4" w:space="0" w:color="auto"/>
              <w:right w:val="single" w:sz="4" w:space="0" w:color="auto"/>
            </w:tcBorders>
            <w:shd w:val="clear" w:color="auto" w:fill="C6EFCE"/>
            <w:noWrap/>
          </w:tcPr>
          <w:p w14:paraId="48FCD26C" w14:textId="77777777" w:rsidR="003A3D51" w:rsidRDefault="0002775A">
            <w:pPr>
              <w:pStyle w:val="P68B1DB1-Normal7"/>
              <w:spacing w:after="200" w:line="276" w:lineRule="auto"/>
              <w:jc w:val="center"/>
              <w:rPr>
                <w:rFonts w:ascii="Times New Roman" w:hAnsi="Times New Roman" w:cs="Times New Roman"/>
                <w:noProof/>
              </w:rPr>
            </w:pPr>
            <w:r>
              <w:rPr>
                <w:noProof/>
              </w:rPr>
              <w:t>C4.3 R3</w:t>
            </w:r>
          </w:p>
        </w:tc>
        <w:tc>
          <w:tcPr>
            <w:tcW w:w="825" w:type="dxa"/>
            <w:tcBorders>
              <w:top w:val="single" w:sz="4" w:space="0" w:color="auto"/>
              <w:left w:val="nil"/>
              <w:bottom w:val="single" w:sz="4" w:space="0" w:color="auto"/>
              <w:right w:val="single" w:sz="4" w:space="0" w:color="auto"/>
            </w:tcBorders>
            <w:shd w:val="clear" w:color="auto" w:fill="C6EFCE"/>
            <w:noWrap/>
          </w:tcPr>
          <w:p w14:paraId="26215C1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single" w:sz="4" w:space="0" w:color="auto"/>
              <w:left w:val="nil"/>
              <w:bottom w:val="single" w:sz="4" w:space="0" w:color="auto"/>
              <w:right w:val="single" w:sz="4" w:space="0" w:color="auto"/>
            </w:tcBorders>
            <w:shd w:val="clear" w:color="auto" w:fill="C6EFCE"/>
            <w:noWrap/>
          </w:tcPr>
          <w:p w14:paraId="68D5C20E"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standarder för behandling av familjeassistenter </w:t>
            </w:r>
          </w:p>
        </w:tc>
        <w:tc>
          <w:tcPr>
            <w:tcW w:w="2171" w:type="dxa"/>
            <w:tcBorders>
              <w:top w:val="single" w:sz="4" w:space="0" w:color="auto"/>
              <w:left w:val="nil"/>
              <w:bottom w:val="single" w:sz="4" w:space="0" w:color="auto"/>
              <w:right w:val="single" w:sz="4" w:space="0" w:color="auto"/>
            </w:tcBorders>
            <w:shd w:val="clear" w:color="auto" w:fill="C6EFCE"/>
            <w:noWrap/>
          </w:tcPr>
          <w:p w14:paraId="6B8270AB"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standarder för behandling av familjeassistenter   </w:t>
            </w:r>
          </w:p>
        </w:tc>
        <w:tc>
          <w:tcPr>
            <w:tcW w:w="975" w:type="dxa"/>
            <w:tcBorders>
              <w:top w:val="single" w:sz="4" w:space="0" w:color="auto"/>
              <w:left w:val="nil"/>
              <w:bottom w:val="single" w:sz="4" w:space="0" w:color="auto"/>
              <w:right w:val="single" w:sz="4" w:space="0" w:color="auto"/>
            </w:tcBorders>
            <w:shd w:val="clear" w:color="auto" w:fill="C6EFCE"/>
            <w:noWrap/>
          </w:tcPr>
          <w:p w14:paraId="06294B4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02" w:type="dxa"/>
            <w:tcBorders>
              <w:top w:val="single" w:sz="4" w:space="0" w:color="auto"/>
              <w:left w:val="nil"/>
              <w:bottom w:val="single" w:sz="4" w:space="0" w:color="auto"/>
              <w:right w:val="single" w:sz="4" w:space="0" w:color="auto"/>
            </w:tcBorders>
            <w:shd w:val="clear" w:color="auto" w:fill="C6EFCE"/>
            <w:noWrap/>
          </w:tcPr>
          <w:p w14:paraId="793ABA7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74" w:type="dxa"/>
            <w:tcBorders>
              <w:top w:val="single" w:sz="4" w:space="0" w:color="auto"/>
              <w:left w:val="nil"/>
              <w:bottom w:val="single" w:sz="4" w:space="0" w:color="auto"/>
              <w:right w:val="single" w:sz="4" w:space="0" w:color="auto"/>
            </w:tcBorders>
            <w:shd w:val="clear" w:color="auto" w:fill="C6EFCE"/>
            <w:noWrap/>
          </w:tcPr>
          <w:p w14:paraId="5D112E5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9" w:type="dxa"/>
            <w:tcBorders>
              <w:top w:val="single" w:sz="4" w:space="0" w:color="auto"/>
              <w:left w:val="nil"/>
              <w:bottom w:val="single" w:sz="4" w:space="0" w:color="auto"/>
              <w:right w:val="single" w:sz="4" w:space="0" w:color="auto"/>
            </w:tcBorders>
            <w:shd w:val="clear" w:color="auto" w:fill="C6EFCE"/>
            <w:noWrap/>
          </w:tcPr>
          <w:p w14:paraId="772CA7C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single" w:sz="4" w:space="0" w:color="auto"/>
              <w:left w:val="nil"/>
              <w:bottom w:val="single" w:sz="4" w:space="0" w:color="auto"/>
              <w:right w:val="single" w:sz="4" w:space="0" w:color="auto"/>
            </w:tcBorders>
            <w:shd w:val="clear" w:color="auto" w:fill="C6EFCE"/>
            <w:noWrap/>
          </w:tcPr>
          <w:p w14:paraId="072DA97B"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27" w:type="dxa"/>
            <w:tcBorders>
              <w:top w:val="single" w:sz="4" w:space="0" w:color="auto"/>
              <w:left w:val="nil"/>
              <w:bottom w:val="single" w:sz="4" w:space="0" w:color="auto"/>
              <w:right w:val="single" w:sz="4" w:space="0" w:color="auto"/>
            </w:tcBorders>
            <w:shd w:val="clear" w:color="auto" w:fill="C6EFCE"/>
            <w:noWrap/>
          </w:tcPr>
          <w:p w14:paraId="7DCB970A" w14:textId="77777777" w:rsidR="003A3D51" w:rsidRDefault="0002775A">
            <w:pPr>
              <w:pStyle w:val="P68B1DB1-Normal7"/>
              <w:spacing w:after="200" w:line="276" w:lineRule="auto"/>
              <w:rPr>
                <w:rFonts w:ascii="Times New Roman" w:hAnsi="Times New Roman" w:cs="Times New Roman"/>
                <w:noProof/>
              </w:rPr>
            </w:pPr>
            <w:r>
              <w:rPr>
                <w:noProof/>
              </w:rPr>
              <w:t>Utvecklade standarder för att reglera familjeassistenters verksamhet ska möjliggöra ett harmoniserat tillhandahållande av tjänster på plats i bidragsmottagarens hem i samarbete med andra intressenter på lokal nivå.</w:t>
            </w:r>
          </w:p>
        </w:tc>
      </w:tr>
      <w:tr w:rsidR="003A3D51" w14:paraId="57BC8ABB"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451A209" w14:textId="77777777" w:rsidR="003A3D51" w:rsidRDefault="0002775A">
            <w:pPr>
              <w:pStyle w:val="P68B1DB1-Normal7"/>
              <w:spacing w:after="200" w:line="276" w:lineRule="auto"/>
              <w:jc w:val="center"/>
              <w:rPr>
                <w:rFonts w:ascii="Times New Roman" w:hAnsi="Times New Roman" w:cs="Times New Roman"/>
                <w:noProof/>
              </w:rPr>
            </w:pPr>
            <w:r>
              <w:rPr>
                <w:noProof/>
              </w:rPr>
              <w:t>314</w:t>
            </w:r>
          </w:p>
        </w:tc>
        <w:tc>
          <w:tcPr>
            <w:tcW w:w="825" w:type="dxa"/>
            <w:tcBorders>
              <w:top w:val="single" w:sz="4" w:space="0" w:color="auto"/>
              <w:left w:val="nil"/>
              <w:bottom w:val="single" w:sz="4" w:space="0" w:color="auto"/>
              <w:right w:val="single" w:sz="4" w:space="0" w:color="auto"/>
            </w:tcBorders>
            <w:shd w:val="clear" w:color="auto" w:fill="C6EFCE"/>
            <w:noWrap/>
          </w:tcPr>
          <w:p w14:paraId="5AC21221" w14:textId="77777777" w:rsidR="003A3D51" w:rsidRDefault="0002775A">
            <w:pPr>
              <w:pStyle w:val="P68B1DB1-Normal7"/>
              <w:spacing w:after="200" w:line="276" w:lineRule="auto"/>
              <w:jc w:val="center"/>
              <w:rPr>
                <w:rFonts w:ascii="Times New Roman" w:hAnsi="Times New Roman" w:cs="Times New Roman"/>
                <w:noProof/>
              </w:rPr>
            </w:pPr>
            <w:r>
              <w:rPr>
                <w:noProof/>
              </w:rPr>
              <w:t>C4.3 R3-I1</w:t>
            </w:r>
          </w:p>
        </w:tc>
        <w:tc>
          <w:tcPr>
            <w:tcW w:w="825" w:type="dxa"/>
            <w:tcBorders>
              <w:top w:val="single" w:sz="4" w:space="0" w:color="auto"/>
              <w:left w:val="nil"/>
              <w:bottom w:val="single" w:sz="4" w:space="0" w:color="auto"/>
              <w:right w:val="single" w:sz="4" w:space="0" w:color="auto"/>
            </w:tcBorders>
            <w:shd w:val="clear" w:color="auto" w:fill="C6EFCE"/>
            <w:noWrap/>
          </w:tcPr>
          <w:p w14:paraId="623E542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single" w:sz="4" w:space="0" w:color="auto"/>
              <w:left w:val="nil"/>
              <w:bottom w:val="single" w:sz="4" w:space="0" w:color="auto"/>
              <w:right w:val="single" w:sz="4" w:space="0" w:color="auto"/>
            </w:tcBorders>
            <w:shd w:val="clear" w:color="auto" w:fill="C6EFCE"/>
            <w:noWrap/>
          </w:tcPr>
          <w:p w14:paraId="0C303A89" w14:textId="77777777" w:rsidR="003A3D51" w:rsidRDefault="0002775A">
            <w:pPr>
              <w:pStyle w:val="P68B1DB1-Normal7"/>
              <w:spacing w:after="200" w:line="276" w:lineRule="auto"/>
              <w:rPr>
                <w:rFonts w:ascii="Times New Roman" w:hAnsi="Times New Roman" w:cs="Times New Roman"/>
                <w:noProof/>
              </w:rPr>
            </w:pPr>
            <w:r>
              <w:rPr>
                <w:noProof/>
              </w:rPr>
              <w:t>Stärka den mänskliga kapaciteten att tillhandahålla samhällsbaserade tjänster</w:t>
            </w:r>
          </w:p>
        </w:tc>
        <w:tc>
          <w:tcPr>
            <w:tcW w:w="2171" w:type="dxa"/>
            <w:tcBorders>
              <w:top w:val="single" w:sz="4" w:space="0" w:color="auto"/>
              <w:left w:val="nil"/>
              <w:bottom w:val="single" w:sz="4" w:space="0" w:color="auto"/>
              <w:right w:val="single" w:sz="4" w:space="0" w:color="auto"/>
            </w:tcBorders>
            <w:shd w:val="clear" w:color="auto" w:fill="C6EFCE"/>
            <w:noWrap/>
          </w:tcPr>
          <w:p w14:paraId="31425ABC"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975" w:type="dxa"/>
            <w:tcBorders>
              <w:top w:val="single" w:sz="4" w:space="0" w:color="auto"/>
              <w:left w:val="nil"/>
              <w:bottom w:val="single" w:sz="4" w:space="0" w:color="auto"/>
              <w:right w:val="single" w:sz="4" w:space="0" w:color="auto"/>
            </w:tcBorders>
            <w:shd w:val="clear" w:color="auto" w:fill="C6EFCE"/>
            <w:noWrap/>
          </w:tcPr>
          <w:p w14:paraId="599FA447"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single" w:sz="4" w:space="0" w:color="auto"/>
              <w:left w:val="nil"/>
              <w:bottom w:val="single" w:sz="4" w:space="0" w:color="auto"/>
              <w:right w:val="single" w:sz="4" w:space="0" w:color="auto"/>
            </w:tcBorders>
            <w:shd w:val="clear" w:color="auto" w:fill="C6EFCE"/>
            <w:noWrap/>
          </w:tcPr>
          <w:p w14:paraId="5C6E2AA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single" w:sz="4" w:space="0" w:color="auto"/>
              <w:left w:val="nil"/>
              <w:bottom w:val="single" w:sz="4" w:space="0" w:color="auto"/>
              <w:right w:val="single" w:sz="4" w:space="0" w:color="auto"/>
            </w:tcBorders>
            <w:shd w:val="clear" w:color="auto" w:fill="C6EFCE"/>
            <w:noWrap/>
          </w:tcPr>
          <w:p w14:paraId="09675A55" w14:textId="77777777" w:rsidR="003A3D51" w:rsidRDefault="0002775A">
            <w:pPr>
              <w:pStyle w:val="P68B1DB1-Normal7"/>
              <w:spacing w:after="200" w:line="276" w:lineRule="auto"/>
              <w:jc w:val="center"/>
              <w:rPr>
                <w:rFonts w:ascii="Times New Roman" w:hAnsi="Times New Roman" w:cs="Times New Roman"/>
                <w:noProof/>
              </w:rPr>
            </w:pPr>
            <w:r>
              <w:rPr>
                <w:noProof/>
              </w:rPr>
              <w:t>400</w:t>
            </w:r>
          </w:p>
        </w:tc>
        <w:tc>
          <w:tcPr>
            <w:tcW w:w="709" w:type="dxa"/>
            <w:tcBorders>
              <w:top w:val="single" w:sz="4" w:space="0" w:color="auto"/>
              <w:left w:val="nil"/>
              <w:bottom w:val="single" w:sz="4" w:space="0" w:color="auto"/>
              <w:right w:val="single" w:sz="4" w:space="0" w:color="auto"/>
            </w:tcBorders>
            <w:shd w:val="clear" w:color="auto" w:fill="C6EFCE"/>
            <w:noWrap/>
          </w:tcPr>
          <w:p w14:paraId="5D01268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07" w:type="dxa"/>
            <w:tcBorders>
              <w:top w:val="single" w:sz="4" w:space="0" w:color="auto"/>
              <w:left w:val="nil"/>
              <w:bottom w:val="single" w:sz="4" w:space="0" w:color="auto"/>
              <w:right w:val="single" w:sz="4" w:space="0" w:color="auto"/>
            </w:tcBorders>
            <w:shd w:val="clear" w:color="auto" w:fill="C6EFCE"/>
            <w:noWrap/>
          </w:tcPr>
          <w:p w14:paraId="1030C77E"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127" w:type="dxa"/>
            <w:tcBorders>
              <w:top w:val="single" w:sz="4" w:space="0" w:color="auto"/>
              <w:left w:val="nil"/>
              <w:bottom w:val="single" w:sz="4" w:space="0" w:color="auto"/>
              <w:right w:val="single" w:sz="4" w:space="0" w:color="auto"/>
            </w:tcBorders>
            <w:shd w:val="clear" w:color="auto" w:fill="C6EFCE"/>
            <w:noWrap/>
          </w:tcPr>
          <w:p w14:paraId="3A61DF33" w14:textId="77777777" w:rsidR="003A3D51" w:rsidRDefault="0002775A">
            <w:pPr>
              <w:pStyle w:val="P68B1DB1-Normal7"/>
              <w:spacing w:after="200" w:line="276" w:lineRule="auto"/>
              <w:rPr>
                <w:rFonts w:ascii="Times New Roman" w:hAnsi="Times New Roman" w:cs="Times New Roman"/>
                <w:noProof/>
              </w:rPr>
            </w:pPr>
            <w:r>
              <w:rPr>
                <w:noProof/>
              </w:rPr>
              <w:t>Förebyggande av institutionalisering ska uppnås genom rekrytering av nya yrkesverksamma inom socialtjänsten för att tillhandahålla tjänster utanför institutionerna och utbildning och licensiering av rådgivare i rättsliga åtgärder för skydd av familjer. I synnerhet ska kontinuerlig och riktad utbildning och licensiering av yrkesverksamma vid socialvårdsinstitutioner för genomförandet av lagliga familjeskyddsåtgärder för barn (utbildning och licensiering för totalt 750 yrkesverksamma inom socialtjänst – rådgivare i rättsliga åtgärder för skydd av familjer och utbildning av 30 familjeassistenter) genomföras. 400 professionella arbetstagare ska rekryteras till institutioner för social omsorg och leverantörer av sociala tjänster.</w:t>
            </w:r>
          </w:p>
        </w:tc>
      </w:tr>
      <w:tr w:rsidR="003A3D51" w14:paraId="25DE1FFA"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C04CC02" w14:textId="77777777" w:rsidR="003A3D51" w:rsidRDefault="0002775A">
            <w:pPr>
              <w:pStyle w:val="P68B1DB1-Normal7"/>
              <w:spacing w:after="200" w:line="276" w:lineRule="auto"/>
              <w:jc w:val="center"/>
              <w:rPr>
                <w:rFonts w:ascii="Times New Roman" w:hAnsi="Times New Roman" w:cs="Times New Roman"/>
                <w:noProof/>
              </w:rPr>
            </w:pPr>
            <w:r>
              <w:rPr>
                <w:noProof/>
              </w:rPr>
              <w:t>316</w:t>
            </w:r>
          </w:p>
        </w:tc>
        <w:tc>
          <w:tcPr>
            <w:tcW w:w="825" w:type="dxa"/>
            <w:tcBorders>
              <w:top w:val="single" w:sz="4" w:space="0" w:color="auto"/>
              <w:left w:val="nil"/>
              <w:bottom w:val="single" w:sz="4" w:space="0" w:color="auto"/>
              <w:right w:val="single" w:sz="4" w:space="0" w:color="auto"/>
            </w:tcBorders>
            <w:shd w:val="clear" w:color="auto" w:fill="C6EFCE"/>
            <w:noWrap/>
          </w:tcPr>
          <w:p w14:paraId="3F136316" w14:textId="77777777" w:rsidR="003A3D51" w:rsidRDefault="0002775A">
            <w:pPr>
              <w:pStyle w:val="P68B1DB1-Normal7"/>
              <w:spacing w:after="200" w:line="276" w:lineRule="auto"/>
              <w:jc w:val="center"/>
              <w:rPr>
                <w:rFonts w:ascii="Times New Roman" w:hAnsi="Times New Roman" w:cs="Times New Roman"/>
                <w:noProof/>
              </w:rPr>
            </w:pPr>
            <w:r>
              <w:rPr>
                <w:noProof/>
              </w:rPr>
              <w:t>C4.3 R3-I3</w:t>
            </w:r>
          </w:p>
        </w:tc>
        <w:tc>
          <w:tcPr>
            <w:tcW w:w="825" w:type="dxa"/>
            <w:tcBorders>
              <w:top w:val="single" w:sz="4" w:space="0" w:color="auto"/>
              <w:left w:val="nil"/>
              <w:bottom w:val="single" w:sz="4" w:space="0" w:color="auto"/>
              <w:right w:val="single" w:sz="4" w:space="0" w:color="auto"/>
            </w:tcBorders>
            <w:shd w:val="clear" w:color="auto" w:fill="C6EFCE"/>
            <w:noWrap/>
          </w:tcPr>
          <w:p w14:paraId="65CD0E3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39" w:type="dxa"/>
            <w:tcBorders>
              <w:top w:val="single" w:sz="4" w:space="0" w:color="auto"/>
              <w:left w:val="nil"/>
              <w:bottom w:val="single" w:sz="4" w:space="0" w:color="auto"/>
              <w:right w:val="single" w:sz="4" w:space="0" w:color="auto"/>
            </w:tcBorders>
            <w:shd w:val="clear" w:color="auto" w:fill="C6EFCE"/>
            <w:noWrap/>
          </w:tcPr>
          <w:p w14:paraId="06A76246" w14:textId="77777777" w:rsidR="003A3D51" w:rsidRDefault="0002775A">
            <w:pPr>
              <w:pStyle w:val="P68B1DB1-Normal7"/>
              <w:spacing w:after="200" w:line="276" w:lineRule="auto"/>
              <w:rPr>
                <w:rFonts w:ascii="Times New Roman" w:hAnsi="Times New Roman" w:cs="Times New Roman"/>
                <w:noProof/>
              </w:rPr>
            </w:pPr>
            <w:r>
              <w:rPr>
                <w:noProof/>
              </w:rPr>
              <w:t xml:space="preserve">It-system för beräkning av priser för sociala tjänster och tjänsteleverantörer i nätverket </w:t>
            </w:r>
          </w:p>
        </w:tc>
        <w:tc>
          <w:tcPr>
            <w:tcW w:w="2171" w:type="dxa"/>
            <w:tcBorders>
              <w:top w:val="single" w:sz="4" w:space="0" w:color="auto"/>
              <w:left w:val="nil"/>
              <w:bottom w:val="single" w:sz="4" w:space="0" w:color="auto"/>
              <w:right w:val="single" w:sz="4" w:space="0" w:color="auto"/>
            </w:tcBorders>
            <w:shd w:val="clear" w:color="auto" w:fill="C6EFCE"/>
            <w:noWrap/>
          </w:tcPr>
          <w:p w14:paraId="5E71C86E" w14:textId="77777777" w:rsidR="003A3D51" w:rsidRDefault="0002775A">
            <w:pPr>
              <w:pStyle w:val="P68B1DB1-Normal7"/>
              <w:spacing w:after="200" w:line="276" w:lineRule="auto"/>
              <w:rPr>
                <w:rFonts w:ascii="Times New Roman" w:hAnsi="Times New Roman" w:cs="Times New Roman"/>
                <w:noProof/>
              </w:rPr>
            </w:pPr>
            <w:r>
              <w:rPr>
                <w:noProof/>
              </w:rPr>
              <w:t xml:space="preserve">Utvecklat och funktionellt it-system för beräkning av priser för alla sociala tjänster och alla tjänsteleverantörer i nätverket. </w:t>
            </w:r>
          </w:p>
        </w:tc>
        <w:tc>
          <w:tcPr>
            <w:tcW w:w="975" w:type="dxa"/>
            <w:tcBorders>
              <w:top w:val="single" w:sz="4" w:space="0" w:color="auto"/>
              <w:left w:val="nil"/>
              <w:bottom w:val="single" w:sz="4" w:space="0" w:color="auto"/>
              <w:right w:val="single" w:sz="4" w:space="0" w:color="auto"/>
            </w:tcBorders>
            <w:shd w:val="clear" w:color="auto" w:fill="C6EFCE"/>
            <w:noWrap/>
          </w:tcPr>
          <w:p w14:paraId="4E231C38"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single" w:sz="4" w:space="0" w:color="auto"/>
              <w:left w:val="nil"/>
              <w:bottom w:val="single" w:sz="4" w:space="0" w:color="auto"/>
              <w:right w:val="single" w:sz="4" w:space="0" w:color="auto"/>
            </w:tcBorders>
            <w:shd w:val="clear" w:color="auto" w:fill="C6EFCE"/>
            <w:noWrap/>
          </w:tcPr>
          <w:p w14:paraId="33FE7EA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single" w:sz="4" w:space="0" w:color="auto"/>
              <w:left w:val="nil"/>
              <w:bottom w:val="single" w:sz="4" w:space="0" w:color="auto"/>
              <w:right w:val="single" w:sz="4" w:space="0" w:color="auto"/>
            </w:tcBorders>
            <w:shd w:val="clear" w:color="auto" w:fill="C6EFCE"/>
            <w:noWrap/>
          </w:tcPr>
          <w:p w14:paraId="454D1B71"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709" w:type="dxa"/>
            <w:tcBorders>
              <w:top w:val="single" w:sz="4" w:space="0" w:color="auto"/>
              <w:left w:val="nil"/>
              <w:bottom w:val="single" w:sz="4" w:space="0" w:color="auto"/>
              <w:right w:val="single" w:sz="4" w:space="0" w:color="auto"/>
            </w:tcBorders>
            <w:shd w:val="clear" w:color="auto" w:fill="C6EFCE"/>
            <w:noWrap/>
          </w:tcPr>
          <w:p w14:paraId="3A228AE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907" w:type="dxa"/>
            <w:tcBorders>
              <w:top w:val="single" w:sz="4" w:space="0" w:color="auto"/>
              <w:left w:val="nil"/>
              <w:bottom w:val="single" w:sz="4" w:space="0" w:color="auto"/>
              <w:right w:val="single" w:sz="4" w:space="0" w:color="auto"/>
            </w:tcBorders>
            <w:shd w:val="clear" w:color="auto" w:fill="C6EFCE"/>
            <w:noWrap/>
          </w:tcPr>
          <w:p w14:paraId="5A388DDF"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4127" w:type="dxa"/>
            <w:tcBorders>
              <w:top w:val="single" w:sz="4" w:space="0" w:color="auto"/>
              <w:left w:val="nil"/>
              <w:bottom w:val="single" w:sz="4" w:space="0" w:color="auto"/>
              <w:right w:val="single" w:sz="4" w:space="0" w:color="auto"/>
            </w:tcBorders>
            <w:shd w:val="clear" w:color="auto" w:fill="C6EFCE"/>
            <w:noWrap/>
          </w:tcPr>
          <w:p w14:paraId="46A793CE" w14:textId="77777777" w:rsidR="003A3D51" w:rsidRDefault="0002775A">
            <w:pPr>
              <w:pStyle w:val="P68B1DB1-Normal7"/>
              <w:spacing w:after="200" w:line="276" w:lineRule="auto"/>
              <w:rPr>
                <w:rFonts w:ascii="Times New Roman" w:hAnsi="Times New Roman" w:cs="Times New Roman"/>
                <w:noProof/>
              </w:rPr>
            </w:pPr>
            <w:r>
              <w:rPr>
                <w:noProof/>
              </w:rPr>
              <w:t>It-system för datahantering som utvecklats för att automatiskt samla in och analysera data och beräkna priser för alla typer av sociala tjänster som tillhandahålls och alla leverantörer av sociala tjänster i nätverket. Investeringen ska finansiera programvaru-, maskinvaru- och utbildningskrav för att möjliggöra en fullständig funktionalitet för lösningen.</w:t>
            </w:r>
          </w:p>
        </w:tc>
      </w:tr>
      <w:tr w:rsidR="003A3D51" w14:paraId="031399FE" w14:textId="77777777">
        <w:trPr>
          <w:trHeight w:val="282"/>
          <w:jc w:val="center"/>
        </w:trPr>
        <w:tc>
          <w:tcPr>
            <w:tcW w:w="716" w:type="dxa"/>
            <w:tcBorders>
              <w:top w:val="single" w:sz="4" w:space="0" w:color="auto"/>
              <w:left w:val="single" w:sz="4" w:space="0" w:color="auto"/>
              <w:bottom w:val="single" w:sz="4" w:space="0" w:color="auto"/>
              <w:right w:val="single" w:sz="4" w:space="0" w:color="auto"/>
            </w:tcBorders>
            <w:shd w:val="clear" w:color="auto" w:fill="C6EFCE"/>
            <w:noWrap/>
          </w:tcPr>
          <w:p w14:paraId="557D8100" w14:textId="77777777" w:rsidR="003A3D51" w:rsidRDefault="0002775A">
            <w:pPr>
              <w:pStyle w:val="P68B1DB1-Normal7"/>
              <w:spacing w:after="200" w:line="276" w:lineRule="auto"/>
              <w:jc w:val="center"/>
              <w:rPr>
                <w:rFonts w:ascii="Times New Roman" w:hAnsi="Times New Roman" w:cs="Times New Roman"/>
                <w:noProof/>
              </w:rPr>
            </w:pPr>
            <w:r>
              <w:rPr>
                <w:noProof/>
              </w:rPr>
              <w:t>317</w:t>
            </w:r>
          </w:p>
        </w:tc>
        <w:tc>
          <w:tcPr>
            <w:tcW w:w="825" w:type="dxa"/>
            <w:tcBorders>
              <w:top w:val="single" w:sz="4" w:space="0" w:color="auto"/>
              <w:left w:val="nil"/>
              <w:bottom w:val="single" w:sz="4" w:space="0" w:color="auto"/>
              <w:right w:val="single" w:sz="4" w:space="0" w:color="auto"/>
            </w:tcBorders>
            <w:shd w:val="clear" w:color="auto" w:fill="C6EFCE"/>
            <w:noWrap/>
          </w:tcPr>
          <w:p w14:paraId="4ACACC45" w14:textId="77777777" w:rsidR="003A3D51" w:rsidRDefault="0002775A">
            <w:pPr>
              <w:pStyle w:val="P68B1DB1-Normal7"/>
              <w:spacing w:after="200" w:line="276" w:lineRule="auto"/>
              <w:jc w:val="center"/>
              <w:rPr>
                <w:rFonts w:ascii="Times New Roman" w:hAnsi="Times New Roman" w:cs="Times New Roman"/>
                <w:noProof/>
              </w:rPr>
            </w:pPr>
            <w:r>
              <w:rPr>
                <w:noProof/>
              </w:rPr>
              <w:t>C4.3 R3-I4</w:t>
            </w:r>
          </w:p>
        </w:tc>
        <w:tc>
          <w:tcPr>
            <w:tcW w:w="825" w:type="dxa"/>
            <w:tcBorders>
              <w:top w:val="single" w:sz="4" w:space="0" w:color="auto"/>
              <w:left w:val="nil"/>
              <w:bottom w:val="single" w:sz="4" w:space="0" w:color="auto"/>
              <w:right w:val="single" w:sz="4" w:space="0" w:color="auto"/>
            </w:tcBorders>
            <w:shd w:val="clear" w:color="auto" w:fill="C6EFCE"/>
            <w:noWrap/>
          </w:tcPr>
          <w:p w14:paraId="610B42C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single" w:sz="4" w:space="0" w:color="auto"/>
              <w:left w:val="nil"/>
              <w:bottom w:val="single" w:sz="4" w:space="0" w:color="auto"/>
              <w:right w:val="single" w:sz="4" w:space="0" w:color="auto"/>
            </w:tcBorders>
            <w:shd w:val="clear" w:color="auto" w:fill="C6EFCE"/>
            <w:noWrap/>
          </w:tcPr>
          <w:p w14:paraId="080E236A" w14:textId="77777777" w:rsidR="003A3D51" w:rsidRDefault="0002775A">
            <w:pPr>
              <w:pStyle w:val="P68B1DB1-Normal7"/>
              <w:spacing w:after="200" w:line="276" w:lineRule="auto"/>
              <w:rPr>
                <w:rFonts w:ascii="Times New Roman" w:hAnsi="Times New Roman" w:cs="Times New Roman"/>
                <w:noProof/>
              </w:rPr>
            </w:pPr>
            <w:r>
              <w:rPr>
                <w:noProof/>
              </w:rPr>
              <w:t xml:space="preserve">Uppförande av centrum för äldreomsorg, hemvård och närvård </w:t>
            </w:r>
          </w:p>
        </w:tc>
        <w:tc>
          <w:tcPr>
            <w:tcW w:w="2171" w:type="dxa"/>
            <w:tcBorders>
              <w:top w:val="single" w:sz="4" w:space="0" w:color="auto"/>
              <w:left w:val="nil"/>
              <w:bottom w:val="single" w:sz="4" w:space="0" w:color="auto"/>
              <w:right w:val="single" w:sz="4" w:space="0" w:color="auto"/>
            </w:tcBorders>
            <w:shd w:val="clear" w:color="auto" w:fill="C6EFCE"/>
            <w:noWrap/>
          </w:tcPr>
          <w:p w14:paraId="21715FCB"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1574B0C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02" w:type="dxa"/>
            <w:tcBorders>
              <w:top w:val="single" w:sz="4" w:space="0" w:color="auto"/>
              <w:left w:val="nil"/>
              <w:bottom w:val="single" w:sz="4" w:space="0" w:color="auto"/>
              <w:right w:val="single" w:sz="4" w:space="0" w:color="auto"/>
            </w:tcBorders>
            <w:shd w:val="clear" w:color="auto" w:fill="C6EFCE"/>
            <w:noWrap/>
          </w:tcPr>
          <w:p w14:paraId="38ADDD4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74" w:type="dxa"/>
            <w:tcBorders>
              <w:top w:val="single" w:sz="4" w:space="0" w:color="auto"/>
              <w:left w:val="nil"/>
              <w:bottom w:val="single" w:sz="4" w:space="0" w:color="auto"/>
              <w:right w:val="single" w:sz="4" w:space="0" w:color="auto"/>
            </w:tcBorders>
            <w:shd w:val="clear" w:color="auto" w:fill="C6EFCE"/>
            <w:noWrap/>
          </w:tcPr>
          <w:p w14:paraId="010F3F6C" w14:textId="77777777" w:rsidR="003A3D51" w:rsidRDefault="0002775A">
            <w:pPr>
              <w:pStyle w:val="P68B1DB1-Normal7"/>
              <w:spacing w:after="200" w:line="276" w:lineRule="auto"/>
              <w:jc w:val="center"/>
              <w:rPr>
                <w:rFonts w:ascii="Times New Roman" w:hAnsi="Times New Roman" w:cs="Times New Roman"/>
                <w:noProof/>
              </w:rPr>
            </w:pPr>
            <w:r>
              <w:rPr>
                <w:noProof/>
              </w:rPr>
              <w:t>8</w:t>
            </w:r>
          </w:p>
        </w:tc>
        <w:tc>
          <w:tcPr>
            <w:tcW w:w="709" w:type="dxa"/>
            <w:tcBorders>
              <w:top w:val="single" w:sz="4" w:space="0" w:color="auto"/>
              <w:left w:val="nil"/>
              <w:bottom w:val="single" w:sz="4" w:space="0" w:color="auto"/>
              <w:right w:val="single" w:sz="4" w:space="0" w:color="auto"/>
            </w:tcBorders>
            <w:shd w:val="clear" w:color="auto" w:fill="C6EFCE"/>
            <w:noWrap/>
          </w:tcPr>
          <w:p w14:paraId="4100B60D"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907" w:type="dxa"/>
            <w:tcBorders>
              <w:top w:val="single" w:sz="4" w:space="0" w:color="auto"/>
              <w:left w:val="nil"/>
              <w:bottom w:val="single" w:sz="4" w:space="0" w:color="auto"/>
              <w:right w:val="single" w:sz="4" w:space="0" w:color="auto"/>
            </w:tcBorders>
            <w:shd w:val="clear" w:color="auto" w:fill="C6EFCE"/>
            <w:noWrap/>
          </w:tcPr>
          <w:p w14:paraId="5354E3D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27" w:type="dxa"/>
            <w:tcBorders>
              <w:top w:val="single" w:sz="4" w:space="0" w:color="auto"/>
              <w:left w:val="nil"/>
              <w:bottom w:val="single" w:sz="4" w:space="0" w:color="auto"/>
              <w:right w:val="single" w:sz="4" w:space="0" w:color="auto"/>
            </w:tcBorders>
            <w:shd w:val="clear" w:color="auto" w:fill="C6EFCE"/>
            <w:noWrap/>
          </w:tcPr>
          <w:p w14:paraId="7AB4BF16" w14:textId="77777777" w:rsidR="003A3D51" w:rsidRDefault="0002775A">
            <w:pPr>
              <w:pStyle w:val="P68B1DB1-Normal7"/>
              <w:spacing w:after="200" w:line="276" w:lineRule="auto"/>
              <w:rPr>
                <w:rFonts w:ascii="Times New Roman" w:hAnsi="Times New Roman" w:cs="Times New Roman"/>
                <w:noProof/>
              </w:rPr>
            </w:pPr>
            <w:r>
              <w:rPr>
                <w:noProof/>
              </w:rPr>
              <w:t>Uppförande och idrifttagande av äldrecentrum ska skapa förutsättningar för integrerad vård. På grundval av de uppgifter som framkommit vid analysen planeras att åtta center ska byggas upp för 800 stödmottagare uteslutande för personer som funktionellt helt och hållet är beroende av institutionsvård och vars behov inte kan tillgodoses på hemmaplan eller i samhället. Placeringen av centrum för äldreomsorg ska fastställas genom en offentlig inbjudan för att göra det möjligt för städer och län att delta i byggandet och utrustningen av centrum för äldre, medan urvalskriterierna ska vägledas av förmågan att säkerställa investeringarnas hållbarhet och den regionala dimensionen för att uppnå en jämn territoriell kapacitetstäckning, på grundval av kartläggningsanalysen.  Alla nya byggnader måste vara nära-nollenergibyggnader enligt direktivet om byggnaders energiprestanda, medan renovering av befintliga byggnader i genomsnitt bör leda till en renovering av minst medelstor omfattning, enligt definitionen i kommissionens rekommendation om byggnadsrenovering, eller i genomsnitt uppnå en minskning på minst 30 % av de direkta och indirekta växthusgasutsläppen jämfört med förhandsutsläppen. För alla byggnader bör särskild uppmärksamhet ägnas åt att säkerställa hälsosamma inomhusklimatförhållanden, brandsäkerhet och risker i samband med ökad seismisk aktivitet.</w:t>
            </w:r>
          </w:p>
        </w:tc>
      </w:tr>
    </w:tbl>
    <w:p w14:paraId="22076770" w14:textId="77777777" w:rsidR="003A3D51" w:rsidRDefault="0002775A">
      <w:pPr>
        <w:rPr>
          <w:noProof/>
        </w:rPr>
      </w:pPr>
      <w:r>
        <w:rPr>
          <w:noProof/>
        </w:rPr>
        <w:br w:type="page"/>
      </w:r>
    </w:p>
    <w:p w14:paraId="1117F614" w14:textId="77777777" w:rsidR="003A3D51" w:rsidRDefault="003A3D51">
      <w:pPr>
        <w:rPr>
          <w:noProof/>
        </w:rPr>
        <w:sectPr w:rsidR="003A3D51" w:rsidSect="0001477B">
          <w:headerReference w:type="even" r:id="rId336"/>
          <w:headerReference w:type="default" r:id="rId337"/>
          <w:footerReference w:type="even" r:id="rId338"/>
          <w:footerReference w:type="default" r:id="rId339"/>
          <w:headerReference w:type="first" r:id="rId340"/>
          <w:footerReference w:type="first" r:id="rId341"/>
          <w:pgSz w:w="15840" w:h="12240" w:orient="landscape"/>
          <w:pgMar w:top="1440" w:right="1440" w:bottom="1440" w:left="1440" w:header="708" w:footer="708" w:gutter="0"/>
          <w:cols w:space="708"/>
          <w:docGrid w:linePitch="360"/>
        </w:sectPr>
      </w:pPr>
    </w:p>
    <w:p w14:paraId="6DC7D763"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T.3. </w:t>
      </w:r>
      <w:r>
        <w:rPr>
          <w:rStyle w:val="tabchar"/>
          <w:rFonts w:ascii="Calibri" w:hAnsi="Calibri" w:cs="Calibri"/>
          <w:noProof/>
        </w:rPr>
        <w:tab/>
      </w:r>
      <w:r>
        <w:rPr>
          <w:rStyle w:val="normaltextrun"/>
          <w:b/>
          <w:noProof/>
        </w:rPr>
        <w:t xml:space="preserve">Beskrivning av reformerna och investeringarna för lånet </w:t>
      </w:r>
      <w:r>
        <w:rPr>
          <w:rStyle w:val="eop"/>
          <w:noProof/>
        </w:rPr>
        <w:t> </w:t>
      </w:r>
    </w:p>
    <w:p w14:paraId="38A586D1" w14:textId="77777777" w:rsidR="003A3D51" w:rsidRDefault="0002775A">
      <w:pPr>
        <w:pStyle w:val="paragraph"/>
        <w:spacing w:before="0" w:beforeAutospacing="0" w:after="0" w:afterAutospacing="0"/>
        <w:ind w:left="840"/>
        <w:jc w:val="both"/>
        <w:textAlignment w:val="baseline"/>
        <w:rPr>
          <w:rStyle w:val="eop"/>
          <w:noProof/>
        </w:rPr>
      </w:pPr>
      <w:r>
        <w:rPr>
          <w:rStyle w:val="normaltextrun"/>
          <w:noProof/>
        </w:rPr>
        <w:t>  </w:t>
      </w:r>
    </w:p>
    <w:p w14:paraId="4131D74B" w14:textId="77777777" w:rsidR="003A3D51" w:rsidRDefault="0002775A">
      <w:pPr>
        <w:pStyle w:val="P68B1DB1-Normal5"/>
        <w:keepNext/>
        <w:spacing w:before="120" w:after="120" w:line="240" w:lineRule="auto"/>
        <w:ind w:left="851"/>
        <w:jc w:val="both"/>
        <w:rPr>
          <w:noProof/>
        </w:rPr>
      </w:pPr>
      <w:r>
        <w:rPr>
          <w:noProof/>
        </w:rPr>
        <w:t>Investering C4.3 R3 – I2 – Förbättra digitaliseringen av de sociala välfärdssystemen och koppla samman sociala välfärdscentrum med leverantörer av sociala tjänster</w:t>
      </w:r>
    </w:p>
    <w:p w14:paraId="301D2A25" w14:textId="77777777" w:rsidR="003A3D51" w:rsidRDefault="0002775A">
      <w:pPr>
        <w:pStyle w:val="P68B1DB1-Normal49"/>
        <w:spacing w:before="120" w:after="120" w:line="240" w:lineRule="auto"/>
        <w:jc w:val="both"/>
        <w:rPr>
          <w:noProof/>
        </w:rPr>
      </w:pPr>
      <w:r>
        <w:rPr>
          <w:noProof/>
        </w:rPr>
        <w:t xml:space="preserve">Syftet med denna investering är att uppgradera den applikation för socialt vårdhem som hanterar och registrerar förfaranden för erkännande av rättigheter till sociala tjänster av enskilda tjänsteleverantörer. Investeringen ska omfatta integrering av applikationen i det gemensamma it-systemet för social välfärd som tillhandahåller en gemensam digital plattform för övervakning och analys av uppgifter om användare och välfärdstjänster. </w:t>
      </w:r>
    </w:p>
    <w:p w14:paraId="69E6955F" w14:textId="77777777" w:rsidR="003A3D51" w:rsidRDefault="0002775A">
      <w:pPr>
        <w:pStyle w:val="P68B1DB1-Normal20"/>
        <w:spacing w:before="120" w:after="120" w:line="240" w:lineRule="auto"/>
        <w:jc w:val="both"/>
        <w:rPr>
          <w:noProof/>
          <w:u w:val="single"/>
        </w:rPr>
      </w:pPr>
      <w:r>
        <w:rPr>
          <w:noProof/>
        </w:rPr>
        <w:t>Investeringen ska vara slutförd senast den 31 december 2024. </w:t>
      </w:r>
    </w:p>
    <w:p w14:paraId="4DFD45BD" w14:textId="77777777" w:rsidR="003A3D51" w:rsidRDefault="003A3D51">
      <w:pPr>
        <w:rPr>
          <w:noProof/>
        </w:rPr>
        <w:sectPr w:rsidR="003A3D51" w:rsidSect="0001477B">
          <w:headerReference w:type="even" r:id="rId342"/>
          <w:headerReference w:type="default" r:id="rId343"/>
          <w:footerReference w:type="even" r:id="rId344"/>
          <w:footerReference w:type="default" r:id="rId345"/>
          <w:headerReference w:type="first" r:id="rId346"/>
          <w:footerReference w:type="first" r:id="rId347"/>
          <w:pgSz w:w="12240" w:h="15840"/>
          <w:pgMar w:top="1440" w:right="1440" w:bottom="1440" w:left="1440" w:header="708" w:footer="708" w:gutter="0"/>
          <w:cols w:space="708"/>
          <w:docGrid w:linePitch="360"/>
        </w:sectPr>
      </w:pPr>
    </w:p>
    <w:p w14:paraId="0869308A"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T.4.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tbl>
      <w:tblPr>
        <w:tblW w:w="15159" w:type="dxa"/>
        <w:jc w:val="center"/>
        <w:tblCellMar>
          <w:top w:w="28" w:type="dxa"/>
          <w:left w:w="28" w:type="dxa"/>
          <w:bottom w:w="28" w:type="dxa"/>
          <w:right w:w="28" w:type="dxa"/>
        </w:tblCellMar>
        <w:tblLook w:val="04A0" w:firstRow="1" w:lastRow="0" w:firstColumn="1" w:lastColumn="0" w:noHBand="0" w:noVBand="1"/>
      </w:tblPr>
      <w:tblGrid>
        <w:gridCol w:w="696"/>
        <w:gridCol w:w="825"/>
        <w:gridCol w:w="946"/>
        <w:gridCol w:w="2039"/>
        <w:gridCol w:w="2010"/>
        <w:gridCol w:w="1010"/>
        <w:gridCol w:w="802"/>
        <w:gridCol w:w="826"/>
        <w:gridCol w:w="795"/>
        <w:gridCol w:w="942"/>
        <w:gridCol w:w="4470"/>
      </w:tblGrid>
      <w:tr w:rsidR="003A3D51" w14:paraId="368F9E94" w14:textId="77777777">
        <w:trPr>
          <w:trHeight w:val="634"/>
          <w:tblHeader/>
          <w:jc w:val="cent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7FC7C749" w14:textId="77777777" w:rsidR="003A3D51" w:rsidRDefault="0002775A">
            <w:pPr>
              <w:pStyle w:val="P68B1DB1-Normal6"/>
              <w:spacing w:after="0" w:line="276" w:lineRule="auto"/>
              <w:jc w:val="center"/>
              <w:rPr>
                <w:noProof/>
              </w:rPr>
            </w:pPr>
            <w:r>
              <w:rPr>
                <w:noProof/>
              </w:rPr>
              <w:t>Antal</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E353C06" w14:textId="77777777" w:rsidR="003A3D51" w:rsidRDefault="0002775A">
            <w:pPr>
              <w:pStyle w:val="P68B1DB1-Normal6"/>
              <w:spacing w:after="0" w:line="276" w:lineRule="auto"/>
              <w:jc w:val="center"/>
              <w:rPr>
                <w:noProof/>
              </w:rPr>
            </w:pPr>
            <w:r>
              <w:rPr>
                <w:noProof/>
              </w:rPr>
              <w:t>Åtgärd</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B4C7970" w14:textId="77777777" w:rsidR="003A3D51" w:rsidRDefault="0002775A">
            <w:pPr>
              <w:pStyle w:val="P68B1DB1-Normal6"/>
              <w:spacing w:after="0" w:line="276" w:lineRule="auto"/>
              <w:jc w:val="center"/>
              <w:rPr>
                <w:noProof/>
              </w:rPr>
            </w:pPr>
            <w:r>
              <w:rPr>
                <w:noProof/>
              </w:rPr>
              <w:t>Delmål/mål</w:t>
            </w:r>
          </w:p>
        </w:tc>
        <w:tc>
          <w:tcPr>
            <w:tcW w:w="2039" w:type="dxa"/>
            <w:vMerge w:val="restart"/>
            <w:tcBorders>
              <w:top w:val="single" w:sz="4" w:space="0" w:color="auto"/>
              <w:left w:val="nil"/>
              <w:bottom w:val="single" w:sz="4" w:space="0" w:color="000000"/>
              <w:right w:val="single" w:sz="4" w:space="0" w:color="auto"/>
            </w:tcBorders>
            <w:shd w:val="clear" w:color="auto" w:fill="BDD7EE"/>
            <w:vAlign w:val="center"/>
            <w:hideMark/>
          </w:tcPr>
          <w:p w14:paraId="4FDB8D8F" w14:textId="77777777" w:rsidR="003A3D51" w:rsidRDefault="0002775A">
            <w:pPr>
              <w:pStyle w:val="P68B1DB1-Normal6"/>
              <w:spacing w:after="0" w:line="276" w:lineRule="auto"/>
              <w:jc w:val="center"/>
              <w:rPr>
                <w:noProof/>
              </w:rPr>
            </w:pPr>
            <w:r>
              <w:rPr>
                <w:noProof/>
              </w:rPr>
              <w:t>Namn</w:t>
            </w:r>
          </w:p>
        </w:tc>
        <w:tc>
          <w:tcPr>
            <w:tcW w:w="201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34D298EB"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2603" w:type="dxa"/>
            <w:gridSpan w:val="3"/>
            <w:tcBorders>
              <w:top w:val="single" w:sz="4" w:space="0" w:color="auto"/>
              <w:left w:val="nil"/>
              <w:bottom w:val="single" w:sz="4" w:space="0" w:color="auto"/>
              <w:right w:val="single" w:sz="4" w:space="0" w:color="auto"/>
            </w:tcBorders>
            <w:shd w:val="clear" w:color="auto" w:fill="BDD7EE"/>
            <w:vAlign w:val="center"/>
            <w:hideMark/>
          </w:tcPr>
          <w:p w14:paraId="0E412D6A"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691" w:type="dxa"/>
            <w:gridSpan w:val="2"/>
            <w:tcBorders>
              <w:top w:val="single" w:sz="4" w:space="0" w:color="auto"/>
              <w:left w:val="nil"/>
              <w:bottom w:val="single" w:sz="4" w:space="0" w:color="auto"/>
              <w:right w:val="single" w:sz="4" w:space="0" w:color="auto"/>
            </w:tcBorders>
            <w:shd w:val="clear" w:color="auto" w:fill="BDD7EE"/>
            <w:vAlign w:val="center"/>
            <w:hideMark/>
          </w:tcPr>
          <w:p w14:paraId="7577FE44" w14:textId="77777777" w:rsidR="003A3D51" w:rsidRDefault="0002775A">
            <w:pPr>
              <w:pStyle w:val="P68B1DB1-Normal6"/>
              <w:spacing w:after="0" w:line="276" w:lineRule="auto"/>
              <w:jc w:val="center"/>
              <w:rPr>
                <w:noProof/>
              </w:rPr>
            </w:pPr>
            <w:r>
              <w:rPr>
                <w:noProof/>
              </w:rPr>
              <w:t>Tid</w:t>
            </w:r>
          </w:p>
        </w:tc>
        <w:tc>
          <w:tcPr>
            <w:tcW w:w="447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6270D7" w14:textId="77777777" w:rsidR="003A3D51" w:rsidRDefault="0002775A">
            <w:pPr>
              <w:pStyle w:val="P68B1DB1-Normal6"/>
              <w:spacing w:after="0" w:line="276" w:lineRule="auto"/>
              <w:jc w:val="center"/>
              <w:rPr>
                <w:noProof/>
              </w:rPr>
            </w:pPr>
            <w:r>
              <w:rPr>
                <w:noProof/>
              </w:rPr>
              <w:t>Beskrivning av varje delmål och mål</w:t>
            </w:r>
          </w:p>
        </w:tc>
      </w:tr>
      <w:tr w:rsidR="003A3D51" w14:paraId="1F26CF52" w14:textId="77777777">
        <w:trPr>
          <w:trHeight w:val="502"/>
          <w:tblHeader/>
          <w:jc w:val="center"/>
        </w:trPr>
        <w:tc>
          <w:tcPr>
            <w:tcW w:w="696" w:type="dxa"/>
            <w:vMerge/>
            <w:tcBorders>
              <w:top w:val="single" w:sz="4" w:space="0" w:color="auto"/>
              <w:left w:val="single" w:sz="4" w:space="0" w:color="auto"/>
              <w:bottom w:val="single" w:sz="4" w:space="0" w:color="000000"/>
              <w:right w:val="single" w:sz="4" w:space="0" w:color="auto"/>
            </w:tcBorders>
            <w:hideMark/>
          </w:tcPr>
          <w:p w14:paraId="3EC36FA1" w14:textId="77777777" w:rsidR="003A3D51" w:rsidRDefault="003A3D51">
            <w:pPr>
              <w:spacing w:after="0" w:line="276" w:lineRule="auto"/>
              <w:jc w:val="center"/>
              <w:rPr>
                <w:rFonts w:ascii="Times New Roman" w:eastAsia="Times New Roman" w:hAnsi="Times New Roman" w:cs="Times New Roman"/>
                <w:b/>
                <w:noProof/>
              </w:rPr>
            </w:pPr>
          </w:p>
        </w:tc>
        <w:tc>
          <w:tcPr>
            <w:tcW w:w="825" w:type="dxa"/>
            <w:vMerge/>
            <w:tcBorders>
              <w:top w:val="single" w:sz="4" w:space="0" w:color="auto"/>
              <w:left w:val="single" w:sz="4" w:space="0" w:color="auto"/>
              <w:bottom w:val="single" w:sz="4" w:space="0" w:color="000000"/>
              <w:right w:val="single" w:sz="4" w:space="0" w:color="auto"/>
            </w:tcBorders>
            <w:hideMark/>
          </w:tcPr>
          <w:p w14:paraId="6A9E417D" w14:textId="77777777" w:rsidR="003A3D51" w:rsidRDefault="003A3D51">
            <w:pPr>
              <w:spacing w:after="0" w:line="276" w:lineRule="auto"/>
              <w:jc w:val="center"/>
              <w:rPr>
                <w:rFonts w:ascii="Times New Roman" w:eastAsia="Times New Roman" w:hAnsi="Times New Roman" w:cs="Times New Roman"/>
                <w:b/>
                <w:noProof/>
              </w:rPr>
            </w:pPr>
          </w:p>
        </w:tc>
        <w:tc>
          <w:tcPr>
            <w:tcW w:w="825" w:type="dxa"/>
            <w:vMerge/>
            <w:tcBorders>
              <w:top w:val="single" w:sz="4" w:space="0" w:color="auto"/>
              <w:left w:val="single" w:sz="4" w:space="0" w:color="auto"/>
              <w:bottom w:val="single" w:sz="4" w:space="0" w:color="000000"/>
              <w:right w:val="single" w:sz="4" w:space="0" w:color="auto"/>
            </w:tcBorders>
            <w:hideMark/>
          </w:tcPr>
          <w:p w14:paraId="5443359F" w14:textId="77777777" w:rsidR="003A3D51" w:rsidRDefault="003A3D51">
            <w:pPr>
              <w:spacing w:after="0" w:line="276" w:lineRule="auto"/>
              <w:jc w:val="center"/>
              <w:rPr>
                <w:rFonts w:ascii="Times New Roman" w:eastAsia="Times New Roman" w:hAnsi="Times New Roman" w:cs="Times New Roman"/>
                <w:b/>
                <w:noProof/>
              </w:rPr>
            </w:pPr>
          </w:p>
        </w:tc>
        <w:tc>
          <w:tcPr>
            <w:tcW w:w="2039" w:type="dxa"/>
            <w:vMerge/>
            <w:tcBorders>
              <w:top w:val="single" w:sz="4" w:space="0" w:color="auto"/>
              <w:left w:val="nil"/>
              <w:bottom w:val="single" w:sz="4" w:space="0" w:color="000000"/>
              <w:right w:val="single" w:sz="4" w:space="0" w:color="auto"/>
            </w:tcBorders>
            <w:hideMark/>
          </w:tcPr>
          <w:p w14:paraId="316CED1A" w14:textId="77777777" w:rsidR="003A3D51" w:rsidRDefault="003A3D51">
            <w:pPr>
              <w:spacing w:after="0" w:line="276" w:lineRule="auto"/>
              <w:rPr>
                <w:rFonts w:ascii="Times New Roman" w:eastAsia="Times New Roman" w:hAnsi="Times New Roman" w:cs="Times New Roman"/>
                <w:b/>
                <w:noProof/>
              </w:rPr>
            </w:pPr>
          </w:p>
        </w:tc>
        <w:tc>
          <w:tcPr>
            <w:tcW w:w="2010" w:type="dxa"/>
            <w:vMerge/>
            <w:tcBorders>
              <w:top w:val="single" w:sz="4" w:space="0" w:color="auto"/>
              <w:left w:val="single" w:sz="4" w:space="0" w:color="auto"/>
              <w:bottom w:val="single" w:sz="4" w:space="0" w:color="000000"/>
              <w:right w:val="single" w:sz="4" w:space="0" w:color="auto"/>
            </w:tcBorders>
            <w:hideMark/>
          </w:tcPr>
          <w:p w14:paraId="3AD0DE34" w14:textId="77777777" w:rsidR="003A3D51" w:rsidRDefault="003A3D51">
            <w:pPr>
              <w:spacing w:after="0" w:line="276" w:lineRule="auto"/>
              <w:rPr>
                <w:rFonts w:ascii="Times New Roman" w:eastAsia="Times New Roman" w:hAnsi="Times New Roman" w:cs="Times New Roman"/>
                <w:b/>
                <w:noProof/>
              </w:rPr>
            </w:pPr>
          </w:p>
        </w:tc>
        <w:tc>
          <w:tcPr>
            <w:tcW w:w="975" w:type="dxa"/>
            <w:tcBorders>
              <w:top w:val="nil"/>
              <w:left w:val="nil"/>
              <w:bottom w:val="single" w:sz="4" w:space="0" w:color="auto"/>
              <w:right w:val="single" w:sz="4" w:space="0" w:color="auto"/>
            </w:tcBorders>
            <w:shd w:val="clear" w:color="auto" w:fill="BDD7EE"/>
            <w:vAlign w:val="center"/>
            <w:hideMark/>
          </w:tcPr>
          <w:p w14:paraId="79E94FF9" w14:textId="77777777" w:rsidR="003A3D51" w:rsidRDefault="0002775A">
            <w:pPr>
              <w:pStyle w:val="P68B1DB1-Normal6"/>
              <w:spacing w:after="0" w:line="276" w:lineRule="auto"/>
              <w:jc w:val="center"/>
              <w:rPr>
                <w:noProof/>
              </w:rPr>
            </w:pPr>
            <w:r>
              <w:rPr>
                <w:noProof/>
              </w:rPr>
              <w:t>Enhet</w:t>
            </w:r>
          </w:p>
        </w:tc>
        <w:tc>
          <w:tcPr>
            <w:tcW w:w="802" w:type="dxa"/>
            <w:tcBorders>
              <w:top w:val="nil"/>
              <w:left w:val="nil"/>
              <w:bottom w:val="single" w:sz="4" w:space="0" w:color="auto"/>
              <w:right w:val="single" w:sz="4" w:space="0" w:color="auto"/>
            </w:tcBorders>
            <w:shd w:val="clear" w:color="auto" w:fill="BDD7EE"/>
            <w:vAlign w:val="center"/>
            <w:hideMark/>
          </w:tcPr>
          <w:p w14:paraId="06ADF08E" w14:textId="77777777" w:rsidR="003A3D51" w:rsidRDefault="0002775A">
            <w:pPr>
              <w:pStyle w:val="P68B1DB1-Normal6"/>
              <w:spacing w:after="0" w:line="276" w:lineRule="auto"/>
              <w:jc w:val="center"/>
              <w:rPr>
                <w:noProof/>
              </w:rPr>
            </w:pPr>
            <w:r>
              <w:rPr>
                <w:noProof/>
              </w:rPr>
              <w:t>Baslinjen</w:t>
            </w:r>
          </w:p>
        </w:tc>
        <w:tc>
          <w:tcPr>
            <w:tcW w:w="826" w:type="dxa"/>
            <w:tcBorders>
              <w:top w:val="nil"/>
              <w:left w:val="nil"/>
              <w:bottom w:val="single" w:sz="4" w:space="0" w:color="auto"/>
              <w:right w:val="single" w:sz="4" w:space="0" w:color="auto"/>
            </w:tcBorders>
            <w:shd w:val="clear" w:color="auto" w:fill="BDD7EE"/>
            <w:vAlign w:val="center"/>
            <w:hideMark/>
          </w:tcPr>
          <w:p w14:paraId="59F23D0B" w14:textId="77777777" w:rsidR="003A3D51" w:rsidRDefault="0002775A">
            <w:pPr>
              <w:pStyle w:val="P68B1DB1-Normal6"/>
              <w:spacing w:after="0" w:line="276" w:lineRule="auto"/>
              <w:jc w:val="center"/>
              <w:rPr>
                <w:noProof/>
              </w:rPr>
            </w:pPr>
            <w:r>
              <w:rPr>
                <w:noProof/>
              </w:rPr>
              <w:t>Mål</w:t>
            </w:r>
          </w:p>
        </w:tc>
        <w:tc>
          <w:tcPr>
            <w:tcW w:w="749" w:type="dxa"/>
            <w:tcBorders>
              <w:top w:val="nil"/>
              <w:left w:val="nil"/>
              <w:bottom w:val="single" w:sz="4" w:space="0" w:color="auto"/>
              <w:right w:val="single" w:sz="4" w:space="0" w:color="auto"/>
            </w:tcBorders>
            <w:shd w:val="clear" w:color="auto" w:fill="BDD7EE"/>
            <w:vAlign w:val="center"/>
            <w:hideMark/>
          </w:tcPr>
          <w:p w14:paraId="3D1CB772" w14:textId="77777777" w:rsidR="003A3D51" w:rsidRDefault="0002775A">
            <w:pPr>
              <w:pStyle w:val="P68B1DB1-Normal6"/>
              <w:spacing w:after="0" w:line="276" w:lineRule="auto"/>
              <w:jc w:val="center"/>
              <w:rPr>
                <w:noProof/>
              </w:rPr>
            </w:pPr>
            <w:r>
              <w:rPr>
                <w:noProof/>
              </w:rPr>
              <w:t>Q</w:t>
            </w:r>
          </w:p>
        </w:tc>
        <w:tc>
          <w:tcPr>
            <w:tcW w:w="942" w:type="dxa"/>
            <w:tcBorders>
              <w:top w:val="nil"/>
              <w:left w:val="nil"/>
              <w:bottom w:val="single" w:sz="4" w:space="0" w:color="auto"/>
              <w:right w:val="single" w:sz="4" w:space="0" w:color="auto"/>
            </w:tcBorders>
            <w:shd w:val="clear" w:color="auto" w:fill="BDD7EE"/>
            <w:vAlign w:val="center"/>
            <w:hideMark/>
          </w:tcPr>
          <w:p w14:paraId="11B67233" w14:textId="77777777" w:rsidR="003A3D51" w:rsidRDefault="0002775A">
            <w:pPr>
              <w:pStyle w:val="P68B1DB1-Normal6"/>
              <w:spacing w:after="0" w:line="276" w:lineRule="auto"/>
              <w:jc w:val="center"/>
              <w:rPr>
                <w:noProof/>
              </w:rPr>
            </w:pPr>
            <w:r>
              <w:rPr>
                <w:noProof/>
              </w:rPr>
              <w:t>Året</w:t>
            </w:r>
          </w:p>
        </w:tc>
        <w:tc>
          <w:tcPr>
            <w:tcW w:w="4470" w:type="dxa"/>
            <w:vMerge/>
            <w:tcBorders>
              <w:top w:val="single" w:sz="4" w:space="0" w:color="auto"/>
              <w:left w:val="single" w:sz="4" w:space="0" w:color="auto"/>
              <w:bottom w:val="single" w:sz="4" w:space="0" w:color="auto"/>
              <w:right w:val="single" w:sz="4" w:space="0" w:color="auto"/>
            </w:tcBorders>
            <w:hideMark/>
          </w:tcPr>
          <w:p w14:paraId="1F47C394" w14:textId="77777777" w:rsidR="003A3D51" w:rsidRDefault="003A3D51">
            <w:pPr>
              <w:spacing w:after="0" w:line="276" w:lineRule="auto"/>
              <w:rPr>
                <w:rFonts w:ascii="Times New Roman" w:eastAsia="Times New Roman" w:hAnsi="Times New Roman" w:cs="Times New Roman"/>
                <w:b/>
                <w:noProof/>
              </w:rPr>
            </w:pPr>
          </w:p>
        </w:tc>
      </w:tr>
      <w:tr w:rsidR="003A3D51" w14:paraId="071BE3D3" w14:textId="77777777">
        <w:trPr>
          <w:trHeight w:val="282"/>
          <w:jc w:val="center"/>
        </w:trPr>
        <w:tc>
          <w:tcPr>
            <w:tcW w:w="696" w:type="dxa"/>
            <w:tcBorders>
              <w:top w:val="single" w:sz="4" w:space="0" w:color="auto"/>
              <w:left w:val="single" w:sz="4" w:space="0" w:color="auto"/>
              <w:bottom w:val="single" w:sz="4" w:space="0" w:color="auto"/>
              <w:right w:val="single" w:sz="4" w:space="0" w:color="auto"/>
            </w:tcBorders>
            <w:shd w:val="clear" w:color="auto" w:fill="C6EFCE"/>
            <w:noWrap/>
          </w:tcPr>
          <w:p w14:paraId="2EEC4C5D" w14:textId="77777777" w:rsidR="003A3D51" w:rsidRDefault="0002775A">
            <w:pPr>
              <w:pStyle w:val="P68B1DB1-Normal7"/>
              <w:spacing w:after="200" w:line="276" w:lineRule="auto"/>
              <w:jc w:val="center"/>
              <w:rPr>
                <w:rFonts w:ascii="Times New Roman" w:hAnsi="Times New Roman" w:cs="Times New Roman"/>
                <w:noProof/>
              </w:rPr>
            </w:pPr>
            <w:r>
              <w:rPr>
                <w:noProof/>
              </w:rPr>
              <w:t>315</w:t>
            </w:r>
          </w:p>
        </w:tc>
        <w:tc>
          <w:tcPr>
            <w:tcW w:w="825" w:type="dxa"/>
            <w:tcBorders>
              <w:top w:val="single" w:sz="4" w:space="0" w:color="auto"/>
              <w:left w:val="nil"/>
              <w:bottom w:val="single" w:sz="4" w:space="0" w:color="auto"/>
              <w:right w:val="single" w:sz="4" w:space="0" w:color="auto"/>
            </w:tcBorders>
            <w:shd w:val="clear" w:color="auto" w:fill="C6EFCE"/>
            <w:noWrap/>
          </w:tcPr>
          <w:p w14:paraId="3A3A61E1" w14:textId="77777777" w:rsidR="003A3D51" w:rsidRDefault="0002775A">
            <w:pPr>
              <w:pStyle w:val="P68B1DB1-Normal7"/>
              <w:spacing w:after="200" w:line="276" w:lineRule="auto"/>
              <w:jc w:val="center"/>
              <w:rPr>
                <w:rFonts w:ascii="Times New Roman" w:hAnsi="Times New Roman" w:cs="Times New Roman"/>
                <w:noProof/>
              </w:rPr>
            </w:pPr>
            <w:r>
              <w:rPr>
                <w:noProof/>
              </w:rPr>
              <w:t>C4.3 R3-I2</w:t>
            </w:r>
          </w:p>
        </w:tc>
        <w:tc>
          <w:tcPr>
            <w:tcW w:w="825" w:type="dxa"/>
            <w:tcBorders>
              <w:top w:val="single" w:sz="4" w:space="0" w:color="auto"/>
              <w:left w:val="nil"/>
              <w:bottom w:val="single" w:sz="4" w:space="0" w:color="auto"/>
              <w:right w:val="single" w:sz="4" w:space="0" w:color="auto"/>
            </w:tcBorders>
            <w:shd w:val="clear" w:color="auto" w:fill="C6EFCE"/>
            <w:noWrap/>
          </w:tcPr>
          <w:p w14:paraId="6CC9C34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39" w:type="dxa"/>
            <w:tcBorders>
              <w:top w:val="single" w:sz="4" w:space="0" w:color="auto"/>
              <w:left w:val="nil"/>
              <w:bottom w:val="single" w:sz="4" w:space="0" w:color="auto"/>
              <w:right w:val="single" w:sz="4" w:space="0" w:color="auto"/>
            </w:tcBorders>
            <w:shd w:val="clear" w:color="auto" w:fill="C6EFCE"/>
            <w:noWrap/>
          </w:tcPr>
          <w:p w14:paraId="1354C8F8" w14:textId="77777777" w:rsidR="003A3D51" w:rsidRDefault="0002775A">
            <w:pPr>
              <w:pStyle w:val="P68B1DB1-Normal7"/>
              <w:spacing w:after="200" w:line="276" w:lineRule="auto"/>
              <w:rPr>
                <w:rFonts w:ascii="Times New Roman" w:hAnsi="Times New Roman" w:cs="Times New Roman"/>
                <w:noProof/>
              </w:rPr>
            </w:pPr>
            <w:r>
              <w:rPr>
                <w:noProof/>
              </w:rPr>
              <w:t>Det gemensamma informationssystemet (informationssystemet SocSkrb)</w:t>
            </w:r>
          </w:p>
        </w:tc>
        <w:tc>
          <w:tcPr>
            <w:tcW w:w="2010" w:type="dxa"/>
            <w:tcBorders>
              <w:top w:val="single" w:sz="4" w:space="0" w:color="auto"/>
              <w:left w:val="nil"/>
              <w:bottom w:val="single" w:sz="4" w:space="0" w:color="auto"/>
              <w:right w:val="single" w:sz="4" w:space="0" w:color="auto"/>
            </w:tcBorders>
            <w:shd w:val="clear" w:color="auto" w:fill="C6EFCE"/>
            <w:noWrap/>
          </w:tcPr>
          <w:p w14:paraId="36AE8DAA"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975" w:type="dxa"/>
            <w:tcBorders>
              <w:top w:val="single" w:sz="4" w:space="0" w:color="auto"/>
              <w:left w:val="nil"/>
              <w:bottom w:val="single" w:sz="4" w:space="0" w:color="auto"/>
              <w:right w:val="single" w:sz="4" w:space="0" w:color="auto"/>
            </w:tcBorders>
            <w:shd w:val="clear" w:color="auto" w:fill="C6EFCE"/>
            <w:noWrap/>
          </w:tcPr>
          <w:p w14:paraId="617D75BE" w14:textId="77777777" w:rsidR="003A3D51" w:rsidRDefault="0002775A">
            <w:pPr>
              <w:pStyle w:val="P68B1DB1-Normal7"/>
              <w:spacing w:after="200" w:line="276" w:lineRule="auto"/>
              <w:jc w:val="center"/>
              <w:rPr>
                <w:rFonts w:ascii="Times New Roman" w:hAnsi="Times New Roman" w:cs="Times New Roman"/>
                <w:noProof/>
              </w:rPr>
            </w:pPr>
            <w:r>
              <w:rPr>
                <w:noProof/>
              </w:rPr>
              <w:t>Procentsats</w:t>
            </w:r>
          </w:p>
        </w:tc>
        <w:tc>
          <w:tcPr>
            <w:tcW w:w="802" w:type="dxa"/>
            <w:tcBorders>
              <w:top w:val="single" w:sz="4" w:space="0" w:color="auto"/>
              <w:left w:val="nil"/>
              <w:bottom w:val="single" w:sz="4" w:space="0" w:color="auto"/>
              <w:right w:val="single" w:sz="4" w:space="0" w:color="auto"/>
            </w:tcBorders>
            <w:shd w:val="clear" w:color="auto" w:fill="C6EFCE"/>
            <w:noWrap/>
          </w:tcPr>
          <w:p w14:paraId="251AE2B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826" w:type="dxa"/>
            <w:tcBorders>
              <w:top w:val="single" w:sz="4" w:space="0" w:color="auto"/>
              <w:left w:val="nil"/>
              <w:bottom w:val="single" w:sz="4" w:space="0" w:color="auto"/>
              <w:right w:val="single" w:sz="4" w:space="0" w:color="auto"/>
            </w:tcBorders>
            <w:shd w:val="clear" w:color="auto" w:fill="C6EFCE"/>
            <w:noWrap/>
          </w:tcPr>
          <w:p w14:paraId="1377BD5B"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749" w:type="dxa"/>
            <w:tcBorders>
              <w:top w:val="single" w:sz="4" w:space="0" w:color="auto"/>
              <w:left w:val="nil"/>
              <w:bottom w:val="single" w:sz="4" w:space="0" w:color="auto"/>
              <w:right w:val="single" w:sz="4" w:space="0" w:color="auto"/>
            </w:tcBorders>
            <w:shd w:val="clear" w:color="auto" w:fill="C6EFCE"/>
            <w:noWrap/>
          </w:tcPr>
          <w:p w14:paraId="73A7F4B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942" w:type="dxa"/>
            <w:tcBorders>
              <w:top w:val="single" w:sz="4" w:space="0" w:color="auto"/>
              <w:left w:val="nil"/>
              <w:bottom w:val="single" w:sz="4" w:space="0" w:color="auto"/>
              <w:right w:val="single" w:sz="4" w:space="0" w:color="auto"/>
            </w:tcBorders>
            <w:shd w:val="clear" w:color="auto" w:fill="C6EFCE"/>
            <w:noWrap/>
          </w:tcPr>
          <w:p w14:paraId="0D650F11" w14:textId="77777777"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4470" w:type="dxa"/>
            <w:tcBorders>
              <w:top w:val="single" w:sz="4" w:space="0" w:color="auto"/>
              <w:left w:val="nil"/>
              <w:bottom w:val="single" w:sz="4" w:space="0" w:color="auto"/>
              <w:right w:val="single" w:sz="4" w:space="0" w:color="auto"/>
            </w:tcBorders>
            <w:shd w:val="clear" w:color="auto" w:fill="C6EFCE"/>
            <w:noWrap/>
          </w:tcPr>
          <w:p w14:paraId="78FFC455" w14:textId="77777777" w:rsidR="003A3D51" w:rsidRDefault="0002775A">
            <w:pPr>
              <w:pStyle w:val="P68B1DB1-Normal7"/>
              <w:spacing w:after="200" w:line="276" w:lineRule="auto"/>
              <w:rPr>
                <w:rFonts w:ascii="Times New Roman" w:hAnsi="Times New Roman" w:cs="Times New Roman"/>
                <w:noProof/>
              </w:rPr>
            </w:pPr>
            <w:r>
              <w:rPr>
                <w:noProof/>
              </w:rPr>
              <w:t>Syftet med denna investering är att uppgradera den applikation för social omsorg som hanterar och registrerar förfaranden för erkännande av rättigheter till sociala tjänster till ett enda funktionellt it-system som kommer att involvera alla berörda parter i processen för erkännande av rättigheter och tillhandahållande av tjänster till användaren, så att den möjliggör övervakning och analys av uppgifter om användare och tjänster i det sociala trygghetssystemet, såsom information om tillgängliga platser hos tjänsteleverantörer och priserna på deras tjänster. Den utvecklade mjukvarulösningen ska integreras i det befintliga informationssystemet SocSkrb som används av socialvårdscentraler. Slutligen ska detta göra det möjligt för alla socialkontor att ansluta sig till de socialtjänstleverantörer som finansieras genom statsbudgeten.</w:t>
            </w:r>
          </w:p>
        </w:tc>
      </w:tr>
    </w:tbl>
    <w:p w14:paraId="53FFBB57" w14:textId="77777777" w:rsidR="003A3D51" w:rsidRDefault="003A3D51">
      <w:pPr>
        <w:pStyle w:val="paragraph"/>
        <w:spacing w:before="0" w:beforeAutospacing="0" w:after="0" w:afterAutospacing="0"/>
        <w:ind w:left="840"/>
        <w:jc w:val="both"/>
        <w:textAlignment w:val="baseline"/>
        <w:rPr>
          <w:rStyle w:val="eop"/>
          <w:noProof/>
          <w:color w:val="4F81BD"/>
        </w:rPr>
      </w:pPr>
    </w:p>
    <w:p w14:paraId="14C2E076" w14:textId="77777777" w:rsidR="003A3D51" w:rsidRDefault="003A3D51">
      <w:pPr>
        <w:pStyle w:val="paragraph"/>
        <w:spacing w:before="0" w:beforeAutospacing="0" w:after="0" w:afterAutospacing="0"/>
        <w:ind w:left="840"/>
        <w:jc w:val="both"/>
        <w:textAlignment w:val="baseline"/>
        <w:rPr>
          <w:rFonts w:ascii="Segoe UI" w:hAnsi="Segoe UI" w:cs="Segoe UI"/>
          <w:noProof/>
          <w:sz w:val="18"/>
        </w:rPr>
      </w:pPr>
    </w:p>
    <w:p w14:paraId="1329B8E8" w14:textId="77777777" w:rsidR="003A3D51" w:rsidRDefault="003A3D51">
      <w:pPr>
        <w:rPr>
          <w:noProof/>
        </w:rPr>
      </w:pPr>
    </w:p>
    <w:p w14:paraId="42A74BF0" w14:textId="77777777" w:rsidR="003A3D51" w:rsidRDefault="003A3D51">
      <w:pPr>
        <w:rPr>
          <w:noProof/>
        </w:rPr>
      </w:pPr>
    </w:p>
    <w:p w14:paraId="52BD2528" w14:textId="77777777" w:rsidR="003A3D51" w:rsidRDefault="003A3D51">
      <w:pPr>
        <w:keepNext/>
        <w:tabs>
          <w:tab w:val="left" w:pos="850"/>
        </w:tabs>
        <w:spacing w:before="360" w:after="120" w:line="240" w:lineRule="auto"/>
        <w:ind w:left="850" w:hanging="850"/>
        <w:jc w:val="both"/>
        <w:outlineLvl w:val="0"/>
        <w:rPr>
          <w:rFonts w:ascii="Times New Roman" w:eastAsia="Calibri" w:hAnsi="Times New Roman" w:cs="Times New Roman"/>
          <w:b/>
          <w:smallCaps/>
          <w:noProof/>
          <w:sz w:val="24"/>
        </w:rPr>
        <w:sectPr w:rsidR="003A3D51" w:rsidSect="0001477B">
          <w:headerReference w:type="even" r:id="rId348"/>
          <w:headerReference w:type="default" r:id="rId349"/>
          <w:footerReference w:type="even" r:id="rId350"/>
          <w:footerReference w:type="default" r:id="rId351"/>
          <w:headerReference w:type="first" r:id="rId352"/>
          <w:footerReference w:type="first" r:id="rId353"/>
          <w:pgSz w:w="15840" w:h="12240" w:orient="landscape"/>
          <w:pgMar w:top="1440" w:right="1440" w:bottom="1440" w:left="1440" w:header="708" w:footer="708" w:gutter="0"/>
          <w:cols w:space="708"/>
          <w:docGrid w:linePitch="360"/>
        </w:sectPr>
      </w:pPr>
    </w:p>
    <w:p w14:paraId="3E28F813" w14:textId="77777777" w:rsidR="003A3D51" w:rsidRDefault="0002775A">
      <w:pPr>
        <w:pStyle w:val="P68B1DB1-Normal2"/>
        <w:keepNext/>
        <w:tabs>
          <w:tab w:val="left" w:pos="850"/>
        </w:tabs>
        <w:spacing w:before="360" w:after="120" w:line="240" w:lineRule="auto"/>
        <w:ind w:left="850" w:hanging="850"/>
        <w:jc w:val="both"/>
        <w:outlineLvl w:val="0"/>
        <w:rPr>
          <w:noProof/>
        </w:rPr>
      </w:pPr>
      <w:r>
        <w:rPr>
          <w:noProof/>
        </w:rPr>
        <w:t>U. KOMPONENT 5.1: STÄRKA HÄLSO- OCH SJUKVÅRDSSYSTEMETS RESILIENS</w:t>
      </w:r>
    </w:p>
    <w:p w14:paraId="44C1BC0E" w14:textId="77777777" w:rsidR="003A3D51" w:rsidRDefault="0002775A">
      <w:pPr>
        <w:pStyle w:val="P68B1DB1-Normal3"/>
        <w:spacing w:before="120" w:after="120" w:line="240" w:lineRule="auto"/>
        <w:jc w:val="both"/>
        <w:rPr>
          <w:noProof/>
        </w:rPr>
      </w:pPr>
      <w:r>
        <w:rPr>
          <w:noProof/>
        </w:rPr>
        <w:t xml:space="preserve">Denna del av Kroatiens återhämtnings- och resiliensplan syftar till att ta itu med utmaningar, som förvärrats av covid-19-pandemin, när det gäller hälso- och sjukvårdssystemets resiliens och hållbarhet i samband med att den förväntade livslängden i EU ligger under EU-genomsnittet, svag förebyggande vård, kronisk vård och långvarig vård och omsorg. Det övergripande målet för reformerna och investeringarna i denna del är att förbättra hälso- och sjukvårdssystemets effektivitet, kvalitet, tillgänglighet och ekonomiska hållbarhet. </w:t>
      </w:r>
    </w:p>
    <w:p w14:paraId="5758460B" w14:textId="77777777" w:rsidR="003A3D51" w:rsidRDefault="0002775A">
      <w:pPr>
        <w:pStyle w:val="P68B1DB1-Normal3"/>
        <w:spacing w:before="120" w:after="120" w:line="240" w:lineRule="auto"/>
        <w:jc w:val="both"/>
        <w:rPr>
          <w:noProof/>
        </w:rPr>
      </w:pPr>
      <w:r>
        <w:rPr>
          <w:noProof/>
        </w:rPr>
        <w:t>Komponenten ska omfatta följande åtgärder:</w:t>
      </w:r>
    </w:p>
    <w:p w14:paraId="7083EF7B" w14:textId="77777777" w:rsidR="003A3D51" w:rsidRDefault="0002775A">
      <w:pPr>
        <w:pStyle w:val="P68B1DB1-Normal3"/>
        <w:numPr>
          <w:ilvl w:val="0"/>
          <w:numId w:val="29"/>
        </w:numPr>
        <w:spacing w:before="120" w:after="120" w:line="240" w:lineRule="auto"/>
        <w:jc w:val="both"/>
        <w:rPr>
          <w:noProof/>
        </w:rPr>
      </w:pPr>
      <w:r>
        <w:rPr>
          <w:noProof/>
        </w:rPr>
        <w:t>Införande av nya vårdmodeller för patienter, med särskilt fokus på förebyggande och kronisk vård av cancerpatienter.</w:t>
      </w:r>
    </w:p>
    <w:p w14:paraId="10873992" w14:textId="77777777" w:rsidR="003A3D51" w:rsidRDefault="0002775A">
      <w:pPr>
        <w:pStyle w:val="P68B1DB1-Normal3"/>
        <w:numPr>
          <w:ilvl w:val="0"/>
          <w:numId w:val="29"/>
        </w:numPr>
        <w:spacing w:before="120" w:after="120" w:line="240" w:lineRule="auto"/>
        <w:jc w:val="both"/>
        <w:rPr>
          <w:noProof/>
        </w:rPr>
      </w:pPr>
      <w:r>
        <w:rPr>
          <w:noProof/>
        </w:rPr>
        <w:t>Funktionell integrering av sjukhus och förstärkning av dagsjukhus på sekundär och tertiär nivå (horisontell och vertikal).</w:t>
      </w:r>
    </w:p>
    <w:p w14:paraId="2EB8617E" w14:textId="77777777" w:rsidR="003A3D51" w:rsidRDefault="0002775A">
      <w:pPr>
        <w:pStyle w:val="P68B1DB1-Normal3"/>
        <w:numPr>
          <w:ilvl w:val="0"/>
          <w:numId w:val="29"/>
        </w:numPr>
        <w:spacing w:before="120" w:after="120" w:line="240" w:lineRule="auto"/>
        <w:jc w:val="both"/>
        <w:rPr>
          <w:noProof/>
        </w:rPr>
      </w:pPr>
      <w:r>
        <w:rPr>
          <w:noProof/>
        </w:rPr>
        <w:t>Öka andelen familjespecialister i det totala antalet läkare som anlitas i allmänhet och familjegrupper.</w:t>
      </w:r>
    </w:p>
    <w:p w14:paraId="7280F53D" w14:textId="77777777" w:rsidR="003A3D51" w:rsidRDefault="0002775A">
      <w:pPr>
        <w:pStyle w:val="P68B1DB1-Normal3"/>
        <w:numPr>
          <w:ilvl w:val="0"/>
          <w:numId w:val="29"/>
        </w:numPr>
        <w:spacing w:before="120" w:after="120" w:line="240" w:lineRule="auto"/>
        <w:jc w:val="both"/>
        <w:rPr>
          <w:noProof/>
        </w:rPr>
      </w:pPr>
      <w:r>
        <w:rPr>
          <w:noProof/>
        </w:rPr>
        <w:t>Förbättra det digitaliserade systemet för gemensam upphandling så att det omfattar landsting, i syfte att åstadkomma betydande besparingar i systemet och förbättra kvaliteten.</w:t>
      </w:r>
    </w:p>
    <w:p w14:paraId="584D1687" w14:textId="77777777" w:rsidR="003A3D51" w:rsidRDefault="0002775A">
      <w:pPr>
        <w:pStyle w:val="P68B1DB1-Normal3"/>
        <w:numPr>
          <w:ilvl w:val="0"/>
          <w:numId w:val="29"/>
        </w:numPr>
        <w:spacing w:before="120" w:after="120" w:line="240" w:lineRule="auto"/>
        <w:jc w:val="both"/>
        <w:rPr>
          <w:noProof/>
        </w:rPr>
      </w:pPr>
      <w:r>
        <w:rPr>
          <w:noProof/>
        </w:rPr>
        <w:t>Den breda användningen av ett centralt beredningssystem på 8 sjukhus och införandet av ett system för distribution av enhetsterterapi på 40 sjukhus.</w:t>
      </w:r>
    </w:p>
    <w:p w14:paraId="20660C24" w14:textId="77777777" w:rsidR="003A3D51" w:rsidRDefault="0002775A">
      <w:pPr>
        <w:pStyle w:val="P68B1DB1-Normal3"/>
        <w:spacing w:before="120" w:after="120" w:line="240" w:lineRule="auto"/>
        <w:jc w:val="both"/>
        <w:rPr>
          <w:noProof/>
        </w:rPr>
      </w:pPr>
      <w:r>
        <w:rPr>
          <w:noProof/>
        </w:rPr>
        <w:t>Komponenten ska bidra till att följa den landsspecifika rekommendationen om att öka hälso- och sjukvårdssystemets resiliens, en balanserad geografisk fördelning av hälso- och sjukvårdspersonal och vårdinrättningar, närmare samarbete mellan alla förvaltningsnivåer och investeringar i e-hälsa (de landsspecifika rekommendationerna 1.2 och 2020) samt bidra till ökad tillgång till digital infrastruktur och digitala tjänster (de landsspecifika rekommendationerna 2.3 och 2020) och främjandet av kompetensutveckling (de landsspecifika rekommendationerna 2.4 och 2020).</w:t>
      </w:r>
    </w:p>
    <w:p w14:paraId="05EC856B" w14:textId="77777777" w:rsidR="003A3D51" w:rsidRDefault="0002775A">
      <w:pPr>
        <w:pStyle w:val="P68B1DB1-Normal3"/>
        <w:spacing w:before="120" w:after="120" w:line="240" w:lineRule="auto"/>
        <w:jc w:val="both"/>
        <w:rPr>
          <w:noProof/>
        </w:rPr>
      </w:pPr>
      <w:r>
        <w:rPr>
          <w:noProof/>
        </w:rPr>
        <w:t>Ingen åtgärd i denna del förväntas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w:t>
      </w:r>
    </w:p>
    <w:p w14:paraId="21CA3B76" w14:textId="77777777" w:rsidR="003A3D51" w:rsidRDefault="003A3D51">
      <w:pPr>
        <w:spacing w:before="120" w:after="120" w:line="240" w:lineRule="auto"/>
        <w:jc w:val="both"/>
        <w:rPr>
          <w:rFonts w:ascii="Times New Roman" w:eastAsia="Calibri" w:hAnsi="Times New Roman" w:cs="Times New Roman"/>
          <w:noProof/>
          <w:sz w:val="24"/>
        </w:rPr>
      </w:pPr>
    </w:p>
    <w:p w14:paraId="5DC70028" w14:textId="77777777" w:rsidR="003A3D51" w:rsidRDefault="0002775A">
      <w:pPr>
        <w:pStyle w:val="P68B1DB1-Normal4"/>
        <w:keepNext/>
        <w:tabs>
          <w:tab w:val="num" w:pos="850"/>
        </w:tabs>
        <w:spacing w:before="40" w:after="0"/>
        <w:ind w:left="851"/>
        <w:jc w:val="both"/>
        <w:outlineLvl w:val="1"/>
        <w:rPr>
          <w:noProof/>
        </w:rPr>
      </w:pPr>
      <w:r>
        <w:rPr>
          <w:noProof/>
        </w:rPr>
        <w:t xml:space="preserve">U.1. </w:t>
      </w:r>
      <w:r>
        <w:rPr>
          <w:noProof/>
        </w:rPr>
        <w:tab/>
        <w:t>Beskrivning av reformer och investeringar avseende icke återbetalningspliktigt ekonomiskt stöd</w:t>
      </w:r>
    </w:p>
    <w:p w14:paraId="365DF7C4" w14:textId="77777777" w:rsidR="003A3D51" w:rsidRDefault="0002775A">
      <w:pPr>
        <w:pStyle w:val="P68B1DB1-Normal5"/>
        <w:spacing w:before="120" w:after="120" w:line="240" w:lineRule="auto"/>
        <w:ind w:left="850"/>
        <w:jc w:val="both"/>
        <w:rPr>
          <w:noProof/>
        </w:rPr>
      </w:pPr>
      <w:r>
        <w:rPr>
          <w:noProof/>
        </w:rPr>
        <w:t>Reform C5.1 R1 – Förbättra hälso- och sjukvårdssystemets effektivitet, kvalitet och tillgänglighet</w:t>
      </w:r>
    </w:p>
    <w:p w14:paraId="4DF6EFFF" w14:textId="77777777" w:rsidR="003A3D51" w:rsidRDefault="0002775A">
      <w:pPr>
        <w:pStyle w:val="P68B1DB1-Normal3"/>
        <w:spacing w:before="120" w:after="120" w:line="240" w:lineRule="auto"/>
        <w:jc w:val="both"/>
        <w:rPr>
          <w:noProof/>
        </w:rPr>
      </w:pPr>
      <w:r>
        <w:rPr>
          <w:noProof/>
        </w:rPr>
        <w:t xml:space="preserve">Syftet med denna åtgärd är att öka lika tillgång till primärvård, särskilt på landsbygden, i avlägsna områden och på öar, genom att förbättra utbudet och kvaliteten på tjänsterna hos familjeläkare (allmänläkare) och på så sätt minska belastningen på sjukhusen. För att bättre spåra hälsoresultaten ska ramen för resultatutvärdering av hälso- och sjukvårdssystemet inrättas för att bidra till att skapa centrala resultatindikatorer enligt en fastställd metod i syfte att koppla åtgärderna till de mål som anges i de nationella strategidokumenten och reformerna och förbättra aktualiteten hos de hälsouppgifter som finns tillgängliga för strategisk och politisk analys. </w:t>
      </w:r>
    </w:p>
    <w:p w14:paraId="41A0ACDE" w14:textId="6E71C314" w:rsidR="003A3D51" w:rsidRDefault="0002775A">
      <w:pPr>
        <w:pStyle w:val="P68B1DB1-Normal3"/>
        <w:spacing w:before="120" w:after="120" w:line="240" w:lineRule="auto"/>
        <w:jc w:val="both"/>
        <w:rPr>
          <w:noProof/>
        </w:rPr>
      </w:pPr>
      <w:r>
        <w:rPr>
          <w:noProof/>
        </w:rPr>
        <w:t>Reformen ska vara genomförd senast den 31 december 2023.</w:t>
      </w:r>
    </w:p>
    <w:p w14:paraId="7BB93FDF" w14:textId="77777777" w:rsidR="003A3D51" w:rsidRDefault="0002775A">
      <w:pPr>
        <w:pStyle w:val="P68B1DB1-Normal5"/>
        <w:spacing w:before="120" w:after="120" w:line="240" w:lineRule="auto"/>
        <w:ind w:left="850"/>
        <w:jc w:val="both"/>
        <w:rPr>
          <w:noProof/>
        </w:rPr>
      </w:pPr>
      <w:r>
        <w:rPr>
          <w:noProof/>
        </w:rPr>
        <w:t>Investering C5.1 R1-I4 – Digitala bilddiagnostik vid KBC Split</w:t>
      </w:r>
    </w:p>
    <w:p w14:paraId="0CD44BD2" w14:textId="77777777" w:rsidR="003A3D51" w:rsidRDefault="0002775A">
      <w:pPr>
        <w:pStyle w:val="P68B1DB1-Normal3"/>
        <w:spacing w:before="120" w:after="120" w:line="240" w:lineRule="auto"/>
        <w:jc w:val="both"/>
        <w:rPr>
          <w:noProof/>
        </w:rPr>
      </w:pPr>
      <w:r>
        <w:rPr>
          <w:noProof/>
        </w:rPr>
        <w:t>Syftet med denna åtgärd är att uppgradera den digitala bilddiagnosen av KBC Split och på så sätt förbättra hälso- och sjukvården när det gäller förebyggande, behandling och diagnos av sjukdomar. Investeringen ska syfta till att öka hälso- och sjukvårdens kvalitet och tillgänglighet för alla kategorier av patienter, förbättra de kliniska resultaten och tillhandahålla snabbare och bättre diagnostik, särskilt hos pediatriska och onkologiska patienter. Den ska särskilt digitalisera hälso- och sjukvårdstjänster och hälso- och sjukvårdsprocesser, säkerställa insyn i tillhandahållandet av hälso- och sjukvårdstjänster, optimera användningen av sjukhussystemets resurser och säkerställa framtida finansiell stabilitet. Investeringen ska anpassa utrymmet till den nyförvärvade medicinska utrustningen, inbegripet Magnetic resonance 3T, neurointervention digital DSA-angio-room, digital diaskopic RTG-maskin och endoskopiskt gastroenterologiskt rum.</w:t>
      </w:r>
    </w:p>
    <w:p w14:paraId="476D69DE" w14:textId="77777777" w:rsidR="003A3D51" w:rsidRDefault="0002775A">
      <w:pPr>
        <w:pStyle w:val="P68B1DB1-Normal3"/>
        <w:spacing w:before="120" w:after="120" w:line="240" w:lineRule="auto"/>
        <w:jc w:val="both"/>
        <w:rPr>
          <w:noProof/>
        </w:rPr>
      </w:pPr>
      <w:r>
        <w:rPr>
          <w:noProof/>
        </w:rPr>
        <w:t>Åtgärden ska vara slutförd senast den 31 december 2022.</w:t>
      </w:r>
    </w:p>
    <w:p w14:paraId="4B83346D" w14:textId="77777777" w:rsidR="003A3D51" w:rsidRDefault="0002775A">
      <w:pPr>
        <w:pStyle w:val="P68B1DB1-Normal5"/>
        <w:spacing w:before="120" w:after="120" w:line="240" w:lineRule="auto"/>
        <w:ind w:left="850"/>
        <w:jc w:val="both"/>
        <w:rPr>
          <w:noProof/>
        </w:rPr>
      </w:pPr>
      <w:r>
        <w:rPr>
          <w:noProof/>
        </w:rPr>
        <w:t>Investering C5.1 R1-I5 – Byggande och inredning av det allmänna sjukhuset ”OB Varaždin” centrala verksamhetsblock</w:t>
      </w:r>
    </w:p>
    <w:p w14:paraId="037F1E15" w14:textId="77777777" w:rsidR="003A3D51" w:rsidRDefault="0002775A">
      <w:pPr>
        <w:pStyle w:val="P68B1DB1-Normal3"/>
        <w:spacing w:before="120" w:after="120" w:line="240" w:lineRule="auto"/>
        <w:jc w:val="both"/>
        <w:rPr>
          <w:noProof/>
        </w:rPr>
      </w:pPr>
      <w:r>
        <w:rPr>
          <w:noProof/>
        </w:rPr>
        <w:t>Syftet med denna åtgärd är att bygga upp och utrusta ett centralt driftsblock med en intensivbehandlingsenhet (JIL), central sterilisering, RTG-diagnostik, transfusioner och medicinska och biokemiska laboratorier samt byggande av korridorer för anslutning till befintliga vårdinrättningar. Denna investering förväntas optimera resurserna i sjukhusvården, öka patientsäkerheten och skapa lämpliga villkor för vårdpersonalens arbete. Genom att sammanföra moderna och funktionella utrymmen för all kompletterande verksamhet i operationsblocket förväntas det dessutom öka patienternas kvalitet och säkerhet när de flyttar från avdelning till enhet. Allmänna sjukhuset Varaždin ska ställa om från ett sjukhus av paviljontyp till en enda funktionellt ansluten byggnad som helhet och detta förväntas också säkerställa ekonomisk hållbarhet.</w:t>
      </w:r>
    </w:p>
    <w:p w14:paraId="3EB1AEFF" w14:textId="77777777" w:rsidR="003A3D51" w:rsidRDefault="0002775A">
      <w:pPr>
        <w:pStyle w:val="P68B1DB1-Normal3"/>
        <w:spacing w:before="120" w:after="120" w:line="240" w:lineRule="auto"/>
        <w:jc w:val="both"/>
        <w:rPr>
          <w:noProof/>
        </w:rPr>
      </w:pPr>
      <w:r>
        <w:rPr>
          <w:noProof/>
        </w:rPr>
        <w:t>Åtgärden ska vara slutförd senast den 31 december 2025.</w:t>
      </w:r>
    </w:p>
    <w:p w14:paraId="41933C49" w14:textId="77777777" w:rsidR="003A3D51" w:rsidRDefault="0002775A">
      <w:pPr>
        <w:pStyle w:val="P68B1DB1-Normal5"/>
        <w:spacing w:before="120" w:after="120" w:line="240" w:lineRule="auto"/>
        <w:ind w:left="850"/>
        <w:jc w:val="both"/>
        <w:rPr>
          <w:noProof/>
        </w:rPr>
      </w:pPr>
      <w:r>
        <w:rPr>
          <w:noProof/>
        </w:rPr>
        <w:t>Investering C5.1 R1-I6 – Digitala bilddiagnostik KB Dubrava</w:t>
      </w:r>
    </w:p>
    <w:p w14:paraId="487C9995" w14:textId="77777777" w:rsidR="003A3D51" w:rsidRDefault="0002775A">
      <w:pPr>
        <w:pStyle w:val="P68B1DB1-Normal3"/>
        <w:spacing w:before="120" w:after="120" w:line="240" w:lineRule="auto"/>
        <w:jc w:val="both"/>
        <w:rPr>
          <w:noProof/>
        </w:rPr>
      </w:pPr>
      <w:r>
        <w:rPr>
          <w:noProof/>
        </w:rPr>
        <w:t xml:space="preserve">Syftet med denna åtgärd är att köpa in digital radiologisk utrustning till KB Dubravas kliniska institut för diagnos- och interventionsradiologi, som tillhandahåller tjänster till mer än 350 000 patienter. På det hela taget förväntas denna investering avsevärt förbättra hälso- och sjukvårdens kvalitet och tillgänglighet för alla patientkategorier, förbättra diagnosen, behandlingen och övervakningen efter behandlingen, och därmed de kliniska resultaten för alla patientgrupper, även för patienter som behöver mest komplex behandling på kliniker och i sjukhusets organisatoriska enheter. Till följd av detta förväntas sjukhusvistelsens längd, komplikationer, sjukhusinläggning på intensivvårdsavdelningar, behandlingskostnader och väntelistor minska. Investeringen ska omfatta inköp av toppmodern utrustning.  </w:t>
      </w:r>
    </w:p>
    <w:p w14:paraId="6F1CB388" w14:textId="77777777" w:rsidR="003A3D51" w:rsidRDefault="0002775A">
      <w:pPr>
        <w:pStyle w:val="P68B1DB1-Normal3"/>
        <w:spacing w:before="120" w:after="120" w:line="240" w:lineRule="auto"/>
        <w:jc w:val="both"/>
        <w:rPr>
          <w:noProof/>
        </w:rPr>
      </w:pPr>
      <w:r>
        <w:rPr>
          <w:noProof/>
        </w:rPr>
        <w:t>Åtgärden ska vara slutförd senast den 30 juni 2023.</w:t>
      </w:r>
    </w:p>
    <w:p w14:paraId="3B205068" w14:textId="77777777" w:rsidR="003A3D51" w:rsidRDefault="0002775A">
      <w:pPr>
        <w:pStyle w:val="P68B1DB1-Normal5"/>
        <w:spacing w:before="120" w:after="120" w:line="240" w:lineRule="auto"/>
        <w:ind w:left="850"/>
        <w:jc w:val="both"/>
        <w:rPr>
          <w:noProof/>
        </w:rPr>
      </w:pPr>
      <w:r>
        <w:rPr>
          <w:noProof/>
        </w:rPr>
        <w:t xml:space="preserve">Investering C5.1 R1 – I7 – Matsning av nya anläggningar för dagsjukhus och endagskirurgi och integrerad akutmottagning på sjukhus och anpassning av neurokirurgi vid kliniksjukhuset ”KBC Sestre Milosrdnice” </w:t>
      </w:r>
    </w:p>
    <w:p w14:paraId="61B9841D" w14:textId="77777777" w:rsidR="003A3D51" w:rsidRDefault="0002775A">
      <w:pPr>
        <w:pStyle w:val="P68B1DB1-Normal3"/>
        <w:spacing w:before="120" w:after="120" w:line="240" w:lineRule="auto"/>
        <w:jc w:val="both"/>
        <w:rPr>
          <w:noProof/>
        </w:rPr>
      </w:pPr>
      <w:r>
        <w:rPr>
          <w:noProof/>
        </w:rPr>
        <w:t xml:space="preserve">Syftet med denna åtgärd är att öka kapaciteten för behandling av patienter med minst 22 % jämfört med antalet patienter som för närvarande behandlas. Investeringen förväntas avsevärt förbättra kvaliteten på hälso- och sjukvården för omkring 700 000 patienter som behandlas av KBC, varav omkring 300 000 är akuta och omkring 40 000 patienter behandlas på dagsjukhus och kirurgi. Åtgärden ska utrusta nya inrättningar för dagkirurgi och endagskirurgi och integrerad akutvård på sjukhus och anpassa neurokirurgiska kliniken i Sestre Milosrdnice (KBC). </w:t>
      </w:r>
    </w:p>
    <w:p w14:paraId="250E40AD" w14:textId="35ED3D4D" w:rsidR="003A3D51" w:rsidRDefault="0002775A">
      <w:pPr>
        <w:pStyle w:val="P68B1DB1-Normal3"/>
        <w:spacing w:before="120" w:after="120" w:line="240" w:lineRule="auto"/>
        <w:jc w:val="both"/>
        <w:rPr>
          <w:noProof/>
        </w:rPr>
      </w:pPr>
      <w:r>
        <w:rPr>
          <w:noProof/>
        </w:rPr>
        <w:t>Åtgärden ska vara slutförd senast den 31 mars 2024.</w:t>
      </w:r>
    </w:p>
    <w:p w14:paraId="2ED3F528" w14:textId="77777777" w:rsidR="003A3D51" w:rsidRDefault="0002775A">
      <w:pPr>
        <w:pStyle w:val="P68B1DB1-Normal5"/>
        <w:spacing w:before="120" w:after="120" w:line="240" w:lineRule="auto"/>
        <w:ind w:left="850"/>
        <w:jc w:val="both"/>
        <w:rPr>
          <w:noProof/>
        </w:rPr>
      </w:pPr>
      <w:r>
        <w:rPr>
          <w:noProof/>
        </w:rPr>
        <w:t>Investering C5.1 R1 – I8 – Förbehandling och behandling av patienter med farmakoresistent epilepsi på allmänna sjukhuset ”KB Dubrava”</w:t>
      </w:r>
    </w:p>
    <w:p w14:paraId="1470BDE0" w14:textId="77777777" w:rsidR="003A3D51" w:rsidRDefault="0002775A">
      <w:pPr>
        <w:pStyle w:val="P68B1DB1-Normal3"/>
        <w:spacing w:before="120" w:after="120" w:line="240" w:lineRule="auto"/>
        <w:jc w:val="both"/>
        <w:rPr>
          <w:noProof/>
        </w:rPr>
      </w:pPr>
      <w:r>
        <w:rPr>
          <w:noProof/>
        </w:rPr>
        <w:t xml:space="preserve">Syftet med denna åtgärd är att vidareutveckla institutet för neurologi KB Dubrava samt preoperativa metoder och behandlingar av epilepsi hos farmakoresistenta patienter. Investeringen ska omfatta förvärv av toppmodern utrustning och anpassning av rumslig kapacitet. </w:t>
      </w:r>
    </w:p>
    <w:p w14:paraId="4430F2A5" w14:textId="77777777" w:rsidR="003A3D51" w:rsidRDefault="0002775A">
      <w:pPr>
        <w:pStyle w:val="P68B1DB1-Normal3"/>
        <w:spacing w:before="120" w:after="120" w:line="240" w:lineRule="auto"/>
        <w:jc w:val="both"/>
        <w:rPr>
          <w:noProof/>
        </w:rPr>
      </w:pPr>
      <w:r>
        <w:rPr>
          <w:noProof/>
        </w:rPr>
        <w:t>Åtgärden ska vara slutförd senast den 30 juni 2023.</w:t>
      </w:r>
    </w:p>
    <w:p w14:paraId="24D98D98" w14:textId="77777777" w:rsidR="003A3D51" w:rsidRDefault="0002775A">
      <w:pPr>
        <w:pStyle w:val="P68B1DB1-Normal5"/>
        <w:spacing w:before="120" w:after="120" w:line="240" w:lineRule="auto"/>
        <w:ind w:left="850"/>
        <w:jc w:val="both"/>
        <w:rPr>
          <w:noProof/>
        </w:rPr>
      </w:pPr>
      <w:r>
        <w:rPr>
          <w:noProof/>
        </w:rPr>
        <w:t>Investering C5.1 R1 – I9 – Utveckling av det kliniska sjukhuscentrumet ”KBC Zagreb”, steg III – utrustning med medicinsk och icke-medicinsk utrustning</w:t>
      </w:r>
    </w:p>
    <w:p w14:paraId="4919B80A" w14:textId="77777777" w:rsidR="003A3D51" w:rsidRDefault="0002775A">
      <w:pPr>
        <w:pStyle w:val="P68B1DB1-Normal3"/>
        <w:spacing w:before="120" w:after="120" w:line="240" w:lineRule="auto"/>
        <w:jc w:val="both"/>
        <w:rPr>
          <w:noProof/>
        </w:rPr>
      </w:pPr>
      <w:r>
        <w:rPr>
          <w:noProof/>
        </w:rPr>
        <w:t xml:space="preserve">Syftet med denna åtgärd är att säkerställa att de nödvändiga tekniska förutsättningarna finns på plats för att optimera genomförandet av befintliga vårdformer och utvecklingen av nya tjänster, möjliggöra tillämpning av modern teknik och öka tillgången till vård på tertiär och kvartär nivå inom hälso- och sjukvården. Som en del av utvecklingsprojektet </w:t>
      </w:r>
      <w:r>
        <w:rPr>
          <w:noProof/>
          <w:u w:val="single"/>
        </w:rPr>
        <w:t>för det kliniska sjukhuscentrumet</w:t>
      </w:r>
      <w:r>
        <w:rPr>
          <w:noProof/>
        </w:rPr>
        <w:t>i Zagreb ska investeringen köpa in medicinsk och icke-medicinsk utrustning. Åtgärden ska vara slutförd senast den 31 mars 2026.</w:t>
      </w:r>
    </w:p>
    <w:p w14:paraId="7AB63DD5" w14:textId="77777777" w:rsidR="003A3D51" w:rsidRDefault="0002775A">
      <w:pPr>
        <w:pStyle w:val="P68B1DB1-Normal5"/>
        <w:spacing w:before="120" w:after="120" w:line="240" w:lineRule="auto"/>
        <w:ind w:left="850"/>
        <w:jc w:val="both"/>
        <w:rPr>
          <w:noProof/>
        </w:rPr>
      </w:pPr>
      <w:r>
        <w:rPr>
          <w:noProof/>
        </w:rPr>
        <w:t>Reform C5.1 R2 – Införande av en ny omsorgsmodell för viktiga hälsoutmaningar</w:t>
      </w:r>
    </w:p>
    <w:p w14:paraId="3C6F0B4A" w14:textId="77777777" w:rsidR="003A3D51" w:rsidRDefault="0002775A">
      <w:pPr>
        <w:pStyle w:val="P68B1DB1-Normal3"/>
        <w:spacing w:before="120" w:after="120" w:line="240" w:lineRule="auto"/>
        <w:jc w:val="both"/>
        <w:rPr>
          <w:noProof/>
        </w:rPr>
      </w:pPr>
      <w:r>
        <w:rPr>
          <w:noProof/>
        </w:rPr>
        <w:t xml:space="preserve">Syftet med denna åtgärd är att förbättra och harmonisera kvaliteten på hälso- och sjukvårdstjänster genom att ta fram integrerade kliniska e-riktlinjer. Systemet ska ha en väldefinierad organisation av behandlingen genom ett nationellt nätverk, även centrala kliniska riktlinjer och patientspårning som ska fastställa de konkreta stegen i behandlingen och godtagbara väntetider. </w:t>
      </w:r>
    </w:p>
    <w:p w14:paraId="0B10F9EA" w14:textId="77777777" w:rsidR="003A3D51" w:rsidRDefault="0002775A">
      <w:pPr>
        <w:pStyle w:val="P68B1DB1-Normal3"/>
        <w:spacing w:before="120" w:after="120" w:line="240" w:lineRule="auto"/>
        <w:jc w:val="both"/>
        <w:rPr>
          <w:noProof/>
        </w:rPr>
      </w:pPr>
      <w:r>
        <w:rPr>
          <w:noProof/>
        </w:rPr>
        <w:t>Reformen ska vara genomförd senast den 30 september 2025.</w:t>
      </w:r>
    </w:p>
    <w:p w14:paraId="25504C4B" w14:textId="77777777" w:rsidR="003A3D51" w:rsidRDefault="0002775A">
      <w:pPr>
        <w:pStyle w:val="P68B1DB1-Normal5"/>
        <w:spacing w:before="120" w:after="120" w:line="240" w:lineRule="auto"/>
        <w:ind w:left="850"/>
        <w:jc w:val="both"/>
        <w:rPr>
          <w:noProof/>
        </w:rPr>
      </w:pPr>
      <w:r>
        <w:rPr>
          <w:noProof/>
        </w:rPr>
        <w:t>Investering (C5.1 R2-I1) – Inköp av utrustning för förebyggande, diagnos och behandling av cancerpatienter</w:t>
      </w:r>
    </w:p>
    <w:p w14:paraId="148B9B43" w14:textId="67DF3BE3" w:rsidR="003A3D51" w:rsidRDefault="0002775A">
      <w:pPr>
        <w:pStyle w:val="P68B1DB1-Normal3"/>
        <w:spacing w:before="120" w:after="120" w:line="240" w:lineRule="auto"/>
        <w:jc w:val="both"/>
        <w:rPr>
          <w:noProof/>
        </w:rPr>
      </w:pPr>
      <w:r>
        <w:rPr>
          <w:noProof/>
        </w:rPr>
        <w:t>Syftet med denna åtgärd är att säkerställa optimal behandling utan dröjsmål för alla onkologiska patienter i Kroatien, med hjälp av modern strålbehandlingsteknik för att optimera användningen av utrustning och kontrollera strålbehandlingsprocessens kvalitet, vilket förbättrar kvaliteten på tjänsterna och förbättrar hälsoresultaten vid behandling av onkologiska patienter. Åtgärden omfattar följande åtgärder som ska genomföras: Konstruktion av åtta bunkrar för linjära acceleratorer), utrustning för radioterapi, 17 linjära VMAT-acceleratorer, fyra linjära SBRT-acceleratorer, fyra HDR-brachyterapi, nio CT-simulatorer, nätverksutrustning för radioterapi, dosimetriutrustning, fixeringsutrustning.</w:t>
      </w:r>
    </w:p>
    <w:p w14:paraId="4AD00DCA" w14:textId="77777777" w:rsidR="003A3D51" w:rsidRDefault="0002775A">
      <w:pPr>
        <w:pStyle w:val="P68B1DB1-Normal3"/>
        <w:spacing w:before="120" w:after="120" w:line="240" w:lineRule="auto"/>
        <w:jc w:val="both"/>
        <w:rPr>
          <w:noProof/>
        </w:rPr>
      </w:pPr>
      <w:r>
        <w:rPr>
          <w:noProof/>
        </w:rPr>
        <w:t>Åtgärden ska vara slutförd senast den 31 december 2025.</w:t>
      </w:r>
    </w:p>
    <w:p w14:paraId="2AADDDEB" w14:textId="77777777" w:rsidR="003A3D51" w:rsidRDefault="0002775A">
      <w:pPr>
        <w:pStyle w:val="P68B1DB1-Normal5"/>
        <w:spacing w:before="120" w:after="120" w:line="240" w:lineRule="auto"/>
        <w:ind w:left="850"/>
        <w:jc w:val="both"/>
        <w:rPr>
          <w:noProof/>
        </w:rPr>
      </w:pPr>
      <w:r>
        <w:rPr>
          <w:noProof/>
        </w:rPr>
        <w:t>Investeringar (C5.1 R2-I2) – Förvärv och införande av utrustning för inrättande av det nationella onkologiska nätverket och den nationella onkologiska databasen</w:t>
      </w:r>
    </w:p>
    <w:p w14:paraId="6B274A8C" w14:textId="77777777" w:rsidR="003A3D51" w:rsidRDefault="0002775A">
      <w:pPr>
        <w:pStyle w:val="P68B1DB1-Normal3"/>
        <w:spacing w:before="120" w:after="120" w:line="240" w:lineRule="auto"/>
        <w:jc w:val="both"/>
        <w:rPr>
          <w:noProof/>
        </w:rPr>
      </w:pPr>
      <w:r>
        <w:rPr>
          <w:noProof/>
        </w:rPr>
        <w:t>Syftet med denna åtgärd är att skapa ett nationellt nätverk för den nationella onkologiska databasen, som kopplar samman och registrerar uppgifter från sjukhusinformationssystem och andra system automatiskt, kompatibelt och parallellt med sjukhusens it-system, vilket innebär en extra börda för hälso- och sjukvårdspersonal. Dessutom ska den inrätta en enda enhetlig it-plattform för sammankoppling, övervakning och optimal behandling av onkologiska patienter, möjliggöra planering av organisatoriska och strukturella förändringar, identifiera risker och grunden för att genomföra ytterligare steg i strategin, inbegripet inrättandet av ett nätverk för strålbehandling. I det omfattande nationella nätverket av onkologiska data på it-plattformen ska alla patienter få onkologisk vård enligt riktlinjer och en enda/kompletterande databas om onkologiska vårdens kvalitet.</w:t>
      </w:r>
    </w:p>
    <w:p w14:paraId="5D63D651" w14:textId="77777777" w:rsidR="003A3D51" w:rsidRDefault="0002775A">
      <w:pPr>
        <w:pStyle w:val="P68B1DB1-Normal3"/>
        <w:spacing w:before="120" w:after="120" w:line="240" w:lineRule="auto"/>
        <w:jc w:val="both"/>
        <w:rPr>
          <w:noProof/>
        </w:rPr>
      </w:pPr>
      <w:r>
        <w:rPr>
          <w:noProof/>
        </w:rPr>
        <w:t>Åtgärden ska vara slutförd senast den 31 december 2025.</w:t>
      </w:r>
    </w:p>
    <w:p w14:paraId="5A21CC33" w14:textId="77777777" w:rsidR="003A3D51" w:rsidRDefault="0002775A">
      <w:pPr>
        <w:pStyle w:val="P68B1DB1-Normal5"/>
        <w:spacing w:before="120" w:after="120" w:line="240" w:lineRule="auto"/>
        <w:ind w:left="850"/>
        <w:jc w:val="both"/>
        <w:rPr>
          <w:noProof/>
        </w:rPr>
      </w:pPr>
      <w:r>
        <w:rPr>
          <w:noProof/>
        </w:rPr>
        <w:t>Reform C5.1 R3 – Införande av ett system för strategisk förvaltning av mänskliga resurser inom hälso- och sjukvård</w:t>
      </w:r>
    </w:p>
    <w:p w14:paraId="5DA39425" w14:textId="77777777" w:rsidR="003A3D51" w:rsidRDefault="0002775A">
      <w:pPr>
        <w:pStyle w:val="P68B1DB1-Normal3"/>
        <w:spacing w:before="120" w:after="120" w:line="240" w:lineRule="auto"/>
        <w:jc w:val="both"/>
        <w:rPr>
          <w:noProof/>
        </w:rPr>
      </w:pPr>
      <w:r>
        <w:rPr>
          <w:noProof/>
        </w:rPr>
        <w:t xml:space="preserve">Denna reform syftar till att öka medborgarnas tillgång till hälso- och sjukvård, särskilt på landsbygden och i mindre tätbefolkade områden, samtidigt som akutmedicinens effektivitet förbättras och hälso- och sjukvårdssystemet blir effektivt av hög kvalitet. För att uppnå detta mål ska specialistutbildning tillhandahållas för hälso- och sjukvårdspersonal, särskilt läkare på primärvårdsnivå samt sjuksköterskor och tekniker inom akutmedicin, för att på så sätt uppnå en balanserad geografisk fördelning av hälso- och sjukvårdspersonal och tillräcklig sysselsättning i nätverket för offentliga hälso- och sjukvårdstjänster. Enligt reformen ska dessutom den nationella hälsoutvecklingsplanen för 2021–2027 antas, som ska </w:t>
      </w:r>
    </w:p>
    <w:p w14:paraId="6777448D" w14:textId="77777777" w:rsidR="003A3D51" w:rsidRDefault="0002775A">
      <w:pPr>
        <w:pStyle w:val="P68B1DB1-Normal3"/>
        <w:spacing w:before="120" w:after="120" w:line="240" w:lineRule="auto"/>
        <w:ind w:left="850"/>
        <w:jc w:val="both"/>
        <w:rPr>
          <w:noProof/>
        </w:rPr>
      </w:pPr>
      <w:r>
        <w:rPr>
          <w:noProof/>
        </w:rPr>
        <w:t>— Definiera utvecklingsbehoven för att uppnå ett flexibelt, effektivt och holistiskt förvaltat hälso- och sjukvårdssystem,</w:t>
      </w:r>
    </w:p>
    <w:p w14:paraId="658DD1C0" w14:textId="77777777" w:rsidR="003A3D51" w:rsidRDefault="0002775A">
      <w:pPr>
        <w:pStyle w:val="P68B1DB1-Normal3"/>
        <w:spacing w:before="120" w:after="120" w:line="240" w:lineRule="auto"/>
        <w:ind w:left="850"/>
        <w:jc w:val="both"/>
        <w:rPr>
          <w:noProof/>
        </w:rPr>
      </w:pPr>
      <w:r>
        <w:rPr>
          <w:noProof/>
        </w:rPr>
        <w:t>— Ange åtgärder för framgångsrikt främjande av hälsa och förebyggande av sjukdomar,</w:t>
      </w:r>
    </w:p>
    <w:p w14:paraId="0CB4AE9C" w14:textId="77777777" w:rsidR="003A3D51" w:rsidRDefault="0002775A">
      <w:pPr>
        <w:pStyle w:val="P68B1DB1-Normal3"/>
        <w:spacing w:before="120" w:after="120" w:line="240" w:lineRule="auto"/>
        <w:ind w:left="850"/>
        <w:jc w:val="both"/>
        <w:rPr>
          <w:noProof/>
        </w:rPr>
      </w:pPr>
      <w:r>
        <w:rPr>
          <w:noProof/>
        </w:rPr>
        <w:t>— Införa samordning av vårdgivare och omvandling av behandlings- och rehabiliteringsmodeller till aktiv hantering av vårdprocesser på alla stadier och nivåer.</w:t>
      </w:r>
    </w:p>
    <w:p w14:paraId="0A9B53D1" w14:textId="77777777" w:rsidR="003A3D51" w:rsidRDefault="0002775A">
      <w:pPr>
        <w:pStyle w:val="P68B1DB1-Normal3"/>
        <w:spacing w:before="120" w:after="120" w:line="240" w:lineRule="auto"/>
        <w:ind w:left="850"/>
        <w:jc w:val="both"/>
        <w:rPr>
          <w:noProof/>
        </w:rPr>
      </w:pPr>
      <w:r>
        <w:rPr>
          <w:noProof/>
        </w:rPr>
        <w:t>Definiera integrering av hälso- och sjukvårdstjänster och social omsorg och utveckling av integrerade modeller för långvarig vård och omsorg,</w:t>
      </w:r>
    </w:p>
    <w:p w14:paraId="03EB34CC" w14:textId="77777777" w:rsidR="003A3D51" w:rsidRDefault="0002775A">
      <w:pPr>
        <w:pStyle w:val="P68B1DB1-Normal3"/>
        <w:spacing w:before="120" w:after="120" w:line="240" w:lineRule="auto"/>
        <w:ind w:left="850"/>
        <w:jc w:val="both"/>
        <w:rPr>
          <w:noProof/>
        </w:rPr>
      </w:pPr>
      <w:r>
        <w:rPr>
          <w:noProof/>
        </w:rPr>
        <w:t>— Införa åtgärder för att kontrollera och förbättra kvaliteten på hälso- och sjukvården och patientsäkerheten,</w:t>
      </w:r>
    </w:p>
    <w:p w14:paraId="71552E9A" w14:textId="77777777" w:rsidR="003A3D51" w:rsidRDefault="0002775A">
      <w:pPr>
        <w:pStyle w:val="P68B1DB1-Normal3"/>
        <w:spacing w:before="120" w:after="120" w:line="240" w:lineRule="auto"/>
        <w:ind w:left="850"/>
        <w:jc w:val="both"/>
        <w:rPr>
          <w:noProof/>
        </w:rPr>
      </w:pPr>
      <w:r>
        <w:rPr>
          <w:noProof/>
        </w:rPr>
        <w:t xml:space="preserve">— Förbättra bestämmelserna om personalförvaltning. </w:t>
      </w:r>
    </w:p>
    <w:p w14:paraId="6BE9C87F" w14:textId="77777777" w:rsidR="003A3D51" w:rsidRDefault="0002775A">
      <w:pPr>
        <w:pStyle w:val="P68B1DB1-Normal3"/>
        <w:spacing w:before="120" w:after="120" w:line="240" w:lineRule="auto"/>
        <w:ind w:left="850"/>
        <w:jc w:val="both"/>
        <w:rPr>
          <w:noProof/>
        </w:rPr>
      </w:pPr>
      <w:r>
        <w:rPr>
          <w:noProof/>
        </w:rPr>
        <w:t xml:space="preserve">— Införa särskilda mål som indirekt bidrar till att uppnå det strategiska mål som anges i den nationella reformstrategin senast 2030. Ökningen av den förväntade livslängden för friska år ska bidra genom följande: </w:t>
      </w:r>
    </w:p>
    <w:p w14:paraId="02BDA867" w14:textId="77777777" w:rsidR="003A3D51" w:rsidRDefault="0002775A">
      <w:pPr>
        <w:pStyle w:val="P68B1DB1-Normal3"/>
        <w:spacing w:before="120" w:after="120" w:line="240" w:lineRule="auto"/>
        <w:ind w:left="850"/>
        <w:jc w:val="both"/>
        <w:rPr>
          <w:noProof/>
        </w:rPr>
      </w:pPr>
      <w:r>
        <w:rPr>
          <w:noProof/>
        </w:rPr>
        <w:t>Främja hälsosamma livsstilar och förebyggande av sjukdomar som är ett av de största folkhälsoproblemen.</w:t>
      </w:r>
    </w:p>
    <w:p w14:paraId="40F21910" w14:textId="77777777" w:rsidR="003A3D51" w:rsidRDefault="0002775A">
      <w:pPr>
        <w:pStyle w:val="P68B1DB1-Normal3"/>
        <w:spacing w:before="120" w:after="120" w:line="240" w:lineRule="auto"/>
        <w:ind w:left="850"/>
        <w:jc w:val="both"/>
        <w:rPr>
          <w:noProof/>
        </w:rPr>
      </w:pPr>
      <w:r>
        <w:rPr>
          <w:noProof/>
        </w:rPr>
        <w:t xml:space="preserve">Förbättra kvaliteten på hälso- och sjukvården genom förbättrad effektivitet, säkerhet, tillgänglighet och funktionell integrering av alla nivåer och delar av hälso- och sjukvården. </w:t>
      </w:r>
    </w:p>
    <w:p w14:paraId="22B843A6" w14:textId="77777777" w:rsidR="003A3D51" w:rsidRDefault="0002775A">
      <w:pPr>
        <w:pStyle w:val="P68B1DB1-Normal3"/>
        <w:spacing w:before="120" w:after="120" w:line="240" w:lineRule="auto"/>
        <w:ind w:left="850"/>
        <w:jc w:val="both"/>
        <w:rPr>
          <w:noProof/>
        </w:rPr>
      </w:pPr>
      <w:r>
        <w:rPr>
          <w:noProof/>
        </w:rPr>
        <w:t>— Införande av den nya vårdmodellen för viktiga hälsoutmaningar som hjärt- och kärlsjukdomar, onkologiska och sällsynta sjukdomar samt diabetes för att förlänga och förbättra livskvaliteten.</w:t>
      </w:r>
    </w:p>
    <w:p w14:paraId="1207F0B4" w14:textId="77777777" w:rsidR="003A3D51" w:rsidRDefault="0002775A">
      <w:pPr>
        <w:pStyle w:val="P68B1DB1-Normal3"/>
        <w:spacing w:before="120" w:after="120" w:line="240" w:lineRule="auto"/>
        <w:ind w:left="850"/>
        <w:jc w:val="both"/>
        <w:rPr>
          <w:noProof/>
        </w:rPr>
      </w:pPr>
      <w:r>
        <w:rPr>
          <w:noProof/>
        </w:rPr>
        <w:t>— Göra hälso- och sjukvårdssystemet till en önskvärd anställningsort genom strategisk styrning och på så sätt säkerställa ett optimalt antal och fördelning av anställda i hälso- och sjukvårdssystemet,</w:t>
      </w:r>
    </w:p>
    <w:p w14:paraId="55A9E21C" w14:textId="77777777" w:rsidR="003A3D51" w:rsidRDefault="0002775A">
      <w:pPr>
        <w:pStyle w:val="P68B1DB1-Normal3"/>
        <w:spacing w:before="120" w:after="240" w:line="240" w:lineRule="auto"/>
        <w:ind w:left="851"/>
        <w:jc w:val="both"/>
        <w:rPr>
          <w:noProof/>
        </w:rPr>
      </w:pPr>
      <w:r>
        <w:rPr>
          <w:noProof/>
        </w:rPr>
        <w:t>Förbättra finansierings- och förvaltningsmodellen för hälso- och sjukvårdssystemet.</w:t>
      </w:r>
    </w:p>
    <w:p w14:paraId="71543944" w14:textId="77777777" w:rsidR="003A3D51" w:rsidRDefault="0002775A">
      <w:pPr>
        <w:pStyle w:val="P68B1DB1-Normal3"/>
        <w:spacing w:before="120" w:after="120" w:line="240" w:lineRule="auto"/>
        <w:jc w:val="both"/>
        <w:rPr>
          <w:noProof/>
        </w:rPr>
      </w:pPr>
      <w:r>
        <w:rPr>
          <w:noProof/>
        </w:rPr>
        <w:t>Reformen ska vara genomförd senast den 30 september 2021.</w:t>
      </w:r>
    </w:p>
    <w:p w14:paraId="4725D186" w14:textId="77777777" w:rsidR="003A3D51" w:rsidRDefault="0002775A">
      <w:pPr>
        <w:pStyle w:val="P68B1DB1-Normal5"/>
        <w:spacing w:before="120" w:after="120" w:line="240" w:lineRule="auto"/>
        <w:ind w:left="850"/>
        <w:jc w:val="both"/>
        <w:rPr>
          <w:noProof/>
        </w:rPr>
      </w:pPr>
      <w:r>
        <w:rPr>
          <w:noProof/>
        </w:rPr>
        <w:t>Investering C5.1 R3 – I1 – Centralfinansiering för specialiseringar</w:t>
      </w:r>
    </w:p>
    <w:p w14:paraId="10E3EA35" w14:textId="07DFBEF0" w:rsidR="003A3D51" w:rsidRDefault="0002775A">
      <w:pPr>
        <w:pStyle w:val="P68B1DB1-Normal3"/>
        <w:spacing w:before="120" w:after="120" w:line="240" w:lineRule="auto"/>
        <w:jc w:val="both"/>
        <w:rPr>
          <w:noProof/>
        </w:rPr>
      </w:pPr>
      <w:r>
        <w:rPr>
          <w:noProof/>
        </w:rPr>
        <w:t>Syftet med denna åtgärd är att säkerställa att alla hälso- och sjukvårdstjänster är tillräckligt tillgängliga för allmänheten, även med tanke på bristen på läkare, på grund av läkares pensionering, bristande intresse för att ta emot jobb på landsbygden och i eftersatta miljöer, inklusive öar, och utflödet av unga läkare utomlands. Investeringen ska tillhandahålla specialistutbildning för hälso- och sjukvårdspersonal, läkare på grundläggande primärnivå inom hälso- och sjukvården samt på folkhälsoområdet. Det främsta syftet med denna åtgärd är att åtgärda brister hos specialistläkare, särskilt inom primärvård och folkhälsa, för att uppfylla kraven från nätverket för offentliga hälso- och sjukvårdstjänster.</w:t>
      </w:r>
    </w:p>
    <w:p w14:paraId="129CB5A5" w14:textId="77777777" w:rsidR="003A3D51" w:rsidRDefault="0002775A">
      <w:pPr>
        <w:pStyle w:val="P68B1DB1-Normal3"/>
        <w:spacing w:before="120" w:after="120" w:line="240" w:lineRule="auto"/>
        <w:jc w:val="both"/>
        <w:rPr>
          <w:noProof/>
          <w:u w:val="single"/>
        </w:rPr>
      </w:pPr>
      <w:r>
        <w:rPr>
          <w:noProof/>
        </w:rPr>
        <w:t>Detta system ska utformas så att det säkerställer tilldelning och användning av medel, inbegripet återvinning av medel som anslagits till program för specialistläkarutbildning som ännu inte avslutats. Dessa medel ska omfördelas till de övergripande målen för det centrala finansieringssystemet för specialistläkarutbildning, som särskilt inriktas på att åtgärda bristen på bristfälliga medicinska specialister.</w:t>
      </w:r>
    </w:p>
    <w:p w14:paraId="20F12BDF" w14:textId="73C6822D" w:rsidR="003A3D51" w:rsidRDefault="0002775A">
      <w:pPr>
        <w:pStyle w:val="P68B1DB1-Normal3"/>
        <w:spacing w:before="120" w:after="120" w:line="240" w:lineRule="auto"/>
        <w:jc w:val="both"/>
        <w:rPr>
          <w:noProof/>
        </w:rPr>
      </w:pPr>
      <w:r>
        <w:rPr>
          <w:noProof/>
        </w:rPr>
        <w:t>Åtgärden ska vara slutförd senast den 31 mars 2026.</w:t>
      </w:r>
    </w:p>
    <w:p w14:paraId="5F2CD4F0" w14:textId="77777777" w:rsidR="003A3D51" w:rsidRDefault="0002775A">
      <w:pPr>
        <w:pStyle w:val="P68B1DB1-Normal5"/>
        <w:spacing w:before="120" w:after="120" w:line="240" w:lineRule="auto"/>
        <w:ind w:left="850"/>
        <w:jc w:val="both"/>
        <w:rPr>
          <w:noProof/>
        </w:rPr>
      </w:pPr>
      <w:r>
        <w:rPr>
          <w:noProof/>
        </w:rPr>
        <w:t>Investering C5.1 R3 – I2 – Specialistutbildning för sjuksköterskor och tekniker inom akutmedicin</w:t>
      </w:r>
    </w:p>
    <w:p w14:paraId="55F1ED9A" w14:textId="77777777" w:rsidR="003A3D51" w:rsidRDefault="0002775A">
      <w:pPr>
        <w:pStyle w:val="P68B1DB1-Normal3"/>
        <w:spacing w:before="120" w:after="120" w:line="240" w:lineRule="auto"/>
        <w:jc w:val="both"/>
        <w:rPr>
          <w:noProof/>
        </w:rPr>
      </w:pPr>
      <w:r>
        <w:rPr>
          <w:noProof/>
        </w:rPr>
        <w:t>Syftet med denna åtgärd är att tillhandahålla specialistutbildning för sjuksköterskor och tekniker inom akutmedicin så att de kan arbeta självständigt inom akutsjukvård. Utbildningen ska göra det möjligt att tillhandahålla ett bredare utbud av hälso- och sjukvårdstjänster till akutpatienter, och ett stort antal ingrepp skulle inte kräva direkt närvaro av läkare. Dessutom ska åtgärden göra det möjligt att fasa ut läkare som arbetar inom öppenvården och på så sätt täcka bristen på läkare i sjukhussystemet, vilket leder till en förbättrad rationalisering av det akuta sjukvårdssystemet.</w:t>
      </w:r>
    </w:p>
    <w:p w14:paraId="3D3514CC" w14:textId="4B34D84A" w:rsidR="003A3D51" w:rsidRDefault="0002775A">
      <w:pPr>
        <w:pStyle w:val="P68B1DB1-Normal3"/>
        <w:spacing w:before="120" w:after="120" w:line="240" w:lineRule="auto"/>
        <w:jc w:val="both"/>
        <w:rPr>
          <w:noProof/>
        </w:rPr>
      </w:pPr>
      <w:r>
        <w:rPr>
          <w:noProof/>
        </w:rPr>
        <w:t>Åtgärden ska vara slutförd senast den 30 juni 2026.</w:t>
      </w:r>
    </w:p>
    <w:p w14:paraId="386BA682" w14:textId="77777777" w:rsidR="003A3D51" w:rsidRDefault="0002775A">
      <w:pPr>
        <w:pStyle w:val="P68B1DB1-Normal5"/>
        <w:spacing w:before="120" w:after="120" w:line="240" w:lineRule="auto"/>
        <w:ind w:left="850"/>
        <w:jc w:val="both"/>
        <w:rPr>
          <w:noProof/>
        </w:rPr>
      </w:pPr>
      <w:r>
        <w:rPr>
          <w:noProof/>
        </w:rPr>
        <w:t>Reform C5.1 R4 – Säkerställa hälso- och sjukvårdssystemets finansiella hållbarhet</w:t>
      </w:r>
    </w:p>
    <w:p w14:paraId="14DF9F3F" w14:textId="77777777" w:rsidR="003A3D51" w:rsidRDefault="0002775A">
      <w:pPr>
        <w:pStyle w:val="P68B1DB1-Normal3"/>
        <w:spacing w:before="120" w:after="120" w:line="240" w:lineRule="auto"/>
        <w:jc w:val="both"/>
        <w:rPr>
          <w:noProof/>
        </w:rPr>
      </w:pPr>
      <w:r>
        <w:rPr>
          <w:noProof/>
        </w:rPr>
        <w:t>Syftet med denna åtgärd är att ta itu med den ohållbara ökningen av eftersläpningar, inkonsekventa förfaranden och upphandling av dyra läkemedel i hälso- och sjukvårdssystemet, i syfte att uppnå ett ekonomiskt hållbart offentligt hälso- och sjukvårdssystem genom att tillämpa en enhetlig standard för förberedelse, kontraktering och genomförande av förfaranden som påverkar sätten och möjligheterna att tillhandahålla hälso- och sjukvård. Reformen ska omfatta en översyn av den rättsliga ramen bestående av lagen om hälso- och sjukvård och lagen om obligatorisk sjukförsäkring med följande inslag:</w:t>
      </w:r>
    </w:p>
    <w:p w14:paraId="61ECFB71" w14:textId="77777777" w:rsidR="003A3D51" w:rsidRDefault="0002775A">
      <w:pPr>
        <w:pStyle w:val="P68B1DB1-Normal3"/>
        <w:numPr>
          <w:ilvl w:val="0"/>
          <w:numId w:val="29"/>
        </w:numPr>
        <w:spacing w:before="120" w:after="120" w:line="240" w:lineRule="auto"/>
        <w:jc w:val="both"/>
        <w:rPr>
          <w:noProof/>
        </w:rPr>
      </w:pPr>
      <w:r>
        <w:rPr>
          <w:noProof/>
        </w:rPr>
        <w:t xml:space="preserve">Förbättra organisationen av akutmedicinens verksamhet vid institutet för akutmedicin och utföra operativa uppgifter genom fastställda organisatoriska enheter. </w:t>
      </w:r>
    </w:p>
    <w:p w14:paraId="5B7709CC" w14:textId="77777777" w:rsidR="003A3D51" w:rsidRDefault="0002775A">
      <w:pPr>
        <w:pStyle w:val="P68B1DB1-Normal3"/>
        <w:numPr>
          <w:ilvl w:val="0"/>
          <w:numId w:val="29"/>
        </w:numPr>
        <w:spacing w:before="120" w:after="120" w:line="240" w:lineRule="auto"/>
        <w:jc w:val="both"/>
        <w:rPr>
          <w:noProof/>
        </w:rPr>
      </w:pPr>
      <w:r>
        <w:rPr>
          <w:noProof/>
        </w:rPr>
        <w:t xml:space="preserve">Omorganisation av den offentliga hälso- och sjukvården i syfte att öka dess effektivitet, med särskilt fokus på förebyggande och tidig diagnos, förbättrade insatser i nödsituationer och under särskilda omständigheter (pandemier). </w:t>
      </w:r>
    </w:p>
    <w:p w14:paraId="00BFB898" w14:textId="77777777" w:rsidR="003A3D51" w:rsidRDefault="0002775A">
      <w:pPr>
        <w:pStyle w:val="P68B1DB1-Normal3"/>
        <w:numPr>
          <w:ilvl w:val="0"/>
          <w:numId w:val="29"/>
        </w:numPr>
        <w:spacing w:before="120" w:after="120" w:line="240" w:lineRule="auto"/>
        <w:jc w:val="both"/>
        <w:rPr>
          <w:noProof/>
        </w:rPr>
      </w:pPr>
      <w:r>
        <w:rPr>
          <w:noProof/>
        </w:rPr>
        <w:t>Överföring av rättigheter att förvalta sjukhus från grevskapen och staden Zagreb till Republiken Kroatien, i syfte att uppnå ett effektivt och ändamålsenligt utnyttjande av befintlig kapacitet och förbättra tillgången till och kvaliteten på hälso- och sjukvården genom att omorganisera modellen för sjukhusförvaltning.</w:t>
      </w:r>
    </w:p>
    <w:p w14:paraId="56195EC2" w14:textId="77777777" w:rsidR="003A3D51" w:rsidRDefault="0002775A">
      <w:pPr>
        <w:pStyle w:val="P68B1DB1-Normal3"/>
        <w:numPr>
          <w:ilvl w:val="0"/>
          <w:numId w:val="29"/>
        </w:numPr>
        <w:spacing w:before="120" w:after="120" w:line="240" w:lineRule="auto"/>
        <w:jc w:val="both"/>
        <w:rPr>
          <w:noProof/>
        </w:rPr>
      </w:pPr>
      <w:r>
        <w:rPr>
          <w:noProof/>
        </w:rPr>
        <w:t>Förkorta väntelistorna för enskilda medicinska tjänster, optimera och bättre fördela tillgängliga hälso- och sjukvårdsresurser från den obligatoriska sjukförsäkringen för att uppnå mer tillgängliga hälso- och sjukvårdstjänster för försäkrade.</w:t>
      </w:r>
    </w:p>
    <w:p w14:paraId="26551384" w14:textId="77777777" w:rsidR="003A3D51" w:rsidRDefault="0002775A">
      <w:pPr>
        <w:pStyle w:val="P68B1DB1-Normal3"/>
        <w:numPr>
          <w:ilvl w:val="0"/>
          <w:numId w:val="29"/>
        </w:numPr>
        <w:spacing w:before="120" w:after="120" w:line="240" w:lineRule="auto"/>
        <w:jc w:val="both"/>
        <w:rPr>
          <w:noProof/>
        </w:rPr>
      </w:pPr>
      <w:r>
        <w:rPr>
          <w:noProof/>
        </w:rPr>
        <w:t>Stärka bestämmelserna om ekonomisk förvaltning och samtidigt garantera finansiellt kapital i syfte att uppnå finansiell stabilitet i det offentliga hälso- och sjukvårdssystemet.</w:t>
      </w:r>
    </w:p>
    <w:p w14:paraId="28DA887F" w14:textId="77777777" w:rsidR="003A3D51" w:rsidRDefault="0002775A">
      <w:pPr>
        <w:pStyle w:val="P68B1DB1-Normal3"/>
        <w:numPr>
          <w:ilvl w:val="0"/>
          <w:numId w:val="29"/>
        </w:numPr>
        <w:spacing w:before="120" w:after="120" w:line="240" w:lineRule="auto"/>
        <w:jc w:val="both"/>
        <w:rPr>
          <w:noProof/>
        </w:rPr>
      </w:pPr>
      <w:r>
        <w:rPr>
          <w:noProof/>
        </w:rPr>
        <w:t xml:space="preserve">Lagändringar för att säkerställa att den kroatiska sjukförsäkringskassan (HZZO) fullgör sina betalningsskyldigheter i tid. </w:t>
      </w:r>
    </w:p>
    <w:p w14:paraId="62B325EF" w14:textId="77777777" w:rsidR="003A3D51" w:rsidRDefault="0002775A">
      <w:pPr>
        <w:pStyle w:val="P68B1DB1-Normal3"/>
        <w:spacing w:after="200" w:line="276" w:lineRule="auto"/>
        <w:rPr>
          <w:noProof/>
        </w:rPr>
      </w:pPr>
      <w:r>
        <w:rPr>
          <w:noProof/>
        </w:rPr>
        <w:t xml:space="preserve">Reformen ska uppnå följande mål: </w:t>
      </w:r>
    </w:p>
    <w:p w14:paraId="0DC32BB4" w14:textId="77777777" w:rsidR="003A3D51" w:rsidRDefault="0002775A">
      <w:pPr>
        <w:pStyle w:val="P68B1DB1-Normal3"/>
        <w:numPr>
          <w:ilvl w:val="0"/>
          <w:numId w:val="29"/>
        </w:numPr>
        <w:spacing w:after="200" w:line="276" w:lineRule="auto"/>
        <w:contextualSpacing/>
        <w:rPr>
          <w:rFonts w:ascii="Calibri" w:hAnsi="Calibri" w:cs="Arial"/>
          <w:noProof/>
        </w:rPr>
      </w:pPr>
      <w:r>
        <w:rPr>
          <w:noProof/>
        </w:rPr>
        <w:t>Den funktionella integreringen av minst 8 sjukhus ska slutföras.</w:t>
      </w:r>
    </w:p>
    <w:p w14:paraId="13703EC2" w14:textId="77777777" w:rsidR="003A3D51" w:rsidRDefault="0002775A">
      <w:pPr>
        <w:pStyle w:val="P68B1DB1-Normal3"/>
        <w:numPr>
          <w:ilvl w:val="0"/>
          <w:numId w:val="29"/>
        </w:numPr>
        <w:spacing w:after="200" w:line="276" w:lineRule="auto"/>
        <w:contextualSpacing/>
        <w:rPr>
          <w:rFonts w:ascii="Calibri" w:hAnsi="Calibri" w:cs="Arial"/>
          <w:noProof/>
        </w:rPr>
      </w:pPr>
      <w:r>
        <w:rPr>
          <w:noProof/>
        </w:rPr>
        <w:t xml:space="preserve">Minst 85 % av inköpskategorierna, vilket motsvarar minst 80 % av de offentliga sjukhusens totala utgifter, upphandlades genom ett gemensamt upphandlingsförfarande.  </w:t>
      </w:r>
    </w:p>
    <w:p w14:paraId="54244BF4" w14:textId="77777777" w:rsidR="003A3D51" w:rsidRDefault="0002775A">
      <w:pPr>
        <w:pStyle w:val="P68B1DB1-Normal3"/>
        <w:spacing w:before="120" w:after="120" w:line="240" w:lineRule="auto"/>
        <w:jc w:val="both"/>
        <w:rPr>
          <w:noProof/>
        </w:rPr>
      </w:pPr>
      <w:r>
        <w:rPr>
          <w:noProof/>
        </w:rPr>
        <w:t>Reformen ska vara genomförd senast den 31 december 2023.</w:t>
      </w:r>
    </w:p>
    <w:p w14:paraId="0F82A151" w14:textId="77777777" w:rsidR="003A3D51" w:rsidRDefault="0002775A">
      <w:pPr>
        <w:pStyle w:val="P68B1DB1-Normal5"/>
        <w:spacing w:before="120" w:after="120" w:line="240" w:lineRule="auto"/>
        <w:ind w:left="850"/>
        <w:jc w:val="both"/>
        <w:rPr>
          <w:noProof/>
        </w:rPr>
      </w:pPr>
      <w:r>
        <w:rPr>
          <w:noProof/>
        </w:rPr>
        <w:t>Investering C5.1 R4-I1 – Centrala förberedelser av parenterala förberedelser på 8 kroatiska sjukhus</w:t>
      </w:r>
    </w:p>
    <w:p w14:paraId="21735374" w14:textId="77777777" w:rsidR="003A3D51" w:rsidRDefault="0002775A">
      <w:pPr>
        <w:pStyle w:val="P68B1DB1-Normal3"/>
        <w:spacing w:before="120" w:after="120" w:line="240" w:lineRule="auto"/>
        <w:jc w:val="both"/>
        <w:rPr>
          <w:noProof/>
        </w:rPr>
      </w:pPr>
      <w:r>
        <w:rPr>
          <w:noProof/>
        </w:rPr>
        <w:t>Syftet med denna åtgärd är att införa ett centralt beredningssystem för minst 75 % av de parenterala preparaten på 8 sjukhus, i syfte att sänka kostnaderna och ge högsta möjliga säkerhet vid användning av parenterala läkemedel, förebygga medicineringsfel, ytterligare sjukhusdagar och minska bördan för läkare och sjuksköterskor på sjukhuset. Åtgärden ska säkerställa att läkemedlet kan spåras från förskrivare till patient och automatisering av framtagandet av behandlingsuppgifter som grund för övervakning av behandlingsresultat.</w:t>
      </w:r>
    </w:p>
    <w:p w14:paraId="6055575D" w14:textId="0C30BEAF" w:rsidR="003A3D51" w:rsidRDefault="0002775A">
      <w:pPr>
        <w:pStyle w:val="P68B1DB1-Normal3"/>
        <w:spacing w:before="120" w:after="120" w:line="240" w:lineRule="auto"/>
        <w:jc w:val="both"/>
        <w:rPr>
          <w:noProof/>
        </w:rPr>
      </w:pPr>
      <w:r>
        <w:rPr>
          <w:noProof/>
        </w:rPr>
        <w:t>Åtgärden ska vara slutförd senast den 30 juni 2025.</w:t>
      </w:r>
    </w:p>
    <w:p w14:paraId="45057CE7" w14:textId="77777777" w:rsidR="003A3D51" w:rsidRDefault="0002775A">
      <w:pPr>
        <w:pStyle w:val="P68B1DB1-Normal5"/>
        <w:spacing w:before="120" w:after="120" w:line="240" w:lineRule="auto"/>
        <w:ind w:left="850"/>
        <w:jc w:val="both"/>
        <w:rPr>
          <w:noProof/>
        </w:rPr>
      </w:pPr>
      <w:r>
        <w:rPr>
          <w:noProof/>
        </w:rPr>
        <w:t>Investering C5.1 R4-I2 – Införande av ett system för distribution av enhetsterterapi på 40 kroatiska sjukhus</w:t>
      </w:r>
    </w:p>
    <w:p w14:paraId="7E9575E4" w14:textId="77777777" w:rsidR="003A3D51" w:rsidRDefault="0002775A">
      <w:pPr>
        <w:pStyle w:val="P68B1DB1-Normal3"/>
        <w:spacing w:before="120" w:after="120" w:line="240" w:lineRule="auto"/>
        <w:jc w:val="both"/>
        <w:rPr>
          <w:noProof/>
        </w:rPr>
      </w:pPr>
      <w:r>
        <w:rPr>
          <w:noProof/>
        </w:rPr>
        <w:t>Syftet med denna åtgärd är att bidra till att öka patientsäkerheten, förebygga medicineringsfel, kontrollera läkemedelsförråd och öka patienternas opinionsbildning, vilket leder till bättre övergripande behandlingsresultat. Investeringen ska införa ett system för distribution av enhetsbehandling på 40 sjukhus och förbättra vårdens kvalitet och noggrannhet, med beaktande av allt viktigare farmakoekonomiska resultat som gör det möjligt att upprätthålla och ytterligare förbättra kvaliteten på terapidistributionen.</w:t>
      </w:r>
    </w:p>
    <w:p w14:paraId="46D8B313" w14:textId="77777777" w:rsidR="003A3D51" w:rsidRDefault="0002775A">
      <w:pPr>
        <w:pStyle w:val="P68B1DB1-Normal3"/>
        <w:spacing w:before="120" w:after="120" w:line="240" w:lineRule="auto"/>
        <w:jc w:val="both"/>
        <w:rPr>
          <w:noProof/>
          <w:u w:val="single"/>
        </w:rPr>
      </w:pPr>
      <w:r>
        <w:rPr>
          <w:noProof/>
        </w:rPr>
        <w:t>Åtgärden ska vara slutförd senast den 31 december 2025.</w:t>
      </w:r>
    </w:p>
    <w:p w14:paraId="025AB480" w14:textId="77777777" w:rsidR="003A3D51" w:rsidRDefault="0002775A">
      <w:pPr>
        <w:pStyle w:val="P68B1DB1-Normal5"/>
        <w:spacing w:before="120" w:after="120" w:line="240" w:lineRule="auto"/>
        <w:ind w:left="850"/>
        <w:jc w:val="both"/>
        <w:rPr>
          <w:noProof/>
        </w:rPr>
      </w:pPr>
      <w:r>
        <w:rPr>
          <w:noProof/>
        </w:rPr>
        <w:t>Investering C5.1 R4 – I3 – Digitalisering av läkemedelsspårning genom hälso- och sjukvårdsinstitutioner på sekundär och tertiär nivå</w:t>
      </w:r>
    </w:p>
    <w:p w14:paraId="6CCB48BF" w14:textId="77777777" w:rsidR="003A3D51" w:rsidRDefault="0002775A">
      <w:pPr>
        <w:pStyle w:val="P68B1DB1-Normal3"/>
        <w:spacing w:before="120" w:after="240" w:line="240" w:lineRule="auto"/>
        <w:jc w:val="both"/>
        <w:rPr>
          <w:noProof/>
        </w:rPr>
      </w:pPr>
      <w:r>
        <w:rPr>
          <w:noProof/>
        </w:rPr>
        <w:t xml:space="preserve">Syftet med denna åtgärd är att digitalisera läkemedelsvägen för att göra det möjligt för det kroatiska hälso- och sjukvårdssystemet att övervaka läkemedelsförbrukningen. Denna investering förväntas minska den administrativa och ekonomiska bördan av systemet genom att undanröja behovet av alla pappersdokument som åtföljer läkemedlet och minska de administrativa kostnaderna och användningen av läkemedel inom avdelningarna. Den ska göra det möjligt att ta fram farmakoepidemiologiska data för att stödja mer systematisk planering, övervakning och utvärdering av alla hälsorelaterade processer. </w:t>
      </w:r>
    </w:p>
    <w:p w14:paraId="4DB2B4B5" w14:textId="77777777" w:rsidR="003A3D51" w:rsidRDefault="0002775A">
      <w:pPr>
        <w:pStyle w:val="P68B1DB1-Normal3"/>
        <w:spacing w:before="120" w:after="120" w:line="240" w:lineRule="auto"/>
        <w:jc w:val="both"/>
        <w:rPr>
          <w:noProof/>
        </w:rPr>
      </w:pPr>
      <w:r>
        <w:rPr>
          <w:noProof/>
        </w:rPr>
        <w:t>Åtgärden ska vara slutförd senast den 30 juni 2026.</w:t>
      </w:r>
    </w:p>
    <w:p w14:paraId="5BCB751E" w14:textId="77777777" w:rsidR="003A3D51" w:rsidRDefault="0002775A">
      <w:pPr>
        <w:pStyle w:val="P68B1DB1-Normal5"/>
        <w:spacing w:before="120" w:after="120" w:line="240" w:lineRule="auto"/>
        <w:ind w:left="850"/>
        <w:jc w:val="both"/>
        <w:rPr>
          <w:noProof/>
        </w:rPr>
      </w:pPr>
      <w:r>
        <w:rPr>
          <w:noProof/>
        </w:rPr>
        <w:t>Investering C5.1 R4 – I4 – Utveckling av ett system för övervakning och förebyggande av läkemedelsbrister i Kroatien</w:t>
      </w:r>
    </w:p>
    <w:p w14:paraId="2758F949" w14:textId="77777777" w:rsidR="003A3D51" w:rsidRDefault="0002775A">
      <w:pPr>
        <w:pStyle w:val="P68B1DB1-Normal3"/>
        <w:spacing w:before="120" w:after="120" w:line="240" w:lineRule="auto"/>
        <w:jc w:val="both"/>
        <w:rPr>
          <w:noProof/>
        </w:rPr>
      </w:pPr>
      <w:r>
        <w:rPr>
          <w:noProof/>
        </w:rPr>
        <w:t xml:space="preserve">Syftet med denna åtgärd är att införa en riktad hantering av läkemedelslagerdata som ska möjliggöra effektivare förvärv av läkemedel och säkerställa tillgången till läkemedel till bästa tillgängliga pris. Dessutom ska det genom åtgärden inrättas ett exakt operativt system för övervakning och analys av omsättningen av vissa läkemedel som ska förse Kroatien med en modell och ett verktyg för att förutse och förebygga läkemedelsbrist. </w:t>
      </w:r>
    </w:p>
    <w:p w14:paraId="1B6022E3" w14:textId="77777777" w:rsidR="003A3D51" w:rsidRDefault="0002775A">
      <w:pPr>
        <w:pStyle w:val="P68B1DB1-Normal3"/>
        <w:spacing w:before="120" w:after="120" w:line="240" w:lineRule="auto"/>
        <w:jc w:val="both"/>
        <w:rPr>
          <w:noProof/>
        </w:rPr>
      </w:pPr>
      <w:r>
        <w:rPr>
          <w:noProof/>
        </w:rPr>
        <w:t>Åtgärden ska vara slutförd senast den 30 juni 2025.</w:t>
      </w:r>
    </w:p>
    <w:p w14:paraId="52272F3D" w14:textId="77777777" w:rsidR="003A3D51" w:rsidRDefault="0002775A">
      <w:pPr>
        <w:pStyle w:val="P68B1DB1-Normal5"/>
        <w:spacing w:before="120" w:after="120" w:line="240" w:lineRule="auto"/>
        <w:ind w:left="850"/>
        <w:jc w:val="both"/>
        <w:rPr>
          <w:noProof/>
        </w:rPr>
      </w:pPr>
      <w:r>
        <w:rPr>
          <w:noProof/>
        </w:rPr>
        <w:t xml:space="preserve">Investering C5.1 R4-I5 – Införande av ett system för övervakning av behandlingsresultat för öppenvård med fokus på kroniska patienter på offentliga apotek </w:t>
      </w:r>
    </w:p>
    <w:p w14:paraId="444C09A8" w14:textId="77777777" w:rsidR="003A3D51" w:rsidRDefault="0002775A">
      <w:pPr>
        <w:pStyle w:val="P68B1DB1-Normal3"/>
        <w:spacing w:before="120" w:after="120" w:line="240" w:lineRule="auto"/>
        <w:jc w:val="both"/>
        <w:rPr>
          <w:noProof/>
        </w:rPr>
      </w:pPr>
      <w:r>
        <w:rPr>
          <w:noProof/>
        </w:rPr>
        <w:t xml:space="preserve">Syftet med denna åtgärd är att åstadkomma en mer systematisk planering, övervakning och utvärdering av kostnadseffektiviteten hos investeringar i farmakoterapi för patienter som inte är sjukhus. Systemet för övervakning av resultaten av kroniska patienter som inte är sjukhus på offentliga apotek ska införas. Modellen ska göra det möjligt för det kroatiska hälso- och sjukvårdssystemet att på ett fullständigt och öppet sätt övervaka behandlingsresultaten och förbättra förståelsen för olika resultat av köpta läkemedel. Dessutom ska den göra det möjligt att skapa värdefulla farmakoepidemiologiska databaser. </w:t>
      </w:r>
    </w:p>
    <w:p w14:paraId="341B4B59" w14:textId="620FEF70" w:rsidR="003A3D51" w:rsidRDefault="0002775A">
      <w:pPr>
        <w:pStyle w:val="P68B1DB1-Normal3"/>
        <w:spacing w:before="120" w:after="120" w:line="240" w:lineRule="auto"/>
        <w:jc w:val="both"/>
        <w:rPr>
          <w:noProof/>
        </w:rPr>
      </w:pPr>
      <w:r>
        <w:rPr>
          <w:noProof/>
        </w:rPr>
        <w:t>Åtgärden ska vara slutförd senast den 31 december 2025.</w:t>
      </w:r>
    </w:p>
    <w:p w14:paraId="2A51313C" w14:textId="77777777" w:rsidR="003A3D51" w:rsidRDefault="0002775A">
      <w:pPr>
        <w:pStyle w:val="P68B1DB1-Normal5"/>
        <w:spacing w:before="120" w:after="120" w:line="240" w:lineRule="auto"/>
        <w:ind w:left="850"/>
        <w:jc w:val="both"/>
        <w:rPr>
          <w:noProof/>
        </w:rPr>
      </w:pPr>
      <w:r>
        <w:rPr>
          <w:noProof/>
        </w:rPr>
        <w:t>Reform C5.1 R5 – e-hälsa</w:t>
      </w:r>
    </w:p>
    <w:p w14:paraId="07DAA756" w14:textId="77777777" w:rsidR="003A3D51" w:rsidRDefault="0002775A">
      <w:pPr>
        <w:pStyle w:val="P68B1DB1-Normal3"/>
        <w:spacing w:before="120" w:after="120" w:line="240" w:lineRule="auto"/>
        <w:jc w:val="both"/>
        <w:rPr>
          <w:noProof/>
        </w:rPr>
      </w:pPr>
      <w:r>
        <w:rPr>
          <w:noProof/>
        </w:rPr>
        <w:t>Syftet med denna åtgärd är att förbättra förvaltningskapaciteten genom effektivare användning av data och uppmuntra innovativa hälsolösningar för att förbättra förvaltningen av hälso- och sjukvårdssystemen. Reformen av e-hälsa ska stödja insatser för att säkerställa att alla människor har tillgång till nödvändig hälso- och sjukvård (inbegripet förebyggande, behandling, rehabilitering och palliativ vård) av tillräcklig kvalitet. Reformen ska omfatta antagandet av den nationella telemedicinska ramen i syfte att</w:t>
      </w:r>
    </w:p>
    <w:p w14:paraId="6A524E3B" w14:textId="77777777" w:rsidR="003A3D51" w:rsidRDefault="0002775A">
      <w:pPr>
        <w:pStyle w:val="P68B1DB1-Normal3"/>
        <w:numPr>
          <w:ilvl w:val="0"/>
          <w:numId w:val="29"/>
        </w:numPr>
        <w:spacing w:before="120" w:after="120" w:line="240" w:lineRule="auto"/>
        <w:jc w:val="both"/>
        <w:rPr>
          <w:noProof/>
        </w:rPr>
      </w:pPr>
      <w:r>
        <w:rPr>
          <w:noProof/>
        </w:rPr>
        <w:t>Utvidga omfattningen av telemedicinska tjänster och säkerställa interoperabilitet med det nationella hälso- och sjukvårdsinformationssystemet och lämplighet för framtida gränsöverskridande utbyte.</w:t>
      </w:r>
    </w:p>
    <w:p w14:paraId="72900BEA" w14:textId="77777777" w:rsidR="003A3D51" w:rsidRDefault="0002775A">
      <w:pPr>
        <w:pStyle w:val="P68B1DB1-Normal3"/>
        <w:numPr>
          <w:ilvl w:val="0"/>
          <w:numId w:val="29"/>
        </w:numPr>
        <w:spacing w:before="120" w:after="120" w:line="240" w:lineRule="auto"/>
        <w:jc w:val="both"/>
        <w:rPr>
          <w:noProof/>
        </w:rPr>
      </w:pPr>
      <w:r>
        <w:rPr>
          <w:noProof/>
        </w:rPr>
        <w:t>Överföring av livsviktiga patientparametrar från akutsjukvården (HMS) till den gemensamma akutsjukhustjänsten (OHBP) och fjärrövervakning av öppenpatienter.</w:t>
      </w:r>
    </w:p>
    <w:p w14:paraId="1B261216" w14:textId="77777777" w:rsidR="003A3D51" w:rsidRDefault="0002775A">
      <w:pPr>
        <w:pStyle w:val="P68B1DB1-Normal3"/>
        <w:numPr>
          <w:ilvl w:val="0"/>
          <w:numId w:val="29"/>
        </w:numPr>
        <w:spacing w:before="120" w:after="120" w:line="240" w:lineRule="auto"/>
        <w:jc w:val="both"/>
        <w:rPr>
          <w:noProof/>
        </w:rPr>
      </w:pPr>
      <w:r>
        <w:rPr>
          <w:noProof/>
        </w:rPr>
        <w:t>Inrätta övervakning av akutvården på distans och en handlingsplan för införande av tillsyn och en ram för övervakning av genomförandet, på grundval av dokument situationsanalys, nationell ram och handlingsplan som tillhandahålls inom ramen för det tillhörande instrumentet för tekniskt stöd.</w:t>
      </w:r>
    </w:p>
    <w:p w14:paraId="1E90960F" w14:textId="77777777" w:rsidR="003A3D51" w:rsidRDefault="0002775A">
      <w:pPr>
        <w:pStyle w:val="P68B1DB1-Normal3"/>
        <w:spacing w:before="120" w:after="120" w:line="240" w:lineRule="auto"/>
        <w:jc w:val="both"/>
        <w:rPr>
          <w:noProof/>
        </w:rPr>
      </w:pPr>
      <w:r>
        <w:rPr>
          <w:noProof/>
        </w:rPr>
        <w:t>Det nationella informationshanteringssystemet för e-hälsa ska omfatta följande funktioner:</w:t>
      </w:r>
    </w:p>
    <w:p w14:paraId="2BD97C8A" w14:textId="77777777" w:rsidR="003A3D51" w:rsidRDefault="0002775A">
      <w:pPr>
        <w:pStyle w:val="P68B1DB1-Normal3"/>
        <w:numPr>
          <w:ilvl w:val="0"/>
          <w:numId w:val="29"/>
        </w:numPr>
        <w:spacing w:before="120" w:after="120" w:line="240" w:lineRule="auto"/>
        <w:jc w:val="both"/>
        <w:rPr>
          <w:noProof/>
        </w:rPr>
      </w:pPr>
      <w:r>
        <w:rPr>
          <w:noProof/>
        </w:rPr>
        <w:t>Regelbunden rapportering om befolkningens hälsa som grund för riktade åtgärder för förebyggande och hantering av sjukdomar.</w:t>
      </w:r>
    </w:p>
    <w:p w14:paraId="518B91B9" w14:textId="77777777" w:rsidR="003A3D51" w:rsidRDefault="0002775A">
      <w:pPr>
        <w:pStyle w:val="P68B1DB1-Normal3"/>
        <w:numPr>
          <w:ilvl w:val="0"/>
          <w:numId w:val="29"/>
        </w:numPr>
        <w:spacing w:before="120" w:after="120" w:line="240" w:lineRule="auto"/>
        <w:jc w:val="both"/>
        <w:rPr>
          <w:noProof/>
        </w:rPr>
      </w:pPr>
      <w:r>
        <w:rPr>
          <w:noProof/>
        </w:rPr>
        <w:t>Bygga upp nationell dataanalyskapacitet, inbegripet integrering av vårdgivare och patientgränssnitt med befintlig infrastruktur och praxis.</w:t>
      </w:r>
    </w:p>
    <w:p w14:paraId="72624D02" w14:textId="77777777" w:rsidR="003A3D51" w:rsidRDefault="0002775A">
      <w:pPr>
        <w:pStyle w:val="P68B1DB1-Normal3"/>
        <w:numPr>
          <w:ilvl w:val="0"/>
          <w:numId w:val="29"/>
        </w:numPr>
        <w:spacing w:before="120" w:after="120" w:line="240" w:lineRule="auto"/>
        <w:jc w:val="both"/>
        <w:rPr>
          <w:noProof/>
        </w:rPr>
      </w:pPr>
      <w:r>
        <w:rPr>
          <w:noProof/>
        </w:rPr>
        <w:t>Stärka den nationella kapaciteten för införande av artificiell intelligens och högpresterande datorsystem, öka cybersäkerheten inom e-hälsa och avancerade digitala färdigheter för hälso- och sjukvårdspersonal samt patienter genom avancerad teknik, särskilt artificiell intelligens.</w:t>
      </w:r>
    </w:p>
    <w:p w14:paraId="403127A8" w14:textId="77777777" w:rsidR="003A3D51" w:rsidRDefault="0002775A">
      <w:pPr>
        <w:pStyle w:val="P68B1DB1-Normal3"/>
        <w:numPr>
          <w:ilvl w:val="0"/>
          <w:numId w:val="29"/>
        </w:numPr>
        <w:spacing w:before="120" w:after="120" w:line="240" w:lineRule="auto"/>
        <w:jc w:val="both"/>
        <w:rPr>
          <w:noProof/>
        </w:rPr>
      </w:pPr>
      <w:r>
        <w:rPr>
          <w:noProof/>
        </w:rPr>
        <w:t>Möjliggöra utvecklingen av nya hälso- och sjukvårdstjänster som bygger på anonymt insamlade uppgifter i hälso- och sjukvårdssystemet.</w:t>
      </w:r>
    </w:p>
    <w:p w14:paraId="38CB4175" w14:textId="77777777" w:rsidR="003A3D51" w:rsidRDefault="0002775A">
      <w:pPr>
        <w:pStyle w:val="P68B1DB1-Normal3"/>
        <w:spacing w:before="120" w:after="120" w:line="240" w:lineRule="auto"/>
        <w:jc w:val="both"/>
        <w:rPr>
          <w:noProof/>
        </w:rPr>
      </w:pPr>
      <w:r>
        <w:rPr>
          <w:noProof/>
        </w:rPr>
        <w:t xml:space="preserve">Fem åtföljande investeringar (C5.1 R5 – I1 – I5) ska stödja reformen. </w:t>
      </w:r>
    </w:p>
    <w:p w14:paraId="689AEEC8" w14:textId="77777777" w:rsidR="003A3D51" w:rsidRDefault="0002775A">
      <w:pPr>
        <w:pStyle w:val="P68B1DB1-Normal3"/>
        <w:spacing w:before="120" w:after="120" w:line="240" w:lineRule="auto"/>
        <w:jc w:val="both"/>
        <w:rPr>
          <w:noProof/>
        </w:rPr>
      </w:pPr>
      <w:r>
        <w:rPr>
          <w:noProof/>
        </w:rPr>
        <w:t>Reformen ska vara genomförd senast den 31 december 2022.</w:t>
      </w:r>
    </w:p>
    <w:p w14:paraId="1AC76139" w14:textId="77777777" w:rsidR="003A3D51" w:rsidRDefault="0002775A">
      <w:pPr>
        <w:pStyle w:val="P68B1DB1-Normal5"/>
        <w:spacing w:before="120" w:after="120" w:line="240" w:lineRule="auto"/>
        <w:ind w:left="850"/>
        <w:jc w:val="both"/>
        <w:rPr>
          <w:noProof/>
        </w:rPr>
      </w:pPr>
      <w:r>
        <w:rPr>
          <w:noProof/>
        </w:rPr>
        <w:t>Investering C5.1 R5-I1 – Digital integration av operationssalar och robotkirurgi vid KBC Split</w:t>
      </w:r>
    </w:p>
    <w:p w14:paraId="6DE99721" w14:textId="77777777" w:rsidR="003A3D51" w:rsidRDefault="0002775A">
      <w:pPr>
        <w:pStyle w:val="P68B1DB1-Normal3"/>
        <w:spacing w:before="120" w:after="120" w:line="240" w:lineRule="auto"/>
        <w:jc w:val="both"/>
        <w:rPr>
          <w:noProof/>
        </w:rPr>
      </w:pPr>
      <w:r>
        <w:rPr>
          <w:noProof/>
        </w:rPr>
        <w:t xml:space="preserve">Syftet med denna åtgärd är att göra det möjligt att behandla patienter med maligna sjukdomar på ett heltäckande sätt och att integrera åtgärder för optimering av hälso- och sjukvården. På så sätt förväntas investeringen förbättra hälsoresultaten tack vare införandet av en ny vårdmodell för patienter, särskilt nya avancerade kirurgiska behandlingar. Investeringen gäller digitalisering av operationssalar och inköp av utrustning för avancerad cancerbehandling i </w:t>
      </w:r>
      <w:r>
        <w:rPr>
          <w:noProof/>
          <w:u w:val="single"/>
        </w:rPr>
        <w:t>KBC Split.</w:t>
      </w:r>
    </w:p>
    <w:p w14:paraId="3557BB82" w14:textId="204AB675" w:rsidR="003A3D51" w:rsidRDefault="0002775A">
      <w:pPr>
        <w:pStyle w:val="P68B1DB1-Normal3"/>
        <w:spacing w:before="120" w:after="120" w:line="240" w:lineRule="auto"/>
        <w:jc w:val="both"/>
        <w:rPr>
          <w:noProof/>
        </w:rPr>
      </w:pPr>
      <w:r>
        <w:rPr>
          <w:noProof/>
        </w:rPr>
        <w:t>Åtgärden ska vara slutförd senast den 30 juni 2024.</w:t>
      </w:r>
    </w:p>
    <w:p w14:paraId="6DEA1705" w14:textId="77777777" w:rsidR="003A3D51" w:rsidRDefault="0002775A">
      <w:pPr>
        <w:pStyle w:val="P68B1DB1-Normal5"/>
        <w:spacing w:before="120" w:after="120" w:line="240" w:lineRule="auto"/>
        <w:ind w:left="850"/>
        <w:jc w:val="both"/>
        <w:rPr>
          <w:noProof/>
        </w:rPr>
      </w:pPr>
      <w:r>
        <w:rPr>
          <w:noProof/>
        </w:rPr>
        <w:t>Investering C5.1 R5-I2 – TELECORDIS</w:t>
      </w:r>
    </w:p>
    <w:p w14:paraId="4881FF99" w14:textId="77777777" w:rsidR="003A3D51" w:rsidRDefault="0002775A">
      <w:pPr>
        <w:pStyle w:val="P68B1DB1-Normal3"/>
        <w:spacing w:before="120" w:after="120" w:line="240" w:lineRule="auto"/>
        <w:jc w:val="both"/>
        <w:rPr>
          <w:noProof/>
          <w:u w:val="single"/>
        </w:rPr>
      </w:pPr>
      <w:r>
        <w:rPr>
          <w:noProof/>
        </w:rPr>
        <w:t xml:space="preserve">Syftet med denna åtgärd är att digitalisera kardiologitjänster som ska möjliggöra kontinuerlig övervakning av tillståndet hos patienter, särskilt patienter med kroniska hjärtsjukdomar. Snabba och tillgängliga kardiologiska diagnostjänster på primärvårdsnivå förväntas bidra till snabb upptäckt av hjärthälsoproblem hos patienter, snabb och lämplig behandling och kontinuerlig övervakning av deras hälsotillstånd. Den telemedicinska tjänsten inom ECG Holter ska dessutom ge patienter i avlägsna områden och landsbygdsområden tillgång till specialistvård, vilket avsevärt ökar tillgången till specialiserad hälso- och sjukvård vid lokala öppenvårdscentrum, förbättrar specialisters prestationer, förbättrar patientresultaten, minskar väntelistorna och kostnaderna för att tillhandahålla hälso- och sjukvårdstjänster. Investeringen ska omfatta digitalisering av diagnostiska processer och ska göra det möjligt att dela data med spridda specialiserade centrum. </w:t>
      </w:r>
    </w:p>
    <w:p w14:paraId="3E3766D3" w14:textId="77777777" w:rsidR="003A3D51" w:rsidRDefault="0002775A">
      <w:pPr>
        <w:pStyle w:val="P68B1DB1-Normal3"/>
        <w:spacing w:before="120" w:after="120" w:line="240" w:lineRule="auto"/>
        <w:jc w:val="both"/>
        <w:rPr>
          <w:noProof/>
          <w:u w:val="single"/>
        </w:rPr>
      </w:pPr>
      <w:r>
        <w:rPr>
          <w:noProof/>
        </w:rPr>
        <w:t>Åtgärden ska vara slutförd senast den 31 mars 2023.</w:t>
      </w:r>
    </w:p>
    <w:p w14:paraId="6E70891D" w14:textId="77777777" w:rsidR="003A3D51" w:rsidRDefault="0002775A">
      <w:pPr>
        <w:pStyle w:val="P68B1DB1-Normal5"/>
        <w:spacing w:before="120" w:after="120" w:line="240" w:lineRule="auto"/>
        <w:ind w:left="850"/>
        <w:jc w:val="both"/>
        <w:rPr>
          <w:noProof/>
        </w:rPr>
      </w:pPr>
      <w:r>
        <w:rPr>
          <w:noProof/>
        </w:rPr>
        <w:t>Investering C5.1 R5-I3 – Teletransfusion</w:t>
      </w:r>
    </w:p>
    <w:p w14:paraId="6E48FCEB" w14:textId="77777777" w:rsidR="003A3D51" w:rsidRDefault="0002775A">
      <w:pPr>
        <w:pStyle w:val="P68B1DB1-Normal3"/>
        <w:spacing w:before="120" w:after="120" w:line="240" w:lineRule="auto"/>
        <w:jc w:val="both"/>
        <w:rPr>
          <w:noProof/>
        </w:rPr>
      </w:pPr>
      <w:r>
        <w:rPr>
          <w:noProof/>
        </w:rPr>
        <w:t xml:space="preserve">Syftet med denna åtgärd är att digitalisera transfusionstjänsten och säkerställa tillgången till en jourspecialist för transfusion för alla vårdinrättningar med transfusionsenheter, bidra till en stark utveckling av telemedicintjänsten genom digital överföring av medicinska uppgifter och stärka sammankopplingen mellan alla sjukhusinrättningar och transfusionsenheter. </w:t>
      </w:r>
    </w:p>
    <w:p w14:paraId="011BA60E" w14:textId="77777777" w:rsidR="003A3D51" w:rsidRDefault="0002775A">
      <w:pPr>
        <w:pStyle w:val="P68B1DB1-Normal3"/>
        <w:spacing w:before="120" w:after="120" w:line="240" w:lineRule="auto"/>
        <w:jc w:val="both"/>
        <w:rPr>
          <w:noProof/>
          <w:u w:val="single"/>
        </w:rPr>
      </w:pPr>
      <w:r>
        <w:rPr>
          <w:noProof/>
        </w:rPr>
        <w:t>Åtgärden ska vara slutförd senast den 31 december 2022.</w:t>
      </w:r>
    </w:p>
    <w:p w14:paraId="1CBE231B" w14:textId="77777777" w:rsidR="003A3D51" w:rsidRDefault="0002775A">
      <w:pPr>
        <w:pStyle w:val="P68B1DB1-Normal5"/>
        <w:spacing w:before="120" w:after="120" w:line="240" w:lineRule="auto"/>
        <w:ind w:left="850"/>
        <w:jc w:val="both"/>
        <w:rPr>
          <w:noProof/>
        </w:rPr>
      </w:pPr>
      <w:r>
        <w:rPr>
          <w:noProof/>
        </w:rPr>
        <w:t>Investering C5.1 R5 – I4 – Digitalisering och integrering av operationsrum utrustade med robotkirurgi vid kliniksjukhuset ”KBC Sestre Milosrdnice”</w:t>
      </w:r>
    </w:p>
    <w:p w14:paraId="4555893E" w14:textId="77777777" w:rsidR="003A3D51" w:rsidRDefault="0002775A">
      <w:pPr>
        <w:pStyle w:val="P68B1DB1-Normal3"/>
        <w:spacing w:before="120" w:after="120" w:line="240" w:lineRule="auto"/>
        <w:jc w:val="both"/>
        <w:rPr>
          <w:noProof/>
        </w:rPr>
      </w:pPr>
      <w:r>
        <w:rPr>
          <w:noProof/>
        </w:rPr>
        <w:t xml:space="preserve">Syftet med denna åtgärd är digitalisering av operationssalar och inköp av avancerad behandlingsutrustning för nya moderna kirurgiska behandlingar. Digitalisering och integrering av operationsrum ska ändra planering, dokumentation, lagring och utbyte av uppgifter om patienter och typer av och metoder för operativ behandling. Robotkirurgi ska förbättra kvaliteten på kirurgisk behandling, öka patientsäkerheten, öka insynen i behandlingen, förbättra kostnadskontrollen och hälsoresultaten, stärka och konsolidera viktiga infrastrukturresurser för hälsoinformation, införa ett papperslöst hälso- och sjukvårdssystem och bidra till den digitala omställningen. </w:t>
      </w:r>
    </w:p>
    <w:p w14:paraId="7D7EEAF8" w14:textId="22B853B3" w:rsidR="003A3D51" w:rsidRDefault="0002775A">
      <w:pPr>
        <w:pStyle w:val="P68B1DB1-Normal3"/>
        <w:spacing w:before="120" w:after="120" w:line="240" w:lineRule="auto"/>
        <w:jc w:val="both"/>
        <w:rPr>
          <w:noProof/>
          <w:u w:val="single"/>
        </w:rPr>
      </w:pPr>
      <w:r>
        <w:rPr>
          <w:noProof/>
        </w:rPr>
        <w:t>Åtgärden ska vara slutförd senast den 31 mars 2024.</w:t>
      </w:r>
    </w:p>
    <w:p w14:paraId="090933B8" w14:textId="77777777" w:rsidR="003A3D51" w:rsidRDefault="0002775A">
      <w:pPr>
        <w:pStyle w:val="P68B1DB1-Normal5"/>
        <w:spacing w:before="120" w:after="120" w:line="240" w:lineRule="auto"/>
        <w:ind w:left="850"/>
        <w:jc w:val="both"/>
        <w:rPr>
          <w:noProof/>
        </w:rPr>
      </w:pPr>
      <w:r>
        <w:rPr>
          <w:noProof/>
        </w:rPr>
        <w:t>Investering C5.1 R5 – I5 – Digitalisering och utrustning av diagnosenheter på det kliniska sjukhuset ”KB Merkur”</w:t>
      </w:r>
    </w:p>
    <w:p w14:paraId="4111C4A1" w14:textId="77777777" w:rsidR="003A3D51" w:rsidRDefault="0002775A">
      <w:pPr>
        <w:pStyle w:val="P68B1DB1-Normal3"/>
        <w:spacing w:before="120" w:after="120" w:line="240" w:lineRule="auto"/>
        <w:jc w:val="both"/>
        <w:rPr>
          <w:noProof/>
        </w:rPr>
      </w:pPr>
      <w:r>
        <w:rPr>
          <w:noProof/>
        </w:rPr>
        <w:t>Syftet med denna åtgärd är att digitalisera och utrusta diagnosenheter, underlätta övervakningen av diagnostiska utvecklingsförfaranden och tillhandahålla bättre service till patienterna. Investeringen ska omfatta inköp av toppmodern utrustning.</w:t>
      </w:r>
    </w:p>
    <w:p w14:paraId="61B12376" w14:textId="77777777" w:rsidR="003A3D51" w:rsidRDefault="0002775A">
      <w:pPr>
        <w:pStyle w:val="P68B1DB1-Normal3"/>
        <w:spacing w:before="120" w:after="120" w:line="240" w:lineRule="auto"/>
        <w:jc w:val="both"/>
        <w:rPr>
          <w:noProof/>
        </w:rPr>
      </w:pPr>
      <w:r>
        <w:rPr>
          <w:noProof/>
        </w:rPr>
        <w:t>Åtgärden ska vara slutförd senast den 31 mars 2023.</w:t>
      </w:r>
    </w:p>
    <w:p w14:paraId="63AA50F0" w14:textId="77777777" w:rsidR="003A3D51" w:rsidRDefault="003A3D51">
      <w:pPr>
        <w:spacing w:before="120" w:after="120" w:line="240" w:lineRule="auto"/>
        <w:ind w:left="850"/>
        <w:jc w:val="both"/>
        <w:rPr>
          <w:rFonts w:ascii="Times New Roman" w:eastAsia="Calibri" w:hAnsi="Times New Roman" w:cs="Times New Roman"/>
          <w:noProof/>
          <w:sz w:val="24"/>
          <w:u w:val="single"/>
        </w:rPr>
      </w:pPr>
    </w:p>
    <w:p w14:paraId="17EFF6AF" w14:textId="77777777" w:rsidR="003A3D51" w:rsidRDefault="003A3D51">
      <w:pPr>
        <w:rPr>
          <w:noProof/>
        </w:rPr>
        <w:sectPr w:rsidR="003A3D51" w:rsidSect="00932F3F">
          <w:headerReference w:type="even" r:id="rId354"/>
          <w:headerReference w:type="default" r:id="rId355"/>
          <w:footerReference w:type="even" r:id="rId356"/>
          <w:footerReference w:type="default" r:id="rId357"/>
          <w:headerReference w:type="first" r:id="rId358"/>
          <w:footerReference w:type="first" r:id="rId359"/>
          <w:pgSz w:w="12240" w:h="15840"/>
          <w:pgMar w:top="1440" w:right="1440" w:bottom="1440" w:left="993" w:header="708" w:footer="708" w:gutter="0"/>
          <w:cols w:space="708"/>
          <w:docGrid w:linePitch="360"/>
        </w:sectPr>
      </w:pPr>
    </w:p>
    <w:p w14:paraId="6BD755D6" w14:textId="3EFCE874" w:rsidR="003A3D51" w:rsidRDefault="0002775A">
      <w:pPr>
        <w:pStyle w:val="P68B1DB1-Normal4"/>
        <w:keepNext/>
        <w:tabs>
          <w:tab w:val="num" w:pos="0"/>
        </w:tabs>
        <w:spacing w:before="40" w:after="0"/>
        <w:jc w:val="both"/>
        <w:outlineLvl w:val="1"/>
        <w:rPr>
          <w:noProof/>
        </w:rPr>
      </w:pPr>
      <w:r>
        <w:rPr>
          <w:noProof/>
        </w:rPr>
        <w:t xml:space="preserve">U.2. </w:t>
      </w:r>
      <w:r>
        <w:rPr>
          <w:noProof/>
        </w:rPr>
        <w:tab/>
        <w:t>Delmål, mål, indikatorer och tidsplan för övervakning och genomförande avseende icke återbetalningspliktigt ekonomiskt stöd</w:t>
      </w:r>
    </w:p>
    <w:p w14:paraId="076E7D2A" w14:textId="77777777" w:rsidR="003A3D51" w:rsidRDefault="003A3D51">
      <w:pPr>
        <w:keepNext/>
        <w:tabs>
          <w:tab w:val="num" w:pos="0"/>
        </w:tabs>
        <w:spacing w:before="40" w:after="0"/>
        <w:jc w:val="both"/>
        <w:outlineLvl w:val="1"/>
        <w:rPr>
          <w:rFonts w:ascii="Times New Roman" w:eastAsia="SimSun" w:hAnsi="Times New Roman" w:cs="Times New Roman"/>
          <w:b/>
          <w:noProof/>
          <w:sz w:val="24"/>
          <w:u w:val="single"/>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5"/>
        <w:gridCol w:w="229"/>
        <w:gridCol w:w="242"/>
        <w:gridCol w:w="2487"/>
        <w:gridCol w:w="2270"/>
        <w:gridCol w:w="273"/>
        <w:gridCol w:w="207"/>
        <w:gridCol w:w="121"/>
        <w:gridCol w:w="241"/>
        <w:gridCol w:w="141"/>
        <w:gridCol w:w="6660"/>
      </w:tblGrid>
      <w:tr w:rsidR="003A3D51" w14:paraId="4395310B" w14:textId="77777777" w:rsidTr="007E7373">
        <w:trPr>
          <w:trHeight w:val="636"/>
          <w:tblHeader/>
          <w:jc w:val="center"/>
        </w:trPr>
        <w:tc>
          <w:tcPr>
            <w:tcW w:w="23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04F0C6" w14:textId="77777777" w:rsidR="003A3D51" w:rsidRDefault="0002775A">
            <w:pPr>
              <w:pStyle w:val="P68B1DB1-Normal6"/>
              <w:spacing w:after="0" w:line="276" w:lineRule="auto"/>
              <w:jc w:val="center"/>
              <w:rPr>
                <w:noProof/>
              </w:rPr>
            </w:pPr>
            <w:r>
              <w:rPr>
                <w:noProof/>
              </w:rPr>
              <w:t>Antal</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95A37D" w14:textId="77777777" w:rsidR="003A3D51" w:rsidRDefault="0002775A">
            <w:pPr>
              <w:pStyle w:val="P68B1DB1-Normal6"/>
              <w:spacing w:after="0" w:line="276" w:lineRule="auto"/>
              <w:jc w:val="center"/>
              <w:rPr>
                <w:noProof/>
              </w:rPr>
            </w:pPr>
            <w:r>
              <w:rPr>
                <w:noProof/>
              </w:rPr>
              <w:t>Åtgärd</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ADB7CA" w14:textId="77777777" w:rsidR="003A3D51" w:rsidRDefault="0002775A">
            <w:pPr>
              <w:pStyle w:val="P68B1DB1-Normal6"/>
              <w:spacing w:after="0" w:line="276" w:lineRule="auto"/>
              <w:jc w:val="center"/>
              <w:rPr>
                <w:noProof/>
              </w:rPr>
            </w:pPr>
            <w:r>
              <w:rPr>
                <w:noProof/>
              </w:rPr>
              <w:t>Delmål/mål</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70C83B" w14:textId="77777777" w:rsidR="003A3D51" w:rsidRDefault="0002775A">
            <w:pPr>
              <w:pStyle w:val="P68B1DB1-Normal6"/>
              <w:spacing w:after="0" w:line="276" w:lineRule="auto"/>
              <w:jc w:val="center"/>
              <w:rPr>
                <w:noProof/>
              </w:rPr>
            </w:pPr>
            <w:r>
              <w:rPr>
                <w:noProof/>
              </w:rPr>
              <w:t>Namn</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BE3F0C"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1022" w:type="pct"/>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4385915E"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514" w:type="pct"/>
            <w:gridSpan w:val="2"/>
            <w:tcBorders>
              <w:top w:val="single" w:sz="4" w:space="0" w:color="auto"/>
              <w:left w:val="nil"/>
              <w:bottom w:val="single" w:sz="4" w:space="0" w:color="auto"/>
              <w:right w:val="single" w:sz="4" w:space="0" w:color="auto"/>
            </w:tcBorders>
            <w:shd w:val="clear" w:color="auto" w:fill="BDD7EE"/>
            <w:vAlign w:val="center"/>
            <w:hideMark/>
          </w:tcPr>
          <w:p w14:paraId="76269890" w14:textId="77777777" w:rsidR="003A3D51" w:rsidRDefault="0002775A">
            <w:pPr>
              <w:pStyle w:val="P68B1DB1-Normal6"/>
              <w:spacing w:after="0" w:line="276" w:lineRule="auto"/>
              <w:jc w:val="center"/>
              <w:rPr>
                <w:noProof/>
              </w:rPr>
            </w:pPr>
            <w:r>
              <w:rPr>
                <w:noProof/>
              </w:rPr>
              <w:t>Tid</w:t>
            </w:r>
          </w:p>
        </w:tc>
        <w:tc>
          <w:tcPr>
            <w:tcW w:w="1165"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B7CF36" w14:textId="77777777" w:rsidR="003A3D51" w:rsidRDefault="0002775A">
            <w:pPr>
              <w:pStyle w:val="P68B1DB1-Normal6"/>
              <w:spacing w:after="0" w:line="276" w:lineRule="auto"/>
              <w:jc w:val="center"/>
              <w:rPr>
                <w:noProof/>
              </w:rPr>
            </w:pPr>
            <w:r>
              <w:rPr>
                <w:noProof/>
              </w:rPr>
              <w:t>Beskrivning av varje delmål och mål</w:t>
            </w:r>
          </w:p>
        </w:tc>
      </w:tr>
      <w:tr w:rsidR="003A3D51" w14:paraId="7D48AF5C" w14:textId="77777777" w:rsidTr="007E7373">
        <w:trPr>
          <w:trHeight w:val="362"/>
          <w:tblHeader/>
          <w:jc w:val="center"/>
        </w:trPr>
        <w:tc>
          <w:tcPr>
            <w:tcW w:w="237" w:type="pct"/>
            <w:vMerge/>
            <w:tcBorders>
              <w:top w:val="single" w:sz="4" w:space="0" w:color="auto"/>
              <w:left w:val="single" w:sz="4" w:space="0" w:color="auto"/>
              <w:bottom w:val="single" w:sz="4" w:space="0" w:color="auto"/>
              <w:right w:val="single" w:sz="4" w:space="0" w:color="auto"/>
            </w:tcBorders>
            <w:hideMark/>
          </w:tcPr>
          <w:p w14:paraId="4D875873" w14:textId="77777777" w:rsidR="003A3D51" w:rsidRDefault="003A3D51">
            <w:pPr>
              <w:spacing w:after="0" w:line="276" w:lineRule="auto"/>
              <w:jc w:val="center"/>
              <w:rPr>
                <w:rFonts w:ascii="Times New Roman" w:eastAsia="Times New Roman" w:hAnsi="Times New Roman" w:cs="Times New Roman"/>
                <w:b/>
                <w:noProof/>
              </w:rPr>
            </w:pPr>
          </w:p>
        </w:tc>
        <w:tc>
          <w:tcPr>
            <w:tcW w:w="257" w:type="pct"/>
            <w:vMerge/>
            <w:tcBorders>
              <w:top w:val="single" w:sz="4" w:space="0" w:color="auto"/>
              <w:left w:val="single" w:sz="4" w:space="0" w:color="auto"/>
              <w:bottom w:val="single" w:sz="4" w:space="0" w:color="auto"/>
              <w:right w:val="single" w:sz="4" w:space="0" w:color="auto"/>
            </w:tcBorders>
            <w:hideMark/>
          </w:tcPr>
          <w:p w14:paraId="5C590B5E" w14:textId="77777777" w:rsidR="003A3D51" w:rsidRDefault="003A3D51">
            <w:pPr>
              <w:spacing w:after="0" w:line="276" w:lineRule="auto"/>
              <w:jc w:val="center"/>
              <w:rPr>
                <w:rFonts w:ascii="Times New Roman" w:eastAsia="Times New Roman" w:hAnsi="Times New Roman" w:cs="Times New Roman"/>
                <w:b/>
                <w:noProof/>
              </w:rPr>
            </w:pPr>
          </w:p>
        </w:tc>
        <w:tc>
          <w:tcPr>
            <w:tcW w:w="288" w:type="pct"/>
            <w:vMerge/>
            <w:tcBorders>
              <w:top w:val="single" w:sz="4" w:space="0" w:color="auto"/>
              <w:left w:val="single" w:sz="4" w:space="0" w:color="auto"/>
              <w:bottom w:val="single" w:sz="4" w:space="0" w:color="auto"/>
              <w:right w:val="single" w:sz="4" w:space="0" w:color="auto"/>
            </w:tcBorders>
            <w:hideMark/>
          </w:tcPr>
          <w:p w14:paraId="5F15FBF3" w14:textId="77777777" w:rsidR="003A3D51" w:rsidRDefault="003A3D51">
            <w:pPr>
              <w:spacing w:after="0" w:line="276" w:lineRule="auto"/>
              <w:jc w:val="center"/>
              <w:rPr>
                <w:rFonts w:ascii="Times New Roman" w:eastAsia="Times New Roman" w:hAnsi="Times New Roman" w:cs="Times New Roman"/>
                <w:b/>
                <w:noProof/>
              </w:rPr>
            </w:pPr>
          </w:p>
        </w:tc>
        <w:tc>
          <w:tcPr>
            <w:tcW w:w="830" w:type="pct"/>
            <w:vMerge/>
            <w:tcBorders>
              <w:top w:val="single" w:sz="4" w:space="0" w:color="auto"/>
              <w:left w:val="single" w:sz="4" w:space="0" w:color="auto"/>
              <w:bottom w:val="single" w:sz="4" w:space="0" w:color="auto"/>
              <w:right w:val="single" w:sz="4" w:space="0" w:color="auto"/>
            </w:tcBorders>
            <w:hideMark/>
          </w:tcPr>
          <w:p w14:paraId="696F7B35" w14:textId="77777777" w:rsidR="003A3D51" w:rsidRDefault="003A3D51">
            <w:pPr>
              <w:spacing w:after="0" w:line="276" w:lineRule="auto"/>
              <w:rPr>
                <w:rFonts w:ascii="Times New Roman" w:eastAsia="Times New Roman" w:hAnsi="Times New Roman" w:cs="Times New Roman"/>
                <w:b/>
                <w:noProof/>
              </w:rPr>
            </w:pPr>
          </w:p>
        </w:tc>
        <w:tc>
          <w:tcPr>
            <w:tcW w:w="687" w:type="pct"/>
            <w:vMerge/>
            <w:tcBorders>
              <w:top w:val="single" w:sz="4" w:space="0" w:color="auto"/>
              <w:left w:val="single" w:sz="4" w:space="0" w:color="auto"/>
              <w:bottom w:val="single" w:sz="4" w:space="0" w:color="auto"/>
              <w:right w:val="single" w:sz="4" w:space="0" w:color="auto"/>
            </w:tcBorders>
            <w:hideMark/>
          </w:tcPr>
          <w:p w14:paraId="74D6899A" w14:textId="77777777" w:rsidR="003A3D51" w:rsidRDefault="003A3D51">
            <w:pPr>
              <w:spacing w:after="0" w:line="276" w:lineRule="auto"/>
              <w:rPr>
                <w:rFonts w:ascii="Times New Roman" w:eastAsia="Times New Roman" w:hAnsi="Times New Roman" w:cs="Times New Roman"/>
                <w:b/>
                <w:noProof/>
              </w:rPr>
            </w:pPr>
          </w:p>
        </w:tc>
        <w:tc>
          <w:tcPr>
            <w:tcW w:w="394" w:type="pct"/>
            <w:tcBorders>
              <w:top w:val="nil"/>
              <w:left w:val="single" w:sz="4" w:space="0" w:color="auto"/>
              <w:bottom w:val="single" w:sz="4" w:space="0" w:color="auto"/>
              <w:right w:val="single" w:sz="4" w:space="0" w:color="auto"/>
            </w:tcBorders>
            <w:shd w:val="clear" w:color="auto" w:fill="BDD7EE"/>
            <w:vAlign w:val="center"/>
            <w:hideMark/>
          </w:tcPr>
          <w:p w14:paraId="6569C19E" w14:textId="77777777" w:rsidR="003A3D51" w:rsidRDefault="0002775A">
            <w:pPr>
              <w:pStyle w:val="P68B1DB1-Normal6"/>
              <w:spacing w:after="0" w:line="276" w:lineRule="auto"/>
              <w:jc w:val="center"/>
              <w:rPr>
                <w:noProof/>
              </w:rPr>
            </w:pPr>
            <w:r>
              <w:rPr>
                <w:noProof/>
              </w:rPr>
              <w:t>Enhet</w:t>
            </w:r>
          </w:p>
        </w:tc>
        <w:tc>
          <w:tcPr>
            <w:tcW w:w="331" w:type="pct"/>
            <w:tcBorders>
              <w:top w:val="nil"/>
              <w:left w:val="nil"/>
              <w:bottom w:val="single" w:sz="4" w:space="0" w:color="auto"/>
              <w:right w:val="single" w:sz="4" w:space="0" w:color="auto"/>
            </w:tcBorders>
            <w:shd w:val="clear" w:color="auto" w:fill="BDD7EE"/>
            <w:vAlign w:val="center"/>
            <w:hideMark/>
          </w:tcPr>
          <w:p w14:paraId="2535C129" w14:textId="77777777" w:rsidR="003A3D51" w:rsidRDefault="0002775A">
            <w:pPr>
              <w:pStyle w:val="P68B1DB1-Normal6"/>
              <w:spacing w:after="0" w:line="276" w:lineRule="auto"/>
              <w:jc w:val="center"/>
              <w:rPr>
                <w:noProof/>
              </w:rPr>
            </w:pPr>
            <w:r>
              <w:rPr>
                <w:noProof/>
              </w:rPr>
              <w:t>Baslinjen</w:t>
            </w:r>
          </w:p>
        </w:tc>
        <w:tc>
          <w:tcPr>
            <w:tcW w:w="297" w:type="pct"/>
            <w:tcBorders>
              <w:top w:val="nil"/>
              <w:left w:val="nil"/>
              <w:bottom w:val="single" w:sz="4" w:space="0" w:color="auto"/>
              <w:right w:val="single" w:sz="4" w:space="0" w:color="auto"/>
            </w:tcBorders>
            <w:shd w:val="clear" w:color="auto" w:fill="BDD7EE"/>
            <w:vAlign w:val="center"/>
            <w:hideMark/>
          </w:tcPr>
          <w:p w14:paraId="1A4017EA" w14:textId="77777777" w:rsidR="003A3D51" w:rsidRDefault="0002775A">
            <w:pPr>
              <w:pStyle w:val="P68B1DB1-Normal6"/>
              <w:spacing w:after="0" w:line="276" w:lineRule="auto"/>
              <w:jc w:val="center"/>
              <w:rPr>
                <w:noProof/>
              </w:rPr>
            </w:pPr>
            <w:r>
              <w:rPr>
                <w:noProof/>
              </w:rPr>
              <w:t>Mål</w:t>
            </w:r>
          </w:p>
        </w:tc>
        <w:tc>
          <w:tcPr>
            <w:tcW w:w="242" w:type="pct"/>
            <w:tcBorders>
              <w:top w:val="nil"/>
              <w:left w:val="nil"/>
              <w:bottom w:val="single" w:sz="4" w:space="0" w:color="auto"/>
              <w:right w:val="single" w:sz="4" w:space="0" w:color="auto"/>
            </w:tcBorders>
            <w:shd w:val="clear" w:color="auto" w:fill="BDD7EE"/>
            <w:vAlign w:val="center"/>
            <w:hideMark/>
          </w:tcPr>
          <w:p w14:paraId="27E23391" w14:textId="77777777" w:rsidR="003A3D51" w:rsidRDefault="0002775A">
            <w:pPr>
              <w:pStyle w:val="P68B1DB1-Normal6"/>
              <w:spacing w:after="0" w:line="276" w:lineRule="auto"/>
              <w:jc w:val="center"/>
              <w:rPr>
                <w:noProof/>
              </w:rPr>
            </w:pPr>
            <w:r>
              <w:rPr>
                <w:noProof/>
              </w:rPr>
              <w:t>Q</w:t>
            </w:r>
          </w:p>
        </w:tc>
        <w:tc>
          <w:tcPr>
            <w:tcW w:w="272" w:type="pct"/>
            <w:tcBorders>
              <w:top w:val="nil"/>
              <w:left w:val="nil"/>
              <w:bottom w:val="single" w:sz="4" w:space="0" w:color="auto"/>
              <w:right w:val="single" w:sz="4" w:space="0" w:color="auto"/>
            </w:tcBorders>
            <w:shd w:val="clear" w:color="auto" w:fill="BDD7EE"/>
            <w:vAlign w:val="center"/>
            <w:hideMark/>
          </w:tcPr>
          <w:p w14:paraId="2BE10710" w14:textId="77777777" w:rsidR="003A3D51" w:rsidRDefault="0002775A">
            <w:pPr>
              <w:pStyle w:val="P68B1DB1-Normal6"/>
              <w:spacing w:after="0" w:line="276" w:lineRule="auto"/>
              <w:jc w:val="center"/>
              <w:rPr>
                <w:noProof/>
              </w:rPr>
            </w:pPr>
            <w:r>
              <w:rPr>
                <w:noProof/>
              </w:rPr>
              <w:t>Året</w:t>
            </w:r>
          </w:p>
        </w:tc>
        <w:tc>
          <w:tcPr>
            <w:tcW w:w="1165" w:type="pct"/>
            <w:vMerge/>
            <w:tcBorders>
              <w:bottom w:val="single" w:sz="4" w:space="0" w:color="auto"/>
              <w:right w:val="single" w:sz="4" w:space="0" w:color="auto"/>
            </w:tcBorders>
            <w:hideMark/>
          </w:tcPr>
          <w:p w14:paraId="72D8ABEE" w14:textId="77777777" w:rsidR="003A3D51" w:rsidRDefault="003A3D51">
            <w:pPr>
              <w:spacing w:after="0" w:line="276" w:lineRule="auto"/>
              <w:rPr>
                <w:rFonts w:ascii="Times New Roman" w:eastAsia="Times New Roman" w:hAnsi="Times New Roman" w:cs="Times New Roman"/>
                <w:b/>
                <w:noProof/>
              </w:rPr>
            </w:pPr>
          </w:p>
        </w:tc>
      </w:tr>
      <w:tr w:rsidR="003A3D51" w14:paraId="2AD96481"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687C5DD2" w14:textId="77777777" w:rsidR="003A3D51" w:rsidRDefault="0002775A">
            <w:pPr>
              <w:pStyle w:val="P68B1DB1-Normal7"/>
              <w:spacing w:after="0" w:line="276" w:lineRule="auto"/>
              <w:jc w:val="center"/>
              <w:rPr>
                <w:rFonts w:ascii="Times New Roman" w:hAnsi="Times New Roman" w:cs="Times New Roman"/>
                <w:noProof/>
              </w:rPr>
            </w:pPr>
            <w:r>
              <w:rPr>
                <w:noProof/>
              </w:rPr>
              <w:t>318</w:t>
            </w:r>
          </w:p>
        </w:tc>
        <w:tc>
          <w:tcPr>
            <w:tcW w:w="257" w:type="pct"/>
            <w:tcBorders>
              <w:top w:val="single" w:sz="4" w:space="0" w:color="auto"/>
              <w:left w:val="nil"/>
              <w:bottom w:val="single" w:sz="4" w:space="0" w:color="auto"/>
              <w:right w:val="single" w:sz="4" w:space="0" w:color="auto"/>
            </w:tcBorders>
            <w:shd w:val="clear" w:color="auto" w:fill="C6EFCE"/>
            <w:noWrap/>
          </w:tcPr>
          <w:p w14:paraId="062835CE" w14:textId="77777777" w:rsidR="003A3D51" w:rsidRDefault="0002775A">
            <w:pPr>
              <w:pStyle w:val="P68B1DB1-Normal7"/>
              <w:spacing w:after="200" w:line="276" w:lineRule="auto"/>
              <w:jc w:val="center"/>
              <w:rPr>
                <w:rFonts w:ascii="Times New Roman" w:hAnsi="Times New Roman" w:cs="Times New Roman"/>
                <w:noProof/>
              </w:rPr>
            </w:pPr>
            <w:r>
              <w:rPr>
                <w:noProof/>
              </w:rPr>
              <w:t>C5.1 R1</w:t>
            </w:r>
          </w:p>
        </w:tc>
        <w:tc>
          <w:tcPr>
            <w:tcW w:w="288" w:type="pct"/>
            <w:tcBorders>
              <w:top w:val="single" w:sz="4" w:space="0" w:color="auto"/>
              <w:left w:val="nil"/>
              <w:bottom w:val="single" w:sz="4" w:space="0" w:color="auto"/>
              <w:right w:val="single" w:sz="4" w:space="0" w:color="auto"/>
            </w:tcBorders>
            <w:shd w:val="clear" w:color="auto" w:fill="C6EFCE"/>
            <w:noWrap/>
          </w:tcPr>
          <w:p w14:paraId="4FA4E49F"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30" w:type="pct"/>
            <w:tcBorders>
              <w:top w:val="single" w:sz="4" w:space="0" w:color="auto"/>
              <w:left w:val="nil"/>
              <w:bottom w:val="single" w:sz="4" w:space="0" w:color="auto"/>
              <w:right w:val="single" w:sz="4" w:space="0" w:color="auto"/>
            </w:tcBorders>
            <w:shd w:val="clear" w:color="auto" w:fill="C6EFCE"/>
            <w:noWrap/>
          </w:tcPr>
          <w:p w14:paraId="03E377DD"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ramen för resultatutvärdering av hälso- och sjukvårdssystemen </w:t>
            </w:r>
          </w:p>
        </w:tc>
        <w:tc>
          <w:tcPr>
            <w:tcW w:w="687" w:type="pct"/>
            <w:tcBorders>
              <w:top w:val="single" w:sz="4" w:space="0" w:color="auto"/>
              <w:left w:val="nil"/>
              <w:bottom w:val="single" w:sz="4" w:space="0" w:color="auto"/>
              <w:right w:val="single" w:sz="4" w:space="0" w:color="auto"/>
            </w:tcBorders>
            <w:shd w:val="clear" w:color="auto" w:fill="C6EFCE"/>
            <w:noWrap/>
          </w:tcPr>
          <w:p w14:paraId="487A136E" w14:textId="77777777" w:rsidR="003A3D51" w:rsidRDefault="0002775A">
            <w:pPr>
              <w:pStyle w:val="P68B1DB1-Normal7"/>
              <w:spacing w:after="200" w:line="276" w:lineRule="auto"/>
              <w:rPr>
                <w:rFonts w:ascii="Times New Roman" w:hAnsi="Times New Roman" w:cs="Times New Roman"/>
                <w:noProof/>
              </w:rPr>
            </w:pPr>
            <w:r>
              <w:rPr>
                <w:noProof/>
              </w:rPr>
              <w:t>Resultatbedömningsramen för hälso- och sjukvårdssystemet träder i kraft</w:t>
            </w:r>
          </w:p>
        </w:tc>
        <w:tc>
          <w:tcPr>
            <w:tcW w:w="394" w:type="pct"/>
            <w:tcBorders>
              <w:top w:val="nil"/>
              <w:left w:val="nil"/>
              <w:bottom w:val="single" w:sz="4" w:space="0" w:color="auto"/>
              <w:right w:val="single" w:sz="4" w:space="0" w:color="auto"/>
            </w:tcBorders>
            <w:shd w:val="clear" w:color="auto" w:fill="C6EFCE"/>
            <w:noWrap/>
          </w:tcPr>
          <w:p w14:paraId="0E483B0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31" w:type="pct"/>
            <w:tcBorders>
              <w:top w:val="nil"/>
              <w:left w:val="nil"/>
              <w:bottom w:val="single" w:sz="4" w:space="0" w:color="auto"/>
              <w:right w:val="single" w:sz="4" w:space="0" w:color="auto"/>
            </w:tcBorders>
            <w:shd w:val="clear" w:color="auto" w:fill="C6EFCE"/>
            <w:noWrap/>
          </w:tcPr>
          <w:p w14:paraId="040C594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nil"/>
              <w:left w:val="nil"/>
              <w:bottom w:val="single" w:sz="4" w:space="0" w:color="auto"/>
              <w:right w:val="single" w:sz="4" w:space="0" w:color="auto"/>
            </w:tcBorders>
            <w:shd w:val="clear" w:color="auto" w:fill="C6EFCE"/>
            <w:noWrap/>
          </w:tcPr>
          <w:p w14:paraId="68C8B57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2" w:type="pct"/>
            <w:tcBorders>
              <w:top w:val="nil"/>
              <w:left w:val="nil"/>
              <w:bottom w:val="single" w:sz="4" w:space="0" w:color="auto"/>
              <w:right w:val="single" w:sz="4" w:space="0" w:color="auto"/>
            </w:tcBorders>
            <w:shd w:val="clear" w:color="auto" w:fill="C6EFCE"/>
            <w:noWrap/>
          </w:tcPr>
          <w:p w14:paraId="76E60EBC"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72" w:type="pct"/>
            <w:tcBorders>
              <w:top w:val="nil"/>
              <w:left w:val="nil"/>
              <w:bottom w:val="single" w:sz="4" w:space="0" w:color="auto"/>
              <w:right w:val="single" w:sz="4" w:space="0" w:color="auto"/>
            </w:tcBorders>
            <w:shd w:val="clear" w:color="auto" w:fill="C6EFCE"/>
            <w:noWrap/>
          </w:tcPr>
          <w:p w14:paraId="72D03C34"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65" w:type="pct"/>
            <w:tcBorders>
              <w:top w:val="single" w:sz="4" w:space="0" w:color="auto"/>
              <w:left w:val="nil"/>
              <w:bottom w:val="single" w:sz="4" w:space="0" w:color="auto"/>
              <w:right w:val="single" w:sz="4" w:space="0" w:color="auto"/>
            </w:tcBorders>
            <w:shd w:val="clear" w:color="auto" w:fill="C6EFCE"/>
            <w:noWrap/>
          </w:tcPr>
          <w:p w14:paraId="39A2851C" w14:textId="77777777" w:rsidR="003A3D51" w:rsidRDefault="0002775A">
            <w:pPr>
              <w:pStyle w:val="P68B1DB1-Normal7"/>
              <w:spacing w:after="200" w:line="276" w:lineRule="auto"/>
              <w:rPr>
                <w:rFonts w:ascii="Times New Roman" w:hAnsi="Times New Roman" w:cs="Times New Roman"/>
                <w:noProof/>
              </w:rPr>
            </w:pPr>
            <w:r>
              <w:rPr>
                <w:noProof/>
              </w:rPr>
              <w:t xml:space="preserve">Resultatutvärderingen av hälso- och sjukvårdssystemet ska fastställa en ram för mätning av hälsoresultat, med centrala resultatindikatorer enligt en fastställd bedömningsmetod, kopplad till processen för att koppla åtgärder till de mål som anges i de nationella strategidokumenten och reformerna, uppgifternas aktualitet och för att förbättra övervakningen av hälsoresultat. </w:t>
            </w:r>
          </w:p>
        </w:tc>
      </w:tr>
      <w:tr w:rsidR="003A3D51" w14:paraId="6AA854B5" w14:textId="77777777" w:rsidTr="007E7373">
        <w:trPr>
          <w:trHeight w:val="283"/>
          <w:jc w:val="center"/>
        </w:trPr>
        <w:tc>
          <w:tcPr>
            <w:tcW w:w="237" w:type="pct"/>
            <w:tcBorders>
              <w:top w:val="nil"/>
              <w:left w:val="single" w:sz="4" w:space="0" w:color="auto"/>
              <w:bottom w:val="single" w:sz="4" w:space="0" w:color="auto"/>
              <w:right w:val="single" w:sz="4" w:space="0" w:color="auto"/>
            </w:tcBorders>
            <w:shd w:val="clear" w:color="auto" w:fill="C6EFCE"/>
            <w:noWrap/>
          </w:tcPr>
          <w:p w14:paraId="70F180D4" w14:textId="77777777" w:rsidR="003A3D51" w:rsidRDefault="0002775A">
            <w:pPr>
              <w:pStyle w:val="P68B1DB1-Normal7"/>
              <w:spacing w:after="0" w:line="276" w:lineRule="auto"/>
              <w:jc w:val="center"/>
              <w:rPr>
                <w:rFonts w:ascii="Times New Roman" w:hAnsi="Times New Roman" w:cs="Times New Roman"/>
                <w:noProof/>
              </w:rPr>
            </w:pPr>
            <w:r>
              <w:rPr>
                <w:noProof/>
              </w:rPr>
              <w:t>319</w:t>
            </w:r>
          </w:p>
        </w:tc>
        <w:tc>
          <w:tcPr>
            <w:tcW w:w="257" w:type="pct"/>
            <w:tcBorders>
              <w:top w:val="nil"/>
              <w:left w:val="nil"/>
              <w:bottom w:val="single" w:sz="4" w:space="0" w:color="auto"/>
              <w:right w:val="single" w:sz="4" w:space="0" w:color="auto"/>
            </w:tcBorders>
            <w:shd w:val="clear" w:color="auto" w:fill="C6EFCE"/>
            <w:noWrap/>
          </w:tcPr>
          <w:p w14:paraId="7BE8284B" w14:textId="77777777" w:rsidR="003A3D51" w:rsidRDefault="0002775A">
            <w:pPr>
              <w:pStyle w:val="P68B1DB1-Normal7"/>
              <w:spacing w:after="200" w:line="276" w:lineRule="auto"/>
              <w:jc w:val="center"/>
              <w:rPr>
                <w:rFonts w:ascii="Times New Roman" w:hAnsi="Times New Roman" w:cs="Times New Roman"/>
                <w:noProof/>
              </w:rPr>
            </w:pPr>
            <w:r>
              <w:rPr>
                <w:noProof/>
              </w:rPr>
              <w:t>C5.1 R1</w:t>
            </w:r>
          </w:p>
        </w:tc>
        <w:tc>
          <w:tcPr>
            <w:tcW w:w="288" w:type="pct"/>
            <w:tcBorders>
              <w:top w:val="nil"/>
              <w:left w:val="nil"/>
              <w:bottom w:val="single" w:sz="4" w:space="0" w:color="auto"/>
              <w:right w:val="single" w:sz="4" w:space="0" w:color="auto"/>
            </w:tcBorders>
            <w:shd w:val="clear" w:color="auto" w:fill="C6EFCE"/>
            <w:noWrap/>
          </w:tcPr>
          <w:p w14:paraId="145EB90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nil"/>
              <w:left w:val="nil"/>
              <w:bottom w:val="single" w:sz="4" w:space="0" w:color="auto"/>
              <w:right w:val="single" w:sz="4" w:space="0" w:color="auto"/>
            </w:tcBorders>
            <w:shd w:val="clear" w:color="auto" w:fill="C6EFCE"/>
            <w:noWrap/>
          </w:tcPr>
          <w:p w14:paraId="10EC73FF" w14:textId="77777777" w:rsidR="003A3D51" w:rsidRDefault="0002775A">
            <w:pPr>
              <w:pStyle w:val="P68B1DB1-Normal7"/>
              <w:spacing w:after="200" w:line="276" w:lineRule="auto"/>
              <w:rPr>
                <w:rFonts w:ascii="Times New Roman" w:hAnsi="Times New Roman" w:cs="Times New Roman"/>
                <w:noProof/>
              </w:rPr>
            </w:pPr>
            <w:r>
              <w:rPr>
                <w:noProof/>
              </w:rPr>
              <w:t>Optimerad tid för diagnostisk behandling – väntelistor</w:t>
            </w:r>
          </w:p>
        </w:tc>
        <w:tc>
          <w:tcPr>
            <w:tcW w:w="687" w:type="pct"/>
            <w:tcBorders>
              <w:top w:val="nil"/>
              <w:left w:val="nil"/>
              <w:bottom w:val="single" w:sz="4" w:space="0" w:color="auto"/>
              <w:right w:val="single" w:sz="4" w:space="0" w:color="auto"/>
            </w:tcBorders>
            <w:shd w:val="clear" w:color="auto" w:fill="C6EFCE"/>
            <w:noWrap/>
          </w:tcPr>
          <w:p w14:paraId="5A2AB130"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nil"/>
              <w:left w:val="nil"/>
              <w:bottom w:val="single" w:sz="4" w:space="0" w:color="auto"/>
              <w:right w:val="single" w:sz="4" w:space="0" w:color="auto"/>
            </w:tcBorders>
            <w:shd w:val="clear" w:color="auto" w:fill="C6EFCE"/>
            <w:noWrap/>
          </w:tcPr>
          <w:p w14:paraId="32DC5714" w14:textId="77777777" w:rsidR="003A3D51" w:rsidRDefault="0002775A">
            <w:pPr>
              <w:pStyle w:val="P68B1DB1-Normal7"/>
              <w:spacing w:after="200" w:line="276" w:lineRule="auto"/>
              <w:jc w:val="center"/>
              <w:rPr>
                <w:rFonts w:ascii="Times New Roman" w:hAnsi="Times New Roman" w:cs="Times New Roman"/>
                <w:noProof/>
              </w:rPr>
            </w:pPr>
            <w:r>
              <w:rPr>
                <w:noProof/>
              </w:rPr>
              <w:t>Antal dagar</w:t>
            </w:r>
          </w:p>
        </w:tc>
        <w:tc>
          <w:tcPr>
            <w:tcW w:w="331" w:type="pct"/>
            <w:tcBorders>
              <w:top w:val="nil"/>
              <w:left w:val="nil"/>
              <w:bottom w:val="single" w:sz="4" w:space="0" w:color="auto"/>
              <w:right w:val="single" w:sz="4" w:space="0" w:color="auto"/>
            </w:tcBorders>
            <w:shd w:val="clear" w:color="auto" w:fill="C6EFCE"/>
            <w:noWrap/>
          </w:tcPr>
          <w:p w14:paraId="4A056F89" w14:textId="77777777" w:rsidR="003A3D51" w:rsidRDefault="0002775A">
            <w:pPr>
              <w:pStyle w:val="P68B1DB1-Normal7"/>
              <w:spacing w:after="200" w:line="276" w:lineRule="auto"/>
              <w:jc w:val="center"/>
              <w:rPr>
                <w:rFonts w:ascii="Times New Roman" w:hAnsi="Times New Roman" w:cs="Times New Roman"/>
                <w:noProof/>
              </w:rPr>
            </w:pPr>
            <w:r>
              <w:rPr>
                <w:noProof/>
              </w:rPr>
              <w:t>400</w:t>
            </w:r>
          </w:p>
        </w:tc>
        <w:tc>
          <w:tcPr>
            <w:tcW w:w="297" w:type="pct"/>
            <w:tcBorders>
              <w:top w:val="nil"/>
              <w:left w:val="nil"/>
              <w:bottom w:val="single" w:sz="4" w:space="0" w:color="auto"/>
              <w:right w:val="single" w:sz="4" w:space="0" w:color="auto"/>
            </w:tcBorders>
            <w:shd w:val="clear" w:color="auto" w:fill="C6EFCE"/>
            <w:noWrap/>
          </w:tcPr>
          <w:p w14:paraId="4D94A95E" w14:textId="77777777" w:rsidR="003A3D51" w:rsidRDefault="0002775A">
            <w:pPr>
              <w:pStyle w:val="P68B1DB1-Normal7"/>
              <w:spacing w:after="200" w:line="276" w:lineRule="auto"/>
              <w:jc w:val="center"/>
              <w:rPr>
                <w:rFonts w:ascii="Times New Roman" w:hAnsi="Times New Roman" w:cs="Times New Roman"/>
                <w:noProof/>
              </w:rPr>
            </w:pPr>
            <w:r>
              <w:rPr>
                <w:noProof/>
              </w:rPr>
              <w:t>270</w:t>
            </w:r>
          </w:p>
        </w:tc>
        <w:tc>
          <w:tcPr>
            <w:tcW w:w="242" w:type="pct"/>
            <w:tcBorders>
              <w:top w:val="nil"/>
              <w:left w:val="nil"/>
              <w:bottom w:val="single" w:sz="4" w:space="0" w:color="auto"/>
              <w:right w:val="single" w:sz="4" w:space="0" w:color="auto"/>
            </w:tcBorders>
            <w:shd w:val="clear" w:color="auto" w:fill="C6EFCE"/>
            <w:noWrap/>
          </w:tcPr>
          <w:p w14:paraId="5B3269B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nil"/>
              <w:left w:val="nil"/>
              <w:bottom w:val="single" w:sz="4" w:space="0" w:color="auto"/>
              <w:right w:val="single" w:sz="4" w:space="0" w:color="auto"/>
            </w:tcBorders>
            <w:shd w:val="clear" w:color="auto" w:fill="C6EFCE"/>
            <w:noWrap/>
          </w:tcPr>
          <w:p w14:paraId="380F7BC2"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nil"/>
              <w:left w:val="nil"/>
              <w:bottom w:val="single" w:sz="4" w:space="0" w:color="auto"/>
              <w:right w:val="single" w:sz="4" w:space="0" w:color="auto"/>
            </w:tcBorders>
            <w:shd w:val="clear" w:color="auto" w:fill="C6EFCE"/>
            <w:noWrap/>
          </w:tcPr>
          <w:p w14:paraId="450BA43B" w14:textId="77777777" w:rsidR="003A3D51" w:rsidRDefault="0002775A">
            <w:pPr>
              <w:pStyle w:val="P68B1DB1-Normal7"/>
              <w:spacing w:after="200" w:line="276" w:lineRule="auto"/>
              <w:rPr>
                <w:rFonts w:ascii="Times New Roman" w:hAnsi="Times New Roman" w:cs="Times New Roman"/>
                <w:noProof/>
              </w:rPr>
            </w:pPr>
            <w:r>
              <w:rPr>
                <w:noProof/>
              </w:rPr>
              <w:t>Väntetiden för patienter som genomgår diagnostisk behandling ska minskas till 270 dagar från den nuvarande väntetiden på 400 dagar.</w:t>
            </w:r>
          </w:p>
        </w:tc>
      </w:tr>
      <w:tr w:rsidR="003A3D51" w14:paraId="24B319BF" w14:textId="77777777" w:rsidTr="007E7373">
        <w:trPr>
          <w:trHeight w:val="283"/>
          <w:jc w:val="center"/>
        </w:trPr>
        <w:tc>
          <w:tcPr>
            <w:tcW w:w="237" w:type="pct"/>
            <w:tcBorders>
              <w:top w:val="nil"/>
              <w:left w:val="single" w:sz="4" w:space="0" w:color="auto"/>
              <w:bottom w:val="single" w:sz="4" w:space="0" w:color="auto"/>
              <w:right w:val="single" w:sz="4" w:space="0" w:color="auto"/>
            </w:tcBorders>
            <w:shd w:val="clear" w:color="auto" w:fill="C6EFCE"/>
            <w:noWrap/>
          </w:tcPr>
          <w:p w14:paraId="05DC5EE6" w14:textId="77777777" w:rsidR="003A3D51" w:rsidRDefault="0002775A">
            <w:pPr>
              <w:pStyle w:val="P68B1DB1-Normal7"/>
              <w:spacing w:after="0" w:line="276" w:lineRule="auto"/>
              <w:jc w:val="center"/>
              <w:rPr>
                <w:rFonts w:ascii="Times New Roman" w:hAnsi="Times New Roman" w:cs="Times New Roman"/>
                <w:noProof/>
              </w:rPr>
            </w:pPr>
            <w:r>
              <w:rPr>
                <w:noProof/>
              </w:rPr>
              <w:t>323</w:t>
            </w:r>
          </w:p>
        </w:tc>
        <w:tc>
          <w:tcPr>
            <w:tcW w:w="257" w:type="pct"/>
            <w:tcBorders>
              <w:top w:val="nil"/>
              <w:left w:val="nil"/>
              <w:bottom w:val="single" w:sz="4" w:space="0" w:color="auto"/>
              <w:right w:val="single" w:sz="4" w:space="0" w:color="auto"/>
            </w:tcBorders>
            <w:shd w:val="clear" w:color="auto" w:fill="C6EFCE"/>
            <w:noWrap/>
          </w:tcPr>
          <w:p w14:paraId="72314171" w14:textId="77777777" w:rsidR="003A3D51" w:rsidRDefault="0002775A">
            <w:pPr>
              <w:pStyle w:val="P68B1DB1-Normal7"/>
              <w:spacing w:after="200" w:line="276" w:lineRule="auto"/>
              <w:jc w:val="center"/>
              <w:rPr>
                <w:rFonts w:ascii="Times New Roman" w:hAnsi="Times New Roman" w:cs="Times New Roman"/>
                <w:noProof/>
              </w:rPr>
            </w:pPr>
            <w:r>
              <w:rPr>
                <w:noProof/>
              </w:rPr>
              <w:t>C5.1 R1-I4</w:t>
            </w:r>
          </w:p>
        </w:tc>
        <w:tc>
          <w:tcPr>
            <w:tcW w:w="288" w:type="pct"/>
            <w:tcBorders>
              <w:top w:val="nil"/>
              <w:left w:val="nil"/>
              <w:bottom w:val="single" w:sz="4" w:space="0" w:color="auto"/>
              <w:right w:val="single" w:sz="4" w:space="0" w:color="auto"/>
            </w:tcBorders>
            <w:shd w:val="clear" w:color="auto" w:fill="C6EFCE"/>
            <w:noWrap/>
          </w:tcPr>
          <w:p w14:paraId="66A88C7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30" w:type="pct"/>
            <w:tcBorders>
              <w:top w:val="nil"/>
              <w:left w:val="nil"/>
              <w:bottom w:val="single" w:sz="4" w:space="0" w:color="auto"/>
              <w:right w:val="single" w:sz="4" w:space="0" w:color="auto"/>
            </w:tcBorders>
            <w:shd w:val="clear" w:color="auto" w:fill="C6EFCE"/>
            <w:noWrap/>
          </w:tcPr>
          <w:p w14:paraId="6B220B0B" w14:textId="77777777" w:rsidR="003A3D51" w:rsidRDefault="0002775A">
            <w:pPr>
              <w:pStyle w:val="P68B1DB1-Normal7"/>
              <w:spacing w:after="200" w:line="276" w:lineRule="auto"/>
              <w:rPr>
                <w:rFonts w:ascii="Times New Roman" w:hAnsi="Times New Roman" w:cs="Times New Roman"/>
                <w:noProof/>
              </w:rPr>
            </w:pPr>
            <w:r>
              <w:rPr>
                <w:noProof/>
              </w:rPr>
              <w:t xml:space="preserve">Modernisering av hälso- och sjukvården på kliniksjukhuset KBC Split </w:t>
            </w:r>
          </w:p>
        </w:tc>
        <w:tc>
          <w:tcPr>
            <w:tcW w:w="687" w:type="pct"/>
            <w:tcBorders>
              <w:top w:val="nil"/>
              <w:left w:val="nil"/>
              <w:bottom w:val="single" w:sz="4" w:space="0" w:color="auto"/>
              <w:right w:val="single" w:sz="4" w:space="0" w:color="auto"/>
            </w:tcBorders>
            <w:shd w:val="clear" w:color="auto" w:fill="C6EFCE"/>
            <w:noWrap/>
          </w:tcPr>
          <w:p w14:paraId="140EA653" w14:textId="77777777" w:rsidR="003A3D51" w:rsidRDefault="0002775A">
            <w:pPr>
              <w:pStyle w:val="P68B1DB1-Normal7"/>
              <w:spacing w:after="200" w:line="276" w:lineRule="auto"/>
              <w:rPr>
                <w:rFonts w:ascii="Times New Roman" w:hAnsi="Times New Roman" w:cs="Times New Roman"/>
                <w:noProof/>
              </w:rPr>
            </w:pPr>
            <w:r>
              <w:rPr>
                <w:noProof/>
              </w:rPr>
              <w:t>Inköpt utrustning för KBC Split</w:t>
            </w:r>
          </w:p>
        </w:tc>
        <w:tc>
          <w:tcPr>
            <w:tcW w:w="394" w:type="pct"/>
            <w:tcBorders>
              <w:top w:val="nil"/>
              <w:left w:val="nil"/>
              <w:bottom w:val="single" w:sz="4" w:space="0" w:color="auto"/>
              <w:right w:val="single" w:sz="4" w:space="0" w:color="auto"/>
            </w:tcBorders>
            <w:shd w:val="clear" w:color="auto" w:fill="C6EFCE"/>
            <w:noWrap/>
          </w:tcPr>
          <w:p w14:paraId="110F856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31" w:type="pct"/>
            <w:tcBorders>
              <w:top w:val="nil"/>
              <w:left w:val="nil"/>
              <w:bottom w:val="single" w:sz="4" w:space="0" w:color="auto"/>
              <w:right w:val="single" w:sz="4" w:space="0" w:color="auto"/>
            </w:tcBorders>
            <w:shd w:val="clear" w:color="auto" w:fill="C6EFCE"/>
            <w:noWrap/>
          </w:tcPr>
          <w:p w14:paraId="1B7DDD0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nil"/>
              <w:left w:val="nil"/>
              <w:bottom w:val="single" w:sz="4" w:space="0" w:color="auto"/>
              <w:right w:val="single" w:sz="4" w:space="0" w:color="auto"/>
            </w:tcBorders>
            <w:shd w:val="clear" w:color="auto" w:fill="C6EFCE"/>
            <w:noWrap/>
          </w:tcPr>
          <w:p w14:paraId="4694D46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2" w:type="pct"/>
            <w:tcBorders>
              <w:top w:val="nil"/>
              <w:left w:val="nil"/>
              <w:bottom w:val="single" w:sz="4" w:space="0" w:color="auto"/>
              <w:right w:val="single" w:sz="4" w:space="0" w:color="auto"/>
            </w:tcBorders>
            <w:shd w:val="clear" w:color="auto" w:fill="C6EFCE"/>
            <w:noWrap/>
          </w:tcPr>
          <w:p w14:paraId="56A5F146"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nil"/>
              <w:left w:val="nil"/>
              <w:bottom w:val="single" w:sz="4" w:space="0" w:color="auto"/>
              <w:right w:val="single" w:sz="4" w:space="0" w:color="auto"/>
            </w:tcBorders>
            <w:shd w:val="clear" w:color="auto" w:fill="C6EFCE"/>
            <w:noWrap/>
          </w:tcPr>
          <w:p w14:paraId="3725F38E"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65" w:type="pct"/>
            <w:tcBorders>
              <w:top w:val="nil"/>
              <w:left w:val="nil"/>
              <w:bottom w:val="single" w:sz="4" w:space="0" w:color="auto"/>
              <w:right w:val="single" w:sz="4" w:space="0" w:color="auto"/>
            </w:tcBorders>
            <w:shd w:val="clear" w:color="auto" w:fill="C6EFCE"/>
            <w:noWrap/>
          </w:tcPr>
          <w:p w14:paraId="45FD625B" w14:textId="77777777" w:rsidR="003A3D51" w:rsidRDefault="0002775A">
            <w:pPr>
              <w:pStyle w:val="P68B1DB1-Normal7"/>
              <w:spacing w:after="200" w:line="276" w:lineRule="auto"/>
              <w:rPr>
                <w:rFonts w:ascii="Times New Roman" w:hAnsi="Times New Roman" w:cs="Times New Roman"/>
                <w:noProof/>
              </w:rPr>
            </w:pPr>
            <w:r>
              <w:rPr>
                <w:noProof/>
              </w:rPr>
              <w:t xml:space="preserve">Installation av utrustning för det kliniska institutet för diagnostik- och interventionsradiologi och vid institutet för klinisk kärnmedicin samt konstruktion och utrustning av ett hybridendoskopiskt rum vid Gastroenterologiinstitutet, för att möjliggöra införandet av nya diagnostiska och terapeutiska förfaranden vid KBC Split. Den installerade utrustningen ska vara minst magnetisk resonans 3T, Neurointervention digital DSA angio room, digital diaskopisk röntgenapparat, endoskopiskt gastroenterologiskt rum. </w:t>
            </w:r>
          </w:p>
        </w:tc>
      </w:tr>
      <w:tr w:rsidR="003A3D51" w14:paraId="38BCA171"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05EF8251" w14:textId="77777777" w:rsidR="003A3D51" w:rsidRDefault="0002775A">
            <w:pPr>
              <w:pStyle w:val="P68B1DB1-Normal7"/>
              <w:spacing w:after="200" w:line="276" w:lineRule="auto"/>
              <w:jc w:val="center"/>
              <w:rPr>
                <w:rFonts w:ascii="Times New Roman" w:hAnsi="Times New Roman" w:cs="Times New Roman"/>
                <w:noProof/>
              </w:rPr>
            </w:pPr>
            <w:r>
              <w:rPr>
                <w:noProof/>
              </w:rPr>
              <w:t>324</w:t>
            </w:r>
          </w:p>
        </w:tc>
        <w:tc>
          <w:tcPr>
            <w:tcW w:w="257" w:type="pct"/>
            <w:tcBorders>
              <w:top w:val="single" w:sz="4" w:space="0" w:color="auto"/>
              <w:left w:val="nil"/>
              <w:bottom w:val="single" w:sz="4" w:space="0" w:color="auto"/>
              <w:right w:val="single" w:sz="4" w:space="0" w:color="auto"/>
            </w:tcBorders>
            <w:shd w:val="clear" w:color="auto" w:fill="C6EFCE"/>
            <w:noWrap/>
          </w:tcPr>
          <w:p w14:paraId="50670D4E" w14:textId="77777777" w:rsidR="003A3D51" w:rsidRDefault="0002775A">
            <w:pPr>
              <w:pStyle w:val="P68B1DB1-Normal7"/>
              <w:spacing w:after="200" w:line="276" w:lineRule="auto"/>
              <w:jc w:val="center"/>
              <w:rPr>
                <w:rFonts w:ascii="Times New Roman" w:hAnsi="Times New Roman" w:cs="Times New Roman"/>
                <w:noProof/>
              </w:rPr>
            </w:pPr>
            <w:r>
              <w:rPr>
                <w:noProof/>
              </w:rPr>
              <w:t>C5.1 R1-I5</w:t>
            </w:r>
          </w:p>
        </w:tc>
        <w:tc>
          <w:tcPr>
            <w:tcW w:w="288" w:type="pct"/>
            <w:tcBorders>
              <w:top w:val="single" w:sz="4" w:space="0" w:color="auto"/>
              <w:left w:val="nil"/>
              <w:bottom w:val="single" w:sz="4" w:space="0" w:color="auto"/>
              <w:right w:val="single" w:sz="4" w:space="0" w:color="auto"/>
            </w:tcBorders>
            <w:shd w:val="clear" w:color="auto" w:fill="C6EFCE"/>
            <w:noWrap/>
          </w:tcPr>
          <w:p w14:paraId="1C7645C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0060827F" w14:textId="77777777" w:rsidR="003A3D51" w:rsidRDefault="0002775A">
            <w:pPr>
              <w:pStyle w:val="P68B1DB1-Normal7"/>
              <w:spacing w:after="200" w:line="276" w:lineRule="auto"/>
              <w:rPr>
                <w:rFonts w:ascii="Times New Roman" w:hAnsi="Times New Roman" w:cs="Times New Roman"/>
                <w:noProof/>
              </w:rPr>
            </w:pPr>
            <w:r>
              <w:rPr>
                <w:noProof/>
              </w:rPr>
              <w:t xml:space="preserve">Central operationsblocksbyggnad med åtföljande innehåll på det allmänna sjukhuset Varaždin </w:t>
            </w:r>
          </w:p>
        </w:tc>
        <w:tc>
          <w:tcPr>
            <w:tcW w:w="687" w:type="pct"/>
            <w:tcBorders>
              <w:top w:val="single" w:sz="4" w:space="0" w:color="auto"/>
              <w:left w:val="nil"/>
              <w:bottom w:val="single" w:sz="4" w:space="0" w:color="auto"/>
              <w:right w:val="single" w:sz="4" w:space="0" w:color="auto"/>
            </w:tcBorders>
            <w:shd w:val="clear" w:color="auto" w:fill="C6EFCE"/>
            <w:noWrap/>
          </w:tcPr>
          <w:p w14:paraId="117AFE62"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367DAA9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0E05C1B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0DE5869D"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242" w:type="pct"/>
            <w:tcBorders>
              <w:top w:val="single" w:sz="4" w:space="0" w:color="auto"/>
              <w:left w:val="nil"/>
              <w:bottom w:val="single" w:sz="4" w:space="0" w:color="auto"/>
              <w:right w:val="single" w:sz="4" w:space="0" w:color="auto"/>
            </w:tcBorders>
            <w:shd w:val="clear" w:color="auto" w:fill="C6EFCE"/>
            <w:noWrap/>
          </w:tcPr>
          <w:p w14:paraId="3969F58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30FDE4C3"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173DCBB5" w14:textId="77777777" w:rsidR="003A3D51" w:rsidRDefault="0002775A">
            <w:pPr>
              <w:pStyle w:val="P68B1DB1-Normal7"/>
              <w:spacing w:after="200" w:line="276" w:lineRule="auto"/>
              <w:rPr>
                <w:rFonts w:ascii="Times New Roman" w:hAnsi="Times New Roman" w:cs="Times New Roman"/>
                <w:noProof/>
              </w:rPr>
            </w:pPr>
            <w:r>
              <w:rPr>
                <w:noProof/>
              </w:rPr>
              <w:t>Uppförande och utrustning av den centrala driftsblocksbyggnaden (COB) med intensivvårdsenheter (JIL), central sterilisering, RTG-diagnostik, transfusioner och medicinska och biokemiska laboratorier samt uppförande av korridorer som förbinder befintliga vårdinrättningar. All nybyggnation ska vara åtminstone nära-nollenergibyggnader enligt direktivet om byggnaders energiprestanda, medan ombyggnaden av de befintliga byggnaderna i genomsnitt ska leda till en renovering på medelhög nivå enligt definitionen i kommissionens rekommendation om byggnadsrenovering, eller för att i genomsnitt uppnå en minskning på minst 30 % av de direkta och indirekta växthusgasutsläppen jämfört med förhandsutsläppen. För all byggverksamhet måste särskild uppmärksamhet ägnas åt att säkerställa hälsosamma inomhusklimatförhållanden, brandsäkerhet och risker i samband med ökad seismisk aktivitet.</w:t>
            </w:r>
          </w:p>
        </w:tc>
      </w:tr>
      <w:tr w:rsidR="003A3D51" w14:paraId="55172C64"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378A38DA" w14:textId="77777777" w:rsidR="003A3D51" w:rsidRDefault="0002775A">
            <w:pPr>
              <w:pStyle w:val="P68B1DB1-Normal7"/>
              <w:spacing w:after="200" w:line="276" w:lineRule="auto"/>
              <w:jc w:val="center"/>
              <w:rPr>
                <w:rFonts w:ascii="Times New Roman" w:hAnsi="Times New Roman" w:cs="Times New Roman"/>
                <w:noProof/>
              </w:rPr>
            </w:pPr>
            <w:r>
              <w:rPr>
                <w:noProof/>
              </w:rPr>
              <w:t>325</w:t>
            </w:r>
          </w:p>
        </w:tc>
        <w:tc>
          <w:tcPr>
            <w:tcW w:w="257" w:type="pct"/>
            <w:tcBorders>
              <w:top w:val="single" w:sz="4" w:space="0" w:color="auto"/>
              <w:left w:val="nil"/>
              <w:bottom w:val="single" w:sz="4" w:space="0" w:color="auto"/>
              <w:right w:val="single" w:sz="4" w:space="0" w:color="auto"/>
            </w:tcBorders>
            <w:shd w:val="clear" w:color="auto" w:fill="C6EFCE"/>
            <w:noWrap/>
          </w:tcPr>
          <w:p w14:paraId="4CB3E401" w14:textId="77777777" w:rsidR="003A3D51" w:rsidRDefault="0002775A">
            <w:pPr>
              <w:pStyle w:val="P68B1DB1-Normal7"/>
              <w:spacing w:after="200" w:line="276" w:lineRule="auto"/>
              <w:jc w:val="center"/>
              <w:rPr>
                <w:rFonts w:ascii="Times New Roman" w:hAnsi="Times New Roman" w:cs="Times New Roman"/>
                <w:noProof/>
              </w:rPr>
            </w:pPr>
            <w:r>
              <w:rPr>
                <w:noProof/>
              </w:rPr>
              <w:t>C5.1 R1-I6</w:t>
            </w:r>
          </w:p>
        </w:tc>
        <w:tc>
          <w:tcPr>
            <w:tcW w:w="288" w:type="pct"/>
            <w:tcBorders>
              <w:top w:val="single" w:sz="4" w:space="0" w:color="auto"/>
              <w:left w:val="nil"/>
              <w:bottom w:val="single" w:sz="4" w:space="0" w:color="auto"/>
              <w:right w:val="single" w:sz="4" w:space="0" w:color="auto"/>
            </w:tcBorders>
            <w:shd w:val="clear" w:color="auto" w:fill="C6EFCE"/>
            <w:noWrap/>
          </w:tcPr>
          <w:p w14:paraId="2C3EC7E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7F8835C5" w14:textId="77777777" w:rsidR="003A3D51" w:rsidRDefault="0002775A">
            <w:pPr>
              <w:pStyle w:val="P68B1DB1-Normal7"/>
              <w:spacing w:after="200" w:line="276" w:lineRule="auto"/>
              <w:rPr>
                <w:rFonts w:ascii="Times New Roman" w:hAnsi="Times New Roman" w:cs="Times New Roman"/>
                <w:noProof/>
              </w:rPr>
            </w:pPr>
            <w:r>
              <w:rPr>
                <w:noProof/>
              </w:rPr>
              <w:t xml:space="preserve">Medicintekniska produkter för diagnostik på kliniska sjukhus (KB) Dubrava </w:t>
            </w:r>
          </w:p>
        </w:tc>
        <w:tc>
          <w:tcPr>
            <w:tcW w:w="687" w:type="pct"/>
            <w:tcBorders>
              <w:top w:val="single" w:sz="4" w:space="0" w:color="auto"/>
              <w:left w:val="nil"/>
              <w:bottom w:val="single" w:sz="4" w:space="0" w:color="auto"/>
              <w:right w:val="single" w:sz="4" w:space="0" w:color="auto"/>
            </w:tcBorders>
            <w:shd w:val="clear" w:color="auto" w:fill="C6EFCE"/>
            <w:noWrap/>
          </w:tcPr>
          <w:p w14:paraId="2783B7A3"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03289F71"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4879608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73782661" w14:textId="77777777" w:rsidR="003A3D51" w:rsidRDefault="0002775A">
            <w:pPr>
              <w:pStyle w:val="P68B1DB1-Normal7"/>
              <w:spacing w:after="200" w:line="276" w:lineRule="auto"/>
              <w:jc w:val="center"/>
              <w:rPr>
                <w:rFonts w:ascii="Times New Roman" w:hAnsi="Times New Roman" w:cs="Times New Roman"/>
                <w:noProof/>
              </w:rPr>
            </w:pPr>
            <w:r>
              <w:rPr>
                <w:noProof/>
              </w:rPr>
              <w:t>8</w:t>
            </w:r>
          </w:p>
        </w:tc>
        <w:tc>
          <w:tcPr>
            <w:tcW w:w="242" w:type="pct"/>
            <w:tcBorders>
              <w:top w:val="single" w:sz="4" w:space="0" w:color="auto"/>
              <w:left w:val="nil"/>
              <w:bottom w:val="single" w:sz="4" w:space="0" w:color="auto"/>
              <w:right w:val="single" w:sz="4" w:space="0" w:color="auto"/>
            </w:tcBorders>
            <w:shd w:val="clear" w:color="auto" w:fill="C6EFCE"/>
            <w:noWrap/>
          </w:tcPr>
          <w:p w14:paraId="63654F32"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409C2A06"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4205017F" w14:textId="77777777" w:rsidR="003A3D51" w:rsidRDefault="0002775A">
            <w:pPr>
              <w:pStyle w:val="P68B1DB1-Normal7"/>
              <w:spacing w:after="200" w:line="276" w:lineRule="auto"/>
              <w:rPr>
                <w:rFonts w:ascii="Times New Roman" w:hAnsi="Times New Roman" w:cs="Times New Roman"/>
                <w:noProof/>
              </w:rPr>
            </w:pPr>
            <w:r>
              <w:rPr>
                <w:noProof/>
              </w:rPr>
              <w:t xml:space="preserve">Inköp och installation av åtta medicintekniska produkter för diagnostik och digital radiologisk utrustning för det kliniska institutet för diagnos- och interventionsradiologi. Alla anordningar planeras installeras gradvis, medan alla ska vara i drift senast den 30 juni 2023. </w:t>
            </w:r>
          </w:p>
        </w:tc>
      </w:tr>
      <w:tr w:rsidR="003A3D51" w14:paraId="7ADDA448"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750EEE90" w14:textId="77777777" w:rsidR="003A3D51" w:rsidRDefault="0002775A">
            <w:pPr>
              <w:pStyle w:val="P68B1DB1-Normal7"/>
              <w:spacing w:after="200" w:line="276" w:lineRule="auto"/>
              <w:jc w:val="center"/>
              <w:rPr>
                <w:rFonts w:ascii="Times New Roman" w:hAnsi="Times New Roman" w:cs="Times New Roman"/>
                <w:noProof/>
              </w:rPr>
            </w:pPr>
            <w:r>
              <w:rPr>
                <w:noProof/>
              </w:rPr>
              <w:t>326</w:t>
            </w:r>
          </w:p>
        </w:tc>
        <w:tc>
          <w:tcPr>
            <w:tcW w:w="257" w:type="pct"/>
            <w:tcBorders>
              <w:top w:val="single" w:sz="4" w:space="0" w:color="auto"/>
              <w:left w:val="nil"/>
              <w:bottom w:val="single" w:sz="4" w:space="0" w:color="auto"/>
              <w:right w:val="single" w:sz="4" w:space="0" w:color="auto"/>
            </w:tcBorders>
            <w:shd w:val="clear" w:color="auto" w:fill="C6EFCE"/>
            <w:noWrap/>
          </w:tcPr>
          <w:p w14:paraId="58E2FC47" w14:textId="77777777" w:rsidR="003A3D51" w:rsidRDefault="0002775A">
            <w:pPr>
              <w:pStyle w:val="P68B1DB1-Normal7"/>
              <w:spacing w:after="200" w:line="276" w:lineRule="auto"/>
              <w:jc w:val="center"/>
              <w:rPr>
                <w:rFonts w:ascii="Times New Roman" w:hAnsi="Times New Roman" w:cs="Times New Roman"/>
                <w:noProof/>
              </w:rPr>
            </w:pPr>
            <w:r>
              <w:rPr>
                <w:noProof/>
              </w:rPr>
              <w:t>C5.1 R1-I7</w:t>
            </w:r>
          </w:p>
        </w:tc>
        <w:tc>
          <w:tcPr>
            <w:tcW w:w="288" w:type="pct"/>
            <w:tcBorders>
              <w:top w:val="single" w:sz="4" w:space="0" w:color="auto"/>
              <w:left w:val="nil"/>
              <w:bottom w:val="single" w:sz="4" w:space="0" w:color="auto"/>
              <w:right w:val="single" w:sz="4" w:space="0" w:color="auto"/>
            </w:tcBorders>
            <w:shd w:val="clear" w:color="auto" w:fill="C6EFCE"/>
            <w:noWrap/>
          </w:tcPr>
          <w:p w14:paraId="16F51446"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53178B29" w14:textId="77777777" w:rsidR="003A3D51" w:rsidRDefault="0002775A">
            <w:pPr>
              <w:pStyle w:val="P68B1DB1-Normal7"/>
              <w:spacing w:after="200" w:line="276" w:lineRule="auto"/>
              <w:rPr>
                <w:rFonts w:ascii="Times New Roman" w:hAnsi="Times New Roman" w:cs="Times New Roman"/>
                <w:noProof/>
              </w:rPr>
            </w:pPr>
            <w:r>
              <w:rPr>
                <w:noProof/>
              </w:rPr>
              <w:t xml:space="preserve">Nya anläggningar vid KBC Sestre Milosrdnice </w:t>
            </w:r>
          </w:p>
        </w:tc>
        <w:tc>
          <w:tcPr>
            <w:tcW w:w="687" w:type="pct"/>
            <w:tcBorders>
              <w:top w:val="single" w:sz="4" w:space="0" w:color="auto"/>
              <w:left w:val="nil"/>
              <w:bottom w:val="single" w:sz="4" w:space="0" w:color="auto"/>
              <w:right w:val="single" w:sz="4" w:space="0" w:color="auto"/>
            </w:tcBorders>
            <w:shd w:val="clear" w:color="auto" w:fill="C6EFCE"/>
            <w:noWrap/>
          </w:tcPr>
          <w:p w14:paraId="4942738B"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1557788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57B8D05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681DF4B2" w14:textId="77777777" w:rsidR="003A3D51" w:rsidRDefault="0002775A">
            <w:pPr>
              <w:pStyle w:val="P68B1DB1-Normal7"/>
              <w:spacing w:after="200" w:line="276" w:lineRule="auto"/>
              <w:jc w:val="center"/>
              <w:rPr>
                <w:rFonts w:ascii="Times New Roman" w:hAnsi="Times New Roman" w:cs="Times New Roman"/>
                <w:noProof/>
              </w:rPr>
            </w:pPr>
            <w:r>
              <w:rPr>
                <w:noProof/>
              </w:rPr>
              <w:t>2</w:t>
            </w:r>
          </w:p>
        </w:tc>
        <w:tc>
          <w:tcPr>
            <w:tcW w:w="242" w:type="pct"/>
            <w:tcBorders>
              <w:top w:val="single" w:sz="4" w:space="0" w:color="auto"/>
              <w:left w:val="nil"/>
              <w:bottom w:val="single" w:sz="4" w:space="0" w:color="auto"/>
              <w:right w:val="single" w:sz="4" w:space="0" w:color="auto"/>
            </w:tcBorders>
            <w:shd w:val="clear" w:color="auto" w:fill="C6EFCE"/>
            <w:noWrap/>
          </w:tcPr>
          <w:p w14:paraId="60412EFF" w14:textId="0BB513ED"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2" w:type="pct"/>
            <w:tcBorders>
              <w:top w:val="single" w:sz="4" w:space="0" w:color="auto"/>
              <w:left w:val="nil"/>
              <w:bottom w:val="single" w:sz="4" w:space="0" w:color="auto"/>
              <w:right w:val="single" w:sz="4" w:space="0" w:color="auto"/>
            </w:tcBorders>
            <w:shd w:val="clear" w:color="auto" w:fill="C6EFCE"/>
            <w:noWrap/>
          </w:tcPr>
          <w:p w14:paraId="3FB4E0C7" w14:textId="10D8010B"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65" w:type="pct"/>
            <w:tcBorders>
              <w:top w:val="single" w:sz="4" w:space="0" w:color="auto"/>
              <w:left w:val="nil"/>
              <w:bottom w:val="single" w:sz="4" w:space="0" w:color="auto"/>
              <w:right w:val="single" w:sz="4" w:space="0" w:color="auto"/>
            </w:tcBorders>
            <w:shd w:val="clear" w:color="auto" w:fill="C6EFCE"/>
            <w:noWrap/>
          </w:tcPr>
          <w:p w14:paraId="191FFA9A" w14:textId="77777777" w:rsidR="003A3D51" w:rsidRDefault="0002775A">
            <w:pPr>
              <w:pStyle w:val="P68B1DB1-Normal7"/>
              <w:spacing w:after="200" w:line="276" w:lineRule="auto"/>
              <w:rPr>
                <w:rFonts w:ascii="Times New Roman" w:hAnsi="Times New Roman" w:cs="Times New Roman"/>
                <w:noProof/>
              </w:rPr>
            </w:pPr>
            <w:r>
              <w:rPr>
                <w:noProof/>
              </w:rPr>
              <w:t xml:space="preserve">Det kliniska sjukhuset (KBC) Sestre Milosrdnice ska vara utrustat med integrerade akutmottagningsanläggningar, dagsjukhus och endagskirurgi med medicinsk och icke-medicinsk utrustning och möbler. </w:t>
            </w:r>
          </w:p>
        </w:tc>
      </w:tr>
      <w:tr w:rsidR="003A3D51" w14:paraId="3EBDD756"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23F46328" w14:textId="77777777" w:rsidR="003A3D51" w:rsidRDefault="0002775A">
            <w:pPr>
              <w:pStyle w:val="P68B1DB1-Normal7"/>
              <w:spacing w:after="200" w:line="276" w:lineRule="auto"/>
              <w:jc w:val="center"/>
              <w:rPr>
                <w:rFonts w:ascii="Times New Roman" w:hAnsi="Times New Roman" w:cs="Times New Roman"/>
                <w:noProof/>
              </w:rPr>
            </w:pPr>
            <w:r>
              <w:rPr>
                <w:noProof/>
              </w:rPr>
              <w:t>327</w:t>
            </w:r>
          </w:p>
        </w:tc>
        <w:tc>
          <w:tcPr>
            <w:tcW w:w="257" w:type="pct"/>
            <w:tcBorders>
              <w:top w:val="single" w:sz="4" w:space="0" w:color="auto"/>
              <w:left w:val="nil"/>
              <w:bottom w:val="single" w:sz="4" w:space="0" w:color="auto"/>
              <w:right w:val="single" w:sz="4" w:space="0" w:color="auto"/>
            </w:tcBorders>
            <w:shd w:val="clear" w:color="auto" w:fill="C6EFCE"/>
            <w:noWrap/>
          </w:tcPr>
          <w:p w14:paraId="718CB8E4" w14:textId="77777777" w:rsidR="003A3D51" w:rsidRDefault="0002775A">
            <w:pPr>
              <w:pStyle w:val="P68B1DB1-Normal7"/>
              <w:spacing w:after="200" w:line="276" w:lineRule="auto"/>
              <w:jc w:val="center"/>
              <w:rPr>
                <w:rFonts w:ascii="Times New Roman" w:hAnsi="Times New Roman" w:cs="Times New Roman"/>
                <w:noProof/>
              </w:rPr>
            </w:pPr>
            <w:r>
              <w:rPr>
                <w:noProof/>
              </w:rPr>
              <w:t>C5.1 R1-I8</w:t>
            </w:r>
          </w:p>
        </w:tc>
        <w:tc>
          <w:tcPr>
            <w:tcW w:w="288" w:type="pct"/>
            <w:tcBorders>
              <w:top w:val="single" w:sz="4" w:space="0" w:color="auto"/>
              <w:left w:val="nil"/>
              <w:bottom w:val="single" w:sz="4" w:space="0" w:color="auto"/>
              <w:right w:val="single" w:sz="4" w:space="0" w:color="auto"/>
            </w:tcBorders>
            <w:shd w:val="clear" w:color="auto" w:fill="C6EFCE"/>
            <w:noWrap/>
          </w:tcPr>
          <w:p w14:paraId="3E9DE7F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4AD96A6A" w14:textId="77777777" w:rsidR="003A3D51" w:rsidRDefault="0002775A">
            <w:pPr>
              <w:pStyle w:val="P68B1DB1-Normal7"/>
              <w:spacing w:after="200" w:line="276" w:lineRule="auto"/>
              <w:rPr>
                <w:rFonts w:ascii="Times New Roman" w:hAnsi="Times New Roman" w:cs="Times New Roman"/>
                <w:noProof/>
              </w:rPr>
            </w:pPr>
            <w:r>
              <w:rPr>
                <w:noProof/>
              </w:rPr>
              <w:t>Medicintekniska produkter för operativ behandling och behandling av patienter med farmakoresistent epilepsi på kliniska sjukhus (KB) Dubrava</w:t>
            </w:r>
          </w:p>
        </w:tc>
        <w:tc>
          <w:tcPr>
            <w:tcW w:w="687" w:type="pct"/>
            <w:tcBorders>
              <w:top w:val="single" w:sz="4" w:space="0" w:color="auto"/>
              <w:left w:val="nil"/>
              <w:bottom w:val="single" w:sz="4" w:space="0" w:color="auto"/>
              <w:right w:val="single" w:sz="4" w:space="0" w:color="auto"/>
            </w:tcBorders>
            <w:shd w:val="clear" w:color="auto" w:fill="C6EFCE"/>
            <w:noWrap/>
          </w:tcPr>
          <w:p w14:paraId="11D4435F"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17294558"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2555EC6E"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6C5BF8EC" w14:textId="77777777" w:rsidR="003A3D51" w:rsidRDefault="0002775A">
            <w:pPr>
              <w:pStyle w:val="P68B1DB1-Normal7"/>
              <w:spacing w:after="200" w:line="276" w:lineRule="auto"/>
              <w:jc w:val="center"/>
              <w:rPr>
                <w:rFonts w:ascii="Times New Roman" w:hAnsi="Times New Roman" w:cs="Times New Roman"/>
                <w:noProof/>
              </w:rPr>
            </w:pPr>
            <w:r>
              <w:rPr>
                <w:noProof/>
              </w:rPr>
              <w:t>10</w:t>
            </w:r>
          </w:p>
        </w:tc>
        <w:tc>
          <w:tcPr>
            <w:tcW w:w="242" w:type="pct"/>
            <w:tcBorders>
              <w:top w:val="single" w:sz="4" w:space="0" w:color="auto"/>
              <w:left w:val="nil"/>
              <w:bottom w:val="single" w:sz="4" w:space="0" w:color="auto"/>
              <w:right w:val="single" w:sz="4" w:space="0" w:color="auto"/>
            </w:tcBorders>
            <w:shd w:val="clear" w:color="auto" w:fill="C6EFCE"/>
            <w:noWrap/>
          </w:tcPr>
          <w:p w14:paraId="1F696215"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28E48C48"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62E67906" w14:textId="77777777" w:rsidR="003A3D51" w:rsidRDefault="0002775A">
            <w:pPr>
              <w:pStyle w:val="P68B1DB1-Normal7"/>
              <w:spacing w:after="200" w:line="276" w:lineRule="auto"/>
              <w:rPr>
                <w:rFonts w:ascii="Times New Roman" w:hAnsi="Times New Roman" w:cs="Times New Roman"/>
                <w:noProof/>
              </w:rPr>
            </w:pPr>
            <w:r>
              <w:rPr>
                <w:noProof/>
              </w:rPr>
              <w:t>För att vidareutveckla institutet för neurologi vid kliniska sjukhus (KB) ska Dubrava tio medicintekniska produkter installeras och tas i drift senast den 30 juni 2023. Investeringen ska omfatta förvärv av utrustning såsom SEEG 256-kanalinspelningsutrustning, digital EMNG och EP 12-kanalavbildning. Termokoaguleringsutrustning för radiofrekvens (RF) och anpassning av lämplig rumslig kapacitet.</w:t>
            </w:r>
          </w:p>
        </w:tc>
      </w:tr>
      <w:tr w:rsidR="003A3D51" w14:paraId="72590EE5"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13FAD743" w14:textId="77777777" w:rsidR="003A3D51" w:rsidRDefault="0002775A">
            <w:pPr>
              <w:pStyle w:val="P68B1DB1-Normal7"/>
              <w:spacing w:after="200" w:line="276" w:lineRule="auto"/>
              <w:jc w:val="center"/>
              <w:rPr>
                <w:rFonts w:ascii="Times New Roman" w:hAnsi="Times New Roman" w:cs="Times New Roman"/>
                <w:noProof/>
              </w:rPr>
            </w:pPr>
            <w:r>
              <w:rPr>
                <w:noProof/>
              </w:rPr>
              <w:t>328</w:t>
            </w:r>
          </w:p>
        </w:tc>
        <w:tc>
          <w:tcPr>
            <w:tcW w:w="257" w:type="pct"/>
            <w:tcBorders>
              <w:top w:val="single" w:sz="4" w:space="0" w:color="auto"/>
              <w:left w:val="nil"/>
              <w:bottom w:val="single" w:sz="4" w:space="0" w:color="auto"/>
              <w:right w:val="single" w:sz="4" w:space="0" w:color="auto"/>
            </w:tcBorders>
            <w:shd w:val="clear" w:color="auto" w:fill="C6EFCE"/>
            <w:noWrap/>
          </w:tcPr>
          <w:p w14:paraId="1920D0BA" w14:textId="77777777" w:rsidR="003A3D51" w:rsidRDefault="0002775A">
            <w:pPr>
              <w:pStyle w:val="P68B1DB1-Normal7"/>
              <w:spacing w:after="200" w:line="276" w:lineRule="auto"/>
              <w:jc w:val="center"/>
              <w:rPr>
                <w:rFonts w:ascii="Times New Roman" w:hAnsi="Times New Roman" w:cs="Times New Roman"/>
                <w:noProof/>
              </w:rPr>
            </w:pPr>
            <w:r>
              <w:rPr>
                <w:noProof/>
              </w:rPr>
              <w:t>C5.1 R1-I9</w:t>
            </w:r>
          </w:p>
        </w:tc>
        <w:tc>
          <w:tcPr>
            <w:tcW w:w="288" w:type="pct"/>
            <w:tcBorders>
              <w:top w:val="single" w:sz="4" w:space="0" w:color="auto"/>
              <w:left w:val="nil"/>
              <w:bottom w:val="single" w:sz="4" w:space="0" w:color="auto"/>
              <w:right w:val="single" w:sz="4" w:space="0" w:color="auto"/>
            </w:tcBorders>
            <w:shd w:val="clear" w:color="auto" w:fill="C6EFCE"/>
            <w:noWrap/>
          </w:tcPr>
          <w:p w14:paraId="1AF4299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23EB69C8" w14:textId="77777777" w:rsidR="003A3D51" w:rsidRDefault="0002775A">
            <w:pPr>
              <w:pStyle w:val="P68B1DB1-Normal7"/>
              <w:spacing w:after="200" w:line="276" w:lineRule="auto"/>
              <w:rPr>
                <w:rFonts w:ascii="Times New Roman" w:hAnsi="Times New Roman" w:cs="Times New Roman"/>
                <w:noProof/>
              </w:rPr>
            </w:pPr>
            <w:r>
              <w:rPr>
                <w:noProof/>
              </w:rPr>
              <w:t xml:space="preserve">Utvecklingsprojekt vid KBC (KBC) Zagreb </w:t>
            </w:r>
          </w:p>
        </w:tc>
        <w:tc>
          <w:tcPr>
            <w:tcW w:w="687" w:type="pct"/>
            <w:tcBorders>
              <w:top w:val="single" w:sz="4" w:space="0" w:color="auto"/>
              <w:left w:val="nil"/>
              <w:bottom w:val="single" w:sz="4" w:space="0" w:color="auto"/>
              <w:right w:val="single" w:sz="4" w:space="0" w:color="auto"/>
            </w:tcBorders>
            <w:shd w:val="clear" w:color="auto" w:fill="C6EFCE"/>
            <w:noWrap/>
          </w:tcPr>
          <w:p w14:paraId="1945E9C9"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2A268C7A"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23E7F09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1405F3FA"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242" w:type="pct"/>
            <w:tcBorders>
              <w:top w:val="single" w:sz="4" w:space="0" w:color="auto"/>
              <w:left w:val="nil"/>
              <w:bottom w:val="single" w:sz="4" w:space="0" w:color="auto"/>
              <w:right w:val="single" w:sz="4" w:space="0" w:color="auto"/>
            </w:tcBorders>
            <w:shd w:val="clear" w:color="auto" w:fill="C6EFCE"/>
            <w:noWrap/>
          </w:tcPr>
          <w:p w14:paraId="436D81DB"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2" w:type="pct"/>
            <w:tcBorders>
              <w:top w:val="single" w:sz="4" w:space="0" w:color="auto"/>
              <w:left w:val="nil"/>
              <w:bottom w:val="single" w:sz="4" w:space="0" w:color="auto"/>
              <w:right w:val="single" w:sz="4" w:space="0" w:color="auto"/>
            </w:tcBorders>
            <w:shd w:val="clear" w:color="auto" w:fill="C6EFCE"/>
            <w:noWrap/>
          </w:tcPr>
          <w:p w14:paraId="5B1B85B3"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65" w:type="pct"/>
            <w:tcBorders>
              <w:top w:val="single" w:sz="4" w:space="0" w:color="auto"/>
              <w:left w:val="nil"/>
              <w:bottom w:val="single" w:sz="4" w:space="0" w:color="auto"/>
              <w:right w:val="single" w:sz="4" w:space="0" w:color="auto"/>
            </w:tcBorders>
            <w:shd w:val="clear" w:color="auto" w:fill="C6EFCE"/>
            <w:noWrap/>
          </w:tcPr>
          <w:p w14:paraId="49E50762" w14:textId="77777777" w:rsidR="003A3D51" w:rsidRDefault="0002775A">
            <w:pPr>
              <w:pStyle w:val="P68B1DB1-Normal7"/>
              <w:spacing w:after="200" w:line="276" w:lineRule="auto"/>
              <w:rPr>
                <w:rFonts w:ascii="Times New Roman" w:hAnsi="Times New Roman" w:cs="Times New Roman"/>
                <w:noProof/>
              </w:rPr>
            </w:pPr>
            <w:r>
              <w:rPr>
                <w:noProof/>
              </w:rPr>
              <w:t>Slutförandet av utvecklingsprojektet för det kliniska sjukhuscentrumet i Zagreb ska omfatta inköp av ny medicinsk och nödvändig icke-medicinsk utrustning (såsom möbler och köksutrustning) för sex avdelningar och kliniker.</w:t>
            </w:r>
          </w:p>
        </w:tc>
      </w:tr>
      <w:tr w:rsidR="003A3D51" w14:paraId="2C767622"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5D9D4E4B" w14:textId="77777777" w:rsidR="003A3D51" w:rsidRDefault="0002775A">
            <w:pPr>
              <w:pStyle w:val="P68B1DB1-Normal7"/>
              <w:spacing w:after="200" w:line="276" w:lineRule="auto"/>
              <w:jc w:val="center"/>
              <w:rPr>
                <w:rFonts w:ascii="Times New Roman" w:hAnsi="Times New Roman" w:cs="Times New Roman"/>
                <w:noProof/>
              </w:rPr>
            </w:pPr>
            <w:bookmarkStart w:id="6" w:name="R2"/>
            <w:r>
              <w:rPr>
                <w:noProof/>
              </w:rPr>
              <w:t>329</w:t>
            </w:r>
          </w:p>
        </w:tc>
        <w:tc>
          <w:tcPr>
            <w:tcW w:w="257" w:type="pct"/>
            <w:tcBorders>
              <w:top w:val="single" w:sz="4" w:space="0" w:color="auto"/>
              <w:left w:val="nil"/>
              <w:bottom w:val="single" w:sz="4" w:space="0" w:color="auto"/>
              <w:right w:val="single" w:sz="4" w:space="0" w:color="auto"/>
            </w:tcBorders>
            <w:shd w:val="clear" w:color="auto" w:fill="C6EFCE"/>
            <w:noWrap/>
          </w:tcPr>
          <w:p w14:paraId="76D16AAF" w14:textId="77777777" w:rsidR="003A3D51" w:rsidRDefault="0002775A">
            <w:pPr>
              <w:pStyle w:val="P68B1DB1-Normal7"/>
              <w:spacing w:after="200" w:line="276" w:lineRule="auto"/>
              <w:jc w:val="center"/>
              <w:rPr>
                <w:rFonts w:ascii="Times New Roman" w:hAnsi="Times New Roman" w:cs="Times New Roman"/>
                <w:noProof/>
              </w:rPr>
            </w:pPr>
            <w:r>
              <w:rPr>
                <w:noProof/>
              </w:rPr>
              <w:t>C5.1 R2</w:t>
            </w:r>
          </w:p>
        </w:tc>
        <w:tc>
          <w:tcPr>
            <w:tcW w:w="288" w:type="pct"/>
            <w:tcBorders>
              <w:top w:val="single" w:sz="4" w:space="0" w:color="auto"/>
              <w:left w:val="nil"/>
              <w:bottom w:val="single" w:sz="4" w:space="0" w:color="auto"/>
              <w:right w:val="single" w:sz="4" w:space="0" w:color="auto"/>
            </w:tcBorders>
            <w:shd w:val="clear" w:color="auto" w:fill="C6EFCE"/>
            <w:noWrap/>
          </w:tcPr>
          <w:p w14:paraId="5AF6BACD"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30" w:type="pct"/>
            <w:tcBorders>
              <w:top w:val="single" w:sz="4" w:space="0" w:color="auto"/>
              <w:left w:val="nil"/>
              <w:bottom w:val="single" w:sz="4" w:space="0" w:color="auto"/>
              <w:right w:val="single" w:sz="4" w:space="0" w:color="auto"/>
            </w:tcBorders>
            <w:shd w:val="clear" w:color="auto" w:fill="C6EFCE"/>
            <w:noWrap/>
          </w:tcPr>
          <w:p w14:paraId="466934CC" w14:textId="77777777" w:rsidR="003A3D51" w:rsidRDefault="0002775A">
            <w:pPr>
              <w:pStyle w:val="P68B1DB1-Normal7"/>
              <w:spacing w:after="200" w:line="276" w:lineRule="auto"/>
              <w:rPr>
                <w:rFonts w:ascii="Times New Roman" w:hAnsi="Times New Roman" w:cs="Times New Roman"/>
                <w:noProof/>
              </w:rPr>
            </w:pPr>
            <w:r>
              <w:rPr>
                <w:noProof/>
              </w:rPr>
              <w:t>Förbättra och harmonisera kvaliteten på hälso- och sjukvården genom att utveckla kliniska e-riktlinjer</w:t>
            </w:r>
          </w:p>
        </w:tc>
        <w:tc>
          <w:tcPr>
            <w:tcW w:w="687" w:type="pct"/>
            <w:tcBorders>
              <w:top w:val="single" w:sz="4" w:space="0" w:color="auto"/>
              <w:left w:val="nil"/>
              <w:bottom w:val="single" w:sz="4" w:space="0" w:color="auto"/>
              <w:right w:val="single" w:sz="4" w:space="0" w:color="auto"/>
            </w:tcBorders>
            <w:shd w:val="clear" w:color="auto" w:fill="C6EFCE"/>
            <w:noWrap/>
          </w:tcPr>
          <w:p w14:paraId="4D1B4648" w14:textId="77777777" w:rsidR="003A3D51" w:rsidRDefault="0002775A">
            <w:pPr>
              <w:pStyle w:val="P68B1DB1-Normal7"/>
              <w:spacing w:after="200" w:line="276" w:lineRule="auto"/>
              <w:rPr>
                <w:rFonts w:ascii="Times New Roman" w:hAnsi="Times New Roman" w:cs="Times New Roman"/>
                <w:noProof/>
              </w:rPr>
            </w:pPr>
            <w:r>
              <w:rPr>
                <w:noProof/>
              </w:rPr>
              <w:t xml:space="preserve">Kliniska riktlinjer som utvecklats och integrerats i e-riktlinjer i det kroatiska hälso- och sjukvårdssystemet av hälsoministeriet (MIZ). </w:t>
            </w:r>
          </w:p>
        </w:tc>
        <w:tc>
          <w:tcPr>
            <w:tcW w:w="394" w:type="pct"/>
            <w:tcBorders>
              <w:top w:val="single" w:sz="4" w:space="0" w:color="auto"/>
              <w:left w:val="nil"/>
              <w:bottom w:val="single" w:sz="4" w:space="0" w:color="auto"/>
              <w:right w:val="single" w:sz="4" w:space="0" w:color="auto"/>
            </w:tcBorders>
            <w:shd w:val="clear" w:color="auto" w:fill="C6EFCE"/>
            <w:noWrap/>
          </w:tcPr>
          <w:p w14:paraId="2A641FA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31" w:type="pct"/>
            <w:tcBorders>
              <w:top w:val="single" w:sz="4" w:space="0" w:color="auto"/>
              <w:left w:val="nil"/>
              <w:bottom w:val="single" w:sz="4" w:space="0" w:color="auto"/>
              <w:right w:val="single" w:sz="4" w:space="0" w:color="auto"/>
            </w:tcBorders>
            <w:shd w:val="clear" w:color="auto" w:fill="C6EFCE"/>
            <w:noWrap/>
          </w:tcPr>
          <w:p w14:paraId="5E1E5DC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single" w:sz="4" w:space="0" w:color="auto"/>
              <w:left w:val="nil"/>
              <w:bottom w:val="single" w:sz="4" w:space="0" w:color="auto"/>
              <w:right w:val="single" w:sz="4" w:space="0" w:color="auto"/>
            </w:tcBorders>
            <w:shd w:val="clear" w:color="auto" w:fill="C6EFCE"/>
            <w:noWrap/>
          </w:tcPr>
          <w:p w14:paraId="4E00393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2" w:type="pct"/>
            <w:tcBorders>
              <w:top w:val="single" w:sz="4" w:space="0" w:color="auto"/>
              <w:left w:val="nil"/>
              <w:bottom w:val="single" w:sz="4" w:space="0" w:color="auto"/>
              <w:right w:val="single" w:sz="4" w:space="0" w:color="auto"/>
            </w:tcBorders>
            <w:shd w:val="clear" w:color="auto" w:fill="C6EFCE"/>
            <w:noWrap/>
          </w:tcPr>
          <w:p w14:paraId="799ED27B"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72" w:type="pct"/>
            <w:tcBorders>
              <w:top w:val="single" w:sz="4" w:space="0" w:color="auto"/>
              <w:left w:val="nil"/>
              <w:bottom w:val="single" w:sz="4" w:space="0" w:color="auto"/>
              <w:right w:val="single" w:sz="4" w:space="0" w:color="auto"/>
            </w:tcBorders>
            <w:shd w:val="clear" w:color="auto" w:fill="C6EFCE"/>
            <w:noWrap/>
          </w:tcPr>
          <w:p w14:paraId="5CFDB60A"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0C3D7321" w14:textId="77777777" w:rsidR="003A3D51" w:rsidRDefault="0002775A">
            <w:pPr>
              <w:pStyle w:val="P68B1DB1-Normal7"/>
              <w:spacing w:after="200" w:line="276" w:lineRule="auto"/>
              <w:rPr>
                <w:rFonts w:ascii="Times New Roman" w:hAnsi="Times New Roman" w:cs="Times New Roman"/>
                <w:noProof/>
              </w:rPr>
            </w:pPr>
            <w:r>
              <w:rPr>
                <w:noProof/>
              </w:rPr>
              <w:t xml:space="preserve">På grundval av vetenskapliga belägg ska hälsoministeriet (MIZ) utarbeta och integrera kliniska riktlinjer i det kroatiska hälso- och sjukvårdssystemet samt e-riktlinjer som harmoniserar hälso- och sjukvårdens kvalitet, i syfte att harmonisera patientbehandlingen och förbättra behandlingsresultaten. Genomförandet av kliniska riktlinjer ska integreras i och e-riktlinjer i det kroatiska hälso- och sjukvårdssystemet, vilket innebär att det är viktigt att höja hälso- och sjukvårdens kvalitet och förbättra systemförvaltningen till gagn för patienter, hälso- och sjukvårdspersonal och samhället som helhet. </w:t>
            </w:r>
          </w:p>
        </w:tc>
      </w:tr>
      <w:tr w:rsidR="003A3D51" w14:paraId="4C1B5453"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579EB238" w14:textId="77777777" w:rsidR="003A3D51" w:rsidRDefault="0002775A">
            <w:pPr>
              <w:pStyle w:val="P68B1DB1-Normal7"/>
              <w:spacing w:after="200" w:line="276" w:lineRule="auto"/>
              <w:jc w:val="center"/>
              <w:rPr>
                <w:rFonts w:ascii="Times New Roman" w:hAnsi="Times New Roman" w:cs="Times New Roman"/>
                <w:noProof/>
              </w:rPr>
            </w:pPr>
            <w:r>
              <w:rPr>
                <w:noProof/>
              </w:rPr>
              <w:t>330</w:t>
            </w:r>
          </w:p>
        </w:tc>
        <w:tc>
          <w:tcPr>
            <w:tcW w:w="257" w:type="pct"/>
            <w:tcBorders>
              <w:top w:val="single" w:sz="4" w:space="0" w:color="auto"/>
              <w:left w:val="nil"/>
              <w:bottom w:val="single" w:sz="4" w:space="0" w:color="auto"/>
              <w:right w:val="single" w:sz="4" w:space="0" w:color="auto"/>
            </w:tcBorders>
            <w:shd w:val="clear" w:color="auto" w:fill="C6EFCE"/>
            <w:noWrap/>
          </w:tcPr>
          <w:p w14:paraId="7E27ED33" w14:textId="77777777" w:rsidR="003A3D51" w:rsidRDefault="0002775A">
            <w:pPr>
              <w:pStyle w:val="P68B1DB1-Normal7"/>
              <w:spacing w:after="200" w:line="276" w:lineRule="auto"/>
              <w:jc w:val="center"/>
              <w:rPr>
                <w:rFonts w:ascii="Times New Roman" w:hAnsi="Times New Roman" w:cs="Times New Roman"/>
                <w:noProof/>
              </w:rPr>
            </w:pPr>
            <w:r>
              <w:rPr>
                <w:noProof/>
              </w:rPr>
              <w:t>C5.1 R2</w:t>
            </w:r>
          </w:p>
        </w:tc>
        <w:tc>
          <w:tcPr>
            <w:tcW w:w="288" w:type="pct"/>
            <w:tcBorders>
              <w:top w:val="single" w:sz="4" w:space="0" w:color="auto"/>
              <w:left w:val="nil"/>
              <w:bottom w:val="single" w:sz="4" w:space="0" w:color="auto"/>
              <w:right w:val="single" w:sz="4" w:space="0" w:color="auto"/>
            </w:tcBorders>
            <w:shd w:val="clear" w:color="auto" w:fill="C6EFCE"/>
            <w:noWrap/>
          </w:tcPr>
          <w:p w14:paraId="5CC3BC1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5C134386" w14:textId="77777777" w:rsidR="003A3D51" w:rsidRDefault="0002775A">
            <w:pPr>
              <w:pStyle w:val="P68B1DB1-Normal7"/>
              <w:spacing w:after="200" w:line="276" w:lineRule="auto"/>
              <w:rPr>
                <w:rFonts w:ascii="Times New Roman" w:hAnsi="Times New Roman" w:cs="Times New Roman"/>
                <w:noProof/>
              </w:rPr>
            </w:pPr>
            <w:r>
              <w:rPr>
                <w:noProof/>
              </w:rPr>
              <w:t>Optimering av tiden för strålbehandling – väntelistor</w:t>
            </w:r>
          </w:p>
        </w:tc>
        <w:tc>
          <w:tcPr>
            <w:tcW w:w="687" w:type="pct"/>
            <w:tcBorders>
              <w:top w:val="single" w:sz="4" w:space="0" w:color="auto"/>
              <w:left w:val="nil"/>
              <w:bottom w:val="single" w:sz="4" w:space="0" w:color="auto"/>
              <w:right w:val="single" w:sz="4" w:space="0" w:color="auto"/>
            </w:tcBorders>
            <w:shd w:val="clear" w:color="auto" w:fill="C6EFCE"/>
            <w:noWrap/>
          </w:tcPr>
          <w:p w14:paraId="6A1259F9"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5D128DAE" w14:textId="77777777" w:rsidR="003A3D51" w:rsidRDefault="0002775A">
            <w:pPr>
              <w:pStyle w:val="P68B1DB1-Normal7"/>
              <w:spacing w:after="200" w:line="276" w:lineRule="auto"/>
              <w:jc w:val="center"/>
              <w:rPr>
                <w:rFonts w:ascii="Times New Roman" w:hAnsi="Times New Roman" w:cs="Times New Roman"/>
                <w:noProof/>
              </w:rPr>
            </w:pPr>
            <w:r>
              <w:rPr>
                <w:noProof/>
              </w:rPr>
              <w:t>Antal dagar</w:t>
            </w:r>
          </w:p>
        </w:tc>
        <w:tc>
          <w:tcPr>
            <w:tcW w:w="331" w:type="pct"/>
            <w:tcBorders>
              <w:top w:val="single" w:sz="4" w:space="0" w:color="auto"/>
              <w:left w:val="nil"/>
              <w:bottom w:val="single" w:sz="4" w:space="0" w:color="auto"/>
              <w:right w:val="single" w:sz="4" w:space="0" w:color="auto"/>
            </w:tcBorders>
            <w:shd w:val="clear" w:color="auto" w:fill="C6EFCE"/>
            <w:noWrap/>
          </w:tcPr>
          <w:p w14:paraId="2BD23F7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single" w:sz="4" w:space="0" w:color="auto"/>
              <w:left w:val="nil"/>
              <w:bottom w:val="single" w:sz="4" w:space="0" w:color="auto"/>
              <w:right w:val="single" w:sz="4" w:space="0" w:color="auto"/>
            </w:tcBorders>
            <w:shd w:val="clear" w:color="auto" w:fill="C6EFCE"/>
            <w:noWrap/>
          </w:tcPr>
          <w:p w14:paraId="3BD9068E" w14:textId="77777777" w:rsidR="003A3D51" w:rsidRDefault="0002775A">
            <w:pPr>
              <w:pStyle w:val="P68B1DB1-Normal7"/>
              <w:spacing w:after="200" w:line="276" w:lineRule="auto"/>
              <w:jc w:val="center"/>
              <w:rPr>
                <w:rFonts w:ascii="Times New Roman" w:hAnsi="Times New Roman" w:cs="Times New Roman"/>
                <w:noProof/>
              </w:rPr>
            </w:pPr>
            <w:r>
              <w:rPr>
                <w:noProof/>
              </w:rPr>
              <w:t>30</w:t>
            </w:r>
          </w:p>
        </w:tc>
        <w:tc>
          <w:tcPr>
            <w:tcW w:w="242" w:type="pct"/>
            <w:tcBorders>
              <w:top w:val="single" w:sz="4" w:space="0" w:color="auto"/>
              <w:left w:val="nil"/>
              <w:bottom w:val="single" w:sz="4" w:space="0" w:color="auto"/>
              <w:right w:val="single" w:sz="4" w:space="0" w:color="auto"/>
            </w:tcBorders>
            <w:shd w:val="clear" w:color="auto" w:fill="C6EFCE"/>
            <w:noWrap/>
          </w:tcPr>
          <w:p w14:paraId="0FDD3F05"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35C75698"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65" w:type="pct"/>
            <w:tcBorders>
              <w:top w:val="single" w:sz="4" w:space="0" w:color="auto"/>
              <w:left w:val="nil"/>
              <w:bottom w:val="single" w:sz="4" w:space="0" w:color="auto"/>
              <w:right w:val="single" w:sz="4" w:space="0" w:color="auto"/>
            </w:tcBorders>
            <w:shd w:val="clear" w:color="auto" w:fill="C6EFCE"/>
            <w:noWrap/>
          </w:tcPr>
          <w:p w14:paraId="3B51CC67" w14:textId="77777777" w:rsidR="003A3D51" w:rsidRDefault="0002775A">
            <w:pPr>
              <w:pStyle w:val="P68B1DB1-Normal7"/>
              <w:spacing w:after="200" w:line="276" w:lineRule="auto"/>
              <w:rPr>
                <w:rFonts w:ascii="Times New Roman" w:hAnsi="Times New Roman" w:cs="Times New Roman"/>
                <w:noProof/>
              </w:rPr>
            </w:pPr>
            <w:r>
              <w:rPr>
                <w:noProof/>
              </w:rPr>
              <w:t>Väntetiden för patienter som genomgår radiologisk behandling ska minskas till 30 dagar efter diagnosen.</w:t>
            </w:r>
          </w:p>
        </w:tc>
      </w:tr>
      <w:bookmarkEnd w:id="6"/>
      <w:tr w:rsidR="003A3D51" w14:paraId="7249416E"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4F7EC3E0" w14:textId="77777777" w:rsidR="003A3D51" w:rsidRDefault="0002775A">
            <w:pPr>
              <w:pStyle w:val="P68B1DB1-Normal7"/>
              <w:spacing w:after="200" w:line="276" w:lineRule="auto"/>
              <w:jc w:val="center"/>
              <w:rPr>
                <w:rFonts w:ascii="Times New Roman" w:hAnsi="Times New Roman" w:cs="Times New Roman"/>
                <w:noProof/>
              </w:rPr>
            </w:pPr>
            <w:r>
              <w:rPr>
                <w:noProof/>
              </w:rPr>
              <w:t>331</w:t>
            </w:r>
          </w:p>
        </w:tc>
        <w:tc>
          <w:tcPr>
            <w:tcW w:w="257" w:type="pct"/>
            <w:tcBorders>
              <w:top w:val="single" w:sz="4" w:space="0" w:color="auto"/>
              <w:left w:val="nil"/>
              <w:bottom w:val="single" w:sz="4" w:space="0" w:color="auto"/>
              <w:right w:val="single" w:sz="4" w:space="0" w:color="auto"/>
            </w:tcBorders>
            <w:shd w:val="clear" w:color="auto" w:fill="C6EFCE"/>
            <w:noWrap/>
          </w:tcPr>
          <w:p w14:paraId="4D2D4C67" w14:textId="77777777" w:rsidR="003A3D51" w:rsidRDefault="0002775A">
            <w:pPr>
              <w:pStyle w:val="P68B1DB1-Normal7"/>
              <w:spacing w:after="200" w:line="276" w:lineRule="auto"/>
              <w:jc w:val="center"/>
              <w:rPr>
                <w:rFonts w:ascii="Times New Roman" w:hAnsi="Times New Roman" w:cs="Times New Roman"/>
                <w:noProof/>
              </w:rPr>
            </w:pPr>
            <w:r>
              <w:rPr>
                <w:noProof/>
              </w:rPr>
              <w:t>C5.1 R2-I1</w:t>
            </w:r>
          </w:p>
        </w:tc>
        <w:tc>
          <w:tcPr>
            <w:tcW w:w="288" w:type="pct"/>
            <w:tcBorders>
              <w:top w:val="single" w:sz="4" w:space="0" w:color="auto"/>
              <w:left w:val="nil"/>
              <w:bottom w:val="single" w:sz="4" w:space="0" w:color="auto"/>
              <w:right w:val="single" w:sz="4" w:space="0" w:color="auto"/>
            </w:tcBorders>
            <w:shd w:val="clear" w:color="auto" w:fill="C6EFCE"/>
            <w:noWrap/>
          </w:tcPr>
          <w:p w14:paraId="5DD8F810"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67B1662F" w14:textId="77777777" w:rsidR="003A3D51" w:rsidRDefault="0002775A">
            <w:pPr>
              <w:pStyle w:val="P68B1DB1-Normal7"/>
              <w:spacing w:after="200" w:line="276" w:lineRule="auto"/>
              <w:rPr>
                <w:rFonts w:ascii="Times New Roman" w:hAnsi="Times New Roman" w:cs="Times New Roman"/>
                <w:noProof/>
              </w:rPr>
            </w:pPr>
            <w:r>
              <w:rPr>
                <w:noProof/>
              </w:rPr>
              <w:t xml:space="preserve">Förbättra kvaliteten på onkologisk radioterapi </w:t>
            </w:r>
          </w:p>
        </w:tc>
        <w:tc>
          <w:tcPr>
            <w:tcW w:w="687" w:type="pct"/>
            <w:tcBorders>
              <w:top w:val="single" w:sz="4" w:space="0" w:color="auto"/>
              <w:left w:val="nil"/>
              <w:bottom w:val="single" w:sz="4" w:space="0" w:color="auto"/>
              <w:right w:val="single" w:sz="4" w:space="0" w:color="auto"/>
            </w:tcBorders>
            <w:shd w:val="clear" w:color="auto" w:fill="C6EFCE"/>
            <w:noWrap/>
          </w:tcPr>
          <w:p w14:paraId="1BAA1A41"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67BDE8C8"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7B98313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18A444A0" w14:textId="77777777" w:rsidR="003A3D51" w:rsidRDefault="0002775A">
            <w:pPr>
              <w:pStyle w:val="P68B1DB1-Normal7"/>
              <w:spacing w:after="200" w:line="276" w:lineRule="auto"/>
              <w:jc w:val="center"/>
              <w:rPr>
                <w:rFonts w:ascii="Times New Roman" w:hAnsi="Times New Roman" w:cs="Times New Roman"/>
                <w:noProof/>
              </w:rPr>
            </w:pPr>
            <w:r>
              <w:rPr>
                <w:noProof/>
              </w:rPr>
              <w:t>6</w:t>
            </w:r>
          </w:p>
        </w:tc>
        <w:tc>
          <w:tcPr>
            <w:tcW w:w="242" w:type="pct"/>
            <w:tcBorders>
              <w:top w:val="single" w:sz="4" w:space="0" w:color="auto"/>
              <w:left w:val="nil"/>
              <w:bottom w:val="single" w:sz="4" w:space="0" w:color="auto"/>
              <w:right w:val="single" w:sz="4" w:space="0" w:color="auto"/>
            </w:tcBorders>
            <w:shd w:val="clear" w:color="auto" w:fill="C6EFCE"/>
            <w:noWrap/>
          </w:tcPr>
          <w:p w14:paraId="70E9728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46DBC564"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78305C13" w14:textId="0A113610" w:rsidR="003A3D51" w:rsidRDefault="0002775A">
            <w:pPr>
              <w:pStyle w:val="P68B1DB1-Normal7"/>
              <w:spacing w:after="200" w:line="276" w:lineRule="auto"/>
              <w:rPr>
                <w:rFonts w:ascii="Times New Roman" w:hAnsi="Times New Roman" w:cs="Times New Roman"/>
                <w:noProof/>
              </w:rPr>
            </w:pPr>
            <w:r>
              <w:rPr>
                <w:noProof/>
              </w:rPr>
              <w:t>Sex sjukhus ska vara utrustade med medicintekniska produkter för förebyggande, diagnos och behandling av cancer. Investeringen ska innebära förvärv av ny utrustning och återställande av gammal utrustning.</w:t>
            </w:r>
          </w:p>
        </w:tc>
      </w:tr>
      <w:tr w:rsidR="003A3D51" w14:paraId="3E755023"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7F6014F7" w14:textId="77777777" w:rsidR="003A3D51" w:rsidRDefault="0002775A">
            <w:pPr>
              <w:pStyle w:val="P68B1DB1-Normal7"/>
              <w:spacing w:after="200" w:line="276" w:lineRule="auto"/>
              <w:jc w:val="center"/>
              <w:rPr>
                <w:rFonts w:ascii="Times New Roman" w:hAnsi="Times New Roman" w:cs="Times New Roman"/>
                <w:noProof/>
              </w:rPr>
            </w:pPr>
            <w:r>
              <w:rPr>
                <w:noProof/>
              </w:rPr>
              <w:t>332</w:t>
            </w:r>
          </w:p>
        </w:tc>
        <w:tc>
          <w:tcPr>
            <w:tcW w:w="257" w:type="pct"/>
            <w:tcBorders>
              <w:top w:val="single" w:sz="4" w:space="0" w:color="auto"/>
              <w:left w:val="nil"/>
              <w:bottom w:val="single" w:sz="4" w:space="0" w:color="auto"/>
              <w:right w:val="single" w:sz="4" w:space="0" w:color="auto"/>
            </w:tcBorders>
            <w:shd w:val="clear" w:color="auto" w:fill="C6EFCE"/>
            <w:noWrap/>
          </w:tcPr>
          <w:p w14:paraId="24113940" w14:textId="77777777" w:rsidR="003A3D51" w:rsidRDefault="0002775A">
            <w:pPr>
              <w:pStyle w:val="P68B1DB1-Normal7"/>
              <w:spacing w:after="200" w:line="276" w:lineRule="auto"/>
              <w:jc w:val="center"/>
              <w:rPr>
                <w:rFonts w:ascii="Times New Roman" w:hAnsi="Times New Roman" w:cs="Times New Roman"/>
                <w:noProof/>
              </w:rPr>
            </w:pPr>
            <w:r>
              <w:rPr>
                <w:noProof/>
              </w:rPr>
              <w:t>C5.1 R2-I2</w:t>
            </w:r>
          </w:p>
        </w:tc>
        <w:tc>
          <w:tcPr>
            <w:tcW w:w="288" w:type="pct"/>
            <w:tcBorders>
              <w:top w:val="single" w:sz="4" w:space="0" w:color="auto"/>
              <w:left w:val="nil"/>
              <w:bottom w:val="single" w:sz="4" w:space="0" w:color="auto"/>
              <w:right w:val="single" w:sz="4" w:space="0" w:color="auto"/>
            </w:tcBorders>
            <w:shd w:val="clear" w:color="auto" w:fill="C6EFCE"/>
            <w:noWrap/>
          </w:tcPr>
          <w:p w14:paraId="43CE06E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51EC47D3" w14:textId="77777777" w:rsidR="003A3D51" w:rsidRDefault="0002775A">
            <w:pPr>
              <w:pStyle w:val="P68B1DB1-Normal7"/>
              <w:spacing w:after="200" w:line="276" w:lineRule="auto"/>
              <w:rPr>
                <w:rFonts w:ascii="Times New Roman" w:hAnsi="Times New Roman" w:cs="Times New Roman"/>
                <w:noProof/>
              </w:rPr>
            </w:pPr>
            <w:r>
              <w:rPr>
                <w:noProof/>
              </w:rPr>
              <w:t xml:space="preserve">En enda it-plattform för uppkoppling, övervakning och optimalt behandling av onkologiska patienter </w:t>
            </w:r>
          </w:p>
        </w:tc>
        <w:tc>
          <w:tcPr>
            <w:tcW w:w="687" w:type="pct"/>
            <w:tcBorders>
              <w:top w:val="single" w:sz="4" w:space="0" w:color="auto"/>
              <w:left w:val="nil"/>
              <w:bottom w:val="single" w:sz="4" w:space="0" w:color="auto"/>
              <w:right w:val="single" w:sz="4" w:space="0" w:color="auto"/>
            </w:tcBorders>
            <w:shd w:val="clear" w:color="auto" w:fill="C6EFCE"/>
            <w:noWrap/>
          </w:tcPr>
          <w:p w14:paraId="708C5D6A"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53E89DB3"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1DF6AEF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1BA36339"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242" w:type="pct"/>
            <w:tcBorders>
              <w:top w:val="single" w:sz="4" w:space="0" w:color="auto"/>
              <w:left w:val="nil"/>
              <w:bottom w:val="single" w:sz="4" w:space="0" w:color="auto"/>
              <w:right w:val="single" w:sz="4" w:space="0" w:color="auto"/>
            </w:tcBorders>
            <w:shd w:val="clear" w:color="auto" w:fill="C6EFCE"/>
            <w:noWrap/>
          </w:tcPr>
          <w:p w14:paraId="6622303C"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48A16648"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72DDB4FD" w14:textId="77777777" w:rsidR="003A3D51" w:rsidRDefault="0002775A">
            <w:pPr>
              <w:pStyle w:val="P68B1DB1-Normal7"/>
              <w:spacing w:after="200" w:line="276" w:lineRule="auto"/>
              <w:rPr>
                <w:rFonts w:ascii="Times New Roman" w:hAnsi="Times New Roman" w:cs="Times New Roman"/>
                <w:noProof/>
              </w:rPr>
            </w:pPr>
            <w:r>
              <w:rPr>
                <w:noProof/>
              </w:rPr>
              <w:t xml:space="preserve">En enda enhetlig it-plattform för sammankoppling, övervakning och optimal behandling av onkologiska patienter ska utvecklas och göras operativ. It-plattformen ska göra det möjligt att samla in hälsodata, planera organisatoriska och strukturella förändringar, identifiera risker och grunden för att genomföra ytterligare steg i strategin, inbegripet inrättandet av ett nätverk för strålbehandling. Alla onkologiska institutioner i Kroatien ska ingå i det nationella onkologiska nätverket. Lämpliga algoritmer för grundläggande diagnostiska förfaranden som är nödvändiga för att inleda behandling av de vanligaste diagnoserna ska också installeras inom det nationella it-onkologiska nätverket för att standardisera behandlingen på alla nivåer i Kroatien, från små onkologiska öppenpatienter till kliniska sjukhuscentrum. </w:t>
            </w:r>
          </w:p>
        </w:tc>
      </w:tr>
      <w:tr w:rsidR="003A3D51" w14:paraId="7E44F515"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35901CDE" w14:textId="77777777" w:rsidR="003A3D51" w:rsidRDefault="0002775A">
            <w:pPr>
              <w:pStyle w:val="P68B1DB1-Normal7"/>
              <w:spacing w:after="200" w:line="276" w:lineRule="auto"/>
              <w:jc w:val="center"/>
              <w:rPr>
                <w:rFonts w:ascii="Times New Roman" w:hAnsi="Times New Roman" w:cs="Times New Roman"/>
                <w:noProof/>
              </w:rPr>
            </w:pPr>
            <w:r>
              <w:rPr>
                <w:noProof/>
              </w:rPr>
              <w:t>333</w:t>
            </w:r>
          </w:p>
        </w:tc>
        <w:tc>
          <w:tcPr>
            <w:tcW w:w="257" w:type="pct"/>
            <w:tcBorders>
              <w:top w:val="single" w:sz="4" w:space="0" w:color="auto"/>
              <w:left w:val="nil"/>
              <w:bottom w:val="single" w:sz="4" w:space="0" w:color="auto"/>
              <w:right w:val="single" w:sz="4" w:space="0" w:color="auto"/>
            </w:tcBorders>
            <w:shd w:val="clear" w:color="auto" w:fill="C6EFCE"/>
            <w:noWrap/>
          </w:tcPr>
          <w:p w14:paraId="74B0356E" w14:textId="77777777" w:rsidR="003A3D51" w:rsidRDefault="0002775A">
            <w:pPr>
              <w:pStyle w:val="P68B1DB1-Normal7"/>
              <w:spacing w:after="200" w:line="276" w:lineRule="auto"/>
              <w:jc w:val="center"/>
              <w:rPr>
                <w:rFonts w:ascii="Times New Roman" w:hAnsi="Times New Roman" w:cs="Times New Roman"/>
                <w:noProof/>
              </w:rPr>
            </w:pPr>
            <w:r>
              <w:rPr>
                <w:noProof/>
              </w:rPr>
              <w:t>C5.1 R3</w:t>
            </w:r>
          </w:p>
        </w:tc>
        <w:tc>
          <w:tcPr>
            <w:tcW w:w="288" w:type="pct"/>
            <w:tcBorders>
              <w:top w:val="single" w:sz="4" w:space="0" w:color="auto"/>
              <w:left w:val="nil"/>
              <w:bottom w:val="single" w:sz="4" w:space="0" w:color="auto"/>
              <w:right w:val="single" w:sz="4" w:space="0" w:color="auto"/>
            </w:tcBorders>
            <w:shd w:val="clear" w:color="auto" w:fill="C6EFCE"/>
            <w:noWrap/>
          </w:tcPr>
          <w:p w14:paraId="26FEB36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830" w:type="pct"/>
            <w:tcBorders>
              <w:top w:val="single" w:sz="4" w:space="0" w:color="auto"/>
              <w:left w:val="nil"/>
              <w:bottom w:val="single" w:sz="4" w:space="0" w:color="auto"/>
              <w:right w:val="single" w:sz="4" w:space="0" w:color="auto"/>
            </w:tcBorders>
            <w:shd w:val="clear" w:color="auto" w:fill="C6EFCE"/>
            <w:noWrap/>
          </w:tcPr>
          <w:p w14:paraId="143616D2" w14:textId="77777777" w:rsidR="003A3D51" w:rsidRDefault="0002775A">
            <w:pPr>
              <w:pStyle w:val="P68B1DB1-Normal7"/>
              <w:spacing w:after="200" w:line="276" w:lineRule="auto"/>
              <w:rPr>
                <w:rFonts w:ascii="Times New Roman" w:hAnsi="Times New Roman" w:cs="Times New Roman"/>
                <w:noProof/>
              </w:rPr>
            </w:pPr>
            <w:r>
              <w:rPr>
                <w:noProof/>
              </w:rPr>
              <w:t>Nationell hälsoutvecklingsplan 2021–2027</w:t>
            </w:r>
          </w:p>
        </w:tc>
        <w:tc>
          <w:tcPr>
            <w:tcW w:w="687" w:type="pct"/>
            <w:tcBorders>
              <w:top w:val="single" w:sz="4" w:space="0" w:color="auto"/>
              <w:left w:val="nil"/>
              <w:bottom w:val="single" w:sz="4" w:space="0" w:color="auto"/>
              <w:right w:val="single" w:sz="4" w:space="0" w:color="auto"/>
            </w:tcBorders>
            <w:shd w:val="clear" w:color="auto" w:fill="C6EFCE"/>
            <w:noWrap/>
          </w:tcPr>
          <w:p w14:paraId="7A162EEE" w14:textId="77777777" w:rsidR="003A3D51" w:rsidRDefault="0002775A">
            <w:pPr>
              <w:pStyle w:val="P68B1DB1-Normal7"/>
              <w:spacing w:after="200" w:line="276" w:lineRule="auto"/>
              <w:rPr>
                <w:rFonts w:ascii="Times New Roman" w:hAnsi="Times New Roman" w:cs="Times New Roman"/>
                <w:noProof/>
              </w:rPr>
            </w:pPr>
            <w:r>
              <w:rPr>
                <w:noProof/>
              </w:rPr>
              <w:t>Antagande av den nationella hälsoutvecklingsplanen 2021–2027</w:t>
            </w:r>
          </w:p>
        </w:tc>
        <w:tc>
          <w:tcPr>
            <w:tcW w:w="394" w:type="pct"/>
            <w:tcBorders>
              <w:top w:val="single" w:sz="4" w:space="0" w:color="auto"/>
              <w:left w:val="nil"/>
              <w:bottom w:val="single" w:sz="4" w:space="0" w:color="auto"/>
              <w:right w:val="single" w:sz="4" w:space="0" w:color="auto"/>
            </w:tcBorders>
            <w:shd w:val="clear" w:color="auto" w:fill="C6EFCE"/>
            <w:noWrap/>
          </w:tcPr>
          <w:p w14:paraId="40136CF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31" w:type="pct"/>
            <w:tcBorders>
              <w:top w:val="single" w:sz="4" w:space="0" w:color="auto"/>
              <w:left w:val="nil"/>
              <w:bottom w:val="single" w:sz="4" w:space="0" w:color="auto"/>
              <w:right w:val="single" w:sz="4" w:space="0" w:color="auto"/>
            </w:tcBorders>
            <w:shd w:val="clear" w:color="auto" w:fill="C6EFCE"/>
            <w:noWrap/>
          </w:tcPr>
          <w:p w14:paraId="4447964C"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single" w:sz="4" w:space="0" w:color="auto"/>
              <w:left w:val="nil"/>
              <w:bottom w:val="single" w:sz="4" w:space="0" w:color="auto"/>
              <w:right w:val="single" w:sz="4" w:space="0" w:color="auto"/>
            </w:tcBorders>
            <w:shd w:val="clear" w:color="auto" w:fill="C6EFCE"/>
            <w:noWrap/>
          </w:tcPr>
          <w:p w14:paraId="095DAA4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2" w:type="pct"/>
            <w:tcBorders>
              <w:top w:val="single" w:sz="4" w:space="0" w:color="auto"/>
              <w:left w:val="nil"/>
              <w:bottom w:val="single" w:sz="4" w:space="0" w:color="auto"/>
              <w:right w:val="single" w:sz="4" w:space="0" w:color="auto"/>
            </w:tcBorders>
            <w:shd w:val="clear" w:color="auto" w:fill="C6EFCE"/>
            <w:noWrap/>
          </w:tcPr>
          <w:p w14:paraId="695ABA10" w14:textId="77777777" w:rsidR="003A3D51" w:rsidRDefault="0002775A">
            <w:pPr>
              <w:pStyle w:val="P68B1DB1-Normal7"/>
              <w:spacing w:after="200" w:line="276" w:lineRule="auto"/>
              <w:jc w:val="center"/>
              <w:rPr>
                <w:rFonts w:ascii="Times New Roman" w:hAnsi="Times New Roman" w:cs="Times New Roman"/>
                <w:noProof/>
              </w:rPr>
            </w:pPr>
            <w:r>
              <w:rPr>
                <w:noProof/>
              </w:rPr>
              <w:t>KVARTAL 3</w:t>
            </w:r>
          </w:p>
        </w:tc>
        <w:tc>
          <w:tcPr>
            <w:tcW w:w="272" w:type="pct"/>
            <w:tcBorders>
              <w:top w:val="single" w:sz="4" w:space="0" w:color="auto"/>
              <w:left w:val="nil"/>
              <w:bottom w:val="single" w:sz="4" w:space="0" w:color="auto"/>
              <w:right w:val="single" w:sz="4" w:space="0" w:color="auto"/>
            </w:tcBorders>
            <w:shd w:val="clear" w:color="auto" w:fill="C6EFCE"/>
            <w:noWrap/>
          </w:tcPr>
          <w:p w14:paraId="58A0E834"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1165" w:type="pct"/>
            <w:tcBorders>
              <w:top w:val="single" w:sz="4" w:space="0" w:color="auto"/>
              <w:left w:val="nil"/>
              <w:bottom w:val="single" w:sz="4" w:space="0" w:color="auto"/>
              <w:right w:val="single" w:sz="4" w:space="0" w:color="auto"/>
            </w:tcBorders>
            <w:shd w:val="clear" w:color="auto" w:fill="C6EFCE"/>
            <w:noWrap/>
          </w:tcPr>
          <w:p w14:paraId="2FF8FE6A" w14:textId="77777777" w:rsidR="003A3D51" w:rsidRDefault="0002775A">
            <w:pPr>
              <w:pStyle w:val="P68B1DB1-Normal7"/>
              <w:spacing w:after="200" w:line="276" w:lineRule="auto"/>
              <w:rPr>
                <w:rFonts w:ascii="Times New Roman" w:hAnsi="Times New Roman" w:cs="Times New Roman"/>
                <w:noProof/>
              </w:rPr>
            </w:pPr>
            <w:r>
              <w:rPr>
                <w:noProof/>
              </w:rPr>
              <w:t xml:space="preserve">Den nationella hälsoutvecklingsplanen 2021–2027 som en övergripande sektorsspecifik planeringslag ska innehålla särskilda mål, åtgärder, projekt och verksamheter som ska genomföras under överinseende av hälsoministeriet (MIZ) med det primära målet att förbättra hälso- och sjukvårdssystemet och hälsoresultaten. Den nationella hälsoutvecklingsplanen ska vara förenlig med den kroatiska regeringens reformprogram och Europeiska kommissionens riktlinjer för sammanhållningspolitiken för 2021–2027. Den nationella hälsoutvecklingsplanen ska definiera utvecklingsbehoven på medellång sikt genom att </w:t>
            </w:r>
            <w:r>
              <w:rPr>
                <w:noProof/>
              </w:rPr>
              <w:br/>
              <w:t>— Fastställande av utvecklingsbehov för att uppnå ett flexibelt, effektivt och holistiskt förvaltat hälso- och sjukvårdssystem,</w:t>
            </w:r>
            <w:r>
              <w:rPr>
                <w:noProof/>
              </w:rPr>
              <w:br/>
              <w:t>— Ange åtgärder för framgångsrikt främjande av hälsa och förebyggande av sjukdomar.</w:t>
            </w:r>
            <w:r>
              <w:rPr>
                <w:noProof/>
              </w:rPr>
              <w:br/>
              <w:t>— Införande av samordning av vårdgivare och omvandling av behandlings- och rehabiliteringsmodeller till aktiv hantering av vårdprocesser på alla stadier och nivåer.</w:t>
            </w:r>
            <w:r>
              <w:rPr>
                <w:noProof/>
              </w:rPr>
              <w:br/>
              <w:t>— Definition av integrering av hälso- och sjukvårdstjänster och social omsorg och utveckling av integrerade modeller för långvarig vård och omsorg.</w:t>
            </w:r>
            <w:r>
              <w:rPr>
                <w:noProof/>
              </w:rPr>
              <w:br/>
              <w:t>— Införande av åtgärder för att kontrollera och förbättra kvaliteten på hälso- och sjukvården och patientsäkerheten.</w:t>
            </w:r>
            <w:r>
              <w:rPr>
                <w:noProof/>
              </w:rPr>
              <w:br/>
              <w:t xml:space="preserve">Förbättra bestämmelserna om personaladministration. </w:t>
            </w:r>
            <w:r>
              <w:rPr>
                <w:noProof/>
              </w:rPr>
              <w:br/>
              <w:t xml:space="preserve">Införande av särskilda mål som indirekt bidrar till att uppnå det strategiska mål som fastställs i den nationella reformstrategin senast 2030. Ökningen av den förväntade livslängden för friska år ska bidra genom följande: </w:t>
            </w:r>
            <w:r>
              <w:rPr>
                <w:noProof/>
              </w:rPr>
              <w:br/>
              <w:t>Främja hälsosamma livsstilar och förebyggande av sjukdomar som är ett av de största folkhälsoproblemen.</w:t>
            </w:r>
            <w:r>
              <w:rPr>
                <w:noProof/>
              </w:rPr>
              <w:br/>
              <w:t xml:space="preserve">Förbättra kvaliteten på hälso- och sjukvården genom förbättrad effektivitet, säkerhet, tillgänglighet och funktionell integrering av alla nivåer och delar av hälso- och sjukvården. </w:t>
            </w:r>
            <w:r>
              <w:rPr>
                <w:noProof/>
              </w:rPr>
              <w:br/>
              <w:t xml:space="preserve">— Införande av den nya vårdmodellen för viktiga hälsoutmaningar som hjärt- och kärlsjukdomar, onkologiska och sällsynta sjukdomar samt diabetes för att förlänga och förbättra livskvaliteten. </w:t>
            </w:r>
            <w:r>
              <w:rPr>
                <w:noProof/>
              </w:rPr>
              <w:br/>
              <w:t>— Göra hälso- och sjukvårdssystemet till en önskvärd anställningsort genom strategisk styrning och på så sätt säkerställa ett optimalt antal och fördelning av anställda i hälso- och sjukvårdssystemet,</w:t>
            </w:r>
            <w:r>
              <w:rPr>
                <w:noProof/>
              </w:rPr>
              <w:br/>
              <w:t>Förbättra finansierings- och förvaltningsmodellen för hälso- och sjukvårdssystemet.</w:t>
            </w:r>
            <w:r>
              <w:rPr>
                <w:noProof/>
              </w:rPr>
              <w:br/>
              <w:t>För att uppnå de specifika målen ska åtgärder och insatser fastställas. Utfallsindikatorerna för vart och ett av de särskilda målen och resultatindikatorerna ska fastställas för var och en av åtgärderna. Den nationella hälsoutvecklingsplanen ska innehålla resultaten av kartläggningen av behoven av hälso- och sjukvård och social omsorg på området långvarig vård och omsorg. I själva dokumentet används bidrag från andra nationella lagar och program (den nationella strategiska ramen mot cancer fram till 2030, den nationella planen för utveckling av kliniska sjukhus, kliniska sjukhus, kliniker och allmänna sjukhus i Kroatien, nationella cancersjukdomar, diabetessjukdomar och sällsynta sjukdomar) och rekommendationer för Kroatien för 2019 och 2020.</w:t>
            </w:r>
          </w:p>
        </w:tc>
      </w:tr>
      <w:tr w:rsidR="003A3D51" w14:paraId="5FE44808"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367B18E5" w14:textId="7D38CC41" w:rsidR="003A3D51" w:rsidRDefault="0002775A">
            <w:pPr>
              <w:pStyle w:val="P68B1DB1-Normal7"/>
              <w:spacing w:after="200" w:line="276" w:lineRule="auto"/>
              <w:jc w:val="center"/>
              <w:rPr>
                <w:noProof/>
              </w:rPr>
            </w:pPr>
            <w:r>
              <w:rPr>
                <w:noProof/>
              </w:rPr>
              <w:t>399</w:t>
            </w:r>
          </w:p>
        </w:tc>
        <w:tc>
          <w:tcPr>
            <w:tcW w:w="257" w:type="pct"/>
            <w:tcBorders>
              <w:top w:val="single" w:sz="4" w:space="0" w:color="auto"/>
              <w:left w:val="nil"/>
              <w:bottom w:val="single" w:sz="4" w:space="0" w:color="auto"/>
              <w:right w:val="single" w:sz="4" w:space="0" w:color="auto"/>
            </w:tcBorders>
            <w:shd w:val="clear" w:color="auto" w:fill="C6EFCE"/>
            <w:noWrap/>
          </w:tcPr>
          <w:p w14:paraId="2B76E32F" w14:textId="77777777" w:rsidR="003A3D51" w:rsidRDefault="0002775A">
            <w:pPr>
              <w:pStyle w:val="P68B1DB1-Normal7"/>
              <w:spacing w:after="200" w:line="276" w:lineRule="auto"/>
              <w:jc w:val="center"/>
              <w:rPr>
                <w:noProof/>
              </w:rPr>
            </w:pPr>
            <w:r>
              <w:rPr>
                <w:noProof/>
              </w:rPr>
              <w:t>C5.1 R3-I1</w:t>
            </w:r>
          </w:p>
        </w:tc>
        <w:tc>
          <w:tcPr>
            <w:tcW w:w="288" w:type="pct"/>
            <w:tcBorders>
              <w:top w:val="single" w:sz="4" w:space="0" w:color="auto"/>
              <w:left w:val="nil"/>
              <w:bottom w:val="single" w:sz="4" w:space="0" w:color="auto"/>
              <w:right w:val="single" w:sz="4" w:space="0" w:color="auto"/>
            </w:tcBorders>
            <w:shd w:val="clear" w:color="auto" w:fill="C6EFCE"/>
            <w:noWrap/>
          </w:tcPr>
          <w:p w14:paraId="0AF63B53" w14:textId="77777777" w:rsidR="003A3D51" w:rsidRDefault="0002775A">
            <w:pPr>
              <w:pStyle w:val="P68B1DB1-Normal7"/>
              <w:spacing w:after="200" w:line="276" w:lineRule="auto"/>
              <w:jc w:val="center"/>
              <w:rPr>
                <w:noProof/>
              </w:rPr>
            </w:pPr>
            <w:r>
              <w:rPr>
                <w:noProof/>
              </w:rPr>
              <w:t>M</w:t>
            </w:r>
          </w:p>
        </w:tc>
        <w:tc>
          <w:tcPr>
            <w:tcW w:w="830" w:type="pct"/>
            <w:tcBorders>
              <w:top w:val="single" w:sz="4" w:space="0" w:color="auto"/>
              <w:left w:val="nil"/>
              <w:bottom w:val="single" w:sz="4" w:space="0" w:color="auto"/>
              <w:right w:val="single" w:sz="4" w:space="0" w:color="auto"/>
            </w:tcBorders>
            <w:shd w:val="clear" w:color="auto" w:fill="C6EFCE"/>
            <w:noWrap/>
          </w:tcPr>
          <w:p w14:paraId="234E89F0" w14:textId="77777777" w:rsidR="003A3D51" w:rsidRDefault="0002775A">
            <w:pPr>
              <w:pStyle w:val="P68B1DB1-Normal7"/>
              <w:spacing w:after="200" w:line="276" w:lineRule="auto"/>
              <w:rPr>
                <w:noProof/>
              </w:rPr>
            </w:pPr>
            <w:r>
              <w:rPr>
                <w:noProof/>
              </w:rPr>
              <w:t>Inrättande av ett centraliserat finansieringssystem för specialistläkarutbildning</w:t>
            </w:r>
          </w:p>
        </w:tc>
        <w:tc>
          <w:tcPr>
            <w:tcW w:w="687" w:type="pct"/>
            <w:tcBorders>
              <w:top w:val="single" w:sz="4" w:space="0" w:color="auto"/>
              <w:left w:val="nil"/>
              <w:bottom w:val="single" w:sz="4" w:space="0" w:color="auto"/>
              <w:right w:val="single" w:sz="4" w:space="0" w:color="auto"/>
            </w:tcBorders>
            <w:shd w:val="clear" w:color="auto" w:fill="C6EFCE"/>
            <w:noWrap/>
          </w:tcPr>
          <w:p w14:paraId="170E8B2A" w14:textId="77777777" w:rsidR="003A3D51" w:rsidRDefault="0002775A">
            <w:pPr>
              <w:pStyle w:val="P68B1DB1-Normal7"/>
              <w:spacing w:after="200" w:line="276" w:lineRule="auto"/>
              <w:rPr>
                <w:noProof/>
              </w:rPr>
            </w:pPr>
            <w:r>
              <w:rPr>
                <w:noProof/>
              </w:rPr>
              <w:t xml:space="preserve">Regeringens beslut </w:t>
            </w:r>
          </w:p>
        </w:tc>
        <w:tc>
          <w:tcPr>
            <w:tcW w:w="394" w:type="pct"/>
            <w:tcBorders>
              <w:top w:val="single" w:sz="4" w:space="0" w:color="auto"/>
              <w:left w:val="nil"/>
              <w:bottom w:val="single" w:sz="4" w:space="0" w:color="auto"/>
              <w:right w:val="single" w:sz="4" w:space="0" w:color="auto"/>
            </w:tcBorders>
            <w:shd w:val="clear" w:color="auto" w:fill="C6EFCE"/>
            <w:noWrap/>
          </w:tcPr>
          <w:p w14:paraId="23FD8EF8" w14:textId="77777777" w:rsidR="003A3D51" w:rsidRDefault="003A3D51">
            <w:pPr>
              <w:spacing w:after="200" w:line="276" w:lineRule="auto"/>
              <w:jc w:val="center"/>
              <w:rPr>
                <w:rFonts w:ascii="Calibri" w:eastAsia="Calibri" w:hAnsi="Calibri" w:cs="Arial"/>
                <w:noProof/>
                <w:color w:val="000000"/>
                <w:sz w:val="20"/>
              </w:rPr>
            </w:pPr>
          </w:p>
        </w:tc>
        <w:tc>
          <w:tcPr>
            <w:tcW w:w="331" w:type="pct"/>
            <w:tcBorders>
              <w:top w:val="single" w:sz="4" w:space="0" w:color="auto"/>
              <w:left w:val="nil"/>
              <w:bottom w:val="single" w:sz="4" w:space="0" w:color="auto"/>
              <w:right w:val="single" w:sz="4" w:space="0" w:color="auto"/>
            </w:tcBorders>
            <w:shd w:val="clear" w:color="auto" w:fill="C6EFCE"/>
            <w:noWrap/>
          </w:tcPr>
          <w:p w14:paraId="51628939" w14:textId="77777777" w:rsidR="003A3D51" w:rsidRDefault="003A3D51">
            <w:pPr>
              <w:spacing w:after="200" w:line="276" w:lineRule="auto"/>
              <w:jc w:val="center"/>
              <w:rPr>
                <w:rFonts w:ascii="Calibri" w:eastAsia="Calibri" w:hAnsi="Calibri" w:cs="Arial"/>
                <w:noProof/>
                <w:color w:val="000000"/>
                <w:sz w:val="20"/>
              </w:rPr>
            </w:pPr>
          </w:p>
        </w:tc>
        <w:tc>
          <w:tcPr>
            <w:tcW w:w="297" w:type="pct"/>
            <w:tcBorders>
              <w:top w:val="single" w:sz="4" w:space="0" w:color="auto"/>
              <w:left w:val="nil"/>
              <w:bottom w:val="single" w:sz="4" w:space="0" w:color="auto"/>
              <w:right w:val="single" w:sz="4" w:space="0" w:color="auto"/>
            </w:tcBorders>
            <w:shd w:val="clear" w:color="auto" w:fill="C6EFCE"/>
            <w:noWrap/>
          </w:tcPr>
          <w:p w14:paraId="4C373456" w14:textId="77777777" w:rsidR="003A3D51" w:rsidRDefault="003A3D51">
            <w:pPr>
              <w:spacing w:after="200" w:line="276" w:lineRule="auto"/>
              <w:jc w:val="center"/>
              <w:rPr>
                <w:rFonts w:ascii="Calibri" w:eastAsia="Calibri" w:hAnsi="Calibri" w:cs="Arial"/>
                <w:noProof/>
                <w:color w:val="000000"/>
                <w:sz w:val="20"/>
              </w:rPr>
            </w:pPr>
          </w:p>
        </w:tc>
        <w:tc>
          <w:tcPr>
            <w:tcW w:w="242" w:type="pct"/>
            <w:tcBorders>
              <w:top w:val="single" w:sz="4" w:space="0" w:color="auto"/>
              <w:left w:val="nil"/>
              <w:bottom w:val="single" w:sz="4" w:space="0" w:color="auto"/>
              <w:right w:val="single" w:sz="4" w:space="0" w:color="auto"/>
            </w:tcBorders>
            <w:shd w:val="clear" w:color="auto" w:fill="C6EFCE"/>
            <w:noWrap/>
          </w:tcPr>
          <w:p w14:paraId="7CDF9EE8" w14:textId="77777777" w:rsidR="003A3D51" w:rsidRDefault="0002775A">
            <w:pPr>
              <w:pStyle w:val="P68B1DB1-Normal7"/>
              <w:spacing w:after="200" w:line="276" w:lineRule="auto"/>
              <w:jc w:val="center"/>
              <w:rPr>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29E0180E" w14:textId="77777777" w:rsidR="003A3D51" w:rsidRDefault="0002775A">
            <w:pPr>
              <w:pStyle w:val="P68B1DB1-Normal7"/>
              <w:spacing w:after="200" w:line="276" w:lineRule="auto"/>
              <w:jc w:val="center"/>
              <w:rPr>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1507889C" w14:textId="77777777" w:rsidR="003A3D51" w:rsidRDefault="0002775A">
            <w:pPr>
              <w:pStyle w:val="P68B1DB1-Normal7"/>
              <w:spacing w:after="0" w:line="276" w:lineRule="auto"/>
              <w:rPr>
                <w:noProof/>
              </w:rPr>
            </w:pPr>
            <w:r>
              <w:rPr>
                <w:noProof/>
              </w:rPr>
              <w:t>Institutionaliseringen av det ekonomiska stödet till medicinska specialiseringar ska ske genom inrättandet av ett centraliserat finansieringssystem för specialistläkarutbildning, som främst syftar till att åtgärda brister inom specifika medicinska specialiteter, inbegripet men inte begränsat till primärvård och folkhälsa. Tilldelningen av ekonomiska resurser för detta ändamål ska uteslutande avsättas för att uppfylla de krav som ställs av nätverket för offentliga hälso- och sjukvårdstjänster.</w:t>
            </w:r>
          </w:p>
          <w:p w14:paraId="5D109300" w14:textId="77777777" w:rsidR="003A3D51" w:rsidRDefault="0002775A">
            <w:pPr>
              <w:pStyle w:val="P68B1DB1-Normal7"/>
              <w:spacing w:after="200" w:line="276" w:lineRule="auto"/>
              <w:rPr>
                <w:noProof/>
              </w:rPr>
            </w:pPr>
            <w:r>
              <w:rPr>
                <w:noProof/>
              </w:rPr>
              <w:t>Detta system ska utformas för att garantera återvinning av medel från ofullständiga specialistutbildningar, så att de inriktas på de på förhand fastställda målen för det centraliserade finansieringssystemet för specialistläkarutbildning, med särskilt fokus på att åtgärda brister hos läkare med brister.</w:t>
            </w:r>
          </w:p>
        </w:tc>
      </w:tr>
      <w:tr w:rsidR="003A3D51" w14:paraId="1A52F772"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53AC3D5C" w14:textId="77777777" w:rsidR="003A3D51" w:rsidRDefault="0002775A">
            <w:pPr>
              <w:pStyle w:val="P68B1DB1-Normal7"/>
              <w:spacing w:after="200" w:line="276" w:lineRule="auto"/>
              <w:jc w:val="center"/>
              <w:rPr>
                <w:rFonts w:ascii="Times New Roman" w:hAnsi="Times New Roman" w:cs="Times New Roman"/>
                <w:noProof/>
              </w:rPr>
            </w:pPr>
            <w:r>
              <w:rPr>
                <w:noProof/>
              </w:rPr>
              <w:t>334</w:t>
            </w:r>
          </w:p>
        </w:tc>
        <w:tc>
          <w:tcPr>
            <w:tcW w:w="257" w:type="pct"/>
            <w:tcBorders>
              <w:top w:val="single" w:sz="4" w:space="0" w:color="auto"/>
              <w:left w:val="nil"/>
              <w:bottom w:val="single" w:sz="4" w:space="0" w:color="auto"/>
              <w:right w:val="single" w:sz="4" w:space="0" w:color="auto"/>
            </w:tcBorders>
            <w:shd w:val="clear" w:color="auto" w:fill="C6EFCE"/>
            <w:noWrap/>
          </w:tcPr>
          <w:p w14:paraId="11BAE630" w14:textId="77777777" w:rsidR="003A3D51" w:rsidRDefault="0002775A">
            <w:pPr>
              <w:pStyle w:val="P68B1DB1-Normal7"/>
              <w:spacing w:after="200" w:line="276" w:lineRule="auto"/>
              <w:jc w:val="center"/>
              <w:rPr>
                <w:rFonts w:ascii="Times New Roman" w:hAnsi="Times New Roman" w:cs="Times New Roman"/>
                <w:noProof/>
              </w:rPr>
            </w:pPr>
            <w:r>
              <w:rPr>
                <w:noProof/>
              </w:rPr>
              <w:t>C5.1 R3-I1</w:t>
            </w:r>
          </w:p>
        </w:tc>
        <w:tc>
          <w:tcPr>
            <w:tcW w:w="288" w:type="pct"/>
            <w:tcBorders>
              <w:top w:val="single" w:sz="4" w:space="0" w:color="auto"/>
              <w:left w:val="nil"/>
              <w:bottom w:val="single" w:sz="4" w:space="0" w:color="auto"/>
              <w:right w:val="single" w:sz="4" w:space="0" w:color="auto"/>
            </w:tcBorders>
            <w:shd w:val="clear" w:color="auto" w:fill="C6EFCE"/>
            <w:noWrap/>
          </w:tcPr>
          <w:p w14:paraId="4A1D8B4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6A7482A5" w14:textId="77777777" w:rsidR="003A3D51" w:rsidRDefault="0002775A">
            <w:pPr>
              <w:pStyle w:val="P68B1DB1-Normal7"/>
              <w:spacing w:after="200" w:line="276" w:lineRule="auto"/>
              <w:rPr>
                <w:rFonts w:ascii="Times New Roman" w:hAnsi="Times New Roman" w:cs="Times New Roman"/>
                <w:noProof/>
              </w:rPr>
            </w:pPr>
            <w:r>
              <w:rPr>
                <w:noProof/>
              </w:rPr>
              <w:t>Specialistläkarutbildning på primär nivå inom hälso- och sjukvård</w:t>
            </w:r>
          </w:p>
        </w:tc>
        <w:tc>
          <w:tcPr>
            <w:tcW w:w="687" w:type="pct"/>
            <w:tcBorders>
              <w:top w:val="single" w:sz="4" w:space="0" w:color="auto"/>
              <w:left w:val="nil"/>
              <w:bottom w:val="single" w:sz="4" w:space="0" w:color="auto"/>
              <w:right w:val="single" w:sz="4" w:space="0" w:color="auto"/>
            </w:tcBorders>
            <w:shd w:val="clear" w:color="auto" w:fill="C6EFCE"/>
            <w:noWrap/>
          </w:tcPr>
          <w:p w14:paraId="12C4F712"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29471C12"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280CB0A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09E2203C" w14:textId="77777777" w:rsidR="003A3D51" w:rsidRDefault="0002775A">
            <w:pPr>
              <w:pStyle w:val="P68B1DB1-Normal7"/>
              <w:spacing w:after="200" w:line="276" w:lineRule="auto"/>
              <w:jc w:val="center"/>
              <w:rPr>
                <w:rFonts w:ascii="Times New Roman" w:hAnsi="Times New Roman" w:cs="Times New Roman"/>
                <w:noProof/>
              </w:rPr>
            </w:pPr>
            <w:r>
              <w:rPr>
                <w:noProof/>
              </w:rPr>
              <w:t>467</w:t>
            </w:r>
          </w:p>
        </w:tc>
        <w:tc>
          <w:tcPr>
            <w:tcW w:w="242" w:type="pct"/>
            <w:tcBorders>
              <w:top w:val="single" w:sz="4" w:space="0" w:color="auto"/>
              <w:left w:val="nil"/>
              <w:bottom w:val="single" w:sz="4" w:space="0" w:color="auto"/>
              <w:right w:val="single" w:sz="4" w:space="0" w:color="auto"/>
            </w:tcBorders>
            <w:shd w:val="clear" w:color="auto" w:fill="C6EFCE"/>
            <w:noWrap/>
          </w:tcPr>
          <w:p w14:paraId="42FB534C" w14:textId="396670B1"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2" w:type="pct"/>
            <w:tcBorders>
              <w:top w:val="single" w:sz="4" w:space="0" w:color="auto"/>
              <w:left w:val="nil"/>
              <w:bottom w:val="single" w:sz="4" w:space="0" w:color="auto"/>
              <w:right w:val="single" w:sz="4" w:space="0" w:color="auto"/>
            </w:tcBorders>
            <w:shd w:val="clear" w:color="auto" w:fill="C6EFCE"/>
            <w:noWrap/>
          </w:tcPr>
          <w:p w14:paraId="3EB7589C" w14:textId="375D7694"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65" w:type="pct"/>
            <w:tcBorders>
              <w:top w:val="single" w:sz="4" w:space="0" w:color="auto"/>
              <w:left w:val="nil"/>
              <w:bottom w:val="single" w:sz="4" w:space="0" w:color="auto"/>
              <w:right w:val="single" w:sz="4" w:space="0" w:color="auto"/>
            </w:tcBorders>
            <w:shd w:val="clear" w:color="auto" w:fill="C6EFCE"/>
            <w:noWrap/>
          </w:tcPr>
          <w:p w14:paraId="1ACF35E3" w14:textId="6F41CC02" w:rsidR="003A3D51" w:rsidRDefault="0002775A">
            <w:pPr>
              <w:pStyle w:val="P68B1DB1-Normal7"/>
              <w:spacing w:after="200" w:line="276" w:lineRule="auto"/>
              <w:rPr>
                <w:rFonts w:ascii="Times New Roman" w:hAnsi="Times New Roman" w:cs="Times New Roman"/>
                <w:noProof/>
              </w:rPr>
            </w:pPr>
            <w:r>
              <w:rPr>
                <w:noProof/>
              </w:rPr>
              <w:t xml:space="preserve">Avtal om specialistutbildning ska ingås för minst 467 hälso- och sjukvårdspersonal, däribland läkare som är specialiserade på primärvård, akutmedicin och folkhälsa. Dessa kontrakt ska finansieras med medel från det centraliserade finansieringssystem som inrättats för specialistläkarutbildning. </w:t>
            </w:r>
          </w:p>
        </w:tc>
      </w:tr>
      <w:tr w:rsidR="003A3D51" w14:paraId="0A750B37"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7BEB89CE" w14:textId="77777777" w:rsidR="003A3D51" w:rsidRDefault="0002775A">
            <w:pPr>
              <w:pStyle w:val="P68B1DB1-Normal7"/>
              <w:spacing w:after="200" w:line="276" w:lineRule="auto"/>
              <w:jc w:val="center"/>
              <w:rPr>
                <w:rFonts w:ascii="Times New Roman" w:hAnsi="Times New Roman" w:cs="Times New Roman"/>
                <w:noProof/>
              </w:rPr>
            </w:pPr>
            <w:r>
              <w:rPr>
                <w:noProof/>
              </w:rPr>
              <w:t>335</w:t>
            </w:r>
          </w:p>
        </w:tc>
        <w:tc>
          <w:tcPr>
            <w:tcW w:w="257" w:type="pct"/>
            <w:tcBorders>
              <w:top w:val="single" w:sz="4" w:space="0" w:color="auto"/>
              <w:left w:val="nil"/>
              <w:bottom w:val="single" w:sz="4" w:space="0" w:color="auto"/>
              <w:right w:val="single" w:sz="4" w:space="0" w:color="auto"/>
            </w:tcBorders>
            <w:shd w:val="clear" w:color="auto" w:fill="C6EFCE"/>
            <w:noWrap/>
          </w:tcPr>
          <w:p w14:paraId="1612A949" w14:textId="77777777" w:rsidR="003A3D51" w:rsidRDefault="0002775A">
            <w:pPr>
              <w:pStyle w:val="P68B1DB1-Normal7"/>
              <w:spacing w:after="200" w:line="276" w:lineRule="auto"/>
              <w:jc w:val="center"/>
              <w:rPr>
                <w:rFonts w:ascii="Times New Roman" w:hAnsi="Times New Roman" w:cs="Times New Roman"/>
                <w:noProof/>
              </w:rPr>
            </w:pPr>
            <w:r>
              <w:rPr>
                <w:noProof/>
              </w:rPr>
              <w:t>C5.1 R3-I2</w:t>
            </w:r>
          </w:p>
        </w:tc>
        <w:tc>
          <w:tcPr>
            <w:tcW w:w="288" w:type="pct"/>
            <w:tcBorders>
              <w:top w:val="single" w:sz="4" w:space="0" w:color="auto"/>
              <w:left w:val="nil"/>
              <w:bottom w:val="single" w:sz="4" w:space="0" w:color="auto"/>
              <w:right w:val="single" w:sz="4" w:space="0" w:color="auto"/>
            </w:tcBorders>
            <w:shd w:val="clear" w:color="auto" w:fill="C6EFCE"/>
            <w:noWrap/>
          </w:tcPr>
          <w:p w14:paraId="64F51C5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2A4C8EF2" w14:textId="77777777" w:rsidR="003A3D51" w:rsidRDefault="0002775A">
            <w:pPr>
              <w:pStyle w:val="P68B1DB1-Normal7"/>
              <w:spacing w:after="200" w:line="276" w:lineRule="auto"/>
              <w:rPr>
                <w:rFonts w:ascii="Times New Roman" w:hAnsi="Times New Roman" w:cs="Times New Roman"/>
                <w:noProof/>
              </w:rPr>
            </w:pPr>
            <w:r>
              <w:rPr>
                <w:noProof/>
              </w:rPr>
              <w:t xml:space="preserve">Kandidatexamen i specialistsjuksköterskeutbildning i akutmedicin </w:t>
            </w:r>
          </w:p>
        </w:tc>
        <w:tc>
          <w:tcPr>
            <w:tcW w:w="687" w:type="pct"/>
            <w:tcBorders>
              <w:top w:val="single" w:sz="4" w:space="0" w:color="auto"/>
              <w:left w:val="nil"/>
              <w:bottom w:val="single" w:sz="4" w:space="0" w:color="auto"/>
              <w:right w:val="single" w:sz="4" w:space="0" w:color="auto"/>
            </w:tcBorders>
            <w:shd w:val="clear" w:color="auto" w:fill="C6EFCE"/>
            <w:noWrap/>
          </w:tcPr>
          <w:p w14:paraId="561497E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6F1374E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58784D1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1A31FB05" w14:textId="77777777" w:rsidR="003A3D51" w:rsidRDefault="0002775A">
            <w:pPr>
              <w:pStyle w:val="P68B1DB1-Normal7"/>
              <w:spacing w:after="200" w:line="276" w:lineRule="auto"/>
              <w:jc w:val="center"/>
              <w:rPr>
                <w:rFonts w:ascii="Times New Roman" w:hAnsi="Times New Roman" w:cs="Times New Roman"/>
                <w:noProof/>
              </w:rPr>
            </w:pPr>
            <w:r>
              <w:rPr>
                <w:noProof/>
              </w:rPr>
              <w:t>375</w:t>
            </w:r>
          </w:p>
        </w:tc>
        <w:tc>
          <w:tcPr>
            <w:tcW w:w="242" w:type="pct"/>
            <w:tcBorders>
              <w:top w:val="single" w:sz="4" w:space="0" w:color="auto"/>
              <w:left w:val="nil"/>
              <w:bottom w:val="single" w:sz="4" w:space="0" w:color="auto"/>
              <w:right w:val="single" w:sz="4" w:space="0" w:color="auto"/>
            </w:tcBorders>
            <w:shd w:val="clear" w:color="auto" w:fill="C6EFCE"/>
            <w:noWrap/>
          </w:tcPr>
          <w:p w14:paraId="0A77A0DF" w14:textId="1D6959C8"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2A634B60" w14:textId="28F50D02"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65" w:type="pct"/>
            <w:tcBorders>
              <w:top w:val="single" w:sz="4" w:space="0" w:color="auto"/>
              <w:left w:val="nil"/>
              <w:bottom w:val="single" w:sz="4" w:space="0" w:color="auto"/>
              <w:right w:val="single" w:sz="4" w:space="0" w:color="auto"/>
            </w:tcBorders>
            <w:shd w:val="clear" w:color="auto" w:fill="C6EFCE"/>
            <w:noWrap/>
          </w:tcPr>
          <w:p w14:paraId="3E4F7CD7" w14:textId="17035236" w:rsidR="003A3D51" w:rsidRDefault="0002775A">
            <w:pPr>
              <w:pStyle w:val="P68B1DB1-Normal7"/>
              <w:spacing w:after="200" w:line="276" w:lineRule="auto"/>
              <w:rPr>
                <w:rFonts w:ascii="Times New Roman" w:hAnsi="Times New Roman" w:cs="Times New Roman"/>
                <w:noProof/>
              </w:rPr>
            </w:pPr>
            <w:r>
              <w:rPr>
                <w:noProof/>
              </w:rPr>
              <w:t>Totalt 375 kandidatur till sjuksköterskor/medicinska tekniker ska utbildas i en ettårig specialistutbildning i akutmedicin, varav 210 från befintliga T2-team som redan arbetar vid lokala akutmottagningar, för att i det befintliga nätverket för akutmedicin se till att varje T2-team har en kandidatexamen i sjuksköterska med specialistutbildning, och de återstående 165 kandidaterna med ett slutfört specialiseringsprogram i syfte att stärka hälso- och sjukvårdssystemet, särskilt i de områden där det råder brist på läkare.</w:t>
            </w:r>
          </w:p>
        </w:tc>
      </w:tr>
      <w:tr w:rsidR="003A3D51" w14:paraId="515D615D"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473BFEEB" w14:textId="77777777" w:rsidR="003A3D51" w:rsidRDefault="0002775A">
            <w:pPr>
              <w:pStyle w:val="P68B1DB1-Normal7"/>
              <w:spacing w:after="200" w:line="276" w:lineRule="auto"/>
              <w:jc w:val="center"/>
              <w:rPr>
                <w:rFonts w:ascii="Times New Roman" w:hAnsi="Times New Roman" w:cs="Times New Roman"/>
                <w:noProof/>
              </w:rPr>
            </w:pPr>
            <w:r>
              <w:rPr>
                <w:noProof/>
              </w:rPr>
              <w:t>336</w:t>
            </w:r>
          </w:p>
        </w:tc>
        <w:tc>
          <w:tcPr>
            <w:tcW w:w="257" w:type="pct"/>
            <w:tcBorders>
              <w:top w:val="single" w:sz="4" w:space="0" w:color="auto"/>
              <w:left w:val="nil"/>
              <w:bottom w:val="single" w:sz="4" w:space="0" w:color="auto"/>
              <w:right w:val="single" w:sz="4" w:space="0" w:color="auto"/>
            </w:tcBorders>
            <w:shd w:val="clear" w:color="auto" w:fill="C6EFCE"/>
            <w:noWrap/>
          </w:tcPr>
          <w:p w14:paraId="63AF5137" w14:textId="77777777" w:rsidR="003A3D51" w:rsidRDefault="0002775A">
            <w:pPr>
              <w:pStyle w:val="P68B1DB1-Normal7"/>
              <w:spacing w:after="200" w:line="276" w:lineRule="auto"/>
              <w:jc w:val="center"/>
              <w:rPr>
                <w:rFonts w:ascii="Times New Roman" w:hAnsi="Times New Roman" w:cs="Times New Roman"/>
                <w:noProof/>
              </w:rPr>
            </w:pPr>
            <w:r>
              <w:rPr>
                <w:noProof/>
              </w:rPr>
              <w:t>C5.1 R4</w:t>
            </w:r>
          </w:p>
        </w:tc>
        <w:tc>
          <w:tcPr>
            <w:tcW w:w="288" w:type="pct"/>
            <w:tcBorders>
              <w:top w:val="single" w:sz="4" w:space="0" w:color="auto"/>
              <w:left w:val="nil"/>
              <w:bottom w:val="single" w:sz="4" w:space="0" w:color="auto"/>
              <w:right w:val="single" w:sz="4" w:space="0" w:color="auto"/>
            </w:tcBorders>
            <w:shd w:val="clear" w:color="auto" w:fill="C6EFCE"/>
            <w:noWrap/>
          </w:tcPr>
          <w:p w14:paraId="57CB8EA2"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30" w:type="pct"/>
            <w:tcBorders>
              <w:top w:val="single" w:sz="4" w:space="0" w:color="auto"/>
              <w:left w:val="nil"/>
              <w:bottom w:val="single" w:sz="4" w:space="0" w:color="auto"/>
              <w:right w:val="single" w:sz="4" w:space="0" w:color="auto"/>
            </w:tcBorders>
            <w:shd w:val="clear" w:color="auto" w:fill="C6EFCE"/>
            <w:noWrap/>
          </w:tcPr>
          <w:p w14:paraId="372BCD05" w14:textId="77777777" w:rsidR="003A3D51" w:rsidRDefault="0002775A">
            <w:pPr>
              <w:pStyle w:val="P68B1DB1-Normal7"/>
              <w:spacing w:after="200" w:line="276" w:lineRule="auto"/>
              <w:rPr>
                <w:rFonts w:ascii="Times New Roman" w:hAnsi="Times New Roman" w:cs="Times New Roman"/>
                <w:noProof/>
              </w:rPr>
            </w:pPr>
            <w:r>
              <w:rPr>
                <w:noProof/>
              </w:rPr>
              <w:t>Ändring av lagen om hälso- och sjukvård och lagen om obligatorisk sjukförsäkring</w:t>
            </w:r>
          </w:p>
        </w:tc>
        <w:tc>
          <w:tcPr>
            <w:tcW w:w="687" w:type="pct"/>
            <w:tcBorders>
              <w:top w:val="single" w:sz="4" w:space="0" w:color="auto"/>
              <w:left w:val="nil"/>
              <w:bottom w:val="single" w:sz="4" w:space="0" w:color="auto"/>
              <w:right w:val="single" w:sz="4" w:space="0" w:color="auto"/>
            </w:tcBorders>
            <w:shd w:val="clear" w:color="auto" w:fill="C6EFCE"/>
            <w:noWrap/>
          </w:tcPr>
          <w:p w14:paraId="26650F6F" w14:textId="77777777" w:rsidR="003A3D51" w:rsidRDefault="0002775A">
            <w:pPr>
              <w:pStyle w:val="P68B1DB1-Normal7"/>
              <w:spacing w:after="200" w:line="276" w:lineRule="auto"/>
              <w:rPr>
                <w:rFonts w:ascii="Times New Roman" w:hAnsi="Times New Roman" w:cs="Times New Roman"/>
                <w:noProof/>
              </w:rPr>
            </w:pPr>
            <w:r>
              <w:rPr>
                <w:noProof/>
              </w:rPr>
              <w:t>Ikraftträdande av lagarna om ändring av lagen om hälso- och sjukvård och lagen om obligatorisk sjukförsäkring</w:t>
            </w:r>
          </w:p>
        </w:tc>
        <w:tc>
          <w:tcPr>
            <w:tcW w:w="394" w:type="pct"/>
            <w:tcBorders>
              <w:top w:val="single" w:sz="4" w:space="0" w:color="auto"/>
              <w:left w:val="nil"/>
              <w:bottom w:val="single" w:sz="4" w:space="0" w:color="auto"/>
              <w:right w:val="single" w:sz="4" w:space="0" w:color="auto"/>
            </w:tcBorders>
            <w:shd w:val="clear" w:color="auto" w:fill="C6EFCE"/>
            <w:noWrap/>
          </w:tcPr>
          <w:p w14:paraId="0E0DEE4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31" w:type="pct"/>
            <w:tcBorders>
              <w:top w:val="single" w:sz="4" w:space="0" w:color="auto"/>
              <w:left w:val="nil"/>
              <w:bottom w:val="single" w:sz="4" w:space="0" w:color="auto"/>
              <w:right w:val="single" w:sz="4" w:space="0" w:color="auto"/>
            </w:tcBorders>
            <w:shd w:val="clear" w:color="auto" w:fill="C6EFCE"/>
            <w:noWrap/>
          </w:tcPr>
          <w:p w14:paraId="477A717B"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single" w:sz="4" w:space="0" w:color="auto"/>
              <w:left w:val="nil"/>
              <w:bottom w:val="single" w:sz="4" w:space="0" w:color="auto"/>
              <w:right w:val="single" w:sz="4" w:space="0" w:color="auto"/>
            </w:tcBorders>
            <w:shd w:val="clear" w:color="auto" w:fill="C6EFCE"/>
            <w:noWrap/>
          </w:tcPr>
          <w:p w14:paraId="3F60602A"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2" w:type="pct"/>
            <w:tcBorders>
              <w:top w:val="single" w:sz="4" w:space="0" w:color="auto"/>
              <w:left w:val="nil"/>
              <w:bottom w:val="single" w:sz="4" w:space="0" w:color="auto"/>
              <w:right w:val="single" w:sz="4" w:space="0" w:color="auto"/>
            </w:tcBorders>
            <w:shd w:val="clear" w:color="auto" w:fill="C6EFCE"/>
            <w:noWrap/>
          </w:tcPr>
          <w:p w14:paraId="6F55F4FC"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4FA45D8F"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65" w:type="pct"/>
            <w:tcBorders>
              <w:top w:val="single" w:sz="4" w:space="0" w:color="auto"/>
              <w:left w:val="nil"/>
              <w:bottom w:val="single" w:sz="4" w:space="0" w:color="auto"/>
              <w:right w:val="single" w:sz="4" w:space="0" w:color="auto"/>
            </w:tcBorders>
            <w:shd w:val="clear" w:color="auto" w:fill="C6EFCE"/>
            <w:noWrap/>
          </w:tcPr>
          <w:p w14:paraId="6FA61415" w14:textId="77777777" w:rsidR="003A3D51" w:rsidRDefault="0002775A">
            <w:pPr>
              <w:pStyle w:val="P68B1DB1-Normal7"/>
              <w:spacing w:after="200" w:line="276" w:lineRule="auto"/>
              <w:rPr>
                <w:rFonts w:ascii="Times New Roman" w:hAnsi="Times New Roman" w:cs="Times New Roman"/>
                <w:noProof/>
              </w:rPr>
            </w:pPr>
            <w:r>
              <w:rPr>
                <w:noProof/>
              </w:rPr>
              <w:t>Ändringarna av hälso- och sjukvårdslagen ska göra det möjligt för det nya beslutet om gemensam upphandling att vara bindande även för de hälso- och sjukvårdsinstitutioner vars deltagande hittills har varit frivilligt och därmed öka antalet berörda parter som omfattas av den gemensamma upphandlingen.</w:t>
            </w:r>
            <w:r>
              <w:rPr>
                <w:noProof/>
              </w:rPr>
              <w:br/>
              <w:t xml:space="preserve">— Det gemensamma kontoret för akutmedicin förbättrar organisationen av akutmedicin och utför operativa uppgifter på hela Kroatiens territorium genom vissa organisatoriska enheter. </w:t>
            </w:r>
            <w:r>
              <w:rPr>
                <w:noProof/>
              </w:rPr>
              <w:br/>
              <w:t xml:space="preserve">Omorganisationen av den offentliga hälso- och sjukvården ska bidra till att öka effektiviteten och stärka det offentliga hälso- och sjukvårdssystemet, med särskilt fokus på förebyggande och tidig diagnos, förbättrade insatser i nödsituationer och under särskilda omständigheter (pandemier). </w:t>
            </w:r>
            <w:r>
              <w:rPr>
                <w:noProof/>
              </w:rPr>
              <w:br/>
              <w:t xml:space="preserve">— Överföra förvaltningsrättigheterna för de sjukhus som för närvarande förvaltas av distrikten och staden Zagreb till Republiken Kroatien för att uppnå ett rationellt och kvalitativt utnyttjande av befintlig kapacitet, förbättra tillgången till och kvaliteten på hälso- och sjukvården genom att omorganisera modellen för sjukhusvård. </w:t>
            </w:r>
            <w:r>
              <w:rPr>
                <w:noProof/>
              </w:rPr>
              <w:br/>
            </w:r>
            <w:r>
              <w:rPr>
                <w:noProof/>
              </w:rPr>
              <w:br/>
              <w:t>Ändringarna av lagen om obligatorisk sjukförsäkring ska fastställa tydliga och transparenta kriterier för att fastställa programmet för hälso- och sjukvårdsåtgärder inom ramen för den obligatoriska sjukförsäkringen, de organ som ska upprätta och anta ett åtgärdsprogram och omfattningen av den hälso- och sjukvård som ska omfattas av den obligatoriska sjukförsäkringen och efterlevnaden av annan lagstiftning. Lagen syftar till att</w:t>
            </w:r>
            <w:r>
              <w:rPr>
                <w:noProof/>
              </w:rPr>
              <w:br/>
              <w:t xml:space="preserve">Göra hälso- och sjukvård mer tillgänglig och snabb för försäkrade när de behöver det, </w:t>
            </w:r>
            <w:r>
              <w:rPr>
                <w:noProof/>
              </w:rPr>
              <w:br/>
              <w:t xml:space="preserve">— Minskning av väntelistorna för individuella hälso- och sjukvårdstjänster, optimering och, i detta sammanhang, bättre fördelning av tillgängliga hälso- och sjukvårdsresurser från den obligatoriska sjukförsäkringen. </w:t>
            </w:r>
            <w:r>
              <w:rPr>
                <w:noProof/>
              </w:rPr>
              <w:br/>
              <w:t xml:space="preserve">— Tillhandahålla finansiering för att uppnå finansiell stabilitet och hållbarhet och i detta sammanhang förbättra de försäkrades situation inom ramen för den lagstadgade sjukförsäkringen, </w:t>
            </w:r>
            <w:r>
              <w:rPr>
                <w:noProof/>
              </w:rPr>
              <w:br/>
              <w:t>— Lägg till en bestämmelse till förmån för HZZO:s upphandlande enheter i egenskap av vårdgivare från den obligatoriska sjukförsäkringen, vad gäller betalningen av HZZO:s skyldigheter gentemot dem inom de lagstadgade tidsfristerna, för att garantera de försäkrade personernas rätt till hälso- och sjukvård.</w:t>
            </w:r>
          </w:p>
        </w:tc>
      </w:tr>
      <w:tr w:rsidR="003A3D51" w14:paraId="6BE6B2FE"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066D10D1" w14:textId="77777777" w:rsidR="003A3D51" w:rsidRDefault="0002775A">
            <w:pPr>
              <w:pStyle w:val="P68B1DB1-Normal7"/>
              <w:spacing w:after="200" w:line="276" w:lineRule="auto"/>
              <w:jc w:val="center"/>
              <w:rPr>
                <w:rFonts w:ascii="Times New Roman" w:hAnsi="Times New Roman" w:cs="Times New Roman"/>
                <w:noProof/>
              </w:rPr>
            </w:pPr>
            <w:r>
              <w:rPr>
                <w:noProof/>
              </w:rPr>
              <w:t>337</w:t>
            </w:r>
          </w:p>
        </w:tc>
        <w:tc>
          <w:tcPr>
            <w:tcW w:w="257" w:type="pct"/>
            <w:tcBorders>
              <w:top w:val="single" w:sz="4" w:space="0" w:color="auto"/>
              <w:left w:val="nil"/>
              <w:bottom w:val="single" w:sz="4" w:space="0" w:color="auto"/>
              <w:right w:val="single" w:sz="4" w:space="0" w:color="auto"/>
            </w:tcBorders>
            <w:shd w:val="clear" w:color="auto" w:fill="C6EFCE"/>
            <w:noWrap/>
          </w:tcPr>
          <w:p w14:paraId="212AE836" w14:textId="77777777" w:rsidR="003A3D51" w:rsidRDefault="0002775A">
            <w:pPr>
              <w:pStyle w:val="P68B1DB1-Normal7"/>
              <w:spacing w:after="200" w:line="276" w:lineRule="auto"/>
              <w:jc w:val="center"/>
              <w:rPr>
                <w:rFonts w:ascii="Times New Roman" w:hAnsi="Times New Roman" w:cs="Times New Roman"/>
                <w:noProof/>
              </w:rPr>
            </w:pPr>
            <w:r>
              <w:rPr>
                <w:noProof/>
              </w:rPr>
              <w:t>C5.1 R4</w:t>
            </w:r>
          </w:p>
        </w:tc>
        <w:tc>
          <w:tcPr>
            <w:tcW w:w="288" w:type="pct"/>
            <w:tcBorders>
              <w:top w:val="single" w:sz="4" w:space="0" w:color="auto"/>
              <w:left w:val="nil"/>
              <w:bottom w:val="single" w:sz="4" w:space="0" w:color="auto"/>
              <w:right w:val="single" w:sz="4" w:space="0" w:color="auto"/>
            </w:tcBorders>
            <w:shd w:val="clear" w:color="auto" w:fill="C6EFCE"/>
            <w:noWrap/>
          </w:tcPr>
          <w:p w14:paraId="061B21A2"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59E5F84D" w14:textId="77777777" w:rsidR="003A3D51" w:rsidRDefault="0002775A">
            <w:pPr>
              <w:pStyle w:val="P68B1DB1-Normal7"/>
              <w:spacing w:after="200" w:line="276" w:lineRule="auto"/>
              <w:rPr>
                <w:rFonts w:ascii="Times New Roman" w:hAnsi="Times New Roman" w:cs="Times New Roman"/>
                <w:noProof/>
              </w:rPr>
            </w:pPr>
            <w:r>
              <w:rPr>
                <w:noProof/>
              </w:rPr>
              <w:t xml:space="preserve">Funktionell integrering av sjukhus </w:t>
            </w:r>
          </w:p>
        </w:tc>
        <w:tc>
          <w:tcPr>
            <w:tcW w:w="687" w:type="pct"/>
            <w:tcBorders>
              <w:top w:val="single" w:sz="4" w:space="0" w:color="auto"/>
              <w:left w:val="nil"/>
              <w:bottom w:val="single" w:sz="4" w:space="0" w:color="auto"/>
              <w:right w:val="single" w:sz="4" w:space="0" w:color="auto"/>
            </w:tcBorders>
            <w:shd w:val="clear" w:color="auto" w:fill="C6EFCE"/>
            <w:noWrap/>
          </w:tcPr>
          <w:p w14:paraId="6673818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783C2267"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3600C2E1" w14:textId="77777777" w:rsidR="003A3D51" w:rsidRDefault="0002775A">
            <w:pPr>
              <w:pStyle w:val="P68B1DB1-Normal7"/>
              <w:spacing w:after="200" w:line="276" w:lineRule="auto"/>
              <w:jc w:val="center"/>
              <w:rPr>
                <w:rFonts w:ascii="Times New Roman" w:hAnsi="Times New Roman" w:cs="Times New Roman"/>
                <w:noProof/>
              </w:rPr>
            </w:pPr>
            <w:r>
              <w:rPr>
                <w:noProof/>
              </w:rPr>
              <w:t>12</w:t>
            </w:r>
          </w:p>
        </w:tc>
        <w:tc>
          <w:tcPr>
            <w:tcW w:w="297" w:type="pct"/>
            <w:tcBorders>
              <w:top w:val="single" w:sz="4" w:space="0" w:color="auto"/>
              <w:left w:val="nil"/>
              <w:bottom w:val="single" w:sz="4" w:space="0" w:color="auto"/>
              <w:right w:val="single" w:sz="4" w:space="0" w:color="auto"/>
            </w:tcBorders>
            <w:shd w:val="clear" w:color="auto" w:fill="C6EFCE"/>
            <w:noWrap/>
          </w:tcPr>
          <w:p w14:paraId="5640F626" w14:textId="77777777" w:rsidR="003A3D51" w:rsidRDefault="0002775A">
            <w:pPr>
              <w:pStyle w:val="P68B1DB1-Normal7"/>
              <w:spacing w:after="200" w:line="276" w:lineRule="auto"/>
              <w:jc w:val="center"/>
              <w:rPr>
                <w:rFonts w:ascii="Times New Roman" w:hAnsi="Times New Roman" w:cs="Times New Roman"/>
                <w:noProof/>
              </w:rPr>
            </w:pPr>
            <w:r>
              <w:rPr>
                <w:noProof/>
              </w:rPr>
              <w:t>20</w:t>
            </w:r>
          </w:p>
        </w:tc>
        <w:tc>
          <w:tcPr>
            <w:tcW w:w="242" w:type="pct"/>
            <w:tcBorders>
              <w:top w:val="single" w:sz="4" w:space="0" w:color="auto"/>
              <w:left w:val="nil"/>
              <w:bottom w:val="single" w:sz="4" w:space="0" w:color="auto"/>
              <w:right w:val="single" w:sz="4" w:space="0" w:color="auto"/>
            </w:tcBorders>
            <w:shd w:val="clear" w:color="auto" w:fill="C6EFCE"/>
            <w:noWrap/>
          </w:tcPr>
          <w:p w14:paraId="152FE36D"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69349B58"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22387B80" w14:textId="77777777" w:rsidR="003A3D51" w:rsidRDefault="0002775A">
            <w:pPr>
              <w:pStyle w:val="P68B1DB1-Normal7"/>
              <w:spacing w:after="200" w:line="276" w:lineRule="auto"/>
              <w:rPr>
                <w:rFonts w:ascii="Times New Roman" w:hAnsi="Times New Roman" w:cs="Times New Roman"/>
                <w:noProof/>
              </w:rPr>
            </w:pPr>
            <w:r>
              <w:rPr>
                <w:noProof/>
              </w:rPr>
              <w:t>Den funktionella integreringen av minst 8 sjukhus ska slutföras för att rationalisera sjukhussystemet genom att minska/omfördela verksamheter och minska den akuta stationära kapaciteten och stärka de dagliga sjukhusen som mer kostnadseffektiva behandlingar.</w:t>
            </w:r>
          </w:p>
        </w:tc>
      </w:tr>
      <w:tr w:rsidR="003A3D51" w14:paraId="38DCAFC8"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0C6D9DC8" w14:textId="77777777" w:rsidR="003A3D51" w:rsidRDefault="0002775A">
            <w:pPr>
              <w:pStyle w:val="P68B1DB1-Normal7"/>
              <w:spacing w:after="200" w:line="276" w:lineRule="auto"/>
              <w:jc w:val="center"/>
              <w:rPr>
                <w:rFonts w:ascii="Times New Roman" w:hAnsi="Times New Roman" w:cs="Times New Roman"/>
                <w:noProof/>
              </w:rPr>
            </w:pPr>
            <w:r>
              <w:rPr>
                <w:noProof/>
              </w:rPr>
              <w:t>338</w:t>
            </w:r>
          </w:p>
        </w:tc>
        <w:tc>
          <w:tcPr>
            <w:tcW w:w="257" w:type="pct"/>
            <w:tcBorders>
              <w:top w:val="single" w:sz="4" w:space="0" w:color="auto"/>
              <w:left w:val="nil"/>
              <w:bottom w:val="single" w:sz="4" w:space="0" w:color="auto"/>
              <w:right w:val="single" w:sz="4" w:space="0" w:color="auto"/>
            </w:tcBorders>
            <w:shd w:val="clear" w:color="auto" w:fill="C6EFCE"/>
            <w:noWrap/>
          </w:tcPr>
          <w:p w14:paraId="644ABD86" w14:textId="77777777" w:rsidR="003A3D51" w:rsidRDefault="0002775A">
            <w:pPr>
              <w:pStyle w:val="P68B1DB1-Normal7"/>
              <w:spacing w:after="200" w:line="276" w:lineRule="auto"/>
              <w:jc w:val="center"/>
              <w:rPr>
                <w:rFonts w:ascii="Times New Roman" w:hAnsi="Times New Roman" w:cs="Times New Roman"/>
                <w:noProof/>
              </w:rPr>
            </w:pPr>
            <w:r>
              <w:rPr>
                <w:noProof/>
              </w:rPr>
              <w:t>C5.1 R4</w:t>
            </w:r>
          </w:p>
        </w:tc>
        <w:tc>
          <w:tcPr>
            <w:tcW w:w="288" w:type="pct"/>
            <w:tcBorders>
              <w:top w:val="single" w:sz="4" w:space="0" w:color="auto"/>
              <w:left w:val="nil"/>
              <w:bottom w:val="single" w:sz="4" w:space="0" w:color="auto"/>
              <w:right w:val="single" w:sz="4" w:space="0" w:color="auto"/>
            </w:tcBorders>
            <w:shd w:val="clear" w:color="auto" w:fill="C6EFCE"/>
            <w:noWrap/>
          </w:tcPr>
          <w:p w14:paraId="22559C8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49633253" w14:textId="77777777" w:rsidR="003A3D51" w:rsidRDefault="0002775A">
            <w:pPr>
              <w:pStyle w:val="P68B1DB1-Normal7"/>
              <w:spacing w:after="200" w:line="276" w:lineRule="auto"/>
              <w:rPr>
                <w:rFonts w:ascii="Times New Roman" w:hAnsi="Times New Roman" w:cs="Times New Roman"/>
                <w:noProof/>
              </w:rPr>
            </w:pPr>
            <w:r>
              <w:rPr>
                <w:noProof/>
              </w:rPr>
              <w:t>Gemensamt upphandlingsförfarande för hälso- och sjukvårdsinstitutioner</w:t>
            </w:r>
          </w:p>
        </w:tc>
        <w:tc>
          <w:tcPr>
            <w:tcW w:w="687" w:type="pct"/>
            <w:tcBorders>
              <w:top w:val="single" w:sz="4" w:space="0" w:color="auto"/>
              <w:left w:val="nil"/>
              <w:bottom w:val="single" w:sz="4" w:space="0" w:color="auto"/>
              <w:right w:val="single" w:sz="4" w:space="0" w:color="auto"/>
            </w:tcBorders>
            <w:shd w:val="clear" w:color="auto" w:fill="C6EFCE"/>
            <w:noWrap/>
          </w:tcPr>
          <w:p w14:paraId="7D8E6BF8"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5BD116C8"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331" w:type="pct"/>
            <w:tcBorders>
              <w:top w:val="single" w:sz="4" w:space="0" w:color="auto"/>
              <w:left w:val="nil"/>
              <w:bottom w:val="single" w:sz="4" w:space="0" w:color="auto"/>
              <w:right w:val="single" w:sz="4" w:space="0" w:color="auto"/>
            </w:tcBorders>
            <w:shd w:val="clear" w:color="auto" w:fill="C6EFCE"/>
            <w:noWrap/>
          </w:tcPr>
          <w:p w14:paraId="7F63E31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360B49BD" w14:textId="77777777" w:rsidR="003A3D51" w:rsidRDefault="0002775A">
            <w:pPr>
              <w:pStyle w:val="P68B1DB1-Normal7"/>
              <w:spacing w:after="200" w:line="276" w:lineRule="auto"/>
              <w:jc w:val="center"/>
              <w:rPr>
                <w:rFonts w:ascii="Times New Roman" w:hAnsi="Times New Roman" w:cs="Times New Roman"/>
                <w:noProof/>
              </w:rPr>
            </w:pPr>
            <w:r>
              <w:rPr>
                <w:noProof/>
              </w:rPr>
              <w:t>85</w:t>
            </w:r>
          </w:p>
        </w:tc>
        <w:tc>
          <w:tcPr>
            <w:tcW w:w="242" w:type="pct"/>
            <w:tcBorders>
              <w:top w:val="single" w:sz="4" w:space="0" w:color="auto"/>
              <w:left w:val="nil"/>
              <w:bottom w:val="single" w:sz="4" w:space="0" w:color="auto"/>
              <w:right w:val="single" w:sz="4" w:space="0" w:color="auto"/>
            </w:tcBorders>
            <w:shd w:val="clear" w:color="auto" w:fill="C6EFCE"/>
            <w:noWrap/>
          </w:tcPr>
          <w:p w14:paraId="6A18989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4CA3F81C"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497216AC" w14:textId="77777777" w:rsidR="003A3D51" w:rsidRDefault="0002775A">
            <w:pPr>
              <w:pStyle w:val="P68B1DB1-Normal7"/>
              <w:spacing w:after="200" w:line="276" w:lineRule="auto"/>
              <w:rPr>
                <w:rFonts w:ascii="Times New Roman" w:hAnsi="Times New Roman" w:cs="Times New Roman"/>
                <w:noProof/>
              </w:rPr>
            </w:pPr>
            <w:r>
              <w:rPr>
                <w:noProof/>
              </w:rPr>
              <w:t>Minst 85 % av inköpskategorierna, vilket motsvarar minst 80 % av de offentliga sjukhusens totala utgifter, ska upphandlas genom ett gemensamt upphandlingsförfarande.  För att uppnå målet ska hälsoministeriet (MIZ) på grundval av en ändring av beslutet om obligatoriskt gemensamt genomförande av ett särskilt upphandlingsförfarande för hälso- och sjukvårdsinstitutioner i) besluta att genomföra ett gemensamt upphandlingsförfarande,</w:t>
            </w:r>
            <w:r>
              <w:rPr>
                <w:noProof/>
              </w:rPr>
              <w:br/>
              <w:t xml:space="preserve"> II) ingå avtal med aktörer som deltar i gemensam upphandling. inrätta expertpaneler för att utarbeta tekniska specifikationer för de berörda kategorierna, och iv) genomföra de upphandlingskategorier som avses i beslutet om obligatoriskt gemensamt genomförande av ett särskilt upphandlingsförfarande för hälso- och sjukvårdsinstitutioner – efter det att de tekniska specifikationerna har trätt i kraft.  Gemensamma upphandlingsförfaranden ska genomföras enligt lagen om offentlig upphandling och ramavtal/avtal.</w:t>
            </w:r>
          </w:p>
        </w:tc>
      </w:tr>
      <w:tr w:rsidR="003A3D51" w14:paraId="4A6CAB45"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055069B2" w14:textId="77777777" w:rsidR="003A3D51" w:rsidRDefault="0002775A">
            <w:pPr>
              <w:pStyle w:val="P68B1DB1-Normal7"/>
              <w:spacing w:after="200" w:line="276" w:lineRule="auto"/>
              <w:jc w:val="center"/>
              <w:rPr>
                <w:rFonts w:ascii="Times New Roman" w:hAnsi="Times New Roman" w:cs="Times New Roman"/>
                <w:noProof/>
              </w:rPr>
            </w:pPr>
            <w:r>
              <w:rPr>
                <w:noProof/>
              </w:rPr>
              <w:t>339</w:t>
            </w:r>
          </w:p>
        </w:tc>
        <w:tc>
          <w:tcPr>
            <w:tcW w:w="257" w:type="pct"/>
            <w:tcBorders>
              <w:top w:val="single" w:sz="4" w:space="0" w:color="auto"/>
              <w:left w:val="nil"/>
              <w:bottom w:val="single" w:sz="4" w:space="0" w:color="auto"/>
              <w:right w:val="single" w:sz="4" w:space="0" w:color="auto"/>
            </w:tcBorders>
            <w:shd w:val="clear" w:color="auto" w:fill="C6EFCE"/>
            <w:noWrap/>
          </w:tcPr>
          <w:p w14:paraId="78F38390" w14:textId="77777777" w:rsidR="003A3D51" w:rsidRDefault="0002775A">
            <w:pPr>
              <w:pStyle w:val="P68B1DB1-Normal7"/>
              <w:spacing w:after="200" w:line="276" w:lineRule="auto"/>
              <w:jc w:val="center"/>
              <w:rPr>
                <w:rFonts w:ascii="Times New Roman" w:hAnsi="Times New Roman" w:cs="Times New Roman"/>
                <w:noProof/>
              </w:rPr>
            </w:pPr>
            <w:r>
              <w:rPr>
                <w:noProof/>
              </w:rPr>
              <w:t>C5.1 R4-I1</w:t>
            </w:r>
          </w:p>
        </w:tc>
        <w:tc>
          <w:tcPr>
            <w:tcW w:w="288" w:type="pct"/>
            <w:tcBorders>
              <w:top w:val="single" w:sz="4" w:space="0" w:color="auto"/>
              <w:left w:val="nil"/>
              <w:bottom w:val="single" w:sz="4" w:space="0" w:color="auto"/>
              <w:right w:val="single" w:sz="4" w:space="0" w:color="auto"/>
            </w:tcBorders>
            <w:shd w:val="clear" w:color="auto" w:fill="C6EFCE"/>
            <w:noWrap/>
          </w:tcPr>
          <w:p w14:paraId="310B2A7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1468FA83" w14:textId="77777777" w:rsidR="003A3D51" w:rsidRDefault="0002775A">
            <w:pPr>
              <w:pStyle w:val="P68B1DB1-Normal7"/>
              <w:spacing w:after="200" w:line="276" w:lineRule="auto"/>
              <w:rPr>
                <w:rFonts w:ascii="Times New Roman" w:hAnsi="Times New Roman" w:cs="Times New Roman"/>
                <w:noProof/>
              </w:rPr>
            </w:pPr>
            <w:r>
              <w:rPr>
                <w:noProof/>
              </w:rPr>
              <w:t xml:space="preserve">Central förvaltning av parenterala preparat på 8 sjukhus </w:t>
            </w:r>
          </w:p>
        </w:tc>
        <w:tc>
          <w:tcPr>
            <w:tcW w:w="687" w:type="pct"/>
            <w:tcBorders>
              <w:top w:val="single" w:sz="4" w:space="0" w:color="auto"/>
              <w:left w:val="nil"/>
              <w:bottom w:val="single" w:sz="4" w:space="0" w:color="auto"/>
              <w:right w:val="single" w:sz="4" w:space="0" w:color="auto"/>
            </w:tcBorders>
            <w:shd w:val="clear" w:color="auto" w:fill="C6EFCE"/>
            <w:noWrap/>
          </w:tcPr>
          <w:p w14:paraId="1A5F40EB"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534A3C3B"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331" w:type="pct"/>
            <w:tcBorders>
              <w:top w:val="single" w:sz="4" w:space="0" w:color="auto"/>
              <w:left w:val="nil"/>
              <w:bottom w:val="single" w:sz="4" w:space="0" w:color="auto"/>
              <w:right w:val="single" w:sz="4" w:space="0" w:color="auto"/>
            </w:tcBorders>
            <w:shd w:val="clear" w:color="auto" w:fill="C6EFCE"/>
            <w:noWrap/>
          </w:tcPr>
          <w:p w14:paraId="61F57A80"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21695CE4" w14:textId="77777777" w:rsidR="003A3D51" w:rsidRDefault="0002775A">
            <w:pPr>
              <w:pStyle w:val="P68B1DB1-Normal7"/>
              <w:spacing w:after="200" w:line="276" w:lineRule="auto"/>
              <w:jc w:val="center"/>
              <w:rPr>
                <w:rFonts w:ascii="Times New Roman" w:hAnsi="Times New Roman" w:cs="Times New Roman"/>
                <w:noProof/>
              </w:rPr>
            </w:pPr>
            <w:r>
              <w:rPr>
                <w:noProof/>
              </w:rPr>
              <w:t>75</w:t>
            </w:r>
          </w:p>
        </w:tc>
        <w:tc>
          <w:tcPr>
            <w:tcW w:w="242" w:type="pct"/>
            <w:tcBorders>
              <w:top w:val="single" w:sz="4" w:space="0" w:color="auto"/>
              <w:left w:val="nil"/>
              <w:bottom w:val="single" w:sz="4" w:space="0" w:color="auto"/>
              <w:right w:val="single" w:sz="4" w:space="0" w:color="auto"/>
            </w:tcBorders>
            <w:shd w:val="clear" w:color="auto" w:fill="C6EFCE"/>
            <w:noWrap/>
          </w:tcPr>
          <w:p w14:paraId="621D48E1" w14:textId="1623A600"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1881C678" w14:textId="214C914A"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45A79E32" w14:textId="387DE55A" w:rsidR="003A3D51" w:rsidRDefault="0002775A">
            <w:pPr>
              <w:pStyle w:val="P68B1DB1-Normal7"/>
              <w:spacing w:after="200" w:line="276" w:lineRule="auto"/>
              <w:rPr>
                <w:rFonts w:ascii="Times New Roman" w:hAnsi="Times New Roman" w:cs="Times New Roman"/>
                <w:noProof/>
              </w:rPr>
            </w:pPr>
            <w:r>
              <w:rPr>
                <w:noProof/>
              </w:rPr>
              <w:t>Minst 75 % av de parenterala preparaten på åtta kroatiska sjukhus ska utföras genom central beredning av läkemedel. I samband med genomförandet av den centrala läkemedelsberedningen ska apotekets laboratorium förbereda merparten av den parenterala behandling som behövs för avdelningarna, som utvecklats i enlighet med de högsta säkerhetsstandarderna i avsnittet ”konsumtionsfärdig”. Preparaten ska märkas med patientens namn, läkemedlets namn och dosen, och detta märkningssystem syftar till att förhindra eventuella fel i behandlingen.</w:t>
            </w:r>
          </w:p>
        </w:tc>
      </w:tr>
      <w:tr w:rsidR="003A3D51" w14:paraId="4A91E264"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45F35E5E" w14:textId="77777777" w:rsidR="003A3D51" w:rsidRDefault="0002775A">
            <w:pPr>
              <w:pStyle w:val="P68B1DB1-Normal7"/>
              <w:spacing w:after="200" w:line="276" w:lineRule="auto"/>
              <w:jc w:val="center"/>
              <w:rPr>
                <w:rFonts w:ascii="Times New Roman" w:hAnsi="Times New Roman" w:cs="Times New Roman"/>
                <w:noProof/>
              </w:rPr>
            </w:pPr>
            <w:r>
              <w:rPr>
                <w:noProof/>
              </w:rPr>
              <w:t>340</w:t>
            </w:r>
          </w:p>
        </w:tc>
        <w:tc>
          <w:tcPr>
            <w:tcW w:w="257" w:type="pct"/>
            <w:tcBorders>
              <w:top w:val="single" w:sz="4" w:space="0" w:color="auto"/>
              <w:left w:val="nil"/>
              <w:bottom w:val="single" w:sz="4" w:space="0" w:color="auto"/>
              <w:right w:val="single" w:sz="4" w:space="0" w:color="auto"/>
            </w:tcBorders>
            <w:shd w:val="clear" w:color="auto" w:fill="C6EFCE"/>
            <w:noWrap/>
          </w:tcPr>
          <w:p w14:paraId="24780FFF" w14:textId="77777777" w:rsidR="003A3D51" w:rsidRDefault="0002775A">
            <w:pPr>
              <w:pStyle w:val="P68B1DB1-Normal7"/>
              <w:spacing w:after="200" w:line="276" w:lineRule="auto"/>
              <w:jc w:val="center"/>
              <w:rPr>
                <w:rFonts w:ascii="Times New Roman" w:hAnsi="Times New Roman" w:cs="Times New Roman"/>
                <w:noProof/>
              </w:rPr>
            </w:pPr>
            <w:r>
              <w:rPr>
                <w:noProof/>
              </w:rPr>
              <w:t>C5.1 R4-I2</w:t>
            </w:r>
          </w:p>
        </w:tc>
        <w:tc>
          <w:tcPr>
            <w:tcW w:w="288" w:type="pct"/>
            <w:tcBorders>
              <w:top w:val="single" w:sz="4" w:space="0" w:color="auto"/>
              <w:left w:val="nil"/>
              <w:bottom w:val="single" w:sz="4" w:space="0" w:color="auto"/>
              <w:right w:val="single" w:sz="4" w:space="0" w:color="auto"/>
            </w:tcBorders>
            <w:shd w:val="clear" w:color="auto" w:fill="C6EFCE"/>
            <w:noWrap/>
          </w:tcPr>
          <w:p w14:paraId="2D0A66EE"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031B8245" w14:textId="77777777" w:rsidR="003A3D51" w:rsidRDefault="0002775A">
            <w:pPr>
              <w:pStyle w:val="P68B1DB1-Normal7"/>
              <w:spacing w:after="200" w:line="276" w:lineRule="auto"/>
              <w:rPr>
                <w:rFonts w:ascii="Times New Roman" w:hAnsi="Times New Roman" w:cs="Times New Roman"/>
                <w:noProof/>
              </w:rPr>
            </w:pPr>
            <w:r>
              <w:rPr>
                <w:noProof/>
              </w:rPr>
              <w:t xml:space="preserve">Enhetsterapisystem för fasta läkemedelsformer på 40 kroatiska sjukhus </w:t>
            </w:r>
          </w:p>
        </w:tc>
        <w:tc>
          <w:tcPr>
            <w:tcW w:w="687" w:type="pct"/>
            <w:tcBorders>
              <w:top w:val="single" w:sz="4" w:space="0" w:color="auto"/>
              <w:left w:val="nil"/>
              <w:bottom w:val="single" w:sz="4" w:space="0" w:color="auto"/>
              <w:right w:val="single" w:sz="4" w:space="0" w:color="auto"/>
            </w:tcBorders>
            <w:shd w:val="clear" w:color="auto" w:fill="C6EFCE"/>
            <w:noWrap/>
          </w:tcPr>
          <w:p w14:paraId="51614152"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1B13BFBC"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331" w:type="pct"/>
            <w:tcBorders>
              <w:top w:val="single" w:sz="4" w:space="0" w:color="auto"/>
              <w:left w:val="nil"/>
              <w:bottom w:val="single" w:sz="4" w:space="0" w:color="auto"/>
              <w:right w:val="single" w:sz="4" w:space="0" w:color="auto"/>
            </w:tcBorders>
            <w:shd w:val="clear" w:color="auto" w:fill="C6EFCE"/>
            <w:noWrap/>
          </w:tcPr>
          <w:p w14:paraId="5FAF4AB7"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62D229E4" w14:textId="77777777" w:rsidR="003A3D51" w:rsidRDefault="0002775A">
            <w:pPr>
              <w:pStyle w:val="P68B1DB1-Normal7"/>
              <w:spacing w:after="200" w:line="276" w:lineRule="auto"/>
              <w:jc w:val="center"/>
              <w:rPr>
                <w:rFonts w:ascii="Times New Roman" w:hAnsi="Times New Roman" w:cs="Times New Roman"/>
                <w:noProof/>
              </w:rPr>
            </w:pPr>
            <w:r>
              <w:rPr>
                <w:noProof/>
              </w:rPr>
              <w:t>50</w:t>
            </w:r>
          </w:p>
        </w:tc>
        <w:tc>
          <w:tcPr>
            <w:tcW w:w="242" w:type="pct"/>
            <w:tcBorders>
              <w:top w:val="single" w:sz="4" w:space="0" w:color="auto"/>
              <w:left w:val="nil"/>
              <w:bottom w:val="single" w:sz="4" w:space="0" w:color="auto"/>
              <w:right w:val="single" w:sz="4" w:space="0" w:color="auto"/>
            </w:tcBorders>
            <w:shd w:val="clear" w:color="auto" w:fill="C6EFCE"/>
            <w:noWrap/>
          </w:tcPr>
          <w:p w14:paraId="339E00B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4F8F6EF6"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4CA0A976" w14:textId="77777777" w:rsidR="003A3D51" w:rsidRDefault="0002775A">
            <w:pPr>
              <w:pStyle w:val="P68B1DB1-Normal7"/>
              <w:spacing w:after="200" w:line="276" w:lineRule="auto"/>
              <w:rPr>
                <w:rFonts w:ascii="Times New Roman" w:hAnsi="Times New Roman" w:cs="Times New Roman"/>
                <w:noProof/>
              </w:rPr>
            </w:pPr>
            <w:r>
              <w:rPr>
                <w:noProof/>
              </w:rPr>
              <w:t>Senast den 31 december 2025 ska 50 % av alla läkemedel i fast form beredas med hjälp av ett enhetsbehandlingssystem på 40 kroatiska sjukhus. Utrymme för distribution av enhetsterapi ska organiseras för varje enskilt sjukhus och enheter med tillräcklig kapacitet för att rymma styckebehandlingen för sjukhusets dagliga behov. En digital kommunikationskanal ska upprättas från sjukhusavdelningen till sjukhusapoteket, så att läkarna kan beställa nödvändig behandling för patienten och få återkoppling om tidpunkten för leveransen (integrering av den nya lösningen i sjukhusets informationssystem).</w:t>
            </w:r>
          </w:p>
        </w:tc>
      </w:tr>
      <w:tr w:rsidR="003A3D51" w14:paraId="60EF62BD"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59A6FDF4" w14:textId="77777777" w:rsidR="003A3D51" w:rsidRDefault="0002775A">
            <w:pPr>
              <w:pStyle w:val="P68B1DB1-Normal7"/>
              <w:spacing w:after="200" w:line="276" w:lineRule="auto"/>
              <w:jc w:val="center"/>
              <w:rPr>
                <w:rFonts w:ascii="Times New Roman" w:hAnsi="Times New Roman" w:cs="Times New Roman"/>
                <w:noProof/>
              </w:rPr>
            </w:pPr>
            <w:r>
              <w:rPr>
                <w:noProof/>
              </w:rPr>
              <w:t>341</w:t>
            </w:r>
          </w:p>
        </w:tc>
        <w:tc>
          <w:tcPr>
            <w:tcW w:w="257" w:type="pct"/>
            <w:tcBorders>
              <w:top w:val="single" w:sz="4" w:space="0" w:color="auto"/>
              <w:left w:val="nil"/>
              <w:bottom w:val="single" w:sz="4" w:space="0" w:color="auto"/>
              <w:right w:val="single" w:sz="4" w:space="0" w:color="auto"/>
            </w:tcBorders>
            <w:shd w:val="clear" w:color="auto" w:fill="C6EFCE"/>
            <w:noWrap/>
          </w:tcPr>
          <w:p w14:paraId="76695B7E" w14:textId="77777777" w:rsidR="003A3D51" w:rsidRDefault="0002775A">
            <w:pPr>
              <w:pStyle w:val="P68B1DB1-Normal7"/>
              <w:spacing w:after="200" w:line="276" w:lineRule="auto"/>
              <w:jc w:val="center"/>
              <w:rPr>
                <w:rFonts w:ascii="Times New Roman" w:hAnsi="Times New Roman" w:cs="Times New Roman"/>
                <w:noProof/>
              </w:rPr>
            </w:pPr>
            <w:r>
              <w:rPr>
                <w:noProof/>
              </w:rPr>
              <w:t>C5.1 R4-I3</w:t>
            </w:r>
          </w:p>
        </w:tc>
        <w:tc>
          <w:tcPr>
            <w:tcW w:w="288" w:type="pct"/>
            <w:tcBorders>
              <w:top w:val="single" w:sz="4" w:space="0" w:color="auto"/>
              <w:left w:val="nil"/>
              <w:bottom w:val="single" w:sz="4" w:space="0" w:color="auto"/>
              <w:right w:val="single" w:sz="4" w:space="0" w:color="auto"/>
            </w:tcBorders>
            <w:shd w:val="clear" w:color="auto" w:fill="C6EFCE"/>
            <w:noWrap/>
          </w:tcPr>
          <w:p w14:paraId="42E7F985"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585C29D3" w14:textId="77777777" w:rsidR="003A3D51" w:rsidRDefault="0002775A">
            <w:pPr>
              <w:pStyle w:val="P68B1DB1-Normal7"/>
              <w:spacing w:after="200" w:line="276" w:lineRule="auto"/>
              <w:rPr>
                <w:rFonts w:ascii="Times New Roman" w:hAnsi="Times New Roman" w:cs="Times New Roman"/>
                <w:noProof/>
              </w:rPr>
            </w:pPr>
            <w:r>
              <w:rPr>
                <w:noProof/>
              </w:rPr>
              <w:t xml:space="preserve">Övervakning av läkemedlet i sjukhussystemet från apoteket till patienten </w:t>
            </w:r>
          </w:p>
        </w:tc>
        <w:tc>
          <w:tcPr>
            <w:tcW w:w="687" w:type="pct"/>
            <w:tcBorders>
              <w:top w:val="single" w:sz="4" w:space="0" w:color="auto"/>
              <w:left w:val="nil"/>
              <w:bottom w:val="single" w:sz="4" w:space="0" w:color="auto"/>
              <w:right w:val="single" w:sz="4" w:space="0" w:color="auto"/>
            </w:tcBorders>
            <w:shd w:val="clear" w:color="auto" w:fill="C6EFCE"/>
            <w:noWrap/>
          </w:tcPr>
          <w:p w14:paraId="62BD5A9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1548617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14D0D91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2B244728" w14:textId="77777777" w:rsidR="003A3D51" w:rsidRDefault="0002775A">
            <w:pPr>
              <w:pStyle w:val="P68B1DB1-Normal7"/>
              <w:spacing w:after="200" w:line="276" w:lineRule="auto"/>
              <w:jc w:val="center"/>
              <w:rPr>
                <w:rFonts w:ascii="Times New Roman" w:hAnsi="Times New Roman" w:cs="Times New Roman"/>
                <w:noProof/>
              </w:rPr>
            </w:pPr>
            <w:r>
              <w:rPr>
                <w:noProof/>
              </w:rPr>
              <w:t>30</w:t>
            </w:r>
          </w:p>
        </w:tc>
        <w:tc>
          <w:tcPr>
            <w:tcW w:w="242" w:type="pct"/>
            <w:tcBorders>
              <w:top w:val="single" w:sz="4" w:space="0" w:color="auto"/>
              <w:left w:val="nil"/>
              <w:bottom w:val="single" w:sz="4" w:space="0" w:color="auto"/>
              <w:right w:val="single" w:sz="4" w:space="0" w:color="auto"/>
            </w:tcBorders>
            <w:shd w:val="clear" w:color="auto" w:fill="C6EFCE"/>
            <w:noWrap/>
          </w:tcPr>
          <w:p w14:paraId="29CA852D"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5963D94D"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1165" w:type="pct"/>
            <w:tcBorders>
              <w:top w:val="single" w:sz="4" w:space="0" w:color="auto"/>
              <w:left w:val="nil"/>
              <w:bottom w:val="single" w:sz="4" w:space="0" w:color="auto"/>
              <w:right w:val="single" w:sz="4" w:space="0" w:color="auto"/>
            </w:tcBorders>
            <w:shd w:val="clear" w:color="auto" w:fill="C6EFCE"/>
            <w:noWrap/>
          </w:tcPr>
          <w:p w14:paraId="66944386" w14:textId="77777777" w:rsidR="003A3D51" w:rsidRDefault="0002775A">
            <w:pPr>
              <w:pStyle w:val="P68B1DB1-Normal7"/>
              <w:spacing w:after="200" w:line="276" w:lineRule="auto"/>
              <w:rPr>
                <w:rFonts w:ascii="Times New Roman" w:hAnsi="Times New Roman" w:cs="Times New Roman"/>
                <w:noProof/>
              </w:rPr>
            </w:pPr>
            <w:r>
              <w:rPr>
                <w:noProof/>
              </w:rPr>
              <w:t xml:space="preserve">Minst 30 sjukhus ska ha en funktionell integrerad it-lösning för fullständig övervakning av läkemedlet i sjukhussystemet från apoteket till patienten. Ett formulär för rapportering till Kroatiens sjukförsäkringskassa (HZZO) och Kroatiens myndighet för läkemedel och medicintekniska produkter (HALMED) om konsumtionen av alla läkemedel ska utarbetas och separeras från konsumtionen av särskilda kategorier av läkemedel, såsom reservantibiotika, särskilt dyra läkemedel eller annan farmaceutisk och epidemiologisk information som krävs av hälso- och sjukvårdssystemet. En programvarulösning för digitalisering av läkemedelsvägarna på sjukhus ska utvecklas och integreras i minst 30 sjukhus i slutfasen. </w:t>
            </w:r>
          </w:p>
        </w:tc>
      </w:tr>
      <w:tr w:rsidR="003A3D51" w14:paraId="14781A91" w14:textId="77777777" w:rsidTr="007E7373">
        <w:trPr>
          <w:trHeight w:val="770"/>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5AABDE8D" w14:textId="77777777" w:rsidR="003A3D51" w:rsidRDefault="0002775A">
            <w:pPr>
              <w:pStyle w:val="P68B1DB1-Normal7"/>
              <w:spacing w:after="200" w:line="276" w:lineRule="auto"/>
              <w:jc w:val="center"/>
              <w:rPr>
                <w:rFonts w:ascii="Times New Roman" w:hAnsi="Times New Roman" w:cs="Times New Roman"/>
                <w:noProof/>
              </w:rPr>
            </w:pPr>
            <w:r>
              <w:rPr>
                <w:noProof/>
              </w:rPr>
              <w:t>342</w:t>
            </w:r>
          </w:p>
        </w:tc>
        <w:tc>
          <w:tcPr>
            <w:tcW w:w="257" w:type="pct"/>
            <w:tcBorders>
              <w:top w:val="single" w:sz="4" w:space="0" w:color="auto"/>
              <w:left w:val="nil"/>
              <w:bottom w:val="single" w:sz="4" w:space="0" w:color="auto"/>
              <w:right w:val="single" w:sz="4" w:space="0" w:color="auto"/>
            </w:tcBorders>
            <w:shd w:val="clear" w:color="auto" w:fill="C6EFCE"/>
            <w:noWrap/>
          </w:tcPr>
          <w:p w14:paraId="0E85A4A9" w14:textId="77777777" w:rsidR="003A3D51" w:rsidRDefault="0002775A">
            <w:pPr>
              <w:pStyle w:val="P68B1DB1-Normal7"/>
              <w:spacing w:after="200" w:line="276" w:lineRule="auto"/>
              <w:jc w:val="center"/>
              <w:rPr>
                <w:rFonts w:ascii="Times New Roman" w:hAnsi="Times New Roman" w:cs="Times New Roman"/>
                <w:noProof/>
              </w:rPr>
            </w:pPr>
            <w:r>
              <w:rPr>
                <w:noProof/>
              </w:rPr>
              <w:t>C5.1 R4-I4</w:t>
            </w:r>
          </w:p>
        </w:tc>
        <w:tc>
          <w:tcPr>
            <w:tcW w:w="288" w:type="pct"/>
            <w:tcBorders>
              <w:top w:val="single" w:sz="4" w:space="0" w:color="auto"/>
              <w:left w:val="nil"/>
              <w:bottom w:val="single" w:sz="4" w:space="0" w:color="auto"/>
              <w:right w:val="single" w:sz="4" w:space="0" w:color="auto"/>
            </w:tcBorders>
            <w:shd w:val="clear" w:color="auto" w:fill="C6EFCE"/>
            <w:noWrap/>
          </w:tcPr>
          <w:p w14:paraId="380AAE47"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0CCCAD31" w14:textId="77777777" w:rsidR="003A3D51" w:rsidRDefault="0002775A">
            <w:pPr>
              <w:pStyle w:val="P68B1DB1-Normal7"/>
              <w:spacing w:after="200" w:line="276" w:lineRule="auto"/>
              <w:rPr>
                <w:rFonts w:ascii="Times New Roman" w:hAnsi="Times New Roman" w:cs="Times New Roman"/>
                <w:noProof/>
              </w:rPr>
            </w:pPr>
            <w:r>
              <w:rPr>
                <w:noProof/>
              </w:rPr>
              <w:t>System för att övervaka bristen på läkemedel baserat på blockkedjeteknik</w:t>
            </w:r>
          </w:p>
        </w:tc>
        <w:tc>
          <w:tcPr>
            <w:tcW w:w="687" w:type="pct"/>
            <w:tcBorders>
              <w:top w:val="single" w:sz="4" w:space="0" w:color="auto"/>
              <w:left w:val="nil"/>
              <w:bottom w:val="single" w:sz="4" w:space="0" w:color="auto"/>
              <w:right w:val="single" w:sz="4" w:space="0" w:color="auto"/>
            </w:tcBorders>
            <w:shd w:val="clear" w:color="auto" w:fill="C6EFCE"/>
            <w:noWrap/>
          </w:tcPr>
          <w:p w14:paraId="231CEAA6"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27629E79"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331" w:type="pct"/>
            <w:tcBorders>
              <w:top w:val="single" w:sz="4" w:space="0" w:color="auto"/>
              <w:left w:val="nil"/>
              <w:bottom w:val="single" w:sz="4" w:space="0" w:color="auto"/>
              <w:right w:val="single" w:sz="4" w:space="0" w:color="auto"/>
            </w:tcBorders>
            <w:shd w:val="clear" w:color="auto" w:fill="C6EFCE"/>
            <w:noWrap/>
          </w:tcPr>
          <w:p w14:paraId="0D665C5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2AF0CA39" w14:textId="77777777" w:rsidR="003A3D51" w:rsidRDefault="0002775A">
            <w:pPr>
              <w:pStyle w:val="P68B1DB1-Normal7"/>
              <w:spacing w:after="200" w:line="276" w:lineRule="auto"/>
              <w:jc w:val="center"/>
              <w:rPr>
                <w:rFonts w:ascii="Times New Roman" w:hAnsi="Times New Roman" w:cs="Times New Roman"/>
                <w:noProof/>
              </w:rPr>
            </w:pPr>
            <w:r>
              <w:rPr>
                <w:noProof/>
              </w:rPr>
              <w:t>100</w:t>
            </w:r>
          </w:p>
        </w:tc>
        <w:tc>
          <w:tcPr>
            <w:tcW w:w="242" w:type="pct"/>
            <w:tcBorders>
              <w:top w:val="single" w:sz="4" w:space="0" w:color="auto"/>
              <w:left w:val="nil"/>
              <w:bottom w:val="single" w:sz="4" w:space="0" w:color="auto"/>
              <w:right w:val="single" w:sz="4" w:space="0" w:color="auto"/>
            </w:tcBorders>
            <w:shd w:val="clear" w:color="auto" w:fill="C6EFCE"/>
            <w:noWrap/>
          </w:tcPr>
          <w:p w14:paraId="728AC006"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4FF5A5C8"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1DE5D063" w14:textId="77777777" w:rsidR="003A3D51" w:rsidRDefault="0002775A">
            <w:pPr>
              <w:pStyle w:val="P68B1DB1-Normal7"/>
              <w:spacing w:after="200" w:line="276" w:lineRule="auto"/>
              <w:rPr>
                <w:rFonts w:ascii="Times New Roman" w:hAnsi="Times New Roman" w:cs="Times New Roman"/>
                <w:noProof/>
              </w:rPr>
            </w:pPr>
            <w:r>
              <w:rPr>
                <w:noProof/>
              </w:rPr>
              <w:t>En programvarulösning ska utvecklas för att övervaka läkemedelsbrister i Kroatien och utveckla en integrerad modell för att förutse och förebygga läkemedelsbrister. För att skydda enskilda användare ska blockkedjetekniken användas för att ge insyn i de uppgifter som lämnas ut till allmänheten, samtidigt som data som anses vara anonyma eller eventuellt tillgängliga för regeringen skyddas. 100 % av läkemedlen ska övervakas för att förutse och förebygga brister genom blockkedjans programvarulösning.</w:t>
            </w:r>
          </w:p>
        </w:tc>
      </w:tr>
      <w:tr w:rsidR="003A3D51" w14:paraId="7C17672F"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5E9FF3C8" w14:textId="77777777" w:rsidR="003A3D51" w:rsidRDefault="0002775A">
            <w:pPr>
              <w:pStyle w:val="P68B1DB1-Normal7"/>
              <w:spacing w:after="200" w:line="276" w:lineRule="auto"/>
              <w:jc w:val="center"/>
              <w:rPr>
                <w:rFonts w:ascii="Times New Roman" w:hAnsi="Times New Roman" w:cs="Times New Roman"/>
                <w:noProof/>
              </w:rPr>
            </w:pPr>
            <w:r>
              <w:rPr>
                <w:noProof/>
              </w:rPr>
              <w:t>343</w:t>
            </w:r>
          </w:p>
        </w:tc>
        <w:tc>
          <w:tcPr>
            <w:tcW w:w="257" w:type="pct"/>
            <w:tcBorders>
              <w:top w:val="single" w:sz="4" w:space="0" w:color="auto"/>
              <w:left w:val="nil"/>
              <w:bottom w:val="single" w:sz="4" w:space="0" w:color="auto"/>
              <w:right w:val="single" w:sz="4" w:space="0" w:color="auto"/>
            </w:tcBorders>
            <w:shd w:val="clear" w:color="auto" w:fill="C6EFCE"/>
            <w:noWrap/>
          </w:tcPr>
          <w:p w14:paraId="395827F5" w14:textId="18A16C86" w:rsidR="003A3D51" w:rsidRDefault="0002775A">
            <w:pPr>
              <w:pStyle w:val="P68B1DB1-Normal7"/>
              <w:spacing w:after="200" w:line="276" w:lineRule="auto"/>
              <w:jc w:val="center"/>
              <w:rPr>
                <w:rFonts w:ascii="Times New Roman" w:hAnsi="Times New Roman" w:cs="Times New Roman"/>
                <w:noProof/>
              </w:rPr>
            </w:pPr>
            <w:r>
              <w:rPr>
                <w:noProof/>
              </w:rPr>
              <w:t>C5.1 R5-I5</w:t>
            </w:r>
          </w:p>
        </w:tc>
        <w:tc>
          <w:tcPr>
            <w:tcW w:w="288" w:type="pct"/>
            <w:tcBorders>
              <w:top w:val="single" w:sz="4" w:space="0" w:color="auto"/>
              <w:left w:val="nil"/>
              <w:bottom w:val="single" w:sz="4" w:space="0" w:color="auto"/>
              <w:right w:val="single" w:sz="4" w:space="0" w:color="auto"/>
            </w:tcBorders>
            <w:shd w:val="clear" w:color="auto" w:fill="C6EFCE"/>
            <w:noWrap/>
          </w:tcPr>
          <w:p w14:paraId="0601B5D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0AAA297E" w14:textId="77777777" w:rsidR="003A3D51" w:rsidRDefault="0002775A">
            <w:pPr>
              <w:pStyle w:val="P68B1DB1-Normal7"/>
              <w:spacing w:after="200" w:line="276" w:lineRule="auto"/>
              <w:rPr>
                <w:rFonts w:ascii="Times New Roman" w:hAnsi="Times New Roman" w:cs="Times New Roman"/>
                <w:noProof/>
              </w:rPr>
            </w:pPr>
            <w:r>
              <w:rPr>
                <w:noProof/>
              </w:rPr>
              <w:t xml:space="preserve">Diagnosenheter Clinical Hospital Centre (KBC) Merkur </w:t>
            </w:r>
          </w:p>
        </w:tc>
        <w:tc>
          <w:tcPr>
            <w:tcW w:w="687" w:type="pct"/>
            <w:tcBorders>
              <w:top w:val="single" w:sz="4" w:space="0" w:color="auto"/>
              <w:left w:val="nil"/>
              <w:bottom w:val="single" w:sz="4" w:space="0" w:color="auto"/>
              <w:right w:val="single" w:sz="4" w:space="0" w:color="auto"/>
            </w:tcBorders>
            <w:shd w:val="clear" w:color="auto" w:fill="C6EFCE"/>
            <w:noWrap/>
          </w:tcPr>
          <w:p w14:paraId="3D066A3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3A259699"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4F0F448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17C49376" w14:textId="77777777" w:rsidR="003A3D51" w:rsidRDefault="0002775A">
            <w:pPr>
              <w:pStyle w:val="P68B1DB1-Normal7"/>
              <w:spacing w:after="200" w:line="276" w:lineRule="auto"/>
              <w:jc w:val="center"/>
              <w:rPr>
                <w:rFonts w:ascii="Times New Roman" w:hAnsi="Times New Roman" w:cs="Times New Roman"/>
                <w:noProof/>
              </w:rPr>
            </w:pPr>
            <w:r>
              <w:rPr>
                <w:noProof/>
              </w:rPr>
              <w:t>4</w:t>
            </w:r>
          </w:p>
        </w:tc>
        <w:tc>
          <w:tcPr>
            <w:tcW w:w="242" w:type="pct"/>
            <w:tcBorders>
              <w:top w:val="single" w:sz="4" w:space="0" w:color="auto"/>
              <w:left w:val="nil"/>
              <w:bottom w:val="single" w:sz="4" w:space="0" w:color="auto"/>
              <w:right w:val="single" w:sz="4" w:space="0" w:color="auto"/>
            </w:tcBorders>
            <w:shd w:val="clear" w:color="auto" w:fill="C6EFCE"/>
            <w:noWrap/>
          </w:tcPr>
          <w:p w14:paraId="6B59D3FB"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2" w:type="pct"/>
            <w:tcBorders>
              <w:top w:val="single" w:sz="4" w:space="0" w:color="auto"/>
              <w:left w:val="nil"/>
              <w:bottom w:val="single" w:sz="4" w:space="0" w:color="auto"/>
              <w:right w:val="single" w:sz="4" w:space="0" w:color="auto"/>
            </w:tcBorders>
            <w:shd w:val="clear" w:color="auto" w:fill="C6EFCE"/>
            <w:noWrap/>
          </w:tcPr>
          <w:p w14:paraId="70263446"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04B05772" w14:textId="77777777" w:rsidR="003A3D51" w:rsidRDefault="0002775A">
            <w:pPr>
              <w:pStyle w:val="P68B1DB1-Normal7"/>
              <w:spacing w:after="200" w:line="276" w:lineRule="auto"/>
              <w:rPr>
                <w:rFonts w:ascii="Times New Roman" w:hAnsi="Times New Roman" w:cs="Times New Roman"/>
                <w:noProof/>
              </w:rPr>
            </w:pPr>
            <w:r>
              <w:rPr>
                <w:noProof/>
              </w:rPr>
              <w:t>För att förbättra tjänstens kvalitet, öka antalet patientbehandlingar, påskynda och öka tillgången till och kvaliteten på hälso- och sjukvården för alla kategorier av patienter ska utrustningen installeras för minst 4 diagnosenheter vid KBC (Clinical Hospital Centre) Merkur. Den installerade utrustningen ska bestå av följande:</w:t>
            </w:r>
            <w:r>
              <w:rPr>
                <w:noProof/>
              </w:rPr>
              <w:br/>
              <w:t>— Apparater för transthorakisk och transesogastrisk ekokardiografi;</w:t>
            </w:r>
            <w:r>
              <w:rPr>
                <w:noProof/>
              </w:rPr>
              <w:br/>
              <w:t>— Tre monitorer för kranskärmar.</w:t>
            </w:r>
            <w:r>
              <w:rPr>
                <w:noProof/>
              </w:rPr>
              <w:br/>
              <w:t>— System för telemetri för patienter på den öppna sidan.</w:t>
            </w:r>
            <w:r>
              <w:rPr>
                <w:noProof/>
              </w:rPr>
              <w:br/>
              <w:t>— Starkare ultraljud,</w:t>
            </w:r>
            <w:r>
              <w:rPr>
                <w:noProof/>
              </w:rPr>
              <w:br/>
              <w:t>Ultraljud med lägre effekt.</w:t>
            </w:r>
            <w:r>
              <w:rPr>
                <w:noProof/>
              </w:rPr>
              <w:br/>
              <w:t>— Magnetisk resonans MR 3T.</w:t>
            </w:r>
            <w:r>
              <w:rPr>
                <w:noProof/>
              </w:rPr>
              <w:br/>
              <w:t>— Mammografisk skanner.</w:t>
            </w:r>
            <w:r>
              <w:rPr>
                <w:noProof/>
              </w:rPr>
              <w:br/>
              <w:t>— Datortomografi för flerskiva (MSCT).</w:t>
            </w:r>
            <w:r>
              <w:rPr>
                <w:noProof/>
              </w:rPr>
              <w:br/>
              <w:t xml:space="preserve">Ultraljud. </w:t>
            </w:r>
            <w:r>
              <w:rPr>
                <w:noProof/>
              </w:rPr>
              <w:br/>
              <w:t>Ultraljud med 3D/4D konvex, 3D/4D vaginal, 2 D vaginal och 2D konvex sond och skrivare.</w:t>
            </w:r>
            <w:r>
              <w:rPr>
                <w:noProof/>
              </w:rPr>
              <w:br/>
              <w:t>— Ultraljud av hög klass Color Doppler.</w:t>
            </w:r>
          </w:p>
        </w:tc>
      </w:tr>
      <w:tr w:rsidR="003A3D51" w14:paraId="0BB8F93E"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28DE6DD0" w14:textId="77777777" w:rsidR="003A3D51" w:rsidRDefault="0002775A">
            <w:pPr>
              <w:pStyle w:val="P68B1DB1-Normal7"/>
              <w:spacing w:after="200" w:line="276" w:lineRule="auto"/>
              <w:jc w:val="center"/>
              <w:rPr>
                <w:rFonts w:ascii="Times New Roman" w:hAnsi="Times New Roman" w:cs="Times New Roman"/>
                <w:noProof/>
              </w:rPr>
            </w:pPr>
            <w:r>
              <w:rPr>
                <w:noProof/>
              </w:rPr>
              <w:t>344</w:t>
            </w:r>
          </w:p>
        </w:tc>
        <w:tc>
          <w:tcPr>
            <w:tcW w:w="257" w:type="pct"/>
            <w:tcBorders>
              <w:top w:val="single" w:sz="4" w:space="0" w:color="auto"/>
              <w:left w:val="nil"/>
              <w:bottom w:val="single" w:sz="4" w:space="0" w:color="auto"/>
              <w:right w:val="single" w:sz="4" w:space="0" w:color="auto"/>
            </w:tcBorders>
            <w:shd w:val="clear" w:color="auto" w:fill="C6EFCE"/>
            <w:noWrap/>
          </w:tcPr>
          <w:p w14:paraId="7827823A" w14:textId="77777777" w:rsidR="003A3D51" w:rsidRDefault="0002775A">
            <w:pPr>
              <w:pStyle w:val="P68B1DB1-Normal7"/>
              <w:spacing w:after="200" w:line="276" w:lineRule="auto"/>
              <w:jc w:val="center"/>
              <w:rPr>
                <w:rFonts w:ascii="Times New Roman" w:hAnsi="Times New Roman" w:cs="Times New Roman"/>
                <w:noProof/>
              </w:rPr>
            </w:pPr>
            <w:r>
              <w:rPr>
                <w:noProof/>
              </w:rPr>
              <w:t>C5.1 R4-I5</w:t>
            </w:r>
          </w:p>
        </w:tc>
        <w:tc>
          <w:tcPr>
            <w:tcW w:w="288" w:type="pct"/>
            <w:tcBorders>
              <w:top w:val="single" w:sz="4" w:space="0" w:color="auto"/>
              <w:left w:val="nil"/>
              <w:bottom w:val="single" w:sz="4" w:space="0" w:color="auto"/>
              <w:right w:val="single" w:sz="4" w:space="0" w:color="auto"/>
            </w:tcBorders>
            <w:shd w:val="clear" w:color="auto" w:fill="C6EFCE"/>
            <w:noWrap/>
          </w:tcPr>
          <w:p w14:paraId="1EBBD7B8"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274F7002" w14:textId="77777777" w:rsidR="003A3D51" w:rsidRDefault="0002775A">
            <w:pPr>
              <w:pStyle w:val="P68B1DB1-Normal7"/>
              <w:spacing w:after="200" w:line="276" w:lineRule="auto"/>
              <w:rPr>
                <w:rFonts w:ascii="Times New Roman" w:hAnsi="Times New Roman" w:cs="Times New Roman"/>
                <w:noProof/>
              </w:rPr>
            </w:pPr>
            <w:r>
              <w:rPr>
                <w:noProof/>
              </w:rPr>
              <w:t>Övervakning av behandlingsresultaten för kroniska patienter som inte är sjukhus på offentliga apotek</w:t>
            </w:r>
          </w:p>
        </w:tc>
        <w:tc>
          <w:tcPr>
            <w:tcW w:w="687" w:type="pct"/>
            <w:tcBorders>
              <w:top w:val="single" w:sz="4" w:space="0" w:color="auto"/>
              <w:left w:val="nil"/>
              <w:bottom w:val="single" w:sz="4" w:space="0" w:color="auto"/>
              <w:right w:val="single" w:sz="4" w:space="0" w:color="auto"/>
            </w:tcBorders>
            <w:shd w:val="clear" w:color="auto" w:fill="C6EFCE"/>
            <w:noWrap/>
          </w:tcPr>
          <w:p w14:paraId="2D88BF1D"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721892D3" w14:textId="77777777" w:rsidR="003A3D51" w:rsidRDefault="0002775A">
            <w:pPr>
              <w:pStyle w:val="P68B1DB1-Normal7"/>
              <w:spacing w:after="200" w:line="276" w:lineRule="auto"/>
              <w:jc w:val="center"/>
              <w:rPr>
                <w:rFonts w:ascii="Times New Roman" w:hAnsi="Times New Roman" w:cs="Times New Roman"/>
                <w:noProof/>
              </w:rPr>
            </w:pPr>
            <w:r>
              <w:rPr>
                <w:noProof/>
              </w:rPr>
              <w:t>% (i procent)</w:t>
            </w:r>
          </w:p>
        </w:tc>
        <w:tc>
          <w:tcPr>
            <w:tcW w:w="331" w:type="pct"/>
            <w:tcBorders>
              <w:top w:val="single" w:sz="4" w:space="0" w:color="auto"/>
              <w:left w:val="nil"/>
              <w:bottom w:val="single" w:sz="4" w:space="0" w:color="auto"/>
              <w:right w:val="single" w:sz="4" w:space="0" w:color="auto"/>
            </w:tcBorders>
            <w:shd w:val="clear" w:color="auto" w:fill="C6EFCE"/>
            <w:noWrap/>
          </w:tcPr>
          <w:p w14:paraId="33C599F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3EAFA4F7" w14:textId="77777777" w:rsidR="003A3D51" w:rsidRDefault="0002775A">
            <w:pPr>
              <w:pStyle w:val="P68B1DB1-Normal7"/>
              <w:spacing w:after="200" w:line="276" w:lineRule="auto"/>
              <w:jc w:val="center"/>
              <w:rPr>
                <w:rFonts w:ascii="Times New Roman" w:hAnsi="Times New Roman" w:cs="Times New Roman"/>
                <w:noProof/>
              </w:rPr>
            </w:pPr>
            <w:r>
              <w:rPr>
                <w:noProof/>
              </w:rPr>
              <w:t>20</w:t>
            </w:r>
          </w:p>
        </w:tc>
        <w:tc>
          <w:tcPr>
            <w:tcW w:w="242" w:type="pct"/>
            <w:tcBorders>
              <w:top w:val="single" w:sz="4" w:space="0" w:color="auto"/>
              <w:left w:val="nil"/>
              <w:bottom w:val="single" w:sz="4" w:space="0" w:color="auto"/>
              <w:right w:val="single" w:sz="4" w:space="0" w:color="auto"/>
            </w:tcBorders>
            <w:shd w:val="clear" w:color="auto" w:fill="C6EFCE"/>
            <w:noWrap/>
          </w:tcPr>
          <w:p w14:paraId="73587F94"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25234787" w14:textId="2FB54916"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1165" w:type="pct"/>
            <w:tcBorders>
              <w:top w:val="single" w:sz="4" w:space="0" w:color="auto"/>
              <w:left w:val="nil"/>
              <w:bottom w:val="single" w:sz="4" w:space="0" w:color="auto"/>
              <w:right w:val="single" w:sz="4" w:space="0" w:color="auto"/>
            </w:tcBorders>
            <w:shd w:val="clear" w:color="auto" w:fill="C6EFCE"/>
            <w:noWrap/>
          </w:tcPr>
          <w:p w14:paraId="557BDC22" w14:textId="77777777" w:rsidR="003A3D51" w:rsidRDefault="0002775A">
            <w:pPr>
              <w:pStyle w:val="P68B1DB1-Normal7"/>
              <w:spacing w:after="200" w:line="276" w:lineRule="auto"/>
              <w:rPr>
                <w:rFonts w:ascii="Times New Roman" w:hAnsi="Times New Roman" w:cs="Times New Roman"/>
                <w:noProof/>
              </w:rPr>
            </w:pPr>
            <w:r>
              <w:rPr>
                <w:noProof/>
              </w:rPr>
              <w:t xml:space="preserve">20 % av patienterna utanför sjukhus ska delta i ett övervakningsprogram för behandlingsresultat på offentliga apotek. </w:t>
            </w:r>
            <w:r>
              <w:rPr>
                <w:noProof/>
              </w:rPr>
              <w:br/>
              <w:t>Projektet omfattar övervakning av patienter och skapande av strukturerade data som ska göras tillgängliga via Kroatiens centrala hälsoinformationssystem (CEZIH) för ytterligare utvärdering av den utvalda familjeläkaren.</w:t>
            </w:r>
          </w:p>
        </w:tc>
      </w:tr>
      <w:tr w:rsidR="003A3D51" w14:paraId="42F69815"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49C59C18" w14:textId="77777777" w:rsidR="003A3D51" w:rsidRDefault="0002775A">
            <w:pPr>
              <w:pStyle w:val="P68B1DB1-Normal7"/>
              <w:spacing w:after="200" w:line="276" w:lineRule="auto"/>
              <w:jc w:val="center"/>
              <w:rPr>
                <w:rFonts w:ascii="Times New Roman" w:hAnsi="Times New Roman" w:cs="Times New Roman"/>
                <w:noProof/>
              </w:rPr>
            </w:pPr>
            <w:r>
              <w:rPr>
                <w:noProof/>
              </w:rPr>
              <w:t>346</w:t>
            </w:r>
          </w:p>
        </w:tc>
        <w:tc>
          <w:tcPr>
            <w:tcW w:w="257" w:type="pct"/>
            <w:tcBorders>
              <w:top w:val="single" w:sz="4" w:space="0" w:color="auto"/>
              <w:left w:val="nil"/>
              <w:bottom w:val="single" w:sz="4" w:space="0" w:color="auto"/>
              <w:right w:val="single" w:sz="4" w:space="0" w:color="auto"/>
            </w:tcBorders>
            <w:shd w:val="clear" w:color="auto" w:fill="C6EFCE"/>
            <w:noWrap/>
          </w:tcPr>
          <w:p w14:paraId="3D022D78" w14:textId="77777777" w:rsidR="003A3D51" w:rsidRDefault="0002775A">
            <w:pPr>
              <w:pStyle w:val="P68B1DB1-Normal7"/>
              <w:spacing w:after="200" w:line="276" w:lineRule="auto"/>
              <w:jc w:val="center"/>
              <w:rPr>
                <w:rFonts w:ascii="Times New Roman" w:hAnsi="Times New Roman" w:cs="Times New Roman"/>
                <w:noProof/>
              </w:rPr>
            </w:pPr>
            <w:r>
              <w:rPr>
                <w:noProof/>
              </w:rPr>
              <w:t>C5.1 R5</w:t>
            </w:r>
          </w:p>
        </w:tc>
        <w:tc>
          <w:tcPr>
            <w:tcW w:w="288" w:type="pct"/>
            <w:tcBorders>
              <w:top w:val="single" w:sz="4" w:space="0" w:color="auto"/>
              <w:left w:val="nil"/>
              <w:bottom w:val="single" w:sz="4" w:space="0" w:color="auto"/>
              <w:right w:val="single" w:sz="4" w:space="0" w:color="auto"/>
            </w:tcBorders>
            <w:shd w:val="clear" w:color="auto" w:fill="C6EFCE"/>
            <w:noWrap/>
          </w:tcPr>
          <w:p w14:paraId="17972BE3"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830" w:type="pct"/>
            <w:tcBorders>
              <w:top w:val="single" w:sz="4" w:space="0" w:color="auto"/>
              <w:left w:val="nil"/>
              <w:bottom w:val="single" w:sz="4" w:space="0" w:color="auto"/>
              <w:right w:val="single" w:sz="4" w:space="0" w:color="auto"/>
            </w:tcBorders>
            <w:shd w:val="clear" w:color="auto" w:fill="C6EFCE"/>
            <w:noWrap/>
          </w:tcPr>
          <w:p w14:paraId="1D7B6E65" w14:textId="77777777" w:rsidR="003A3D51" w:rsidRDefault="0002775A">
            <w:pPr>
              <w:pStyle w:val="P68B1DB1-Normal7"/>
              <w:spacing w:after="200" w:line="276" w:lineRule="auto"/>
              <w:rPr>
                <w:rFonts w:ascii="Times New Roman" w:hAnsi="Times New Roman" w:cs="Times New Roman"/>
                <w:noProof/>
              </w:rPr>
            </w:pPr>
            <w:r>
              <w:rPr>
                <w:noProof/>
              </w:rPr>
              <w:t>Förbättring och utvidgning av telemedicinska tjänster</w:t>
            </w:r>
          </w:p>
        </w:tc>
        <w:tc>
          <w:tcPr>
            <w:tcW w:w="687" w:type="pct"/>
            <w:tcBorders>
              <w:top w:val="single" w:sz="4" w:space="0" w:color="auto"/>
              <w:left w:val="nil"/>
              <w:bottom w:val="single" w:sz="4" w:space="0" w:color="auto"/>
              <w:right w:val="single" w:sz="4" w:space="0" w:color="auto"/>
            </w:tcBorders>
            <w:shd w:val="clear" w:color="auto" w:fill="C6EFCE"/>
            <w:noWrap/>
          </w:tcPr>
          <w:p w14:paraId="2346E4BF" w14:textId="77777777" w:rsidR="003A3D51" w:rsidRDefault="0002775A">
            <w:pPr>
              <w:pStyle w:val="P68B1DB1-Normal7"/>
              <w:spacing w:after="200" w:line="276" w:lineRule="auto"/>
              <w:rPr>
                <w:rFonts w:ascii="Times New Roman" w:hAnsi="Times New Roman" w:cs="Times New Roman"/>
                <w:noProof/>
              </w:rPr>
            </w:pPr>
            <w:r>
              <w:rPr>
                <w:noProof/>
              </w:rPr>
              <w:t>Ikraftträdande av en nationell telemedicinsk ram som utvidgar tillämpningsområdet för telemedicinska tjänster</w:t>
            </w:r>
          </w:p>
        </w:tc>
        <w:tc>
          <w:tcPr>
            <w:tcW w:w="394" w:type="pct"/>
            <w:tcBorders>
              <w:top w:val="single" w:sz="4" w:space="0" w:color="auto"/>
              <w:left w:val="nil"/>
              <w:bottom w:val="single" w:sz="4" w:space="0" w:color="auto"/>
              <w:right w:val="single" w:sz="4" w:space="0" w:color="auto"/>
            </w:tcBorders>
            <w:shd w:val="clear" w:color="auto" w:fill="C6EFCE"/>
            <w:noWrap/>
          </w:tcPr>
          <w:p w14:paraId="71C234D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331" w:type="pct"/>
            <w:tcBorders>
              <w:top w:val="single" w:sz="4" w:space="0" w:color="auto"/>
              <w:left w:val="nil"/>
              <w:bottom w:val="single" w:sz="4" w:space="0" w:color="auto"/>
              <w:right w:val="single" w:sz="4" w:space="0" w:color="auto"/>
            </w:tcBorders>
            <w:shd w:val="clear" w:color="auto" w:fill="C6EFCE"/>
            <w:noWrap/>
          </w:tcPr>
          <w:p w14:paraId="427345C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97" w:type="pct"/>
            <w:tcBorders>
              <w:top w:val="single" w:sz="4" w:space="0" w:color="auto"/>
              <w:left w:val="nil"/>
              <w:bottom w:val="single" w:sz="4" w:space="0" w:color="auto"/>
              <w:right w:val="single" w:sz="4" w:space="0" w:color="auto"/>
            </w:tcBorders>
            <w:shd w:val="clear" w:color="auto" w:fill="C6EFCE"/>
            <w:noWrap/>
          </w:tcPr>
          <w:p w14:paraId="5B48930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242" w:type="pct"/>
            <w:tcBorders>
              <w:top w:val="single" w:sz="4" w:space="0" w:color="auto"/>
              <w:left w:val="nil"/>
              <w:bottom w:val="single" w:sz="4" w:space="0" w:color="auto"/>
              <w:right w:val="single" w:sz="4" w:space="0" w:color="auto"/>
            </w:tcBorders>
            <w:shd w:val="clear" w:color="auto" w:fill="C6EFCE"/>
            <w:noWrap/>
          </w:tcPr>
          <w:p w14:paraId="0A3D1BB5"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655CB004"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65" w:type="pct"/>
            <w:tcBorders>
              <w:top w:val="single" w:sz="4" w:space="0" w:color="auto"/>
              <w:left w:val="nil"/>
              <w:bottom w:val="single" w:sz="4" w:space="0" w:color="auto"/>
              <w:right w:val="single" w:sz="4" w:space="0" w:color="auto"/>
            </w:tcBorders>
            <w:shd w:val="clear" w:color="auto" w:fill="C6EFCE"/>
            <w:noWrap/>
          </w:tcPr>
          <w:p w14:paraId="2FD96B50" w14:textId="40A00E66" w:rsidR="003A3D51" w:rsidRDefault="0002775A">
            <w:pPr>
              <w:pStyle w:val="P68B1DB1-Normal7"/>
              <w:spacing w:after="200" w:line="276" w:lineRule="auto"/>
              <w:rPr>
                <w:rFonts w:ascii="Times New Roman" w:hAnsi="Times New Roman" w:cs="Times New Roman"/>
                <w:noProof/>
              </w:rPr>
            </w:pPr>
            <w:r>
              <w:rPr>
                <w:noProof/>
              </w:rPr>
              <w:t xml:space="preserve">Reformen ska införa bestämmelser om inrättande av en fungerande nationell telemedicinsk ram för överföring av livsviktiga patientparametrar från akutsjukvården till den gemensamma akutsjukhustjänsten (OHBP) och fjärrövervakning av öppenvården (HMS). Projektet ska ge följande resultat: i). Situationsanalys. II) Nationella ramar för inrättande av fjärrövervakning av akutsjukvård och iii) en handlingsplan för införande av tillsyn och en ram för övervakning av genomförandet. </w:t>
            </w:r>
            <w:r>
              <w:rPr>
                <w:noProof/>
              </w:rPr>
              <w:br/>
              <w:t>Med tanke på det tekniska biståndets begränsade resurser och varaktighet ska teleradiologikomponenten endast vara en introduktionskomponent på nivån för kartläggning av bästa praxis.</w:t>
            </w:r>
          </w:p>
        </w:tc>
      </w:tr>
      <w:tr w:rsidR="003A3D51" w14:paraId="61183A85"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09352411" w14:textId="77777777" w:rsidR="003A3D51" w:rsidRDefault="0002775A">
            <w:pPr>
              <w:pStyle w:val="P68B1DB1-Normal7"/>
              <w:spacing w:after="200" w:line="276" w:lineRule="auto"/>
              <w:jc w:val="center"/>
              <w:rPr>
                <w:rFonts w:ascii="Times New Roman" w:hAnsi="Times New Roman" w:cs="Times New Roman"/>
                <w:noProof/>
              </w:rPr>
            </w:pPr>
            <w:r>
              <w:rPr>
                <w:noProof/>
              </w:rPr>
              <w:t>347</w:t>
            </w:r>
          </w:p>
        </w:tc>
        <w:tc>
          <w:tcPr>
            <w:tcW w:w="257" w:type="pct"/>
            <w:tcBorders>
              <w:top w:val="single" w:sz="4" w:space="0" w:color="auto"/>
              <w:left w:val="nil"/>
              <w:bottom w:val="single" w:sz="4" w:space="0" w:color="auto"/>
              <w:right w:val="single" w:sz="4" w:space="0" w:color="auto"/>
            </w:tcBorders>
            <w:shd w:val="clear" w:color="auto" w:fill="C6EFCE"/>
            <w:noWrap/>
          </w:tcPr>
          <w:p w14:paraId="56B549C3" w14:textId="77777777" w:rsidR="003A3D51" w:rsidRDefault="0002775A">
            <w:pPr>
              <w:pStyle w:val="P68B1DB1-Normal7"/>
              <w:spacing w:after="200" w:line="276" w:lineRule="auto"/>
              <w:jc w:val="center"/>
              <w:rPr>
                <w:rFonts w:ascii="Times New Roman" w:hAnsi="Times New Roman" w:cs="Times New Roman"/>
                <w:noProof/>
              </w:rPr>
            </w:pPr>
            <w:r>
              <w:rPr>
                <w:noProof/>
              </w:rPr>
              <w:t>C5.1 R5-I1</w:t>
            </w:r>
          </w:p>
        </w:tc>
        <w:tc>
          <w:tcPr>
            <w:tcW w:w="288" w:type="pct"/>
            <w:tcBorders>
              <w:top w:val="single" w:sz="4" w:space="0" w:color="auto"/>
              <w:left w:val="nil"/>
              <w:bottom w:val="single" w:sz="4" w:space="0" w:color="auto"/>
              <w:right w:val="single" w:sz="4" w:space="0" w:color="auto"/>
            </w:tcBorders>
            <w:shd w:val="clear" w:color="auto" w:fill="C6EFCE"/>
            <w:noWrap/>
          </w:tcPr>
          <w:p w14:paraId="03DB906A"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193FEC6E" w14:textId="77777777" w:rsidR="003A3D51" w:rsidRDefault="0002775A">
            <w:pPr>
              <w:pStyle w:val="P68B1DB1-Normal7"/>
              <w:spacing w:after="200" w:line="276" w:lineRule="auto"/>
              <w:rPr>
                <w:rFonts w:ascii="Times New Roman" w:hAnsi="Times New Roman" w:cs="Times New Roman"/>
                <w:noProof/>
              </w:rPr>
            </w:pPr>
            <w:r>
              <w:rPr>
                <w:noProof/>
              </w:rPr>
              <w:t>Digitaliserade, integrerade driftshallar (Firule och Križine) och robotsystem vid Firule installerade och funktionella</w:t>
            </w:r>
          </w:p>
        </w:tc>
        <w:tc>
          <w:tcPr>
            <w:tcW w:w="687" w:type="pct"/>
            <w:tcBorders>
              <w:top w:val="single" w:sz="4" w:space="0" w:color="auto"/>
              <w:left w:val="nil"/>
              <w:bottom w:val="single" w:sz="4" w:space="0" w:color="auto"/>
              <w:right w:val="single" w:sz="4" w:space="0" w:color="auto"/>
            </w:tcBorders>
            <w:shd w:val="clear" w:color="auto" w:fill="C6EFCE"/>
            <w:noWrap/>
          </w:tcPr>
          <w:p w14:paraId="445DFB19"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6476BE5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3A708AF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0A8FCF2B" w14:textId="77777777" w:rsidR="003A3D51" w:rsidRDefault="0002775A">
            <w:pPr>
              <w:pStyle w:val="P68B1DB1-Normal7"/>
              <w:spacing w:after="200" w:line="276" w:lineRule="auto"/>
              <w:jc w:val="center"/>
              <w:rPr>
                <w:rFonts w:ascii="Times New Roman" w:hAnsi="Times New Roman" w:cs="Times New Roman"/>
                <w:noProof/>
              </w:rPr>
            </w:pPr>
            <w:r>
              <w:rPr>
                <w:noProof/>
              </w:rPr>
              <w:t>4</w:t>
            </w:r>
          </w:p>
        </w:tc>
        <w:tc>
          <w:tcPr>
            <w:tcW w:w="242" w:type="pct"/>
            <w:tcBorders>
              <w:top w:val="single" w:sz="4" w:space="0" w:color="auto"/>
              <w:left w:val="nil"/>
              <w:bottom w:val="single" w:sz="4" w:space="0" w:color="auto"/>
              <w:right w:val="single" w:sz="4" w:space="0" w:color="auto"/>
            </w:tcBorders>
            <w:shd w:val="clear" w:color="auto" w:fill="C6EFCE"/>
            <w:noWrap/>
          </w:tcPr>
          <w:p w14:paraId="4A0B6941" w14:textId="59C890CA"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272" w:type="pct"/>
            <w:tcBorders>
              <w:top w:val="single" w:sz="4" w:space="0" w:color="auto"/>
              <w:left w:val="nil"/>
              <w:bottom w:val="single" w:sz="4" w:space="0" w:color="auto"/>
              <w:right w:val="single" w:sz="4" w:space="0" w:color="auto"/>
            </w:tcBorders>
            <w:shd w:val="clear" w:color="auto" w:fill="C6EFCE"/>
            <w:noWrap/>
          </w:tcPr>
          <w:p w14:paraId="32D1CB24" w14:textId="42B32D74"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65" w:type="pct"/>
            <w:tcBorders>
              <w:top w:val="single" w:sz="4" w:space="0" w:color="auto"/>
              <w:left w:val="nil"/>
              <w:bottom w:val="single" w:sz="4" w:space="0" w:color="auto"/>
              <w:right w:val="single" w:sz="4" w:space="0" w:color="auto"/>
            </w:tcBorders>
            <w:shd w:val="clear" w:color="auto" w:fill="C6EFCE"/>
            <w:noWrap/>
          </w:tcPr>
          <w:p w14:paraId="356AE677" w14:textId="77777777" w:rsidR="003A3D51" w:rsidRDefault="0002775A">
            <w:pPr>
              <w:pStyle w:val="P68B1DB1-Normal7"/>
              <w:spacing w:after="200" w:line="276" w:lineRule="auto"/>
              <w:rPr>
                <w:rFonts w:ascii="Times New Roman" w:hAnsi="Times New Roman" w:cs="Times New Roman"/>
                <w:noProof/>
              </w:rPr>
            </w:pPr>
            <w:r>
              <w:rPr>
                <w:noProof/>
              </w:rPr>
              <w:t xml:space="preserve">Projektet omfattar digitalisering och integrering av 4 operationssalar i Firule och Križine samt ett robotsystem på Firule. Den digitala omställningen, integrationen och robotkirurgi ska ändra behandlingsvägen genom att förbättra kvaliteten på kirurgisk behandling, förbättra patientsäkerheten, uppnå större insyn i behandlingen, bättre kontrollera kostnader och hälsoresultat, stärka och konsolidera viktiga infrastrukturresurser för hälsoinformation och modernisera papperslösa hälso- och sjukvårdstjänster. </w:t>
            </w:r>
          </w:p>
        </w:tc>
      </w:tr>
      <w:tr w:rsidR="003A3D51" w14:paraId="7C884BE9"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7989F19B" w14:textId="77777777" w:rsidR="003A3D51" w:rsidRDefault="0002775A">
            <w:pPr>
              <w:pStyle w:val="P68B1DB1-Normal7"/>
              <w:spacing w:after="200" w:line="276" w:lineRule="auto"/>
              <w:jc w:val="center"/>
              <w:rPr>
                <w:rFonts w:ascii="Times New Roman" w:hAnsi="Times New Roman" w:cs="Times New Roman"/>
                <w:noProof/>
              </w:rPr>
            </w:pPr>
            <w:r>
              <w:rPr>
                <w:noProof/>
              </w:rPr>
              <w:t>348</w:t>
            </w:r>
          </w:p>
        </w:tc>
        <w:tc>
          <w:tcPr>
            <w:tcW w:w="257" w:type="pct"/>
            <w:tcBorders>
              <w:top w:val="single" w:sz="4" w:space="0" w:color="auto"/>
              <w:left w:val="nil"/>
              <w:bottom w:val="single" w:sz="4" w:space="0" w:color="auto"/>
              <w:right w:val="single" w:sz="4" w:space="0" w:color="auto"/>
            </w:tcBorders>
            <w:shd w:val="clear" w:color="auto" w:fill="C6EFCE"/>
            <w:noWrap/>
          </w:tcPr>
          <w:p w14:paraId="3C06B9BA" w14:textId="77777777" w:rsidR="003A3D51" w:rsidRDefault="0002775A">
            <w:pPr>
              <w:pStyle w:val="P68B1DB1-Normal7"/>
              <w:spacing w:after="200" w:line="276" w:lineRule="auto"/>
              <w:jc w:val="center"/>
              <w:rPr>
                <w:rFonts w:ascii="Times New Roman" w:hAnsi="Times New Roman" w:cs="Times New Roman"/>
                <w:noProof/>
              </w:rPr>
            </w:pPr>
            <w:r>
              <w:rPr>
                <w:noProof/>
              </w:rPr>
              <w:t>C5.1 R5-I2</w:t>
            </w:r>
          </w:p>
        </w:tc>
        <w:tc>
          <w:tcPr>
            <w:tcW w:w="288" w:type="pct"/>
            <w:tcBorders>
              <w:top w:val="single" w:sz="4" w:space="0" w:color="auto"/>
              <w:left w:val="nil"/>
              <w:bottom w:val="single" w:sz="4" w:space="0" w:color="auto"/>
              <w:right w:val="single" w:sz="4" w:space="0" w:color="auto"/>
            </w:tcBorders>
            <w:shd w:val="clear" w:color="auto" w:fill="C6EFCE"/>
            <w:noWrap/>
          </w:tcPr>
          <w:p w14:paraId="690FD62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1F96ADB8" w14:textId="77777777" w:rsidR="003A3D51" w:rsidRDefault="0002775A">
            <w:pPr>
              <w:pStyle w:val="P68B1DB1-Normal7"/>
              <w:spacing w:after="200" w:line="276" w:lineRule="auto"/>
              <w:rPr>
                <w:rFonts w:ascii="Times New Roman" w:hAnsi="Times New Roman" w:cs="Times New Roman"/>
                <w:noProof/>
              </w:rPr>
            </w:pPr>
            <w:r>
              <w:rPr>
                <w:noProof/>
              </w:rPr>
              <w:t>Telekardiologiska tjänster</w:t>
            </w:r>
          </w:p>
        </w:tc>
        <w:tc>
          <w:tcPr>
            <w:tcW w:w="687" w:type="pct"/>
            <w:tcBorders>
              <w:top w:val="single" w:sz="4" w:space="0" w:color="auto"/>
              <w:left w:val="nil"/>
              <w:bottom w:val="single" w:sz="4" w:space="0" w:color="auto"/>
              <w:right w:val="single" w:sz="4" w:space="0" w:color="auto"/>
            </w:tcBorders>
            <w:shd w:val="clear" w:color="auto" w:fill="C6EFCE"/>
            <w:noWrap/>
          </w:tcPr>
          <w:p w14:paraId="72933DBD"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394" w:type="pct"/>
            <w:tcBorders>
              <w:top w:val="single" w:sz="4" w:space="0" w:color="auto"/>
              <w:left w:val="nil"/>
              <w:bottom w:val="single" w:sz="4" w:space="0" w:color="auto"/>
              <w:right w:val="single" w:sz="4" w:space="0" w:color="auto"/>
            </w:tcBorders>
            <w:shd w:val="clear" w:color="auto" w:fill="C6EFCE"/>
            <w:noWrap/>
          </w:tcPr>
          <w:p w14:paraId="15B469F5"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45519DDE"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67221A86" w14:textId="77777777" w:rsidR="003A3D51" w:rsidRDefault="0002775A">
            <w:pPr>
              <w:pStyle w:val="P68B1DB1-Normal7"/>
              <w:spacing w:after="200" w:line="276" w:lineRule="auto"/>
              <w:jc w:val="center"/>
              <w:rPr>
                <w:rFonts w:ascii="Times New Roman" w:hAnsi="Times New Roman" w:cs="Times New Roman"/>
                <w:noProof/>
              </w:rPr>
            </w:pPr>
            <w:r>
              <w:rPr>
                <w:noProof/>
              </w:rPr>
              <w:t>40</w:t>
            </w:r>
          </w:p>
        </w:tc>
        <w:tc>
          <w:tcPr>
            <w:tcW w:w="242" w:type="pct"/>
            <w:tcBorders>
              <w:top w:val="single" w:sz="4" w:space="0" w:color="auto"/>
              <w:left w:val="nil"/>
              <w:bottom w:val="single" w:sz="4" w:space="0" w:color="auto"/>
              <w:right w:val="single" w:sz="4" w:space="0" w:color="auto"/>
            </w:tcBorders>
            <w:shd w:val="clear" w:color="auto" w:fill="C6EFCE"/>
            <w:noWrap/>
          </w:tcPr>
          <w:p w14:paraId="22606E75"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2" w:type="pct"/>
            <w:tcBorders>
              <w:top w:val="single" w:sz="4" w:space="0" w:color="auto"/>
              <w:left w:val="nil"/>
              <w:bottom w:val="single" w:sz="4" w:space="0" w:color="auto"/>
              <w:right w:val="single" w:sz="4" w:space="0" w:color="auto"/>
            </w:tcBorders>
            <w:shd w:val="clear" w:color="auto" w:fill="C6EFCE"/>
            <w:noWrap/>
          </w:tcPr>
          <w:p w14:paraId="687A47EE"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1165" w:type="pct"/>
            <w:tcBorders>
              <w:top w:val="single" w:sz="4" w:space="0" w:color="auto"/>
              <w:left w:val="nil"/>
              <w:bottom w:val="single" w:sz="4" w:space="0" w:color="auto"/>
              <w:right w:val="single" w:sz="4" w:space="0" w:color="auto"/>
            </w:tcBorders>
            <w:shd w:val="clear" w:color="auto" w:fill="C6EFCE"/>
            <w:noWrap/>
          </w:tcPr>
          <w:p w14:paraId="362675F7" w14:textId="77777777" w:rsidR="003A3D51" w:rsidRDefault="0002775A">
            <w:pPr>
              <w:pStyle w:val="P68B1DB1-Normal7"/>
              <w:spacing w:after="200" w:line="276" w:lineRule="auto"/>
              <w:rPr>
                <w:rFonts w:ascii="Times New Roman" w:hAnsi="Times New Roman" w:cs="Times New Roman"/>
                <w:noProof/>
              </w:rPr>
            </w:pPr>
            <w:r>
              <w:rPr>
                <w:noProof/>
              </w:rPr>
              <w:t>Syftet med TeleCordis-projektet är att installera den medicinska utrustning och datorutrustning som krävs för att utföra tjänster som rör elektrokardiogram (EKG), tryckhållare och 12 kanalelektrokardiogram (ECG) i avlägsna områden och landsbygdsområden som inte täcks i tillräcklig utsträckning av dessa tjänster, såsom att de inte har tillgång till någon kardiologispecialist. Utrustningen ska köpas in (paket per central) och placeras i minst 40 telemedicinska mottagningscentrum. Programmet ska anslutas till telemedicinska specialistcentrum och tillhandahålla en telekardiologitjänst.</w:t>
            </w:r>
          </w:p>
        </w:tc>
      </w:tr>
      <w:tr w:rsidR="003A3D51" w14:paraId="1AADA911"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13D518EB" w14:textId="77777777" w:rsidR="003A3D51" w:rsidRDefault="0002775A">
            <w:pPr>
              <w:pStyle w:val="P68B1DB1-Normal7"/>
              <w:spacing w:after="200" w:line="276" w:lineRule="auto"/>
              <w:jc w:val="center"/>
              <w:rPr>
                <w:rFonts w:ascii="Times New Roman" w:hAnsi="Times New Roman" w:cs="Times New Roman"/>
                <w:noProof/>
              </w:rPr>
            </w:pPr>
            <w:r>
              <w:rPr>
                <w:noProof/>
              </w:rPr>
              <w:t>349</w:t>
            </w:r>
          </w:p>
        </w:tc>
        <w:tc>
          <w:tcPr>
            <w:tcW w:w="257" w:type="pct"/>
            <w:tcBorders>
              <w:top w:val="single" w:sz="4" w:space="0" w:color="auto"/>
              <w:left w:val="nil"/>
              <w:bottom w:val="single" w:sz="4" w:space="0" w:color="auto"/>
              <w:right w:val="single" w:sz="4" w:space="0" w:color="auto"/>
            </w:tcBorders>
            <w:shd w:val="clear" w:color="auto" w:fill="C6EFCE"/>
            <w:noWrap/>
          </w:tcPr>
          <w:p w14:paraId="712998CE" w14:textId="77777777" w:rsidR="003A3D51" w:rsidRDefault="0002775A">
            <w:pPr>
              <w:pStyle w:val="P68B1DB1-Normal7"/>
              <w:spacing w:after="200" w:line="276" w:lineRule="auto"/>
              <w:jc w:val="center"/>
              <w:rPr>
                <w:rFonts w:ascii="Times New Roman" w:hAnsi="Times New Roman" w:cs="Times New Roman"/>
                <w:noProof/>
              </w:rPr>
            </w:pPr>
            <w:r>
              <w:rPr>
                <w:noProof/>
              </w:rPr>
              <w:t>C5.1 R5-I3</w:t>
            </w:r>
          </w:p>
        </w:tc>
        <w:tc>
          <w:tcPr>
            <w:tcW w:w="288" w:type="pct"/>
            <w:tcBorders>
              <w:top w:val="single" w:sz="4" w:space="0" w:color="auto"/>
              <w:left w:val="nil"/>
              <w:bottom w:val="single" w:sz="4" w:space="0" w:color="auto"/>
              <w:right w:val="single" w:sz="4" w:space="0" w:color="auto"/>
            </w:tcBorders>
            <w:shd w:val="clear" w:color="auto" w:fill="C6EFCE"/>
            <w:noWrap/>
          </w:tcPr>
          <w:p w14:paraId="63D801D5"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70CB30E7" w14:textId="77777777" w:rsidR="003A3D51" w:rsidRDefault="0002775A">
            <w:pPr>
              <w:pStyle w:val="P68B1DB1-Normal7"/>
              <w:spacing w:after="200" w:line="276" w:lineRule="auto"/>
              <w:rPr>
                <w:rFonts w:ascii="Times New Roman" w:hAnsi="Times New Roman" w:cs="Times New Roman"/>
                <w:noProof/>
              </w:rPr>
            </w:pPr>
            <w:r>
              <w:rPr>
                <w:noProof/>
              </w:rPr>
              <w:t xml:space="preserve">Teletransfusionstjänster </w:t>
            </w:r>
          </w:p>
        </w:tc>
        <w:tc>
          <w:tcPr>
            <w:tcW w:w="687" w:type="pct"/>
            <w:tcBorders>
              <w:top w:val="single" w:sz="4" w:space="0" w:color="auto"/>
              <w:left w:val="nil"/>
              <w:bottom w:val="single" w:sz="4" w:space="0" w:color="auto"/>
              <w:right w:val="single" w:sz="4" w:space="0" w:color="auto"/>
            </w:tcBorders>
            <w:shd w:val="clear" w:color="auto" w:fill="C6EFCE"/>
            <w:noWrap/>
          </w:tcPr>
          <w:p w14:paraId="3E1FF6AB"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6B46D58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177BCE2E"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03A17EAD" w14:textId="77777777" w:rsidR="003A3D51" w:rsidRDefault="0002775A">
            <w:pPr>
              <w:pStyle w:val="P68B1DB1-Normal7"/>
              <w:spacing w:after="200" w:line="276" w:lineRule="auto"/>
              <w:jc w:val="center"/>
              <w:rPr>
                <w:rFonts w:ascii="Times New Roman" w:hAnsi="Times New Roman" w:cs="Times New Roman"/>
                <w:noProof/>
              </w:rPr>
            </w:pPr>
            <w:r>
              <w:rPr>
                <w:noProof/>
              </w:rPr>
              <w:t>35</w:t>
            </w:r>
          </w:p>
        </w:tc>
        <w:tc>
          <w:tcPr>
            <w:tcW w:w="242" w:type="pct"/>
            <w:tcBorders>
              <w:top w:val="single" w:sz="4" w:space="0" w:color="auto"/>
              <w:left w:val="nil"/>
              <w:bottom w:val="single" w:sz="4" w:space="0" w:color="auto"/>
              <w:right w:val="single" w:sz="4" w:space="0" w:color="auto"/>
            </w:tcBorders>
            <w:shd w:val="clear" w:color="auto" w:fill="C6EFCE"/>
            <w:noWrap/>
          </w:tcPr>
          <w:p w14:paraId="65855CA8"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272" w:type="pct"/>
            <w:tcBorders>
              <w:top w:val="single" w:sz="4" w:space="0" w:color="auto"/>
              <w:left w:val="nil"/>
              <w:bottom w:val="single" w:sz="4" w:space="0" w:color="auto"/>
              <w:right w:val="single" w:sz="4" w:space="0" w:color="auto"/>
            </w:tcBorders>
            <w:shd w:val="clear" w:color="auto" w:fill="C6EFCE"/>
            <w:noWrap/>
          </w:tcPr>
          <w:p w14:paraId="48408082"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1165" w:type="pct"/>
            <w:tcBorders>
              <w:top w:val="single" w:sz="4" w:space="0" w:color="auto"/>
              <w:left w:val="nil"/>
              <w:bottom w:val="single" w:sz="4" w:space="0" w:color="auto"/>
              <w:right w:val="single" w:sz="4" w:space="0" w:color="auto"/>
            </w:tcBorders>
            <w:shd w:val="clear" w:color="auto" w:fill="C6EFCE"/>
            <w:noWrap/>
          </w:tcPr>
          <w:p w14:paraId="6D8ECF25" w14:textId="77777777" w:rsidR="003A3D51" w:rsidRDefault="0002775A">
            <w:pPr>
              <w:pStyle w:val="P68B1DB1-Normal7"/>
              <w:spacing w:after="200" w:line="276" w:lineRule="auto"/>
              <w:rPr>
                <w:rFonts w:ascii="Times New Roman" w:hAnsi="Times New Roman" w:cs="Times New Roman"/>
                <w:noProof/>
              </w:rPr>
            </w:pPr>
            <w:r>
              <w:rPr>
                <w:noProof/>
              </w:rPr>
              <w:t>Teletransfusionsprojektet ska stödja den befintliga infrastrukturen för digitala behandlingsprocesser där man använder de patientdata som erhållits från e-recept och e-dokumentation som behövs för att inleda behandling i en sekundär eller tertiär vårdanläggning.</w:t>
            </w:r>
            <w:r>
              <w:rPr>
                <w:noProof/>
              </w:rPr>
              <w:br/>
              <w:t>Projektet ska koppla samman transfusionscentrum på Kroatiens territorium (minst 35 transfusionsenheter på sjukhus) och göra tjänsten tillgänglig 24 timmar om dygnet, sju dagar i veckan. Utrustningen ska köpas in (paket per central) och placeras i telemedicinska åtkomstcentrum, programmet ska anslutas till telemedicinska specialistcentraler och tillhandahålla en teletransfusionstjänst.</w:t>
            </w:r>
          </w:p>
        </w:tc>
      </w:tr>
      <w:tr w:rsidR="003A3D51" w14:paraId="0D43B5CC" w14:textId="77777777" w:rsidTr="007E7373">
        <w:trPr>
          <w:trHeight w:val="283"/>
          <w:jc w:val="center"/>
        </w:trPr>
        <w:tc>
          <w:tcPr>
            <w:tcW w:w="237" w:type="pct"/>
            <w:tcBorders>
              <w:top w:val="single" w:sz="4" w:space="0" w:color="auto"/>
              <w:left w:val="single" w:sz="4" w:space="0" w:color="auto"/>
              <w:bottom w:val="single" w:sz="4" w:space="0" w:color="auto"/>
              <w:right w:val="single" w:sz="4" w:space="0" w:color="auto"/>
            </w:tcBorders>
            <w:shd w:val="clear" w:color="auto" w:fill="C6EFCE"/>
            <w:noWrap/>
          </w:tcPr>
          <w:p w14:paraId="133BB6F0" w14:textId="77777777" w:rsidR="003A3D51" w:rsidRDefault="0002775A">
            <w:pPr>
              <w:pStyle w:val="P68B1DB1-Normal7"/>
              <w:spacing w:after="200" w:line="276" w:lineRule="auto"/>
              <w:jc w:val="center"/>
              <w:rPr>
                <w:rFonts w:ascii="Times New Roman" w:hAnsi="Times New Roman" w:cs="Times New Roman"/>
                <w:noProof/>
              </w:rPr>
            </w:pPr>
            <w:r>
              <w:rPr>
                <w:noProof/>
              </w:rPr>
              <w:t>350</w:t>
            </w:r>
          </w:p>
        </w:tc>
        <w:tc>
          <w:tcPr>
            <w:tcW w:w="257" w:type="pct"/>
            <w:tcBorders>
              <w:top w:val="single" w:sz="4" w:space="0" w:color="auto"/>
              <w:left w:val="nil"/>
              <w:bottom w:val="single" w:sz="4" w:space="0" w:color="auto"/>
              <w:right w:val="single" w:sz="4" w:space="0" w:color="auto"/>
            </w:tcBorders>
            <w:shd w:val="clear" w:color="auto" w:fill="C6EFCE"/>
            <w:noWrap/>
          </w:tcPr>
          <w:p w14:paraId="74E5CCC8" w14:textId="77777777" w:rsidR="003A3D51" w:rsidRDefault="0002775A">
            <w:pPr>
              <w:pStyle w:val="P68B1DB1-Normal7"/>
              <w:spacing w:after="200" w:line="276" w:lineRule="auto"/>
              <w:jc w:val="center"/>
              <w:rPr>
                <w:rFonts w:ascii="Times New Roman" w:hAnsi="Times New Roman" w:cs="Times New Roman"/>
                <w:noProof/>
              </w:rPr>
            </w:pPr>
            <w:r>
              <w:rPr>
                <w:noProof/>
              </w:rPr>
              <w:t>C5.1 R5-I4</w:t>
            </w:r>
          </w:p>
        </w:tc>
        <w:tc>
          <w:tcPr>
            <w:tcW w:w="288" w:type="pct"/>
            <w:tcBorders>
              <w:top w:val="single" w:sz="4" w:space="0" w:color="auto"/>
              <w:left w:val="nil"/>
              <w:bottom w:val="single" w:sz="4" w:space="0" w:color="auto"/>
              <w:right w:val="single" w:sz="4" w:space="0" w:color="auto"/>
            </w:tcBorders>
            <w:shd w:val="clear" w:color="auto" w:fill="C6EFCE"/>
            <w:noWrap/>
          </w:tcPr>
          <w:p w14:paraId="2EEE0C5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830" w:type="pct"/>
            <w:tcBorders>
              <w:top w:val="single" w:sz="4" w:space="0" w:color="auto"/>
              <w:left w:val="nil"/>
              <w:bottom w:val="single" w:sz="4" w:space="0" w:color="auto"/>
              <w:right w:val="single" w:sz="4" w:space="0" w:color="auto"/>
            </w:tcBorders>
            <w:shd w:val="clear" w:color="auto" w:fill="C6EFCE"/>
            <w:noWrap/>
          </w:tcPr>
          <w:p w14:paraId="7D5B5C69" w14:textId="77777777" w:rsidR="003A3D51" w:rsidRDefault="0002775A">
            <w:pPr>
              <w:pStyle w:val="P68B1DB1-Normal7"/>
              <w:spacing w:after="200" w:line="276" w:lineRule="auto"/>
              <w:rPr>
                <w:rFonts w:ascii="Times New Roman" w:hAnsi="Times New Roman" w:cs="Times New Roman"/>
                <w:noProof/>
              </w:rPr>
            </w:pPr>
            <w:r>
              <w:rPr>
                <w:noProof/>
              </w:rPr>
              <w:t>Operationsteatrar Clinical Hospital Centre (KBC) Sestre milosrdnice med robotkirurgi</w:t>
            </w:r>
          </w:p>
        </w:tc>
        <w:tc>
          <w:tcPr>
            <w:tcW w:w="687" w:type="pct"/>
            <w:tcBorders>
              <w:top w:val="single" w:sz="4" w:space="0" w:color="auto"/>
              <w:left w:val="nil"/>
              <w:bottom w:val="single" w:sz="4" w:space="0" w:color="auto"/>
              <w:right w:val="single" w:sz="4" w:space="0" w:color="auto"/>
            </w:tcBorders>
            <w:shd w:val="clear" w:color="auto" w:fill="C6EFCE"/>
            <w:noWrap/>
          </w:tcPr>
          <w:p w14:paraId="34F511F2"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394" w:type="pct"/>
            <w:tcBorders>
              <w:top w:val="single" w:sz="4" w:space="0" w:color="auto"/>
              <w:left w:val="nil"/>
              <w:bottom w:val="single" w:sz="4" w:space="0" w:color="auto"/>
              <w:right w:val="single" w:sz="4" w:space="0" w:color="auto"/>
            </w:tcBorders>
            <w:shd w:val="clear" w:color="auto" w:fill="C6EFCE"/>
            <w:noWrap/>
          </w:tcPr>
          <w:p w14:paraId="38BE36AC"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331" w:type="pct"/>
            <w:tcBorders>
              <w:top w:val="single" w:sz="4" w:space="0" w:color="auto"/>
              <w:left w:val="nil"/>
              <w:bottom w:val="single" w:sz="4" w:space="0" w:color="auto"/>
              <w:right w:val="single" w:sz="4" w:space="0" w:color="auto"/>
            </w:tcBorders>
            <w:shd w:val="clear" w:color="auto" w:fill="C6EFCE"/>
            <w:noWrap/>
          </w:tcPr>
          <w:p w14:paraId="74444271"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297" w:type="pct"/>
            <w:tcBorders>
              <w:top w:val="single" w:sz="4" w:space="0" w:color="auto"/>
              <w:left w:val="nil"/>
              <w:bottom w:val="single" w:sz="4" w:space="0" w:color="auto"/>
              <w:right w:val="single" w:sz="4" w:space="0" w:color="auto"/>
            </w:tcBorders>
            <w:shd w:val="clear" w:color="auto" w:fill="C6EFCE"/>
            <w:noWrap/>
          </w:tcPr>
          <w:p w14:paraId="79B5E0B5" w14:textId="77777777" w:rsidR="003A3D51" w:rsidRDefault="0002775A">
            <w:pPr>
              <w:pStyle w:val="P68B1DB1-Normal7"/>
              <w:spacing w:after="200" w:line="276" w:lineRule="auto"/>
              <w:jc w:val="center"/>
              <w:rPr>
                <w:rFonts w:ascii="Times New Roman" w:hAnsi="Times New Roman" w:cs="Times New Roman"/>
                <w:noProof/>
              </w:rPr>
            </w:pPr>
            <w:r>
              <w:rPr>
                <w:noProof/>
              </w:rPr>
              <w:t>4</w:t>
            </w:r>
          </w:p>
        </w:tc>
        <w:tc>
          <w:tcPr>
            <w:tcW w:w="242" w:type="pct"/>
            <w:tcBorders>
              <w:top w:val="single" w:sz="4" w:space="0" w:color="auto"/>
              <w:left w:val="nil"/>
              <w:bottom w:val="single" w:sz="4" w:space="0" w:color="auto"/>
              <w:right w:val="single" w:sz="4" w:space="0" w:color="auto"/>
            </w:tcBorders>
            <w:shd w:val="clear" w:color="auto" w:fill="C6EFCE"/>
            <w:noWrap/>
          </w:tcPr>
          <w:p w14:paraId="517A831A" w14:textId="1542B33F"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272" w:type="pct"/>
            <w:tcBorders>
              <w:top w:val="single" w:sz="4" w:space="0" w:color="auto"/>
              <w:left w:val="nil"/>
              <w:bottom w:val="single" w:sz="4" w:space="0" w:color="auto"/>
              <w:right w:val="single" w:sz="4" w:space="0" w:color="auto"/>
            </w:tcBorders>
            <w:shd w:val="clear" w:color="auto" w:fill="C6EFCE"/>
            <w:noWrap/>
          </w:tcPr>
          <w:p w14:paraId="64046651" w14:textId="722D1295" w:rsidR="003A3D51" w:rsidRDefault="0002775A">
            <w:pPr>
              <w:pStyle w:val="P68B1DB1-Normal7"/>
              <w:spacing w:after="200" w:line="276" w:lineRule="auto"/>
              <w:jc w:val="center"/>
              <w:rPr>
                <w:rFonts w:ascii="Times New Roman" w:hAnsi="Times New Roman" w:cs="Times New Roman"/>
                <w:noProof/>
              </w:rPr>
            </w:pPr>
            <w:r>
              <w:rPr>
                <w:noProof/>
              </w:rPr>
              <w:t>2024</w:t>
            </w:r>
          </w:p>
        </w:tc>
        <w:tc>
          <w:tcPr>
            <w:tcW w:w="1165" w:type="pct"/>
            <w:tcBorders>
              <w:top w:val="single" w:sz="4" w:space="0" w:color="auto"/>
              <w:left w:val="nil"/>
              <w:bottom w:val="single" w:sz="4" w:space="0" w:color="auto"/>
              <w:right w:val="single" w:sz="4" w:space="0" w:color="auto"/>
            </w:tcBorders>
            <w:shd w:val="clear" w:color="auto" w:fill="C6EFCE"/>
            <w:noWrap/>
          </w:tcPr>
          <w:p w14:paraId="17D62485" w14:textId="77777777" w:rsidR="003A3D51" w:rsidRDefault="0002775A">
            <w:pPr>
              <w:pStyle w:val="P68B1DB1-Normal7"/>
              <w:spacing w:after="200" w:line="276" w:lineRule="auto"/>
              <w:rPr>
                <w:rFonts w:ascii="Times New Roman" w:hAnsi="Times New Roman" w:cs="Times New Roman"/>
                <w:noProof/>
              </w:rPr>
            </w:pPr>
            <w:r>
              <w:rPr>
                <w:noProof/>
              </w:rPr>
              <w:t>Minst 4 nyutrustade driftrum med toppmodern robotteknik,</w:t>
            </w:r>
            <w:r>
              <w:rPr>
                <w:noProof/>
              </w:rPr>
              <w:br/>
              <w:t xml:space="preserve"> Följande funktioner ska vara möjliga: samla in alla data om patienten i realtid på bildskärmens skärm i själva manöverrummet under operationen. Dessutom ska det vara möjligt att ha tillgång till allt bildmaterial för patienter på bildskärmens skärm under operationen, vilket bidrar till säkrare och effektivare förfaranden. Integreringen ska också göra det möjligt att använda andra diagnostiska och terapeutiska produkter i samma operationsområde, som också ska integreras i det integrerade operativrumssystemet. </w:t>
            </w:r>
          </w:p>
        </w:tc>
      </w:tr>
    </w:tbl>
    <w:p w14:paraId="79A1FE6A" w14:textId="77777777" w:rsidR="003A3D51" w:rsidRDefault="003A3D51">
      <w:pPr>
        <w:rPr>
          <w:noProof/>
        </w:rPr>
        <w:sectPr w:rsidR="003A3D51" w:rsidSect="0001477B">
          <w:headerReference w:type="even" r:id="rId360"/>
          <w:headerReference w:type="default" r:id="rId361"/>
          <w:footerReference w:type="even" r:id="rId362"/>
          <w:footerReference w:type="default" r:id="rId363"/>
          <w:headerReference w:type="first" r:id="rId364"/>
          <w:footerReference w:type="first" r:id="rId365"/>
          <w:pgSz w:w="15840" w:h="12240" w:orient="landscape"/>
          <w:pgMar w:top="1440" w:right="1440" w:bottom="1440" w:left="1440" w:header="708" w:footer="708" w:gutter="0"/>
          <w:cols w:space="708"/>
          <w:docGrid w:linePitch="360"/>
        </w:sectPr>
      </w:pPr>
    </w:p>
    <w:p w14:paraId="56AA2842" w14:textId="77777777" w:rsidR="003A3D51" w:rsidRDefault="0002775A">
      <w:pPr>
        <w:pStyle w:val="paragraph"/>
        <w:spacing w:before="0" w:beforeAutospacing="0" w:after="0" w:afterAutospacing="0"/>
        <w:ind w:left="840"/>
        <w:jc w:val="both"/>
        <w:textAlignment w:val="baseline"/>
        <w:rPr>
          <w:rFonts w:ascii="Segoe UI" w:hAnsi="Segoe UI" w:cs="Segoe UI"/>
          <w:noProof/>
          <w:sz w:val="18"/>
        </w:rPr>
      </w:pPr>
      <w:r>
        <w:rPr>
          <w:rStyle w:val="normaltextrun"/>
          <w:b/>
          <w:noProof/>
        </w:rPr>
        <w:t xml:space="preserve">U.3. </w:t>
      </w:r>
      <w:r>
        <w:rPr>
          <w:rStyle w:val="tabchar"/>
          <w:rFonts w:ascii="Calibri" w:hAnsi="Calibri" w:cs="Calibri"/>
          <w:noProof/>
        </w:rPr>
        <w:tab/>
      </w:r>
      <w:r>
        <w:rPr>
          <w:rStyle w:val="normaltextrun"/>
          <w:b/>
          <w:noProof/>
        </w:rPr>
        <w:t xml:space="preserve">Beskrivning av reformerna och investeringarna för lånet </w:t>
      </w:r>
      <w:r>
        <w:rPr>
          <w:rStyle w:val="normaltextrun"/>
          <w:noProof/>
        </w:rPr>
        <w:t>  </w:t>
      </w:r>
    </w:p>
    <w:p w14:paraId="58D760A4" w14:textId="77777777" w:rsidR="003A3D51" w:rsidRDefault="0002775A">
      <w:pPr>
        <w:pStyle w:val="P68B1DB1-Normal5"/>
        <w:spacing w:before="120" w:after="120" w:line="240" w:lineRule="auto"/>
        <w:ind w:left="850"/>
        <w:jc w:val="both"/>
        <w:rPr>
          <w:noProof/>
        </w:rPr>
      </w:pPr>
      <w:r>
        <w:rPr>
          <w:noProof/>
        </w:rPr>
        <w:t>Investering C5.1 R1-I1 – Införande av mobila apotek i primärvården</w:t>
      </w:r>
    </w:p>
    <w:p w14:paraId="59A3464C" w14:textId="3346C22F" w:rsidR="003A3D51" w:rsidRDefault="0002775A">
      <w:pPr>
        <w:pStyle w:val="P68B1DB1-Normal3"/>
        <w:spacing w:before="120" w:after="120" w:line="240" w:lineRule="auto"/>
        <w:jc w:val="both"/>
        <w:rPr>
          <w:noProof/>
        </w:rPr>
      </w:pPr>
      <w:r>
        <w:rPr>
          <w:noProof/>
        </w:rPr>
        <w:t xml:space="preserve">Syftet med denna investering är att tillhandahålla läkemedel i områden som saknar apotek eller apotek genom att upphandla sex mobila apotek i form av mobila husvagnar och två apotek i form av båtar. Denna investering förväntas ha positiva effekter på befolkningsutvecklingen och livskvaliteten i perifera områden. Denna åtgärd ska inriktas på att täcka vissa avlägsna områden, särskilt öar och landsbygdsområden, för att uppnå full täckning för apotekstjänster i Kroatien. Dessutom ska den öka tillgången till apotekstjänster för både boende och turister (under säsongstoppar), för att förbättra livskvaliteten och bidra till befolkningstillväxten på landsbygden, i avlägsna områden och på öar. </w:t>
      </w:r>
    </w:p>
    <w:p w14:paraId="67CCBFD4" w14:textId="70480F9E" w:rsidR="003A3D51" w:rsidRDefault="0002775A">
      <w:pPr>
        <w:pStyle w:val="P68B1DB1-Normal3"/>
        <w:spacing w:before="120" w:after="120" w:line="240" w:lineRule="auto"/>
        <w:jc w:val="both"/>
        <w:rPr>
          <w:noProof/>
        </w:rPr>
      </w:pPr>
      <w:r>
        <w:rPr>
          <w:noProof/>
        </w:rPr>
        <w:t>Åtgärden ska vara slutförd senast den 30 juni 2025.</w:t>
      </w:r>
    </w:p>
    <w:p w14:paraId="34E80946" w14:textId="77777777" w:rsidR="003A3D51" w:rsidRDefault="0002775A">
      <w:pPr>
        <w:pStyle w:val="P68B1DB1-Normal5"/>
        <w:spacing w:before="120" w:after="120" w:line="240" w:lineRule="auto"/>
        <w:ind w:left="850"/>
        <w:jc w:val="both"/>
        <w:rPr>
          <w:noProof/>
        </w:rPr>
      </w:pPr>
      <w:r>
        <w:rPr>
          <w:noProof/>
        </w:rPr>
        <w:t>Investering C5.1 R1 – I2 – Mobil öppenvård</w:t>
      </w:r>
    </w:p>
    <w:p w14:paraId="44B8936D" w14:textId="77777777" w:rsidR="003A3D51" w:rsidRDefault="0002775A">
      <w:pPr>
        <w:pStyle w:val="P68B1DB1-Normal3"/>
        <w:spacing w:before="120" w:after="120" w:line="240" w:lineRule="auto"/>
        <w:jc w:val="both"/>
        <w:rPr>
          <w:noProof/>
        </w:rPr>
      </w:pPr>
      <w:r>
        <w:rPr>
          <w:noProof/>
        </w:rPr>
        <w:t>Syftet med denna åtgärd är att inrätta ett rörligt system för primärvård i landsbygdsområden, avlägsna områden och öområden, som förvaltas av hälsoministeriet i samarbete med lokala och regionala myndigheter samt vårdcentraler. Investeringen ska omfatta en kartläggning av den kapacitet som krävs för att nå målet på 80 % mobil primärvård för öppenvård i landsbygdsområden, avlägsna områden och öområden. Dessutom ska en avtalsmodell fastställas för att säkerställa tjänstens långsiktiga finansiella hållbarhet. Dessutom ska investeringen utveckla särskilda hälsostandarder för landsbygdsområden, avlägsna områden och öar, med beaktande av behoven hos alla invånare i dessa områden, inbegripet den äldre och mindre rörliga befolkningen. Hälsoministeriet ska administrera utbildningen för att öka de mobila gruppernas kapacitet att tillhandahålla primärvård inom öppenvården.</w:t>
      </w:r>
    </w:p>
    <w:p w14:paraId="77FCA3FF" w14:textId="49052590" w:rsidR="003A3D51" w:rsidRDefault="0002775A">
      <w:pPr>
        <w:pStyle w:val="P68B1DB1-Normal3"/>
        <w:spacing w:before="120" w:after="120" w:line="240" w:lineRule="auto"/>
        <w:jc w:val="both"/>
        <w:rPr>
          <w:noProof/>
        </w:rPr>
      </w:pPr>
      <w:r>
        <w:rPr>
          <w:noProof/>
        </w:rPr>
        <w:t>Åtgärden ska vara slutförd senast den 31 december 2025.</w:t>
      </w:r>
    </w:p>
    <w:p w14:paraId="322C60F4" w14:textId="77777777" w:rsidR="003A3D51" w:rsidRDefault="0002775A">
      <w:pPr>
        <w:pStyle w:val="P68B1DB1-Normal5"/>
        <w:spacing w:before="120" w:after="120" w:line="240" w:lineRule="auto"/>
        <w:ind w:left="850"/>
        <w:jc w:val="both"/>
        <w:rPr>
          <w:noProof/>
        </w:rPr>
      </w:pPr>
      <w:r>
        <w:rPr>
          <w:noProof/>
        </w:rPr>
        <w:t>Investering C5.1 R1-I3 – Byggande och utrustning av enheter för klinisk isolering (3, 4 och 1/5 av byggnader) Infektiös sjukdom ”Dr Fran Mihaljević”</w:t>
      </w:r>
    </w:p>
    <w:p w14:paraId="6B903918" w14:textId="77777777" w:rsidR="003A3D51" w:rsidRDefault="0002775A">
      <w:pPr>
        <w:pStyle w:val="P68B1DB1-Normal3"/>
        <w:spacing w:before="120" w:after="120" w:line="240" w:lineRule="auto"/>
        <w:jc w:val="both"/>
        <w:rPr>
          <w:noProof/>
        </w:rPr>
      </w:pPr>
      <w:r>
        <w:rPr>
          <w:noProof/>
        </w:rPr>
        <w:t xml:space="preserve">Syftet med denna åtgärd är att bygga upp modern kapacitet för infektionssjukdomen dr Fran Mihaljević, den främsta institution som ansvarar för att leda insatserna för att bekämpa covid-19-pandemin och vars byggnader skadades under jordbävningarna 2020, varav en del ska rivas. Samtidigt är syftet att uppnå behandling av infektionssjukdomar med hjälp av modern och innovativ teknik för att minska behandlingstiden, kostnaderna och ge patienterna vård av hög kvalitet. För att uppnå målet och öka hälso- och sjukvårdssystemets resiliens inom dess ansvarsområde och den nödvändiga funktionaliteten ska projektet omfatta åtgärder för att ersätta nödvändig utrustning. Dessutom ska den nya byggnaden vara utrustad med moderna diagnosverktyg. </w:t>
      </w:r>
    </w:p>
    <w:p w14:paraId="5A10DFF6" w14:textId="61A0E3BE" w:rsidR="003A3D51" w:rsidRDefault="0002775A">
      <w:pPr>
        <w:pStyle w:val="P68B1DB1-Normal3"/>
        <w:spacing w:before="120" w:after="120" w:line="240" w:lineRule="auto"/>
        <w:jc w:val="both"/>
        <w:rPr>
          <w:noProof/>
        </w:rPr>
      </w:pPr>
      <w:r>
        <w:rPr>
          <w:noProof/>
        </w:rPr>
        <w:t>Åtgärden ska vara slutförd senast den 31 mars 2026.</w:t>
      </w:r>
    </w:p>
    <w:p w14:paraId="546CD8B3" w14:textId="77777777" w:rsidR="003A3D51" w:rsidRDefault="0002775A">
      <w:pPr>
        <w:pStyle w:val="P68B1DB1-Normal5"/>
        <w:spacing w:before="120" w:after="120" w:line="240" w:lineRule="auto"/>
        <w:ind w:left="850"/>
        <w:jc w:val="both"/>
        <w:rPr>
          <w:noProof/>
        </w:rPr>
      </w:pPr>
      <w:r>
        <w:rPr>
          <w:noProof/>
        </w:rPr>
        <w:t>Investering C5.1 R4-I6 – Avfallshantering vid det kliniska sjukhuset KBC Zagreb</w:t>
      </w:r>
    </w:p>
    <w:p w14:paraId="6EC2404A" w14:textId="77777777" w:rsidR="003A3D51" w:rsidRDefault="0002775A">
      <w:pPr>
        <w:pStyle w:val="P68B1DB1-Normal3"/>
        <w:spacing w:before="120" w:after="120" w:line="240" w:lineRule="auto"/>
        <w:jc w:val="both"/>
        <w:rPr>
          <w:noProof/>
        </w:rPr>
      </w:pPr>
      <w:r>
        <w:rPr>
          <w:noProof/>
        </w:rPr>
        <w:t xml:space="preserve">Syftet med denna åtgärd är att avsevärt minska kostnaderna för bortskaffande och transport av sjukvårdsavfall, höja hygienkvaliteten, förbättra personalens säkerhet och minska vikten och volymen av det medicinska avfall som behandlas. Dessutom ska den bidra till att minska de negativa effekterna på miljön genom att minska utsläppen i miljön och minska de risker som är förknippade med transport av smittsamt avfall. Investeringen ska, i överensstämmelse med principen om att inte orsaka betydande skada på klimatmålen, bygga förbränning och stödja anläggningar för bortskaffande och behandling av farligt medicinskt avfall som inte kan materialåtervinnas och som genereras på plats av KBC Zagreb. Detta projekt omfattar uppförandet av en modern anläggning för hantering av medicinskt avfall bestående av </w:t>
      </w:r>
    </w:p>
    <w:p w14:paraId="2D293AFD" w14:textId="77777777" w:rsidR="003A3D51" w:rsidRDefault="0002775A">
      <w:pPr>
        <w:pStyle w:val="P68B1DB1-Normal3"/>
        <w:numPr>
          <w:ilvl w:val="0"/>
          <w:numId w:val="29"/>
        </w:numPr>
        <w:spacing w:before="120" w:after="120" w:line="240" w:lineRule="auto"/>
        <w:jc w:val="both"/>
        <w:rPr>
          <w:noProof/>
        </w:rPr>
      </w:pPr>
      <w:r>
        <w:rPr>
          <w:noProof/>
        </w:rPr>
        <w:t>Kyld lagring av farligt medicinskt avfall som inte kan materialåtervinnas i enlighet med alla bestämmelser för lagring av denna typ av avfall.</w:t>
      </w:r>
    </w:p>
    <w:p w14:paraId="21C8C92A" w14:textId="77777777" w:rsidR="003A3D51" w:rsidRDefault="0002775A">
      <w:pPr>
        <w:pStyle w:val="P68B1DB1-Normal3"/>
        <w:numPr>
          <w:ilvl w:val="0"/>
          <w:numId w:val="29"/>
        </w:numPr>
        <w:spacing w:before="120" w:after="120" w:line="240" w:lineRule="auto"/>
        <w:jc w:val="both"/>
        <w:rPr>
          <w:noProof/>
        </w:rPr>
      </w:pPr>
      <w:r>
        <w:rPr>
          <w:noProof/>
        </w:rPr>
        <w:t xml:space="preserve">Linjer för hantering av farligt medicinskt avfall som inte kan materialåtervinnas. </w:t>
      </w:r>
    </w:p>
    <w:p w14:paraId="2EDA0E26" w14:textId="77777777" w:rsidR="003A3D51" w:rsidRDefault="0002775A">
      <w:pPr>
        <w:pStyle w:val="P68B1DB1-Normal3"/>
        <w:numPr>
          <w:ilvl w:val="0"/>
          <w:numId w:val="29"/>
        </w:numPr>
        <w:spacing w:before="120" w:after="120" w:line="240" w:lineRule="auto"/>
        <w:jc w:val="both"/>
        <w:rPr>
          <w:noProof/>
        </w:rPr>
      </w:pPr>
      <w:r>
        <w:rPr>
          <w:noProof/>
        </w:rPr>
        <w:t xml:space="preserve">Ledningar för energiåtervinning av farligt medicinskt avfall som inte kan materialåtervinnas med rökgasreningssystem och system för kontinuerlig övervakning av utsläpp. </w:t>
      </w:r>
    </w:p>
    <w:p w14:paraId="7E5DA2FD" w14:textId="77777777" w:rsidR="003A3D51" w:rsidRDefault="0002775A">
      <w:pPr>
        <w:pStyle w:val="P68B1DB1-Normal3"/>
        <w:numPr>
          <w:ilvl w:val="0"/>
          <w:numId w:val="29"/>
        </w:numPr>
        <w:spacing w:before="120" w:after="120" w:line="240" w:lineRule="auto"/>
        <w:jc w:val="both"/>
        <w:rPr>
          <w:noProof/>
        </w:rPr>
      </w:pPr>
      <w:r>
        <w:rPr>
          <w:noProof/>
        </w:rPr>
        <w:t xml:space="preserve">Moderna automatiska linjer för tvättning av behållare. </w:t>
      </w:r>
    </w:p>
    <w:p w14:paraId="6942C648" w14:textId="77777777" w:rsidR="003A3D51" w:rsidRDefault="0002775A">
      <w:pPr>
        <w:pStyle w:val="P68B1DB1-Normal3"/>
        <w:spacing w:before="120" w:after="120" w:line="240" w:lineRule="auto"/>
        <w:jc w:val="both"/>
        <w:rPr>
          <w:noProof/>
        </w:rPr>
      </w:pPr>
      <w:r>
        <w:rPr>
          <w:noProof/>
        </w:rPr>
        <w:t>Denna åtgärd förväntas inte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w:t>
      </w:r>
    </w:p>
    <w:p w14:paraId="41BDBA75" w14:textId="3F52BD9D" w:rsidR="003A3D51" w:rsidRDefault="0002775A">
      <w:pPr>
        <w:pStyle w:val="P68B1DB1-Normal3"/>
        <w:spacing w:before="120" w:after="120" w:line="240" w:lineRule="auto"/>
        <w:jc w:val="both"/>
        <w:rPr>
          <w:noProof/>
        </w:rPr>
      </w:pPr>
      <w:r>
        <w:rPr>
          <w:noProof/>
        </w:rPr>
        <w:t>Åtgärden ska vara slutförd senast den 31 mars 2026.</w:t>
      </w:r>
    </w:p>
    <w:p w14:paraId="26A6EF79" w14:textId="77777777" w:rsidR="003A3D51" w:rsidRDefault="003A3D51">
      <w:pPr>
        <w:spacing w:before="120" w:after="120" w:line="240" w:lineRule="auto"/>
        <w:jc w:val="both"/>
        <w:rPr>
          <w:rFonts w:ascii="Times New Roman" w:eastAsia="Calibri" w:hAnsi="Times New Roman" w:cs="Times New Roman"/>
          <w:noProof/>
          <w:sz w:val="24"/>
        </w:rPr>
        <w:sectPr w:rsidR="003A3D51" w:rsidSect="0001477B">
          <w:headerReference w:type="even" r:id="rId366"/>
          <w:headerReference w:type="default" r:id="rId367"/>
          <w:footerReference w:type="even" r:id="rId368"/>
          <w:footerReference w:type="default" r:id="rId369"/>
          <w:headerReference w:type="first" r:id="rId370"/>
          <w:footerReference w:type="first" r:id="rId371"/>
          <w:pgSz w:w="12240" w:h="15840"/>
          <w:pgMar w:top="1440" w:right="1440" w:bottom="1440" w:left="1440" w:header="708" w:footer="708" w:gutter="0"/>
          <w:cols w:space="708"/>
          <w:docGrid w:linePitch="360"/>
        </w:sectPr>
      </w:pPr>
    </w:p>
    <w:p w14:paraId="6D3DCE0B" w14:textId="77777777" w:rsidR="003A3D51" w:rsidRDefault="0002775A">
      <w:pPr>
        <w:pStyle w:val="P68B1DB1-Normal43"/>
        <w:spacing w:after="0" w:line="240" w:lineRule="auto"/>
        <w:jc w:val="both"/>
        <w:textAlignment w:val="baseline"/>
        <w:rPr>
          <w:rFonts w:ascii="Segoe UI" w:eastAsia="Times New Roman" w:hAnsi="Segoe UI" w:cs="Segoe UI"/>
          <w:noProof/>
          <w:sz w:val="18"/>
        </w:rPr>
      </w:pPr>
      <w:r>
        <w:rPr>
          <w:rFonts w:ascii="Times New Roman" w:eastAsia="Times New Roman" w:hAnsi="Times New Roman" w:cs="Times New Roman"/>
          <w:b/>
          <w:noProof/>
        </w:rPr>
        <w:t xml:space="preserve">X.4. </w:t>
      </w:r>
      <w:r>
        <w:rPr>
          <w:rFonts w:ascii="Calibri" w:eastAsia="Times New Roman" w:hAnsi="Calibri" w:cs="Calibri"/>
          <w:noProof/>
        </w:rPr>
        <w:tab/>
      </w:r>
      <w:r>
        <w:rPr>
          <w:rFonts w:ascii="Times New Roman" w:eastAsia="Times New Roman" w:hAnsi="Times New Roman" w:cs="Times New Roman"/>
          <w:b/>
          <w:noProof/>
        </w:rPr>
        <w:t xml:space="preserve">Delmål, mål, indikatorer och tidsplan för övervakning och genomförande av lånet </w:t>
      </w:r>
      <w:r>
        <w:rPr>
          <w:rFonts w:ascii="Times New Roman" w:eastAsia="Times New Roman" w:hAnsi="Times New Roman" w:cs="Times New Roman"/>
          <w:noProof/>
        </w:rPr>
        <w:t xml:space="preserve"> </w:t>
      </w:r>
    </w:p>
    <w:p w14:paraId="347C6424" w14:textId="77777777" w:rsidR="003A3D51" w:rsidRDefault="0002775A">
      <w:pPr>
        <w:pStyle w:val="FooterText"/>
        <w:jc w:val="both"/>
        <w:textAlignment w:val="baseline"/>
        <w:rPr>
          <w:noProof/>
        </w:rPr>
      </w:pPr>
      <w:r>
        <w:rPr>
          <w:noProof/>
        </w:rPr>
        <w:t> </w:t>
      </w:r>
    </w:p>
    <w:tbl>
      <w:tblPr>
        <w:tblW w:w="15156" w:type="dxa"/>
        <w:jc w:val="center"/>
        <w:tblCellMar>
          <w:top w:w="28" w:type="dxa"/>
          <w:left w:w="28" w:type="dxa"/>
          <w:bottom w:w="28" w:type="dxa"/>
          <w:right w:w="28" w:type="dxa"/>
        </w:tblCellMar>
        <w:tblLook w:val="04A0" w:firstRow="1" w:lastRow="0" w:firstColumn="1" w:lastColumn="0" w:noHBand="0" w:noVBand="1"/>
      </w:tblPr>
      <w:tblGrid>
        <w:gridCol w:w="696"/>
        <w:gridCol w:w="726"/>
        <w:gridCol w:w="946"/>
        <w:gridCol w:w="1956"/>
        <w:gridCol w:w="2159"/>
        <w:gridCol w:w="1078"/>
        <w:gridCol w:w="1087"/>
        <w:gridCol w:w="976"/>
        <w:gridCol w:w="795"/>
        <w:gridCol w:w="850"/>
        <w:gridCol w:w="4277"/>
      </w:tblGrid>
      <w:tr w:rsidR="003A3D51" w14:paraId="0C635377" w14:textId="77777777">
        <w:trPr>
          <w:trHeight w:val="636"/>
          <w:tblHeader/>
          <w:jc w:val="cent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231A83A2" w14:textId="77777777" w:rsidR="003A3D51" w:rsidRDefault="0002775A">
            <w:pPr>
              <w:pStyle w:val="P68B1DB1-Normal6"/>
              <w:spacing w:after="0" w:line="276" w:lineRule="auto"/>
              <w:jc w:val="center"/>
              <w:rPr>
                <w:noProof/>
              </w:rPr>
            </w:pPr>
            <w:r>
              <w:rPr>
                <w:noProof/>
              </w:rPr>
              <w:t>Antal</w:t>
            </w:r>
          </w:p>
        </w:tc>
        <w:tc>
          <w:tcPr>
            <w:tcW w:w="72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4B38AD6D" w14:textId="77777777" w:rsidR="003A3D51" w:rsidRDefault="0002775A">
            <w:pPr>
              <w:pStyle w:val="P68B1DB1-Normal6"/>
              <w:spacing w:after="0" w:line="276" w:lineRule="auto"/>
              <w:jc w:val="center"/>
              <w:rPr>
                <w:noProof/>
              </w:rPr>
            </w:pPr>
            <w:r>
              <w:rPr>
                <w:noProof/>
              </w:rPr>
              <w:t>Åtgärd</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586204B0" w14:textId="77777777" w:rsidR="003A3D51" w:rsidRDefault="0002775A">
            <w:pPr>
              <w:pStyle w:val="P68B1DB1-Normal6"/>
              <w:spacing w:after="0" w:line="276" w:lineRule="auto"/>
              <w:jc w:val="center"/>
              <w:rPr>
                <w:noProof/>
              </w:rPr>
            </w:pPr>
            <w:r>
              <w:rPr>
                <w:noProof/>
              </w:rPr>
              <w:t>Delmål/mål</w:t>
            </w:r>
          </w:p>
        </w:tc>
        <w:tc>
          <w:tcPr>
            <w:tcW w:w="1956" w:type="dxa"/>
            <w:vMerge w:val="restart"/>
            <w:tcBorders>
              <w:top w:val="single" w:sz="4" w:space="0" w:color="auto"/>
              <w:left w:val="nil"/>
              <w:bottom w:val="single" w:sz="4" w:space="0" w:color="000000"/>
              <w:right w:val="single" w:sz="4" w:space="0" w:color="auto"/>
            </w:tcBorders>
            <w:shd w:val="clear" w:color="auto" w:fill="BDD7EE"/>
            <w:vAlign w:val="center"/>
            <w:hideMark/>
          </w:tcPr>
          <w:p w14:paraId="435AC8D3" w14:textId="77777777" w:rsidR="003A3D51" w:rsidRDefault="0002775A">
            <w:pPr>
              <w:pStyle w:val="P68B1DB1-Normal6"/>
              <w:spacing w:after="0" w:line="276" w:lineRule="auto"/>
              <w:jc w:val="center"/>
              <w:rPr>
                <w:noProof/>
              </w:rPr>
            </w:pPr>
            <w:r>
              <w:rPr>
                <w:noProof/>
              </w:rPr>
              <w:t>Namn</w:t>
            </w:r>
          </w:p>
        </w:tc>
        <w:tc>
          <w:tcPr>
            <w:tcW w:w="21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14:paraId="0CD72E48"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3141" w:type="dxa"/>
            <w:gridSpan w:val="3"/>
            <w:tcBorders>
              <w:top w:val="single" w:sz="4" w:space="0" w:color="auto"/>
              <w:left w:val="nil"/>
              <w:bottom w:val="single" w:sz="4" w:space="0" w:color="auto"/>
              <w:right w:val="single" w:sz="4" w:space="0" w:color="auto"/>
            </w:tcBorders>
            <w:shd w:val="clear" w:color="auto" w:fill="BDD7EE"/>
            <w:vAlign w:val="center"/>
            <w:hideMark/>
          </w:tcPr>
          <w:p w14:paraId="36173BA6"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395" w:type="dxa"/>
            <w:gridSpan w:val="2"/>
            <w:tcBorders>
              <w:top w:val="single" w:sz="4" w:space="0" w:color="auto"/>
              <w:left w:val="nil"/>
              <w:bottom w:val="single" w:sz="4" w:space="0" w:color="auto"/>
              <w:right w:val="single" w:sz="4" w:space="0" w:color="auto"/>
            </w:tcBorders>
            <w:shd w:val="clear" w:color="auto" w:fill="BDD7EE"/>
            <w:vAlign w:val="center"/>
            <w:hideMark/>
          </w:tcPr>
          <w:p w14:paraId="345831B0" w14:textId="77777777" w:rsidR="003A3D51" w:rsidRDefault="0002775A">
            <w:pPr>
              <w:pStyle w:val="P68B1DB1-Normal6"/>
              <w:spacing w:after="0" w:line="276" w:lineRule="auto"/>
              <w:jc w:val="center"/>
              <w:rPr>
                <w:noProof/>
              </w:rPr>
            </w:pPr>
            <w:r>
              <w:rPr>
                <w:noProof/>
              </w:rPr>
              <w:t>Tid</w:t>
            </w:r>
          </w:p>
        </w:tc>
        <w:tc>
          <w:tcPr>
            <w:tcW w:w="42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676F35F" w14:textId="77777777" w:rsidR="003A3D51" w:rsidRDefault="0002775A">
            <w:pPr>
              <w:pStyle w:val="P68B1DB1-Normal6"/>
              <w:spacing w:after="0" w:line="276" w:lineRule="auto"/>
              <w:jc w:val="center"/>
              <w:rPr>
                <w:noProof/>
              </w:rPr>
            </w:pPr>
            <w:r>
              <w:rPr>
                <w:noProof/>
              </w:rPr>
              <w:t>Beskrivning av varje delmål och mål</w:t>
            </w:r>
          </w:p>
        </w:tc>
      </w:tr>
      <w:tr w:rsidR="003A3D51" w14:paraId="1E0E97F1" w14:textId="77777777">
        <w:trPr>
          <w:trHeight w:val="362"/>
          <w:tblHeader/>
          <w:jc w:val="center"/>
        </w:trPr>
        <w:tc>
          <w:tcPr>
            <w:tcW w:w="696" w:type="dxa"/>
            <w:vMerge/>
            <w:tcBorders>
              <w:top w:val="single" w:sz="4" w:space="0" w:color="auto"/>
              <w:left w:val="single" w:sz="4" w:space="0" w:color="auto"/>
              <w:bottom w:val="single" w:sz="4" w:space="0" w:color="000000"/>
              <w:right w:val="single" w:sz="4" w:space="0" w:color="auto"/>
            </w:tcBorders>
            <w:hideMark/>
          </w:tcPr>
          <w:p w14:paraId="5985A870" w14:textId="77777777" w:rsidR="003A3D51" w:rsidRDefault="003A3D51">
            <w:pPr>
              <w:spacing w:after="0" w:line="276" w:lineRule="auto"/>
              <w:jc w:val="center"/>
              <w:rPr>
                <w:rFonts w:ascii="Times New Roman" w:eastAsia="Times New Roman" w:hAnsi="Times New Roman" w:cs="Times New Roman"/>
                <w:b/>
                <w:noProof/>
              </w:rPr>
            </w:pPr>
          </w:p>
        </w:tc>
        <w:tc>
          <w:tcPr>
            <w:tcW w:w="726" w:type="dxa"/>
            <w:vMerge/>
            <w:tcBorders>
              <w:top w:val="single" w:sz="4" w:space="0" w:color="auto"/>
              <w:left w:val="single" w:sz="4" w:space="0" w:color="auto"/>
              <w:bottom w:val="single" w:sz="4" w:space="0" w:color="000000"/>
              <w:right w:val="single" w:sz="4" w:space="0" w:color="auto"/>
            </w:tcBorders>
            <w:hideMark/>
          </w:tcPr>
          <w:p w14:paraId="779BB0F8" w14:textId="77777777" w:rsidR="003A3D51" w:rsidRDefault="003A3D51">
            <w:pPr>
              <w:spacing w:after="0" w:line="276" w:lineRule="auto"/>
              <w:jc w:val="center"/>
              <w:rPr>
                <w:rFonts w:ascii="Times New Roman" w:eastAsia="Times New Roman" w:hAnsi="Times New Roman" w:cs="Times New Roman"/>
                <w:b/>
                <w:noProof/>
              </w:rPr>
            </w:pPr>
          </w:p>
        </w:tc>
        <w:tc>
          <w:tcPr>
            <w:tcW w:w="806" w:type="dxa"/>
            <w:vMerge/>
            <w:tcBorders>
              <w:top w:val="single" w:sz="4" w:space="0" w:color="auto"/>
              <w:left w:val="single" w:sz="4" w:space="0" w:color="auto"/>
              <w:bottom w:val="single" w:sz="4" w:space="0" w:color="000000"/>
              <w:right w:val="single" w:sz="4" w:space="0" w:color="auto"/>
            </w:tcBorders>
            <w:hideMark/>
          </w:tcPr>
          <w:p w14:paraId="2AE10398" w14:textId="77777777" w:rsidR="003A3D51" w:rsidRDefault="003A3D51">
            <w:pPr>
              <w:spacing w:after="0" w:line="276" w:lineRule="auto"/>
              <w:jc w:val="center"/>
              <w:rPr>
                <w:rFonts w:ascii="Times New Roman" w:eastAsia="Times New Roman" w:hAnsi="Times New Roman" w:cs="Times New Roman"/>
                <w:b/>
                <w:noProof/>
              </w:rPr>
            </w:pPr>
          </w:p>
        </w:tc>
        <w:tc>
          <w:tcPr>
            <w:tcW w:w="1956" w:type="dxa"/>
            <w:vMerge/>
            <w:tcBorders>
              <w:top w:val="single" w:sz="4" w:space="0" w:color="auto"/>
              <w:left w:val="nil"/>
              <w:bottom w:val="single" w:sz="4" w:space="0" w:color="000000"/>
              <w:right w:val="single" w:sz="4" w:space="0" w:color="auto"/>
            </w:tcBorders>
            <w:hideMark/>
          </w:tcPr>
          <w:p w14:paraId="1553AE78" w14:textId="77777777" w:rsidR="003A3D51" w:rsidRDefault="003A3D51">
            <w:pPr>
              <w:spacing w:after="0" w:line="276" w:lineRule="auto"/>
              <w:rPr>
                <w:rFonts w:ascii="Times New Roman" w:eastAsia="Times New Roman" w:hAnsi="Times New Roman" w:cs="Times New Roman"/>
                <w:b/>
                <w:noProof/>
              </w:rPr>
            </w:pPr>
          </w:p>
        </w:tc>
        <w:tc>
          <w:tcPr>
            <w:tcW w:w="2159" w:type="dxa"/>
            <w:vMerge/>
            <w:tcBorders>
              <w:top w:val="single" w:sz="4" w:space="0" w:color="auto"/>
              <w:left w:val="single" w:sz="4" w:space="0" w:color="auto"/>
              <w:bottom w:val="single" w:sz="4" w:space="0" w:color="000000"/>
              <w:right w:val="single" w:sz="4" w:space="0" w:color="auto"/>
            </w:tcBorders>
            <w:hideMark/>
          </w:tcPr>
          <w:p w14:paraId="4658F9AD" w14:textId="77777777" w:rsidR="003A3D51" w:rsidRDefault="003A3D51">
            <w:pPr>
              <w:spacing w:after="0" w:line="276" w:lineRule="auto"/>
              <w:rPr>
                <w:rFonts w:ascii="Times New Roman" w:eastAsia="Times New Roman" w:hAnsi="Times New Roman" w:cs="Times New Roman"/>
                <w:b/>
                <w:noProof/>
              </w:rPr>
            </w:pPr>
          </w:p>
        </w:tc>
        <w:tc>
          <w:tcPr>
            <w:tcW w:w="1078" w:type="dxa"/>
            <w:tcBorders>
              <w:top w:val="nil"/>
              <w:left w:val="nil"/>
              <w:bottom w:val="single" w:sz="4" w:space="0" w:color="auto"/>
              <w:right w:val="single" w:sz="4" w:space="0" w:color="auto"/>
            </w:tcBorders>
            <w:shd w:val="clear" w:color="auto" w:fill="BDD7EE"/>
            <w:vAlign w:val="center"/>
            <w:hideMark/>
          </w:tcPr>
          <w:p w14:paraId="5E6F31A5" w14:textId="77777777" w:rsidR="003A3D51" w:rsidRDefault="0002775A">
            <w:pPr>
              <w:pStyle w:val="P68B1DB1-Normal6"/>
              <w:spacing w:after="0" w:line="276" w:lineRule="auto"/>
              <w:jc w:val="center"/>
              <w:rPr>
                <w:noProof/>
              </w:rPr>
            </w:pPr>
            <w:r>
              <w:rPr>
                <w:noProof/>
              </w:rPr>
              <w:t>Enhet</w:t>
            </w:r>
          </w:p>
        </w:tc>
        <w:tc>
          <w:tcPr>
            <w:tcW w:w="1087" w:type="dxa"/>
            <w:tcBorders>
              <w:top w:val="nil"/>
              <w:left w:val="nil"/>
              <w:bottom w:val="single" w:sz="4" w:space="0" w:color="auto"/>
              <w:right w:val="single" w:sz="4" w:space="0" w:color="auto"/>
            </w:tcBorders>
            <w:shd w:val="clear" w:color="auto" w:fill="BDD7EE"/>
            <w:vAlign w:val="center"/>
            <w:hideMark/>
          </w:tcPr>
          <w:p w14:paraId="6AD071F0" w14:textId="77777777" w:rsidR="003A3D51" w:rsidRDefault="0002775A">
            <w:pPr>
              <w:pStyle w:val="P68B1DB1-Normal6"/>
              <w:spacing w:after="0" w:line="276" w:lineRule="auto"/>
              <w:jc w:val="center"/>
              <w:rPr>
                <w:noProof/>
              </w:rPr>
            </w:pPr>
            <w:r>
              <w:rPr>
                <w:noProof/>
              </w:rPr>
              <w:t>Baslinjen</w:t>
            </w:r>
          </w:p>
        </w:tc>
        <w:tc>
          <w:tcPr>
            <w:tcW w:w="976" w:type="dxa"/>
            <w:tcBorders>
              <w:top w:val="nil"/>
              <w:left w:val="nil"/>
              <w:bottom w:val="single" w:sz="4" w:space="0" w:color="auto"/>
              <w:right w:val="single" w:sz="4" w:space="0" w:color="auto"/>
            </w:tcBorders>
            <w:shd w:val="clear" w:color="auto" w:fill="BDD7EE"/>
            <w:vAlign w:val="center"/>
            <w:hideMark/>
          </w:tcPr>
          <w:p w14:paraId="59AFECB6" w14:textId="77777777" w:rsidR="003A3D51" w:rsidRDefault="0002775A">
            <w:pPr>
              <w:pStyle w:val="P68B1DB1-Normal6"/>
              <w:spacing w:after="0" w:line="276" w:lineRule="auto"/>
              <w:jc w:val="center"/>
              <w:rPr>
                <w:noProof/>
              </w:rPr>
            </w:pPr>
            <w:r>
              <w:rPr>
                <w:noProof/>
              </w:rPr>
              <w:t>Mål</w:t>
            </w:r>
          </w:p>
        </w:tc>
        <w:tc>
          <w:tcPr>
            <w:tcW w:w="545" w:type="dxa"/>
            <w:tcBorders>
              <w:top w:val="nil"/>
              <w:left w:val="nil"/>
              <w:bottom w:val="single" w:sz="4" w:space="0" w:color="auto"/>
              <w:right w:val="single" w:sz="4" w:space="0" w:color="auto"/>
            </w:tcBorders>
            <w:shd w:val="clear" w:color="auto" w:fill="BDD7EE"/>
            <w:vAlign w:val="center"/>
            <w:hideMark/>
          </w:tcPr>
          <w:p w14:paraId="4D18EAF1" w14:textId="77777777" w:rsidR="003A3D51" w:rsidRDefault="0002775A">
            <w:pPr>
              <w:pStyle w:val="P68B1DB1-Normal6"/>
              <w:spacing w:after="0" w:line="276" w:lineRule="auto"/>
              <w:jc w:val="center"/>
              <w:rPr>
                <w:noProof/>
              </w:rPr>
            </w:pPr>
            <w:r>
              <w:rPr>
                <w:noProof/>
              </w:rPr>
              <w:t>Q</w:t>
            </w:r>
          </w:p>
        </w:tc>
        <w:tc>
          <w:tcPr>
            <w:tcW w:w="850" w:type="dxa"/>
            <w:tcBorders>
              <w:top w:val="nil"/>
              <w:left w:val="nil"/>
              <w:bottom w:val="single" w:sz="4" w:space="0" w:color="auto"/>
              <w:right w:val="single" w:sz="4" w:space="0" w:color="auto"/>
            </w:tcBorders>
            <w:shd w:val="clear" w:color="auto" w:fill="BDD7EE"/>
            <w:vAlign w:val="center"/>
            <w:hideMark/>
          </w:tcPr>
          <w:p w14:paraId="4FF9FDCF" w14:textId="77777777" w:rsidR="003A3D51" w:rsidRDefault="0002775A">
            <w:pPr>
              <w:pStyle w:val="P68B1DB1-Normal6"/>
              <w:spacing w:after="0" w:line="276" w:lineRule="auto"/>
              <w:jc w:val="center"/>
              <w:rPr>
                <w:noProof/>
              </w:rPr>
            </w:pPr>
            <w:r>
              <w:rPr>
                <w:noProof/>
              </w:rPr>
              <w:t>Året</w:t>
            </w:r>
          </w:p>
        </w:tc>
        <w:tc>
          <w:tcPr>
            <w:tcW w:w="4277" w:type="dxa"/>
            <w:vMerge/>
            <w:tcBorders>
              <w:top w:val="single" w:sz="4" w:space="0" w:color="auto"/>
              <w:left w:val="single" w:sz="4" w:space="0" w:color="auto"/>
              <w:bottom w:val="single" w:sz="4" w:space="0" w:color="auto"/>
              <w:right w:val="single" w:sz="4" w:space="0" w:color="auto"/>
            </w:tcBorders>
            <w:hideMark/>
          </w:tcPr>
          <w:p w14:paraId="448ADB5F" w14:textId="77777777" w:rsidR="003A3D51" w:rsidRDefault="003A3D51">
            <w:pPr>
              <w:spacing w:after="0" w:line="276" w:lineRule="auto"/>
              <w:rPr>
                <w:rFonts w:ascii="Times New Roman" w:eastAsia="Times New Roman" w:hAnsi="Times New Roman" w:cs="Times New Roman"/>
                <w:b/>
                <w:noProof/>
              </w:rPr>
            </w:pPr>
          </w:p>
        </w:tc>
      </w:tr>
      <w:tr w:rsidR="003A3D51" w14:paraId="78043DC7" w14:textId="77777777">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30E7B685" w14:textId="77777777" w:rsidR="003A3D51" w:rsidRDefault="0002775A">
            <w:pPr>
              <w:pStyle w:val="P68B1DB1-Normal7"/>
              <w:spacing w:after="200" w:line="276" w:lineRule="auto"/>
              <w:jc w:val="center"/>
              <w:rPr>
                <w:rFonts w:ascii="Times New Roman" w:hAnsi="Times New Roman" w:cs="Times New Roman"/>
                <w:noProof/>
              </w:rPr>
            </w:pPr>
            <w:r>
              <w:rPr>
                <w:noProof/>
              </w:rPr>
              <w:t>320</w:t>
            </w:r>
          </w:p>
        </w:tc>
        <w:tc>
          <w:tcPr>
            <w:tcW w:w="726" w:type="dxa"/>
            <w:tcBorders>
              <w:top w:val="nil"/>
              <w:left w:val="nil"/>
              <w:bottom w:val="single" w:sz="4" w:space="0" w:color="auto"/>
              <w:right w:val="single" w:sz="4" w:space="0" w:color="auto"/>
            </w:tcBorders>
            <w:shd w:val="clear" w:color="auto" w:fill="C6EFCE"/>
            <w:noWrap/>
          </w:tcPr>
          <w:p w14:paraId="4451C81C" w14:textId="77777777" w:rsidR="003A3D51" w:rsidRDefault="0002775A">
            <w:pPr>
              <w:pStyle w:val="P68B1DB1-Normal7"/>
              <w:spacing w:after="200" w:line="276" w:lineRule="auto"/>
              <w:jc w:val="center"/>
              <w:rPr>
                <w:rFonts w:ascii="Times New Roman" w:hAnsi="Times New Roman" w:cs="Times New Roman"/>
                <w:noProof/>
              </w:rPr>
            </w:pPr>
            <w:r>
              <w:rPr>
                <w:noProof/>
              </w:rPr>
              <w:t>C5.1 R1-I1</w:t>
            </w:r>
          </w:p>
        </w:tc>
        <w:tc>
          <w:tcPr>
            <w:tcW w:w="806" w:type="dxa"/>
            <w:tcBorders>
              <w:top w:val="nil"/>
              <w:left w:val="nil"/>
              <w:bottom w:val="single" w:sz="4" w:space="0" w:color="auto"/>
              <w:right w:val="single" w:sz="4" w:space="0" w:color="auto"/>
            </w:tcBorders>
            <w:shd w:val="clear" w:color="auto" w:fill="C6EFCE"/>
            <w:noWrap/>
          </w:tcPr>
          <w:p w14:paraId="1076B21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1956" w:type="dxa"/>
            <w:tcBorders>
              <w:top w:val="nil"/>
              <w:left w:val="nil"/>
              <w:bottom w:val="single" w:sz="4" w:space="0" w:color="auto"/>
              <w:right w:val="single" w:sz="4" w:space="0" w:color="auto"/>
            </w:tcBorders>
            <w:shd w:val="clear" w:color="auto" w:fill="C6EFCE"/>
            <w:noWrap/>
          </w:tcPr>
          <w:p w14:paraId="3499EC20" w14:textId="77777777" w:rsidR="003A3D51" w:rsidRDefault="0002775A">
            <w:pPr>
              <w:pStyle w:val="P68B1DB1-Normal7"/>
              <w:spacing w:after="200" w:line="276" w:lineRule="auto"/>
              <w:rPr>
                <w:rFonts w:ascii="Times New Roman" w:hAnsi="Times New Roman" w:cs="Times New Roman"/>
                <w:noProof/>
              </w:rPr>
            </w:pPr>
            <w:r>
              <w:rPr>
                <w:noProof/>
              </w:rPr>
              <w:t xml:space="preserve">Tillgång till apoteksvård och läkemedel </w:t>
            </w:r>
          </w:p>
        </w:tc>
        <w:tc>
          <w:tcPr>
            <w:tcW w:w="2159" w:type="dxa"/>
            <w:tcBorders>
              <w:top w:val="nil"/>
              <w:left w:val="nil"/>
              <w:bottom w:val="single" w:sz="4" w:space="0" w:color="auto"/>
              <w:right w:val="single" w:sz="4" w:space="0" w:color="auto"/>
            </w:tcBorders>
            <w:shd w:val="clear" w:color="auto" w:fill="C6EFCE"/>
            <w:noWrap/>
          </w:tcPr>
          <w:p w14:paraId="10045913"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8" w:type="dxa"/>
            <w:tcBorders>
              <w:top w:val="nil"/>
              <w:left w:val="nil"/>
              <w:bottom w:val="single" w:sz="4" w:space="0" w:color="auto"/>
              <w:right w:val="single" w:sz="4" w:space="0" w:color="auto"/>
            </w:tcBorders>
            <w:shd w:val="clear" w:color="auto" w:fill="C6EFCE"/>
            <w:noWrap/>
          </w:tcPr>
          <w:p w14:paraId="11D9F264"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1087" w:type="dxa"/>
            <w:tcBorders>
              <w:top w:val="nil"/>
              <w:left w:val="nil"/>
              <w:bottom w:val="single" w:sz="4" w:space="0" w:color="auto"/>
              <w:right w:val="single" w:sz="4" w:space="0" w:color="auto"/>
            </w:tcBorders>
            <w:shd w:val="clear" w:color="auto" w:fill="C6EFCE"/>
            <w:noWrap/>
          </w:tcPr>
          <w:p w14:paraId="71349A8D"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976" w:type="dxa"/>
            <w:tcBorders>
              <w:top w:val="nil"/>
              <w:left w:val="nil"/>
              <w:bottom w:val="single" w:sz="4" w:space="0" w:color="auto"/>
              <w:right w:val="single" w:sz="4" w:space="0" w:color="auto"/>
            </w:tcBorders>
            <w:shd w:val="clear" w:color="auto" w:fill="C6EFCE"/>
            <w:noWrap/>
          </w:tcPr>
          <w:p w14:paraId="0A1A0438" w14:textId="77777777" w:rsidR="003A3D51" w:rsidRDefault="0002775A">
            <w:pPr>
              <w:pStyle w:val="P68B1DB1-Normal7"/>
              <w:spacing w:after="200" w:line="276" w:lineRule="auto"/>
              <w:jc w:val="center"/>
              <w:rPr>
                <w:rFonts w:ascii="Times New Roman" w:hAnsi="Times New Roman" w:cs="Times New Roman"/>
                <w:noProof/>
              </w:rPr>
            </w:pPr>
            <w:r>
              <w:rPr>
                <w:noProof/>
              </w:rPr>
              <w:t>8</w:t>
            </w:r>
          </w:p>
        </w:tc>
        <w:tc>
          <w:tcPr>
            <w:tcW w:w="545" w:type="dxa"/>
            <w:tcBorders>
              <w:top w:val="nil"/>
              <w:left w:val="nil"/>
              <w:bottom w:val="single" w:sz="4" w:space="0" w:color="auto"/>
              <w:right w:val="single" w:sz="4" w:space="0" w:color="auto"/>
            </w:tcBorders>
            <w:shd w:val="clear" w:color="auto" w:fill="C6EFCE"/>
            <w:noWrap/>
          </w:tcPr>
          <w:p w14:paraId="23208886" w14:textId="1292C8BB"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50" w:type="dxa"/>
            <w:tcBorders>
              <w:top w:val="nil"/>
              <w:left w:val="nil"/>
              <w:bottom w:val="single" w:sz="4" w:space="0" w:color="auto"/>
              <w:right w:val="single" w:sz="4" w:space="0" w:color="auto"/>
            </w:tcBorders>
            <w:shd w:val="clear" w:color="auto" w:fill="C6EFCE"/>
            <w:noWrap/>
          </w:tcPr>
          <w:p w14:paraId="32224EA7" w14:textId="25A082E0"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277" w:type="dxa"/>
            <w:tcBorders>
              <w:top w:val="nil"/>
              <w:left w:val="nil"/>
              <w:bottom w:val="single" w:sz="4" w:space="0" w:color="auto"/>
              <w:right w:val="single" w:sz="4" w:space="0" w:color="auto"/>
            </w:tcBorders>
            <w:shd w:val="clear" w:color="auto" w:fill="C6EFCE"/>
            <w:noWrap/>
          </w:tcPr>
          <w:p w14:paraId="69302B91" w14:textId="1D90619C" w:rsidR="003A3D51" w:rsidRDefault="0002775A">
            <w:pPr>
              <w:pStyle w:val="P68B1DB1-Normal7"/>
              <w:spacing w:after="200" w:line="276" w:lineRule="auto"/>
              <w:rPr>
                <w:rFonts w:ascii="Times New Roman" w:hAnsi="Times New Roman" w:cs="Times New Roman"/>
                <w:noProof/>
              </w:rPr>
            </w:pPr>
            <w:r>
              <w:rPr>
                <w:noProof/>
              </w:rPr>
              <w:t>Tillgång till hälso- och sjukvård ska säkerställas för alla invånare och för turister på hela Kroatiens territorium, med tjänster som tillhandahålls under turistsäsongen även på platser och öar som inte har apotek eller ett apotek, eftersom de inte uppfyller villkoren för avstånd till ett annat apotek eller antalet invånare, såsom bristande kostnadseffektivitet i deras dagliga arbete i området. För att uppnå målet ska minst sex mobila husapotek och minst två båtapotek upphandlas.</w:t>
            </w:r>
          </w:p>
        </w:tc>
      </w:tr>
      <w:tr w:rsidR="003A3D51" w14:paraId="04EA9A02" w14:textId="77777777">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55C2EEE8" w14:textId="77777777" w:rsidR="003A3D51" w:rsidRDefault="0002775A">
            <w:pPr>
              <w:pStyle w:val="P68B1DB1-Normal7"/>
              <w:spacing w:after="200" w:line="276" w:lineRule="auto"/>
              <w:jc w:val="center"/>
              <w:rPr>
                <w:rFonts w:ascii="Times New Roman" w:hAnsi="Times New Roman" w:cs="Times New Roman"/>
                <w:noProof/>
              </w:rPr>
            </w:pPr>
            <w:r>
              <w:rPr>
                <w:noProof/>
              </w:rPr>
              <w:t>321</w:t>
            </w:r>
          </w:p>
        </w:tc>
        <w:tc>
          <w:tcPr>
            <w:tcW w:w="726" w:type="dxa"/>
            <w:tcBorders>
              <w:top w:val="nil"/>
              <w:left w:val="nil"/>
              <w:bottom w:val="single" w:sz="4" w:space="0" w:color="auto"/>
              <w:right w:val="single" w:sz="4" w:space="0" w:color="auto"/>
            </w:tcBorders>
            <w:shd w:val="clear" w:color="auto" w:fill="C6EFCE"/>
            <w:noWrap/>
          </w:tcPr>
          <w:p w14:paraId="32541E9D" w14:textId="77777777" w:rsidR="003A3D51" w:rsidRDefault="0002775A">
            <w:pPr>
              <w:pStyle w:val="P68B1DB1-Normal7"/>
              <w:spacing w:after="200" w:line="276" w:lineRule="auto"/>
              <w:jc w:val="center"/>
              <w:rPr>
                <w:rFonts w:ascii="Times New Roman" w:hAnsi="Times New Roman" w:cs="Times New Roman"/>
                <w:noProof/>
              </w:rPr>
            </w:pPr>
            <w:r>
              <w:rPr>
                <w:noProof/>
              </w:rPr>
              <w:t>C5.1 R1-I2</w:t>
            </w:r>
          </w:p>
        </w:tc>
        <w:tc>
          <w:tcPr>
            <w:tcW w:w="806" w:type="dxa"/>
            <w:tcBorders>
              <w:top w:val="nil"/>
              <w:left w:val="nil"/>
              <w:bottom w:val="single" w:sz="4" w:space="0" w:color="auto"/>
              <w:right w:val="single" w:sz="4" w:space="0" w:color="auto"/>
            </w:tcBorders>
            <w:shd w:val="clear" w:color="auto" w:fill="C6EFCE"/>
            <w:noWrap/>
          </w:tcPr>
          <w:p w14:paraId="602728D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1956" w:type="dxa"/>
            <w:tcBorders>
              <w:top w:val="nil"/>
              <w:left w:val="nil"/>
              <w:bottom w:val="single" w:sz="4" w:space="0" w:color="auto"/>
              <w:right w:val="single" w:sz="4" w:space="0" w:color="auto"/>
            </w:tcBorders>
            <w:shd w:val="clear" w:color="auto" w:fill="C6EFCE"/>
            <w:noWrap/>
          </w:tcPr>
          <w:p w14:paraId="595624E8" w14:textId="77777777" w:rsidR="003A3D51" w:rsidRDefault="0002775A">
            <w:pPr>
              <w:pStyle w:val="P68B1DB1-Normal7"/>
              <w:spacing w:after="200" w:line="276" w:lineRule="auto"/>
              <w:rPr>
                <w:rFonts w:ascii="Times New Roman" w:hAnsi="Times New Roman" w:cs="Times New Roman"/>
                <w:noProof/>
              </w:rPr>
            </w:pPr>
            <w:r>
              <w:rPr>
                <w:noProof/>
              </w:rPr>
              <w:t xml:space="preserve">Tillhandahållande av mobil öppenvård, primärvård </w:t>
            </w:r>
          </w:p>
        </w:tc>
        <w:tc>
          <w:tcPr>
            <w:tcW w:w="2159" w:type="dxa"/>
            <w:tcBorders>
              <w:top w:val="nil"/>
              <w:left w:val="nil"/>
              <w:bottom w:val="single" w:sz="4" w:space="0" w:color="auto"/>
              <w:right w:val="single" w:sz="4" w:space="0" w:color="auto"/>
            </w:tcBorders>
            <w:shd w:val="clear" w:color="auto" w:fill="C6EFCE"/>
            <w:noWrap/>
          </w:tcPr>
          <w:p w14:paraId="58D2B497"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8" w:type="dxa"/>
            <w:tcBorders>
              <w:top w:val="nil"/>
              <w:left w:val="nil"/>
              <w:bottom w:val="single" w:sz="4" w:space="0" w:color="auto"/>
              <w:right w:val="single" w:sz="4" w:space="0" w:color="auto"/>
            </w:tcBorders>
            <w:shd w:val="clear" w:color="auto" w:fill="C6EFCE"/>
            <w:noWrap/>
          </w:tcPr>
          <w:p w14:paraId="2666FCAB" w14:textId="6F60CCCB"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1087" w:type="dxa"/>
            <w:tcBorders>
              <w:top w:val="nil"/>
              <w:left w:val="nil"/>
              <w:bottom w:val="single" w:sz="4" w:space="0" w:color="auto"/>
              <w:right w:val="single" w:sz="4" w:space="0" w:color="auto"/>
            </w:tcBorders>
            <w:shd w:val="clear" w:color="auto" w:fill="C6EFCE"/>
            <w:noWrap/>
          </w:tcPr>
          <w:p w14:paraId="57F7F09B"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976" w:type="dxa"/>
            <w:tcBorders>
              <w:top w:val="nil"/>
              <w:left w:val="nil"/>
              <w:bottom w:val="single" w:sz="4" w:space="0" w:color="auto"/>
              <w:right w:val="single" w:sz="4" w:space="0" w:color="auto"/>
            </w:tcBorders>
            <w:shd w:val="clear" w:color="auto" w:fill="C6EFCE"/>
            <w:noWrap/>
          </w:tcPr>
          <w:p w14:paraId="001DF630" w14:textId="0060F609" w:rsidR="003A3D51" w:rsidRDefault="0002775A">
            <w:pPr>
              <w:pStyle w:val="P68B1DB1-Normal7"/>
              <w:spacing w:after="200" w:line="276" w:lineRule="auto"/>
              <w:jc w:val="center"/>
              <w:rPr>
                <w:rFonts w:ascii="Times New Roman" w:hAnsi="Times New Roman" w:cs="Times New Roman"/>
                <w:noProof/>
              </w:rPr>
            </w:pPr>
            <w:r>
              <w:rPr>
                <w:noProof/>
              </w:rPr>
              <w:t>33</w:t>
            </w:r>
          </w:p>
          <w:p w14:paraId="187A3F9E" w14:textId="77777777" w:rsidR="003A3D51" w:rsidRDefault="003A3D51">
            <w:pPr>
              <w:spacing w:after="200" w:line="276" w:lineRule="auto"/>
              <w:rPr>
                <w:rFonts w:ascii="Times New Roman" w:eastAsia="Calibri" w:hAnsi="Times New Roman" w:cs="Times New Roman"/>
                <w:noProof/>
                <w:sz w:val="20"/>
              </w:rPr>
            </w:pPr>
          </w:p>
        </w:tc>
        <w:tc>
          <w:tcPr>
            <w:tcW w:w="545" w:type="dxa"/>
            <w:tcBorders>
              <w:top w:val="nil"/>
              <w:left w:val="nil"/>
              <w:bottom w:val="single" w:sz="4" w:space="0" w:color="auto"/>
              <w:right w:val="single" w:sz="4" w:space="0" w:color="auto"/>
            </w:tcBorders>
            <w:shd w:val="clear" w:color="auto" w:fill="C6EFCE"/>
            <w:noWrap/>
          </w:tcPr>
          <w:p w14:paraId="24E76260" w14:textId="5F7A8803"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850" w:type="dxa"/>
            <w:tcBorders>
              <w:top w:val="nil"/>
              <w:left w:val="nil"/>
              <w:bottom w:val="single" w:sz="4" w:space="0" w:color="auto"/>
              <w:right w:val="single" w:sz="4" w:space="0" w:color="auto"/>
            </w:tcBorders>
            <w:shd w:val="clear" w:color="auto" w:fill="C6EFCE"/>
            <w:noWrap/>
          </w:tcPr>
          <w:p w14:paraId="5BB5B3C7"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277" w:type="dxa"/>
            <w:tcBorders>
              <w:top w:val="nil"/>
              <w:left w:val="nil"/>
              <w:bottom w:val="single" w:sz="4" w:space="0" w:color="auto"/>
              <w:right w:val="single" w:sz="4" w:space="0" w:color="auto"/>
            </w:tcBorders>
            <w:shd w:val="clear" w:color="auto" w:fill="C6EFCE"/>
            <w:noWrap/>
          </w:tcPr>
          <w:p w14:paraId="64BEC078" w14:textId="77777777" w:rsidR="003A3D51" w:rsidRDefault="0002775A">
            <w:pPr>
              <w:pStyle w:val="P68B1DB1-Normal7"/>
              <w:spacing w:after="200" w:line="276" w:lineRule="auto"/>
              <w:rPr>
                <w:rFonts w:ascii="Times New Roman" w:hAnsi="Times New Roman" w:cs="Times New Roman"/>
                <w:noProof/>
              </w:rPr>
            </w:pPr>
            <w:r>
              <w:rPr>
                <w:noProof/>
              </w:rPr>
              <w:t>På grundval av den rättsliga ram som inrättats ska hälsoministeriet (MIZ), i samarbete med län och vårdcentraler, inrätta ett mobilt kliniksystem (33 öppenvårdsfordon) i 80 % av landsbygdsområdena, de avlägsna områdena och öområdena. I samarbete och samordning med chefen för hälso- och sjukvårdscentrumet ska läkaren och sjuksköterska besöka små avlägsna platser på ett hälso- och sjukvårdscenter där det inte finns tillgång till tjänsten med nödvändig medicinsk och teknisk utrustning för en familjemässig läkarmottagning och undersöka patienter, praktiktjänstterapi, utfärda olika typer av recept samt göra hembesök hos icke-mobila patienter. Antalet fordon ska fastställas efter kartläggningsanalyser av den kapacitet som krävs för att uppnå målet.</w:t>
            </w:r>
          </w:p>
        </w:tc>
      </w:tr>
      <w:tr w:rsidR="003A3D51" w14:paraId="55ABD75E" w14:textId="77777777">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3722ED1C" w14:textId="77777777" w:rsidR="003A3D51" w:rsidRDefault="0002775A">
            <w:pPr>
              <w:pStyle w:val="P68B1DB1-Normal7"/>
              <w:spacing w:after="200" w:line="276" w:lineRule="auto"/>
              <w:jc w:val="center"/>
              <w:rPr>
                <w:rFonts w:ascii="Times New Roman" w:hAnsi="Times New Roman" w:cs="Times New Roman"/>
                <w:noProof/>
              </w:rPr>
            </w:pPr>
            <w:r>
              <w:rPr>
                <w:noProof/>
              </w:rPr>
              <w:t>322</w:t>
            </w:r>
          </w:p>
        </w:tc>
        <w:tc>
          <w:tcPr>
            <w:tcW w:w="726" w:type="dxa"/>
            <w:tcBorders>
              <w:top w:val="nil"/>
              <w:left w:val="nil"/>
              <w:bottom w:val="single" w:sz="4" w:space="0" w:color="auto"/>
              <w:right w:val="single" w:sz="4" w:space="0" w:color="auto"/>
            </w:tcBorders>
            <w:shd w:val="clear" w:color="auto" w:fill="C6EFCE"/>
            <w:noWrap/>
          </w:tcPr>
          <w:p w14:paraId="51EF0F5B" w14:textId="77777777" w:rsidR="003A3D51" w:rsidRDefault="0002775A">
            <w:pPr>
              <w:pStyle w:val="P68B1DB1-Normal7"/>
              <w:spacing w:after="200" w:line="276" w:lineRule="auto"/>
              <w:jc w:val="center"/>
              <w:rPr>
                <w:rFonts w:ascii="Times New Roman" w:hAnsi="Times New Roman" w:cs="Times New Roman"/>
                <w:noProof/>
              </w:rPr>
            </w:pPr>
            <w:r>
              <w:rPr>
                <w:noProof/>
              </w:rPr>
              <w:t>C5.1 R1-I3</w:t>
            </w:r>
          </w:p>
        </w:tc>
        <w:tc>
          <w:tcPr>
            <w:tcW w:w="806" w:type="dxa"/>
            <w:tcBorders>
              <w:top w:val="nil"/>
              <w:left w:val="nil"/>
              <w:bottom w:val="single" w:sz="4" w:space="0" w:color="auto"/>
              <w:right w:val="single" w:sz="4" w:space="0" w:color="auto"/>
            </w:tcBorders>
            <w:shd w:val="clear" w:color="auto" w:fill="C6EFCE"/>
            <w:noWrap/>
          </w:tcPr>
          <w:p w14:paraId="5B2CFB23"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1956" w:type="dxa"/>
            <w:tcBorders>
              <w:top w:val="nil"/>
              <w:left w:val="nil"/>
              <w:bottom w:val="single" w:sz="4" w:space="0" w:color="auto"/>
              <w:right w:val="single" w:sz="4" w:space="0" w:color="auto"/>
            </w:tcBorders>
            <w:shd w:val="clear" w:color="auto" w:fill="C6EFCE"/>
            <w:noWrap/>
          </w:tcPr>
          <w:p w14:paraId="67AB48D3" w14:textId="77777777" w:rsidR="003A3D51" w:rsidRDefault="0002775A">
            <w:pPr>
              <w:pStyle w:val="P68B1DB1-Normal7"/>
              <w:spacing w:after="200" w:line="276" w:lineRule="auto"/>
              <w:rPr>
                <w:rFonts w:ascii="Times New Roman" w:hAnsi="Times New Roman" w:cs="Times New Roman"/>
                <w:noProof/>
              </w:rPr>
            </w:pPr>
            <w:r>
              <w:rPr>
                <w:noProof/>
              </w:rPr>
              <w:t xml:space="preserve">Ny byggnad i komplexet Infectious Disease Clinic Dr Fran Mihaljević </w:t>
            </w:r>
          </w:p>
        </w:tc>
        <w:tc>
          <w:tcPr>
            <w:tcW w:w="2159" w:type="dxa"/>
            <w:tcBorders>
              <w:top w:val="nil"/>
              <w:left w:val="nil"/>
              <w:bottom w:val="single" w:sz="4" w:space="0" w:color="auto"/>
              <w:right w:val="single" w:sz="4" w:space="0" w:color="auto"/>
            </w:tcBorders>
            <w:shd w:val="clear" w:color="auto" w:fill="C6EFCE"/>
            <w:noWrap/>
          </w:tcPr>
          <w:p w14:paraId="3115C20F"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78" w:type="dxa"/>
            <w:tcBorders>
              <w:top w:val="nil"/>
              <w:left w:val="nil"/>
              <w:bottom w:val="single" w:sz="4" w:space="0" w:color="auto"/>
              <w:right w:val="single" w:sz="4" w:space="0" w:color="auto"/>
            </w:tcBorders>
            <w:shd w:val="clear" w:color="auto" w:fill="C6EFCE"/>
            <w:noWrap/>
          </w:tcPr>
          <w:p w14:paraId="2AC29982"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1087" w:type="dxa"/>
            <w:tcBorders>
              <w:top w:val="nil"/>
              <w:left w:val="nil"/>
              <w:bottom w:val="single" w:sz="4" w:space="0" w:color="auto"/>
              <w:right w:val="single" w:sz="4" w:space="0" w:color="auto"/>
            </w:tcBorders>
            <w:shd w:val="clear" w:color="auto" w:fill="C6EFCE"/>
            <w:noWrap/>
          </w:tcPr>
          <w:p w14:paraId="0687E4D3"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976" w:type="dxa"/>
            <w:tcBorders>
              <w:top w:val="nil"/>
              <w:left w:val="nil"/>
              <w:bottom w:val="single" w:sz="4" w:space="0" w:color="auto"/>
              <w:right w:val="single" w:sz="4" w:space="0" w:color="auto"/>
            </w:tcBorders>
            <w:shd w:val="clear" w:color="auto" w:fill="C6EFCE"/>
            <w:noWrap/>
          </w:tcPr>
          <w:p w14:paraId="266228E7"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545" w:type="dxa"/>
            <w:tcBorders>
              <w:top w:val="nil"/>
              <w:left w:val="nil"/>
              <w:bottom w:val="single" w:sz="4" w:space="0" w:color="auto"/>
              <w:right w:val="single" w:sz="4" w:space="0" w:color="auto"/>
            </w:tcBorders>
            <w:shd w:val="clear" w:color="auto" w:fill="C6EFCE"/>
            <w:noWrap/>
          </w:tcPr>
          <w:p w14:paraId="1EC7ECE1"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850" w:type="dxa"/>
            <w:tcBorders>
              <w:top w:val="nil"/>
              <w:left w:val="nil"/>
              <w:bottom w:val="single" w:sz="4" w:space="0" w:color="auto"/>
              <w:right w:val="single" w:sz="4" w:space="0" w:color="auto"/>
            </w:tcBorders>
            <w:shd w:val="clear" w:color="auto" w:fill="C6EFCE"/>
            <w:noWrap/>
          </w:tcPr>
          <w:p w14:paraId="76D727BC"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277" w:type="dxa"/>
            <w:tcBorders>
              <w:top w:val="nil"/>
              <w:left w:val="nil"/>
              <w:bottom w:val="single" w:sz="4" w:space="0" w:color="auto"/>
              <w:right w:val="single" w:sz="4" w:space="0" w:color="auto"/>
            </w:tcBorders>
            <w:shd w:val="clear" w:color="auto" w:fill="C6EFCE"/>
            <w:noWrap/>
          </w:tcPr>
          <w:p w14:paraId="371C59BF" w14:textId="5D78C128" w:rsidR="003A3D51" w:rsidRDefault="0002775A">
            <w:pPr>
              <w:pStyle w:val="P68B1DB1-Normal7"/>
              <w:spacing w:after="240" w:line="276" w:lineRule="auto"/>
              <w:rPr>
                <w:rFonts w:ascii="Times New Roman" w:hAnsi="Times New Roman" w:cs="Times New Roman"/>
                <w:noProof/>
              </w:rPr>
            </w:pPr>
            <w:r>
              <w:rPr>
                <w:noProof/>
              </w:rPr>
              <w:t>Projektet ska bestå av rivning av befintliga byggnader (3, 4 och 1/5) och uppförande av en ny byggnad som en del av komplexet med källarnivå, markvåning och tre nya våningar. All nybyggnation ska vara åtminstone nära-nollenergibyggnader enligt direktivet om byggnaders energiprestanda, medan ombyggnaden av de befintliga byggnaderna i genomsnitt ska leda till en renovering på medelhög nivå enligt definitionen i kommissionens rekommendation om byggnadsrenovering, eller för att i genomsnitt uppnå en minskning på minst 30 % av de direkta och indirekta växthusgasutsläppen jämfört med förhandsutsläppen. För all byggverksamhet måste särskild uppmärksamhet ägnas åt att säkerställa hälsosamma inomhusklimatförhållanden, brandsäkerhet och risker i samband med ökad seismisk aktivitet.</w:t>
            </w:r>
          </w:p>
        </w:tc>
      </w:tr>
      <w:tr w:rsidR="003A3D51" w14:paraId="664FF771" w14:textId="77777777">
        <w:trPr>
          <w:trHeight w:val="283"/>
          <w:jc w:val="center"/>
        </w:trPr>
        <w:tc>
          <w:tcPr>
            <w:tcW w:w="696" w:type="dxa"/>
            <w:tcBorders>
              <w:top w:val="nil"/>
              <w:left w:val="single" w:sz="4" w:space="0" w:color="auto"/>
              <w:bottom w:val="single" w:sz="4" w:space="0" w:color="auto"/>
              <w:right w:val="single" w:sz="4" w:space="0" w:color="auto"/>
            </w:tcBorders>
            <w:shd w:val="clear" w:color="auto" w:fill="C6EFCE"/>
            <w:noWrap/>
          </w:tcPr>
          <w:p w14:paraId="3C7208F7" w14:textId="77777777" w:rsidR="003A3D51" w:rsidRDefault="0002775A">
            <w:pPr>
              <w:pStyle w:val="P68B1DB1-Normal7"/>
              <w:spacing w:after="200" w:line="276" w:lineRule="auto"/>
              <w:jc w:val="center"/>
              <w:rPr>
                <w:noProof/>
              </w:rPr>
            </w:pPr>
            <w:r>
              <w:rPr>
                <w:noProof/>
              </w:rPr>
              <w:t>345</w:t>
            </w:r>
          </w:p>
        </w:tc>
        <w:tc>
          <w:tcPr>
            <w:tcW w:w="726" w:type="dxa"/>
            <w:tcBorders>
              <w:top w:val="nil"/>
              <w:left w:val="nil"/>
              <w:bottom w:val="single" w:sz="4" w:space="0" w:color="auto"/>
              <w:right w:val="single" w:sz="4" w:space="0" w:color="auto"/>
            </w:tcBorders>
            <w:shd w:val="clear" w:color="auto" w:fill="C6EFCE"/>
            <w:noWrap/>
          </w:tcPr>
          <w:p w14:paraId="7DCEC112" w14:textId="77777777" w:rsidR="003A3D51" w:rsidRDefault="0002775A">
            <w:pPr>
              <w:pStyle w:val="P68B1DB1-Normal7"/>
              <w:spacing w:after="200" w:line="276" w:lineRule="auto"/>
              <w:jc w:val="center"/>
              <w:rPr>
                <w:noProof/>
              </w:rPr>
            </w:pPr>
            <w:r>
              <w:rPr>
                <w:noProof/>
              </w:rPr>
              <w:t>C5.1 R4-I6</w:t>
            </w:r>
          </w:p>
        </w:tc>
        <w:tc>
          <w:tcPr>
            <w:tcW w:w="806" w:type="dxa"/>
            <w:tcBorders>
              <w:top w:val="nil"/>
              <w:left w:val="nil"/>
              <w:bottom w:val="single" w:sz="4" w:space="0" w:color="auto"/>
              <w:right w:val="single" w:sz="4" w:space="0" w:color="auto"/>
            </w:tcBorders>
            <w:shd w:val="clear" w:color="auto" w:fill="C6EFCE"/>
            <w:noWrap/>
          </w:tcPr>
          <w:p w14:paraId="7FD1CB78" w14:textId="77777777" w:rsidR="003A3D51" w:rsidRDefault="0002775A">
            <w:pPr>
              <w:pStyle w:val="P68B1DB1-Normal7"/>
              <w:spacing w:after="200" w:line="276" w:lineRule="auto"/>
              <w:jc w:val="center"/>
              <w:rPr>
                <w:noProof/>
              </w:rPr>
            </w:pPr>
            <w:r>
              <w:rPr>
                <w:noProof/>
              </w:rPr>
              <w:t>M</w:t>
            </w:r>
          </w:p>
        </w:tc>
        <w:tc>
          <w:tcPr>
            <w:tcW w:w="1956" w:type="dxa"/>
            <w:tcBorders>
              <w:top w:val="nil"/>
              <w:left w:val="nil"/>
              <w:bottom w:val="single" w:sz="4" w:space="0" w:color="auto"/>
              <w:right w:val="single" w:sz="4" w:space="0" w:color="auto"/>
            </w:tcBorders>
            <w:shd w:val="clear" w:color="auto" w:fill="C6EFCE"/>
            <w:noWrap/>
          </w:tcPr>
          <w:p w14:paraId="2E77A538" w14:textId="77777777" w:rsidR="003A3D51" w:rsidRDefault="0002775A">
            <w:pPr>
              <w:pStyle w:val="P68B1DB1-Normal7"/>
              <w:spacing w:after="200" w:line="276" w:lineRule="auto"/>
              <w:rPr>
                <w:noProof/>
              </w:rPr>
            </w:pPr>
            <w:r>
              <w:rPr>
                <w:noProof/>
              </w:rPr>
              <w:t>Anläggning för medicinskt avfall vid KBC (KBC) Zagreb</w:t>
            </w:r>
          </w:p>
        </w:tc>
        <w:tc>
          <w:tcPr>
            <w:tcW w:w="2159" w:type="dxa"/>
            <w:tcBorders>
              <w:top w:val="nil"/>
              <w:left w:val="nil"/>
              <w:bottom w:val="single" w:sz="4" w:space="0" w:color="auto"/>
              <w:right w:val="single" w:sz="4" w:space="0" w:color="auto"/>
            </w:tcBorders>
            <w:shd w:val="clear" w:color="auto" w:fill="C6EFCE"/>
            <w:noWrap/>
          </w:tcPr>
          <w:p w14:paraId="3F0A1B1A" w14:textId="77777777" w:rsidR="003A3D51" w:rsidRDefault="0002775A">
            <w:pPr>
              <w:pStyle w:val="P68B1DB1-Normal7"/>
              <w:spacing w:after="200" w:line="276" w:lineRule="auto"/>
              <w:rPr>
                <w:noProof/>
              </w:rPr>
            </w:pPr>
            <w:r>
              <w:rPr>
                <w:noProof/>
              </w:rPr>
              <w:t> </w:t>
            </w:r>
          </w:p>
        </w:tc>
        <w:tc>
          <w:tcPr>
            <w:tcW w:w="1078" w:type="dxa"/>
            <w:tcBorders>
              <w:top w:val="nil"/>
              <w:left w:val="nil"/>
              <w:bottom w:val="single" w:sz="4" w:space="0" w:color="auto"/>
              <w:right w:val="single" w:sz="4" w:space="0" w:color="auto"/>
            </w:tcBorders>
            <w:shd w:val="clear" w:color="auto" w:fill="C6EFCE"/>
            <w:noWrap/>
          </w:tcPr>
          <w:p w14:paraId="01BE9269" w14:textId="77777777" w:rsidR="003A3D51" w:rsidRDefault="0002775A">
            <w:pPr>
              <w:pStyle w:val="P68B1DB1-Normal7"/>
              <w:spacing w:after="200" w:line="276" w:lineRule="auto"/>
              <w:jc w:val="center"/>
              <w:rPr>
                <w:noProof/>
              </w:rPr>
            </w:pPr>
            <w:r>
              <w:rPr>
                <w:noProof/>
              </w:rPr>
              <w:t>Antal</w:t>
            </w:r>
          </w:p>
        </w:tc>
        <w:tc>
          <w:tcPr>
            <w:tcW w:w="1087" w:type="dxa"/>
            <w:tcBorders>
              <w:top w:val="nil"/>
              <w:left w:val="nil"/>
              <w:bottom w:val="single" w:sz="4" w:space="0" w:color="auto"/>
              <w:right w:val="single" w:sz="4" w:space="0" w:color="auto"/>
            </w:tcBorders>
            <w:shd w:val="clear" w:color="auto" w:fill="C6EFCE"/>
            <w:noWrap/>
          </w:tcPr>
          <w:p w14:paraId="07037115" w14:textId="77777777" w:rsidR="003A3D51" w:rsidRDefault="0002775A">
            <w:pPr>
              <w:pStyle w:val="P68B1DB1-Normal7"/>
              <w:spacing w:after="200" w:line="276" w:lineRule="auto"/>
              <w:jc w:val="center"/>
              <w:rPr>
                <w:noProof/>
              </w:rPr>
            </w:pPr>
            <w:r>
              <w:rPr>
                <w:noProof/>
              </w:rPr>
              <w:t>0</w:t>
            </w:r>
          </w:p>
        </w:tc>
        <w:tc>
          <w:tcPr>
            <w:tcW w:w="976" w:type="dxa"/>
            <w:tcBorders>
              <w:top w:val="nil"/>
              <w:left w:val="nil"/>
              <w:bottom w:val="single" w:sz="4" w:space="0" w:color="auto"/>
              <w:right w:val="single" w:sz="4" w:space="0" w:color="auto"/>
            </w:tcBorders>
            <w:shd w:val="clear" w:color="auto" w:fill="C6EFCE"/>
            <w:noWrap/>
          </w:tcPr>
          <w:p w14:paraId="2A15E92E" w14:textId="77777777" w:rsidR="003A3D51" w:rsidRDefault="0002775A">
            <w:pPr>
              <w:pStyle w:val="P68B1DB1-Normal7"/>
              <w:spacing w:after="200" w:line="276" w:lineRule="auto"/>
              <w:jc w:val="center"/>
              <w:rPr>
                <w:noProof/>
              </w:rPr>
            </w:pPr>
            <w:r>
              <w:rPr>
                <w:noProof/>
              </w:rPr>
              <w:t>1</w:t>
            </w:r>
          </w:p>
        </w:tc>
        <w:tc>
          <w:tcPr>
            <w:tcW w:w="545" w:type="dxa"/>
            <w:tcBorders>
              <w:top w:val="nil"/>
              <w:left w:val="nil"/>
              <w:bottom w:val="single" w:sz="4" w:space="0" w:color="auto"/>
              <w:right w:val="single" w:sz="4" w:space="0" w:color="auto"/>
            </w:tcBorders>
            <w:shd w:val="clear" w:color="auto" w:fill="C6EFCE"/>
            <w:noWrap/>
          </w:tcPr>
          <w:p w14:paraId="259F5D2C" w14:textId="251DEC64" w:rsidR="003A3D51" w:rsidRDefault="0002775A">
            <w:pPr>
              <w:pStyle w:val="P68B1DB1-Normal7"/>
              <w:spacing w:after="200" w:line="276" w:lineRule="auto"/>
              <w:jc w:val="center"/>
              <w:rPr>
                <w:noProof/>
              </w:rPr>
            </w:pPr>
            <w:r>
              <w:rPr>
                <w:noProof/>
              </w:rPr>
              <w:t>KVARTAL 1</w:t>
            </w:r>
          </w:p>
        </w:tc>
        <w:tc>
          <w:tcPr>
            <w:tcW w:w="850" w:type="dxa"/>
            <w:tcBorders>
              <w:top w:val="nil"/>
              <w:left w:val="nil"/>
              <w:bottom w:val="single" w:sz="4" w:space="0" w:color="auto"/>
              <w:right w:val="single" w:sz="4" w:space="0" w:color="auto"/>
            </w:tcBorders>
            <w:shd w:val="clear" w:color="auto" w:fill="C6EFCE"/>
            <w:noWrap/>
          </w:tcPr>
          <w:p w14:paraId="6DC638E9" w14:textId="7B4B67DE" w:rsidR="003A3D51" w:rsidRDefault="0002775A">
            <w:pPr>
              <w:pStyle w:val="P68B1DB1-Normal7"/>
              <w:spacing w:after="200" w:line="276" w:lineRule="auto"/>
              <w:jc w:val="center"/>
              <w:rPr>
                <w:noProof/>
              </w:rPr>
            </w:pPr>
            <w:r>
              <w:rPr>
                <w:noProof/>
              </w:rPr>
              <w:t>2026</w:t>
            </w:r>
          </w:p>
        </w:tc>
        <w:tc>
          <w:tcPr>
            <w:tcW w:w="4277" w:type="dxa"/>
            <w:tcBorders>
              <w:top w:val="nil"/>
              <w:left w:val="nil"/>
              <w:bottom w:val="single" w:sz="4" w:space="0" w:color="auto"/>
              <w:right w:val="single" w:sz="4" w:space="0" w:color="auto"/>
            </w:tcBorders>
            <w:shd w:val="clear" w:color="auto" w:fill="C6EFCE"/>
            <w:noWrap/>
          </w:tcPr>
          <w:p w14:paraId="6882359F" w14:textId="77777777" w:rsidR="003A3D51" w:rsidRDefault="0002775A">
            <w:pPr>
              <w:pStyle w:val="P68B1DB1-Normal7"/>
              <w:spacing w:after="240" w:line="276" w:lineRule="auto"/>
              <w:rPr>
                <w:noProof/>
              </w:rPr>
            </w:pPr>
            <w:r>
              <w:rPr>
                <w:noProof/>
              </w:rPr>
              <w:t xml:space="preserve">En anläggning för medicinskt avfall som endast är avsedd för förbränning av farligt medicinskt avfall som inte kan materialåtervinnas och som genererats av KBC Zagreb ska slutföras. Detta projekt omfattar uppförandet av en modern anläggning för hantering av medicinskt avfall bestående av </w:t>
            </w:r>
            <w:r>
              <w:rPr>
                <w:noProof/>
              </w:rPr>
              <w:br/>
              <w:t>— Kyld lagring av farligt medicinskt avfall som inte kan materialåtervinnas i enlighet med alla bestämmelser för lagring av denna typ av avfall.</w:t>
            </w:r>
            <w:r>
              <w:rPr>
                <w:noProof/>
              </w:rPr>
              <w:br/>
              <w:t xml:space="preserve">— Linjer för hantering av farligt medicinskt avfall som inte kan materialåtervinnas. </w:t>
            </w:r>
            <w:r>
              <w:rPr>
                <w:noProof/>
              </w:rPr>
              <w:br/>
              <w:t xml:space="preserve">— Ledningar för energiåtervinning av farligt medicinskt avfall som inte kan materialåtervinnas med rökgasreningssystem och system för kontinuerlig övervakning av utsläpp.  </w:t>
            </w:r>
            <w:r>
              <w:rPr>
                <w:noProof/>
              </w:rPr>
              <w:br/>
              <w:t xml:space="preserve">— Moderna automatiska linjer för tvätt av behållare. </w:t>
            </w:r>
          </w:p>
        </w:tc>
      </w:tr>
    </w:tbl>
    <w:p w14:paraId="24D48C5C" w14:textId="71EDADE4" w:rsidR="003A3D51" w:rsidRDefault="0002775A">
      <w:pPr>
        <w:pStyle w:val="FooterText"/>
        <w:jc w:val="both"/>
        <w:textAlignment w:val="baseline"/>
        <w:rPr>
          <w:rFonts w:ascii="Segoe UI" w:hAnsi="Segoe UI" w:cs="Segoe UI"/>
          <w:noProof/>
          <w:sz w:val="18"/>
        </w:rPr>
      </w:pPr>
      <w:r>
        <w:rPr>
          <w:noProof/>
        </w:rPr>
        <w:t> </w:t>
      </w:r>
    </w:p>
    <w:p w14:paraId="091964E4" w14:textId="77777777" w:rsidR="003A3D51" w:rsidRDefault="003A3D51">
      <w:pPr>
        <w:spacing w:before="120" w:after="120" w:line="240" w:lineRule="auto"/>
        <w:jc w:val="both"/>
        <w:rPr>
          <w:rFonts w:ascii="Times New Roman" w:eastAsia="Calibri" w:hAnsi="Times New Roman" w:cs="Times New Roman"/>
          <w:noProof/>
          <w:sz w:val="24"/>
        </w:rPr>
      </w:pPr>
    </w:p>
    <w:p w14:paraId="2E402C89" w14:textId="77777777" w:rsidR="003A3D51" w:rsidRDefault="003A3D51">
      <w:pPr>
        <w:spacing w:before="120" w:after="120" w:line="240" w:lineRule="auto"/>
        <w:jc w:val="both"/>
        <w:rPr>
          <w:rFonts w:ascii="Times New Roman" w:eastAsia="Calibri" w:hAnsi="Times New Roman" w:cs="Times New Roman"/>
          <w:noProof/>
          <w:sz w:val="24"/>
        </w:rPr>
      </w:pPr>
    </w:p>
    <w:p w14:paraId="6EF955F7" w14:textId="77777777" w:rsidR="003A3D51" w:rsidRDefault="003A3D51">
      <w:pPr>
        <w:rPr>
          <w:noProof/>
        </w:rPr>
      </w:pPr>
    </w:p>
    <w:p w14:paraId="0383018B" w14:textId="77777777" w:rsidR="003A3D51" w:rsidRDefault="003A3D51">
      <w:pPr>
        <w:keepNext/>
        <w:tabs>
          <w:tab w:val="left" w:pos="850"/>
        </w:tabs>
        <w:spacing w:after="200" w:line="276" w:lineRule="auto"/>
        <w:ind w:left="850" w:hanging="850"/>
        <w:jc w:val="both"/>
        <w:outlineLvl w:val="0"/>
        <w:rPr>
          <w:rFonts w:ascii="Times New Roman" w:eastAsia="Calibri" w:hAnsi="Times New Roman" w:cs="Times New Roman"/>
          <w:b/>
          <w:smallCaps/>
          <w:noProof/>
          <w:sz w:val="24"/>
        </w:rPr>
        <w:sectPr w:rsidR="003A3D51" w:rsidSect="0001477B">
          <w:headerReference w:type="even" r:id="rId372"/>
          <w:headerReference w:type="default" r:id="rId373"/>
          <w:footerReference w:type="even" r:id="rId374"/>
          <w:footerReference w:type="default" r:id="rId375"/>
          <w:headerReference w:type="first" r:id="rId376"/>
          <w:footerReference w:type="first" r:id="rId377"/>
          <w:pgSz w:w="15840" w:h="12240" w:orient="landscape"/>
          <w:pgMar w:top="1440" w:right="1440" w:bottom="1440" w:left="1440" w:header="708" w:footer="708" w:gutter="0"/>
          <w:cols w:space="708"/>
          <w:docGrid w:linePitch="360"/>
        </w:sectPr>
      </w:pPr>
    </w:p>
    <w:p w14:paraId="2D3AF0E5" w14:textId="77777777" w:rsidR="003A3D51" w:rsidRDefault="0002775A">
      <w:pPr>
        <w:pStyle w:val="P68B1DB1-Normal2"/>
        <w:keepNext/>
        <w:tabs>
          <w:tab w:val="left" w:pos="284"/>
        </w:tabs>
        <w:spacing w:after="200" w:line="276" w:lineRule="auto"/>
        <w:ind w:left="850" w:firstLine="1"/>
        <w:jc w:val="both"/>
        <w:outlineLvl w:val="0"/>
        <w:rPr>
          <w:rFonts w:ascii="Calibri" w:hAnsi="Calibri" w:cs="Arial"/>
          <w:noProof/>
        </w:rPr>
      </w:pPr>
      <w:r>
        <w:rPr>
          <w:noProof/>
        </w:rPr>
        <w:t>V. INITIATIV 6.1: RENOVERING AV BYGGNADER</w:t>
      </w:r>
    </w:p>
    <w:p w14:paraId="4938520A" w14:textId="77777777" w:rsidR="003A3D51" w:rsidRDefault="0002775A">
      <w:pPr>
        <w:pStyle w:val="P68B1DB1-Normal3"/>
        <w:spacing w:before="120" w:after="120" w:line="240" w:lineRule="auto"/>
        <w:jc w:val="both"/>
        <w:rPr>
          <w:noProof/>
        </w:rPr>
      </w:pPr>
      <w:r>
        <w:rPr>
          <w:noProof/>
        </w:rPr>
        <w:t xml:space="preserve">Kroatiens nuvarande byggnadsbestånd är relativt gammalt och energirenoveringstakten för byggnader var endast 0,7 % per år 2014–2020. Gamla och ineffektiva byggnader står för 40 % av energiförbrukningen och 36 % av CO2-utsläppen, och så många som 30 % av byggnaderna tillhör kategorin med sämst prestanda. De flesta av byggnaderna med sämst prestanda uppfyller inte minimikraven för skydd mot jordbävningar, brandskydd eller hälsoskydd och kräver därför en omfattande renovering. I mars och december 2020 drabbade dessutom två jordbävningar Kroatien och orsakade stora materiella skador i städerna Zagreb, Zagreb, Krapina-Zagorje, Sisak-Moslavina och Karlovac. Enligt bedömningen av behoven av snabba skador (Kroatiens regering, 2020) har de totala återuppbyggnads- och återhämtningsbehoven i distrikten Zagreb, Zagreb och Krapina-Zagorje från jordbävningen i mars beräknats till omkring 17 469 000 000 EUR. Bedömningen av skadorna från jordbävningen i december håller fortfarande på att utvärderas. </w:t>
      </w:r>
    </w:p>
    <w:p w14:paraId="10B0231A" w14:textId="77777777" w:rsidR="003A3D51" w:rsidRDefault="0002775A">
      <w:pPr>
        <w:pStyle w:val="P68B1DB1-Normal3"/>
        <w:spacing w:before="120" w:after="120" w:line="240" w:lineRule="auto"/>
        <w:jc w:val="both"/>
        <w:rPr>
          <w:noProof/>
        </w:rPr>
      </w:pPr>
      <w:r>
        <w:rPr>
          <w:noProof/>
        </w:rPr>
        <w:t xml:space="preserve">Detta initiativ i Kroatiens återhämtnings- och resiliensplan gäller investeringar och reformer som syftar till att uppmuntra till omfattande renovering av byggnader, inbegripet energirenovering, strukturell förstärkning och renovering efter jordbävningen. Renoveringen ska omfatta flerbostadshus och offentliga byggnader, inbegripet hälso- och utbildningsanläggningar, samt byggnader med status som kulturföremål. </w:t>
      </w:r>
    </w:p>
    <w:p w14:paraId="503F4B46" w14:textId="77777777" w:rsidR="003A3D51" w:rsidRDefault="0002775A">
      <w:pPr>
        <w:pStyle w:val="P68B1DB1-Normal3"/>
        <w:spacing w:before="120" w:after="120" w:line="240" w:lineRule="auto"/>
        <w:jc w:val="both"/>
        <w:rPr>
          <w:noProof/>
        </w:rPr>
      </w:pPr>
      <w:r>
        <w:rPr>
          <w:noProof/>
        </w:rPr>
        <w:t xml:space="preserve">Initiativet omfattar reformer som ska stödja renoveringsprocessen och utfasningen av fossila bränslen i byggnader, samtidigt som man tar itu med hinder på byggmarknaden och sociala frågor: i) en reform som syftar till att fasa ut fossila bränslen i byggnader, ii) en reform som syftar till att öka antalet arbetstagare och experter på energieffektivitet och återuppbyggnad efter jordbävningen, iii) en reform som syftar till att minska den administrativa bördan för de sökande i renoveringsprocessen, iv) en reform som syftar till att öka kunskapen om seismisk verksamhet, v) en reform som syftar till att främja och utveckla grön infrastruktur och cirkulär förvaltning av byggnader och utrymmen och vi) en reform som syftar till att utveckla systematisk energiförvaltning och testa en ny finansieringsmodell för energieffektivitet. </w:t>
      </w:r>
    </w:p>
    <w:p w14:paraId="2737AA6D" w14:textId="77777777" w:rsidR="003A3D51" w:rsidRDefault="0002775A">
      <w:pPr>
        <w:pStyle w:val="P68B1DB1-Normal3"/>
        <w:spacing w:before="120" w:after="120" w:line="240" w:lineRule="auto"/>
        <w:jc w:val="both"/>
        <w:rPr>
          <w:noProof/>
        </w:rPr>
      </w:pPr>
      <w:r>
        <w:rPr>
          <w:noProof/>
        </w:rPr>
        <w:t xml:space="preserve">Investeringarna och reformerna ska bidra till de landsspecifika rekommendationer som riktats till Kroatien under de senaste två åren, om behovet av att ”inrikta investeringspolitiken på [...] energieffektivitet, [...] och miljöinfrastruktur (landsspecifik rekommendation 3, 2019) och” att inrikta investeringarna på den gröna omställningen och [...] omställningen, särskilt på miljöinfrastruktur [...] (de landsspecifika rekommendationerna 3, 2020).    </w:t>
      </w:r>
    </w:p>
    <w:p w14:paraId="1D91E3F4" w14:textId="77777777" w:rsidR="003A3D51" w:rsidRDefault="0002775A">
      <w:pPr>
        <w:pStyle w:val="P68B1DB1-Normal4"/>
        <w:keepNext/>
        <w:numPr>
          <w:ilvl w:val="1"/>
          <w:numId w:val="0"/>
        </w:numPr>
        <w:tabs>
          <w:tab w:val="num" w:pos="850"/>
        </w:tabs>
        <w:spacing w:before="40" w:after="0"/>
        <w:ind w:left="851"/>
        <w:jc w:val="both"/>
        <w:outlineLvl w:val="1"/>
        <w:rPr>
          <w:noProof/>
        </w:rPr>
      </w:pPr>
      <w:r>
        <w:rPr>
          <w:noProof/>
        </w:rPr>
        <w:t xml:space="preserve">V.1. </w:t>
      </w:r>
      <w:r>
        <w:rPr>
          <w:noProof/>
        </w:rPr>
        <w:tab/>
        <w:t>Beskrivning av reformer och investeringar avseende icke återbetalningspliktigt ekonomiskt stöd</w:t>
      </w:r>
    </w:p>
    <w:p w14:paraId="00E2BEA4"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C6.1.R1 </w:t>
      </w:r>
      <w:r>
        <w:rPr>
          <w:rFonts w:ascii="Calibri" w:eastAsia="Calibri" w:hAnsi="Calibri" w:cs="Arial"/>
          <w:noProof/>
        </w:rPr>
        <w:t>–</w:t>
      </w:r>
      <w:r>
        <w:rPr>
          <w:rFonts w:ascii="Times New Roman" w:eastAsia="Times New Roman" w:hAnsi="Times New Roman" w:cs="Times New Roman"/>
          <w:noProof/>
          <w:sz w:val="24"/>
        </w:rPr>
        <w:t xml:space="preserve"> Minskning av koldioxidutsläpp i byggnader</w:t>
      </w:r>
    </w:p>
    <w:p w14:paraId="15B8597F" w14:textId="77777777" w:rsidR="003A3D51" w:rsidRDefault="0002775A">
      <w:pPr>
        <w:pStyle w:val="P68B1DB1-Normal3"/>
        <w:spacing w:before="120" w:after="120" w:line="240" w:lineRule="auto"/>
        <w:jc w:val="both"/>
        <w:rPr>
          <w:noProof/>
        </w:rPr>
      </w:pPr>
      <w:r>
        <w:rPr>
          <w:noProof/>
        </w:rPr>
        <w:t xml:space="preserve">Reformen ska bidra till initiativet för en renoveringsvåg för befintliga byggnader och till omvandlingen av det befintliga byggnadsbeståndet till ett mycket energieffektivt och koldioxidsnålt byggnadsbestånd senast 2050. </w:t>
      </w:r>
    </w:p>
    <w:p w14:paraId="5C4E0E4A" w14:textId="268B2C71" w:rsidR="003A3D51" w:rsidRDefault="0002775A">
      <w:pPr>
        <w:pStyle w:val="P68B1DB1-Normal3"/>
        <w:spacing w:before="120" w:after="120" w:line="240" w:lineRule="auto"/>
        <w:jc w:val="both"/>
        <w:rPr>
          <w:noProof/>
        </w:rPr>
      </w:pPr>
      <w:r>
        <w:rPr>
          <w:noProof/>
        </w:rPr>
        <w:t xml:space="preserve">Reformen ska omfatta antagandet av renoveringsprogram för energieffektivitet för perioden 2021–2030 för flerbostadshus, offentliga byggnader och en särskild kategori av byggnader med status för kulturföremålet, samt antagandet av programmet för att minska energifattigdomen på områden som är särskilt angelägna för staten för perioden 2021–2025. Dessa program ska uppmuntra djupgående renovering av byggnader, samtidigt som särskild uppmärksamhet ägnas åt att säkerställa hälsosamma inomhusklimatförhållanden, brandsäkerhet och hantera riskerna i samband med ökad seismisk aktivitet samt minska energifattigdomen. </w:t>
      </w:r>
    </w:p>
    <w:p w14:paraId="39871838" w14:textId="77777777" w:rsidR="003A3D51" w:rsidRDefault="0002775A">
      <w:pPr>
        <w:pStyle w:val="P68B1DB1-Normal3"/>
        <w:spacing w:before="120" w:after="120" w:line="240" w:lineRule="auto"/>
        <w:jc w:val="both"/>
        <w:rPr>
          <w:noProof/>
        </w:rPr>
      </w:pPr>
      <w:r>
        <w:rPr>
          <w:noProof/>
        </w:rPr>
        <w:t xml:space="preserve">Reformen ska vara genomförd senast den 31 mars 2022. </w:t>
      </w:r>
    </w:p>
    <w:p w14:paraId="0EB8EAB9"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Investering C6.1.R1-I1 </w:t>
      </w:r>
      <w:r>
        <w:rPr>
          <w:rFonts w:ascii="Calibri" w:eastAsia="Calibri" w:hAnsi="Calibri" w:cs="Arial"/>
          <w:noProof/>
        </w:rPr>
        <w:t>–</w:t>
      </w:r>
      <w:r>
        <w:rPr>
          <w:rFonts w:ascii="Times New Roman" w:eastAsia="Times New Roman" w:hAnsi="Times New Roman" w:cs="Times New Roman"/>
          <w:noProof/>
          <w:sz w:val="24"/>
        </w:rPr>
        <w:t xml:space="preserve"> Energirenovering av byggnader</w:t>
      </w:r>
    </w:p>
    <w:p w14:paraId="67116E88" w14:textId="77777777" w:rsidR="003A3D51" w:rsidRDefault="0002775A">
      <w:pPr>
        <w:pStyle w:val="P68B1DB1-Normal3"/>
        <w:spacing w:before="120" w:after="120" w:line="240" w:lineRule="auto"/>
        <w:jc w:val="both"/>
        <w:rPr>
          <w:noProof/>
        </w:rPr>
      </w:pPr>
      <w:r>
        <w:rPr>
          <w:noProof/>
        </w:rPr>
        <w:t>Syftet med investeringen är att främja den gröna omställningen och utfasningen av fossila bränslen i byggnader genom att minska energiförbrukningen för uppvärmning i flerbostadshus och byggnader inom den offentliga sektorn med minst 50 % jämfört med den årliga energiförbrukningen för uppvärmning före renoveringen. Eftersom uppvärmning står för 71 % av den totala slutliga energianvändningen (Kroatiens statistikbyrå, 2015) ska de ovannämnda besparingarna i värmeförbrukningen minst motsvara en ökning på 30 % av primärenergibesparingarna jämfört med situationen före renoveringen. Investeringen syftar också till att öka användningen av förnybara energikällor och därmed minska CO2-utsläppen, minska energifattigdomen och uppmuntra till utveckling av grön infrastruktur och cirkulär förvaltning av byggnader och utrymmen.</w:t>
      </w:r>
    </w:p>
    <w:p w14:paraId="22CA4182" w14:textId="77777777" w:rsidR="003A3D51" w:rsidRDefault="0002775A">
      <w:pPr>
        <w:pStyle w:val="P68B1DB1-Normal3"/>
        <w:spacing w:before="120" w:after="120" w:line="240" w:lineRule="auto"/>
        <w:jc w:val="both"/>
        <w:rPr>
          <w:noProof/>
        </w:rPr>
      </w:pPr>
      <w:r>
        <w:rPr>
          <w:noProof/>
        </w:rPr>
        <w:t xml:space="preserve">Investeringen ska i första hand finansiera de energirenoveringsprojekt som redan är på gång. Investeringarna genom faciliteten för återhämtning och resiliens ska vara följande: </w:t>
      </w:r>
    </w:p>
    <w:p w14:paraId="443FD37F" w14:textId="77777777" w:rsidR="003A3D51" w:rsidRDefault="0002775A">
      <w:pPr>
        <w:pStyle w:val="P68B1DB1-Normal3"/>
        <w:numPr>
          <w:ilvl w:val="0"/>
          <w:numId w:val="30"/>
        </w:numPr>
        <w:spacing w:before="120" w:after="120" w:line="240" w:lineRule="auto"/>
        <w:jc w:val="both"/>
        <w:rPr>
          <w:noProof/>
        </w:rPr>
      </w:pPr>
      <w:r>
        <w:rPr>
          <w:noProof/>
        </w:rPr>
        <w:t xml:space="preserve">För energirenovering ska bidragen täcka 60 % av de stödberättigande renoveringskostnaderna och 85 % av dokumentationskostnaderna. </w:t>
      </w:r>
    </w:p>
    <w:p w14:paraId="5FA17C9C" w14:textId="77777777" w:rsidR="003A3D51" w:rsidRDefault="0002775A">
      <w:pPr>
        <w:pStyle w:val="P68B1DB1-Normal3"/>
        <w:numPr>
          <w:ilvl w:val="0"/>
          <w:numId w:val="30"/>
        </w:numPr>
        <w:spacing w:before="120" w:after="120" w:line="240" w:lineRule="auto"/>
        <w:jc w:val="both"/>
        <w:rPr>
          <w:noProof/>
        </w:rPr>
      </w:pPr>
      <w:r>
        <w:rPr>
          <w:noProof/>
        </w:rPr>
        <w:t>För totalenergirenovering, som omfattar energieffektivitetsåtgärder på ytterväggar och tak till byggnader samt tekniska system, utöver en minsta minskning på 50 % av energianvändningen för uppvärmning och primärenergianvändning, ska bidragen täcka 80 % av de stödberättigande renoveringskostnaderna och 85 % av dokumentationskostnaderna.</w:t>
      </w:r>
    </w:p>
    <w:p w14:paraId="513665D5" w14:textId="77777777" w:rsidR="003A3D51" w:rsidRDefault="0002775A">
      <w:pPr>
        <w:pStyle w:val="P68B1DB1-Normal3"/>
        <w:numPr>
          <w:ilvl w:val="0"/>
          <w:numId w:val="30"/>
        </w:numPr>
        <w:spacing w:before="120" w:after="120" w:line="240" w:lineRule="auto"/>
        <w:jc w:val="both"/>
        <w:rPr>
          <w:noProof/>
        </w:rPr>
      </w:pPr>
      <w:r>
        <w:rPr>
          <w:noProof/>
        </w:rPr>
        <w:t xml:space="preserve">För omfattande renovering, som kombinerar energirenovering, seismisk förstärkning, brandsäkerhet och hälsosamma inomhusklimat, ska bidragen täcka 80 % av de stödberättigande renoveringskostnaderna och 100 % av dokumentationskostnaderna. </w:t>
      </w:r>
    </w:p>
    <w:p w14:paraId="2EED6B34" w14:textId="77777777" w:rsidR="003A3D51" w:rsidRDefault="0002775A">
      <w:pPr>
        <w:pStyle w:val="P68B1DB1-Normal3"/>
        <w:spacing w:after="200" w:line="276" w:lineRule="auto"/>
        <w:jc w:val="both"/>
        <w:rPr>
          <w:noProof/>
        </w:rPr>
      </w:pPr>
      <w:r>
        <w:rPr>
          <w:noProof/>
        </w:rPr>
        <w:t xml:space="preserve">Denna investering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ska kostnaden för installation av gaskondensorpannor utgöra högst 20 % av den totala kostnaden för renoveringsprogrammet, och gaskondensorpor ska installeras för att ersätta befintliga ineffektiva gas-, kol- och oljebaserade värmepannor. </w:t>
      </w:r>
    </w:p>
    <w:p w14:paraId="65368706" w14:textId="77777777" w:rsidR="003A3D51" w:rsidRDefault="0002775A">
      <w:pPr>
        <w:pStyle w:val="P68B1DB1-Normal3"/>
        <w:spacing w:before="120" w:after="120" w:line="240" w:lineRule="auto"/>
        <w:jc w:val="both"/>
        <w:rPr>
          <w:noProof/>
        </w:rPr>
      </w:pPr>
      <w:r>
        <w:rPr>
          <w:noProof/>
        </w:rPr>
        <w:t xml:space="preserve">Investeringen ska vara slutförd senast den 30 juni 2026. </w:t>
      </w:r>
    </w:p>
    <w:p w14:paraId="4F66AF40" w14:textId="540701DF" w:rsidR="003A3D51" w:rsidRDefault="003A3D51">
      <w:pPr>
        <w:spacing w:before="120" w:after="120" w:line="240" w:lineRule="auto"/>
        <w:jc w:val="both"/>
        <w:rPr>
          <w:rFonts w:ascii="Times New Roman" w:eastAsia="Calibri" w:hAnsi="Times New Roman" w:cs="Times New Roman"/>
          <w:noProof/>
          <w:sz w:val="24"/>
        </w:rPr>
      </w:pPr>
    </w:p>
    <w:p w14:paraId="315DFB8C"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bookmarkStart w:id="7" w:name="_Hlk150254375"/>
      <w:r>
        <w:rPr>
          <w:rFonts w:ascii="Times New Roman" w:eastAsia="Times New Roman" w:hAnsi="Times New Roman" w:cs="Times New Roman"/>
          <w:noProof/>
          <w:sz w:val="24"/>
        </w:rPr>
        <w:t xml:space="preserve">Investering </w:t>
      </w:r>
      <w:r>
        <w:rPr>
          <w:rFonts w:ascii="Calibri" w:eastAsia="Calibri" w:hAnsi="Calibri" w:cs="Arial"/>
          <w:noProof/>
        </w:rPr>
        <w:t xml:space="preserve">C6.1.R1-I3 – </w:t>
      </w:r>
      <w:r>
        <w:rPr>
          <w:rFonts w:ascii="Times New Roman" w:eastAsia="Times New Roman" w:hAnsi="Times New Roman" w:cs="Times New Roman"/>
          <w:noProof/>
          <w:sz w:val="24"/>
        </w:rPr>
        <w:t>Energirenovering av byggnader med status som kulturföremål</w:t>
      </w:r>
    </w:p>
    <w:bookmarkEnd w:id="7"/>
    <w:p w14:paraId="7D8806C4" w14:textId="77777777" w:rsidR="003A3D51" w:rsidRDefault="0002775A">
      <w:pPr>
        <w:pStyle w:val="P68B1DB1-Normal3"/>
        <w:spacing w:before="120" w:after="120" w:line="240" w:lineRule="auto"/>
        <w:jc w:val="both"/>
        <w:rPr>
          <w:noProof/>
        </w:rPr>
      </w:pPr>
      <w:r>
        <w:rPr>
          <w:noProof/>
        </w:rPr>
        <w:t xml:space="preserve">Syftet med denna investering är energirenovering av byggnader med status som kulturföremål. Detta ska minska CO2-utsläppen, minska energiförbrukningen, minska underhållskostnaderna på lång sikt och bidra till utvecklingen av en cirkulär ekonomi och användningen av naturbaserade lösningar. Åtgärden ska omfatta två kategorier av byggnader: individuellt skyddade kulturföremål (enskilda byggnader och byggnadskomplex) och byggnader belägna inom en skyddad kulturell och historisk enhet. </w:t>
      </w:r>
    </w:p>
    <w:p w14:paraId="66789665" w14:textId="77777777" w:rsidR="003A3D51" w:rsidRDefault="0002775A">
      <w:pPr>
        <w:pStyle w:val="P68B1DB1-Normal3"/>
        <w:spacing w:before="120" w:after="120" w:line="240" w:lineRule="auto"/>
        <w:jc w:val="both"/>
        <w:rPr>
          <w:noProof/>
        </w:rPr>
      </w:pPr>
      <w:r>
        <w:rPr>
          <w:noProof/>
        </w:rPr>
        <w:t xml:space="preserve">Med tanke på det kulturella och sociala värdet av kulturarvsbyggnader och de betydande resurser som krävs för att renovera dem ska renovering av offentliga byggnader och kulturbyggnader med status som kulturföremål finansieras till 100 %. Denna investering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ska kostnaden för installation av gaskondensorpannor utgöra högst 20 % av den totala kostnaden för renoveringsprogrammet, och gaskondensorpor ska installeras för att ersätta befintliga ineffektiva gas-, kol- och oljebaserade värmepannor. Energirenovering av byggnader med status som kulturföremål ska kräva en årlig minskning på minst 20 % av den förväntade energianvändningen för uppvärmning eller primärenergianvändning jämfört med energiförbrukningen före renoveringen. På portföljnivån för alla renoverade byggnader med status som kulturföremål ska dock i genomsnitt en ökning på 30 % av primärenergibesparingarna jämfört med situationen före renoveringen uppnås.   </w:t>
      </w:r>
    </w:p>
    <w:p w14:paraId="3B2E9102" w14:textId="77777777" w:rsidR="003A3D51" w:rsidRDefault="0002775A">
      <w:pPr>
        <w:pStyle w:val="P68B1DB1-Normal3"/>
        <w:spacing w:before="120" w:after="120" w:line="240" w:lineRule="auto"/>
        <w:jc w:val="both"/>
        <w:rPr>
          <w:noProof/>
        </w:rPr>
      </w:pPr>
      <w:r>
        <w:rPr>
          <w:noProof/>
        </w:rPr>
        <w:t>Investeringen ska genomföras senast den 30 juni 2026.</w:t>
      </w:r>
    </w:p>
    <w:p w14:paraId="047DDE49"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C6.1.R2 </w:t>
      </w:r>
      <w:r>
        <w:rPr>
          <w:rFonts w:ascii="Calibri" w:eastAsia="Calibri" w:hAnsi="Calibri" w:cs="Arial"/>
          <w:noProof/>
        </w:rPr>
        <w:t>–</w:t>
      </w:r>
      <w:r>
        <w:rPr>
          <w:rFonts w:ascii="Times New Roman" w:eastAsia="Times New Roman" w:hAnsi="Times New Roman" w:cs="Times New Roman"/>
          <w:noProof/>
          <w:sz w:val="24"/>
        </w:rPr>
        <w:t xml:space="preserve"> Utveckling av en ram för att säkerställa tillräcklig kompetens i samband med de gröna jobb som krävs för återuppbyggnaden efter jordbävningen</w:t>
      </w:r>
    </w:p>
    <w:p w14:paraId="6BC540DA" w14:textId="77777777" w:rsidR="003A3D51" w:rsidRDefault="0002775A">
      <w:pPr>
        <w:pStyle w:val="P68B1DB1-Normal3"/>
        <w:spacing w:before="120" w:after="120" w:line="240" w:lineRule="auto"/>
        <w:jc w:val="both"/>
        <w:rPr>
          <w:noProof/>
        </w:rPr>
      </w:pPr>
      <w:r>
        <w:rPr>
          <w:noProof/>
        </w:rPr>
        <w:t xml:space="preserve">Denna reform syftar till att minska den risk som är förknippad med det otillräckliga antalet kvalificerade arbetstagare och tillhandahålla de kunskaper och färdigheter som krävs för att genomföra alla energirenoverings- och återuppbyggnadsprocesser efter jordbävningen, genom att integrera nödvändig kunskap om seismisk motståndskraft, energieffektivitet, cirkulär förvaltning, skydd av kulturarvet och återuppbyggnad efter jordbävningen, genom att förbättra befintliga utbildningsprogram och utveckla nya. </w:t>
      </w:r>
    </w:p>
    <w:p w14:paraId="0955DD17" w14:textId="77777777" w:rsidR="003A3D51" w:rsidRDefault="0002775A">
      <w:pPr>
        <w:pStyle w:val="P68B1DB1-Normal3"/>
        <w:spacing w:before="120" w:after="120" w:line="240" w:lineRule="auto"/>
        <w:jc w:val="both"/>
        <w:rPr>
          <w:noProof/>
        </w:rPr>
      </w:pPr>
      <w:r>
        <w:rPr>
          <w:noProof/>
        </w:rPr>
        <w:t xml:space="preserve">Utbildningsprogram ska utvecklas genom en nationell plan för kompetensutveckling inom ramen för gröna jobb kopplade till energiåteruppbyggnad och återuppbyggnad efter jordbävningen. </w:t>
      </w:r>
    </w:p>
    <w:p w14:paraId="3E0F726E" w14:textId="77777777" w:rsidR="003A3D51" w:rsidRDefault="0002775A">
      <w:pPr>
        <w:pStyle w:val="P68B1DB1-Normal3"/>
        <w:spacing w:before="120" w:after="120" w:line="240" w:lineRule="auto"/>
        <w:jc w:val="both"/>
        <w:rPr>
          <w:noProof/>
        </w:rPr>
      </w:pPr>
      <w:r>
        <w:rPr>
          <w:noProof/>
        </w:rPr>
        <w:t>Reformen ska omfatta följande:</w:t>
      </w:r>
    </w:p>
    <w:p w14:paraId="71A5ACD7" w14:textId="77777777" w:rsidR="003A3D51" w:rsidRDefault="0002775A">
      <w:pPr>
        <w:pStyle w:val="P68B1DB1-Normal3"/>
        <w:numPr>
          <w:ilvl w:val="0"/>
          <w:numId w:val="30"/>
        </w:numPr>
        <w:spacing w:before="120" w:after="120" w:line="240" w:lineRule="auto"/>
        <w:jc w:val="both"/>
        <w:rPr>
          <w:noProof/>
        </w:rPr>
      </w:pPr>
      <w:r>
        <w:rPr>
          <w:noProof/>
        </w:rPr>
        <w:t xml:space="preserve">utformning och genomförande av vuxenutbildningsprogram med fokus på utveckling och genomförande av omskolningsprogram för behoven av renovering och utfasning av fossila bränslen i byggnader med inslag av renovering efter jordbävningen, skydd av kulturarvet, energieffektivitet, grön infrastruktur och cirkulär förvaltning av utrymmen och byggnader. </w:t>
      </w:r>
    </w:p>
    <w:p w14:paraId="7BD0BF3F" w14:textId="358E9EE9" w:rsidR="003A3D51" w:rsidRDefault="0002775A">
      <w:pPr>
        <w:pStyle w:val="P68B1DB1-Normal3"/>
        <w:numPr>
          <w:ilvl w:val="0"/>
          <w:numId w:val="30"/>
        </w:numPr>
        <w:spacing w:before="120" w:after="120" w:line="240" w:lineRule="auto"/>
        <w:jc w:val="both"/>
        <w:rPr>
          <w:noProof/>
        </w:rPr>
      </w:pPr>
      <w:r>
        <w:rPr>
          <w:noProof/>
        </w:rPr>
        <w:t>ackreditering av ett nytt masterprogram på området teknisk vetenskap, som omfattar renoveringar efter jordbävningen, återställande av kulturarvet, anpassning till klimatförändringar, energieffektivitet, cirkulär förvaltning av utrymmen och byggnader, fysisk planering, hållbar stadsutveckling, skogsbruk i städer och tillämpning av naturbaserade lösningar.</w:t>
      </w:r>
    </w:p>
    <w:p w14:paraId="1245D178" w14:textId="77777777" w:rsidR="003A3D51" w:rsidRDefault="0002775A">
      <w:pPr>
        <w:pStyle w:val="P68B1DB1-Normal3"/>
        <w:numPr>
          <w:ilvl w:val="0"/>
          <w:numId w:val="30"/>
        </w:numPr>
        <w:spacing w:before="120" w:after="120" w:line="240" w:lineRule="auto"/>
        <w:jc w:val="both"/>
        <w:rPr>
          <w:noProof/>
        </w:rPr>
      </w:pPr>
      <w:r>
        <w:rPr>
          <w:noProof/>
        </w:rPr>
        <w:t>utveckling av program som ska stödja ökad användning av byggnadsinformationsmodellering och främjande av denna inom byggsektorn och fysisk planering.</w:t>
      </w:r>
    </w:p>
    <w:p w14:paraId="58C593C2" w14:textId="31B1BF54" w:rsidR="003A3D51" w:rsidRDefault="0002775A">
      <w:pPr>
        <w:pStyle w:val="P68B1DB1-ListParagraph51"/>
        <w:numPr>
          <w:ilvl w:val="0"/>
          <w:numId w:val="30"/>
        </w:numPr>
        <w:spacing w:before="120" w:after="120" w:line="240" w:lineRule="auto"/>
        <w:jc w:val="both"/>
        <w:rPr>
          <w:noProof/>
        </w:rPr>
      </w:pPr>
      <w:r>
        <w:rPr>
          <w:noProof/>
        </w:rPr>
        <w:t xml:space="preserve">genomföra en marknadsföringskampanj för att locka till sig sökande.    </w:t>
      </w:r>
    </w:p>
    <w:p w14:paraId="2EC260F4" w14:textId="77777777" w:rsidR="003A3D51" w:rsidRDefault="0002775A">
      <w:pPr>
        <w:pStyle w:val="P68B1DB1-Normal3"/>
        <w:spacing w:before="120" w:after="120" w:line="240" w:lineRule="auto"/>
        <w:jc w:val="both"/>
        <w:rPr>
          <w:noProof/>
        </w:rPr>
      </w:pPr>
      <w:r>
        <w:rPr>
          <w:noProof/>
        </w:rPr>
        <w:t>Reformen ska vara genomförd senast den 30 juni 2026.</w:t>
      </w:r>
    </w:p>
    <w:p w14:paraId="720E448F"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C6.1.R3 </w:t>
      </w:r>
      <w:r>
        <w:rPr>
          <w:rFonts w:ascii="Calibri" w:eastAsia="Calibri" w:hAnsi="Calibri" w:cs="Arial"/>
          <w:noProof/>
        </w:rPr>
        <w:t>–</w:t>
      </w:r>
      <w:r>
        <w:rPr>
          <w:rFonts w:ascii="Times New Roman" w:eastAsia="Times New Roman" w:hAnsi="Times New Roman" w:cs="Times New Roman"/>
          <w:noProof/>
          <w:sz w:val="24"/>
        </w:rPr>
        <w:t xml:space="preserve"> Ökad effektivitet, minskning av den administrativa bördan och digitalisering av renoveringsprocessen</w:t>
      </w:r>
    </w:p>
    <w:p w14:paraId="28690C93" w14:textId="77777777" w:rsidR="003A3D51" w:rsidRDefault="0002775A">
      <w:pPr>
        <w:pStyle w:val="P68B1DB1-Normal3"/>
        <w:spacing w:before="120" w:after="120" w:line="240" w:lineRule="auto"/>
        <w:jc w:val="both"/>
        <w:rPr>
          <w:noProof/>
        </w:rPr>
      </w:pPr>
      <w:r>
        <w:rPr>
          <w:noProof/>
        </w:rPr>
        <w:t xml:space="preserve">Reformen syftar till att tillhandahålla tjänster till medborgare och fastighetsägare som kommer att bidra till att minska den administrativa bördan för de sökande i samband med energirenovering och återuppbyggnad efter jordbävningen genom digitalisering och integrering av information. Reformen ska omfatta ytterligare förbättring av den gemensamma kontaktpunkten för energirenovering och utveckling av en enda kontaktpunkt online och offline-kontor för jordbävningsdrabbade områden för att förenkla återuppbyggnadsprocessen för medborgare och andra enheter i behov av administrativa tjänster under återhämtningsprocessen efter jordbävningen. Reformen ska också finansiera en förstärkning av den yrkesmässiga kapaciteten hos de anställda vid den gemensamma kontaktpunkten och de offentliga institutioner som deltar i återuppbyggnadsprocessen för att stödja en enda kontaktpunkt att fungera fullt ut.  </w:t>
      </w:r>
    </w:p>
    <w:p w14:paraId="5D7BE7DA" w14:textId="37B47867" w:rsidR="003A3D51" w:rsidRDefault="0002775A">
      <w:pPr>
        <w:pStyle w:val="P68B1DB1-Normal3"/>
        <w:spacing w:before="120" w:after="120" w:line="240" w:lineRule="auto"/>
        <w:jc w:val="both"/>
        <w:rPr>
          <w:noProof/>
        </w:rPr>
      </w:pPr>
      <w:r>
        <w:rPr>
          <w:noProof/>
        </w:rPr>
        <w:t>Reformen ska slutföras den 30 juni 2026.</w:t>
      </w:r>
    </w:p>
    <w:p w14:paraId="757A8DDA"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C6.1.R4 </w:t>
      </w:r>
      <w:r>
        <w:rPr>
          <w:rFonts w:ascii="Calibri" w:eastAsia="Calibri" w:hAnsi="Calibri" w:cs="Arial"/>
          <w:noProof/>
        </w:rPr>
        <w:t>–</w:t>
      </w:r>
      <w:r>
        <w:rPr>
          <w:rFonts w:ascii="Times New Roman" w:eastAsia="Times New Roman" w:hAnsi="Times New Roman" w:cs="Times New Roman"/>
          <w:noProof/>
          <w:sz w:val="24"/>
        </w:rPr>
        <w:t xml:space="preserve"> Modernisering och integrering av seismiska data för renoveringsprocessen och planering av framtida uppförande och övervakning av offentlig infrastruktur </w:t>
      </w:r>
    </w:p>
    <w:p w14:paraId="79A0E777" w14:textId="77777777" w:rsidR="003A3D51" w:rsidRDefault="0002775A">
      <w:pPr>
        <w:pStyle w:val="P68B1DB1-Normal3"/>
        <w:spacing w:before="120" w:after="120" w:line="240" w:lineRule="auto"/>
        <w:jc w:val="both"/>
        <w:rPr>
          <w:noProof/>
        </w:rPr>
      </w:pPr>
      <w:r>
        <w:rPr>
          <w:noProof/>
        </w:rPr>
        <w:t xml:space="preserve">Reformen syftar till att förbättra riskresiliensen inom fysisk planering och byggsektorn genom att förbättra insamlingen och bearbetningen av seismiska data och genom att stärka kapaciteten att tillämpa data om jordbävningsrisker och vidta åtgärder för att minska potentiella skador. Insamlade data ska användas som underlag för riskrelaterade kartor, såsom felkartor, seismiska kartor och glidningskartor, som ska användas vid utarbetandet av lokala myndigheters fysiska planer för att planera en lämplig typologi för antiseismiska byggnationer och öka Kroatiens motståndskraft mot jordbävningar.  </w:t>
      </w:r>
    </w:p>
    <w:p w14:paraId="2CDCC96D" w14:textId="77777777" w:rsidR="003A3D51" w:rsidRDefault="0002775A">
      <w:pPr>
        <w:pStyle w:val="P68B1DB1-Normal3"/>
        <w:spacing w:before="120" w:after="120" w:line="240" w:lineRule="auto"/>
        <w:jc w:val="both"/>
        <w:rPr>
          <w:noProof/>
        </w:rPr>
      </w:pPr>
      <w:r>
        <w:rPr>
          <w:noProof/>
        </w:rPr>
        <w:t xml:space="preserve">Reformen ska stärka den organisatoriska kapaciteten och infrastrukturkapaciteten hos Republiken Kroatiens seismologiska undersökning när det gäller insamling, bearbetning och analys av uppgifter om seismisk verksamhet. Den ska också stärka den administrativa kapaciteten hos ministeriet för fysisk planering, byggnation och statliga tillgångar och tillhörande tjänster, såsom institut och kontor på regional nivå, så att de insamlade uppgifterna kan tillämpas korrekt inom fysisk planering och byggsektorn. </w:t>
      </w:r>
    </w:p>
    <w:p w14:paraId="780F19C6" w14:textId="735644E9" w:rsidR="003A3D51" w:rsidRDefault="0002775A">
      <w:pPr>
        <w:pStyle w:val="P68B1DB1-Normal3"/>
        <w:spacing w:before="120" w:after="120" w:line="240" w:lineRule="auto"/>
        <w:jc w:val="both"/>
        <w:rPr>
          <w:noProof/>
        </w:rPr>
      </w:pPr>
      <w:r>
        <w:rPr>
          <w:noProof/>
        </w:rPr>
        <w:t>Reformen ska vara genomförd senast den 30 juni 2025.</w:t>
      </w:r>
    </w:p>
    <w:p w14:paraId="765CB7FD"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Investering C6.1.R4-I1 </w:t>
      </w:r>
      <w:r>
        <w:rPr>
          <w:rFonts w:ascii="Calibri" w:eastAsia="Calibri" w:hAnsi="Calibri" w:cs="Arial"/>
          <w:noProof/>
        </w:rPr>
        <w:t>–</w:t>
      </w:r>
      <w:r>
        <w:rPr>
          <w:rFonts w:ascii="Times New Roman" w:eastAsia="Times New Roman" w:hAnsi="Times New Roman" w:cs="Times New Roman"/>
          <w:noProof/>
          <w:sz w:val="24"/>
        </w:rPr>
        <w:t xml:space="preserve"> Utveckling av seismologiska datanät</w:t>
      </w:r>
    </w:p>
    <w:p w14:paraId="5E0B56E0" w14:textId="77777777" w:rsidR="003A3D51" w:rsidRDefault="0002775A">
      <w:pPr>
        <w:pStyle w:val="P68B1DB1-Normal3"/>
        <w:spacing w:before="120" w:after="120" w:line="240" w:lineRule="auto"/>
        <w:jc w:val="both"/>
        <w:rPr>
          <w:noProof/>
        </w:rPr>
      </w:pPr>
      <w:r>
        <w:rPr>
          <w:noProof/>
        </w:rPr>
        <w:t xml:space="preserve">Syftet med investeringen är att finansiera förvärvet av minst 300 enheter av ny seismisk utrustning som behövs enligt Republiken Kroatiens Seismologiska undersökning för att utföra övervakning, bearbetning och analys av uppgifter om seismisk verksamhet på Kroatiens territorium. Investeringen ska också finansiera anställning och utbildning av experter för användning av förvärvad utrustning och databehandling. Efter 2026 ska de anlitade experternas löner fortsätta att finansieras genom statsbudgeten. </w:t>
      </w:r>
    </w:p>
    <w:p w14:paraId="3FD0A24A" w14:textId="06770EFA" w:rsidR="003A3D51" w:rsidRDefault="0002775A">
      <w:pPr>
        <w:pStyle w:val="P68B1DB1-Normal3"/>
        <w:spacing w:before="120" w:after="120" w:line="240" w:lineRule="auto"/>
        <w:jc w:val="both"/>
        <w:rPr>
          <w:noProof/>
        </w:rPr>
      </w:pPr>
      <w:r>
        <w:rPr>
          <w:noProof/>
        </w:rPr>
        <w:t>Investeringen ska genomföras senast den 30 juni 2026.</w:t>
      </w:r>
    </w:p>
    <w:p w14:paraId="41EEC088"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C6.1.R5 </w:t>
      </w:r>
      <w:r>
        <w:rPr>
          <w:rFonts w:ascii="Calibri" w:eastAsia="Calibri" w:hAnsi="Calibri" w:cs="Arial"/>
          <w:noProof/>
        </w:rPr>
        <w:t>–</w:t>
      </w:r>
      <w:r>
        <w:rPr>
          <w:rFonts w:ascii="Times New Roman" w:eastAsia="Times New Roman" w:hAnsi="Times New Roman" w:cs="Times New Roman"/>
          <w:noProof/>
          <w:sz w:val="24"/>
        </w:rPr>
        <w:t xml:space="preserve"> Införande av en ny modell för gröna strategier för stadsförnyelse och genomförande av ett pilotprojekt för utveckling av grön infrastruktur och cirkulär förvaltning av byggnader och utrymme </w:t>
      </w:r>
    </w:p>
    <w:p w14:paraId="7F5CFE77" w14:textId="77777777" w:rsidR="003A3D51" w:rsidRDefault="0002775A">
      <w:pPr>
        <w:pStyle w:val="P68B1DB1-Normal3"/>
        <w:spacing w:before="120" w:after="120" w:line="240" w:lineRule="auto"/>
        <w:jc w:val="both"/>
        <w:rPr>
          <w:noProof/>
        </w:rPr>
      </w:pPr>
      <w:r>
        <w:rPr>
          <w:noProof/>
        </w:rPr>
        <w:t xml:space="preserve">Syftet med reformen är att utveckla en ram för utformning och genomförande av gröna strategier för stadsförnyelse. Den nya ramen ska lägga grunden för utvecklingen av hållbara rymden med fokus på att utveckla grön infrastruktur och integrera naturbaserade lösningar, modeller för cirkulär förvaltning av rymden och byggnader, stärka motståndskraften mot risker och klimatförändringar och stödja den övergripande hållbara utvecklingen. Reformen ska vara tillgänglig för alla lokala förvaltningsenheter i Kroatien, men de i jordbävningsdrabbade områdena ska prioriteras. </w:t>
      </w:r>
    </w:p>
    <w:p w14:paraId="2D9B0C00" w14:textId="77777777" w:rsidR="003A3D51" w:rsidRDefault="0002775A">
      <w:pPr>
        <w:pStyle w:val="P68B1DB1-Normal3"/>
        <w:spacing w:before="120" w:after="120" w:line="240" w:lineRule="auto"/>
        <w:jc w:val="both"/>
        <w:rPr>
          <w:noProof/>
        </w:rPr>
      </w:pPr>
      <w:r>
        <w:rPr>
          <w:noProof/>
        </w:rPr>
        <w:t>Riktlinjer för utarbetande av strategier för grön stadsförnyelse ska utarbetas av ministeriet för fysisk planering, byggande och statliga tillgångar, på grundval av de nationella programmen för utveckling av grön infrastruktur i stadsområden och för utveckling av cirkulär förvaltning av byggnader och utrymmen. Utarbetandet av strategier för grön stadsförnyelse samt genomförandet av pilotprojekt ska genomföras i samarbete med ministeriet.</w:t>
      </w:r>
    </w:p>
    <w:p w14:paraId="7EFE5CE3" w14:textId="7C93D742" w:rsidR="003A3D51" w:rsidRDefault="0002775A">
      <w:pPr>
        <w:pStyle w:val="P68B1DB1-Normal3"/>
        <w:spacing w:before="120" w:after="120" w:line="240" w:lineRule="auto"/>
        <w:jc w:val="both"/>
        <w:rPr>
          <w:noProof/>
        </w:rPr>
      </w:pPr>
      <w:r>
        <w:rPr>
          <w:noProof/>
        </w:rPr>
        <w:t>Reformen ska vara genomförd senast den 30 juni 2026.</w:t>
      </w:r>
    </w:p>
    <w:p w14:paraId="7F3E5F81" w14:textId="77777777" w:rsidR="003A3D51" w:rsidRDefault="0002775A">
      <w:pPr>
        <w:pStyle w:val="P68B1DB1-Normal19"/>
        <w:spacing w:before="120" w:after="120" w:line="240" w:lineRule="auto"/>
        <w:ind w:left="850"/>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C6.1.R6 </w:t>
      </w:r>
      <w:r>
        <w:rPr>
          <w:rFonts w:ascii="Calibri" w:eastAsia="Calibri" w:hAnsi="Calibri" w:cs="Arial"/>
          <w:noProof/>
        </w:rPr>
        <w:t>–</w:t>
      </w:r>
      <w:r>
        <w:rPr>
          <w:rFonts w:ascii="Times New Roman" w:eastAsia="Times New Roman" w:hAnsi="Times New Roman" w:cs="Times New Roman"/>
          <w:noProof/>
          <w:sz w:val="24"/>
        </w:rPr>
        <w:t xml:space="preserve"> Pilotprojekt för inrättande och genomförande av systematisk energihushållning och utveckling av en ny finansieringsmodell </w:t>
      </w:r>
    </w:p>
    <w:p w14:paraId="16E2DF90" w14:textId="77777777" w:rsidR="003A3D51" w:rsidRDefault="0002775A">
      <w:pPr>
        <w:pStyle w:val="P68B1DB1-Normal3"/>
        <w:spacing w:before="120" w:after="120" w:line="240" w:lineRule="auto"/>
        <w:jc w:val="both"/>
        <w:rPr>
          <w:noProof/>
        </w:rPr>
      </w:pPr>
      <w:r>
        <w:rPr>
          <w:noProof/>
        </w:rPr>
        <w:t xml:space="preserve">Kroatien har ett fungerande system för övervakning av energiförbrukningen för enskilda anläggningar inom den offentliga sektorn, men detta system har ännu inte utvecklats för andra sektorer, såsom privata bostäder, industri- eller transportsektorn. Syftet med denna åtgärd är att utveckla och testa en modell för övervakning av energiförbrukningen i flerbostadshus, vilken ska genomföras på grundval av ägarnas frivilliga intresse. Denna modell ska baseras på pilotprojekt som ska övervaka all energi- och vattenförbrukning i en lokal förvaltningsenhet genom automatisk datainsamling, som förväntas möjliggöra systematisk energihushållning och leda till energi- och vattenbesparingar.  </w:t>
      </w:r>
    </w:p>
    <w:p w14:paraId="18A748FE" w14:textId="77777777" w:rsidR="003A3D51" w:rsidRDefault="0002775A">
      <w:pPr>
        <w:pStyle w:val="P68B1DB1-Normal3"/>
        <w:spacing w:before="120" w:after="120" w:line="240" w:lineRule="auto"/>
        <w:jc w:val="both"/>
        <w:rPr>
          <w:noProof/>
        </w:rPr>
      </w:pPr>
      <w:r>
        <w:rPr>
          <w:noProof/>
        </w:rPr>
        <w:t xml:space="preserve">På grundval av insamlade uppgifter om energi- och vattenförbrukning under pilotprojektet ska denna reform också analysera och utveckla en modell som ska göra det möjligt för kunden att ansöka om ett energirenoveringslån och återbetala det via sitt energikonto, justerat för energibesparingar som uppnåtts genom renoveringen. Detta ska minska problemet med slutmottagarnas brist på ekonomiska resurser för energirenoveringsändamål och förväntas bidra positivt till energirenoveringstakten i Kroatien. Reformen ska också testa modellen för ett pilotprojekt för eventuell tillämpning på nationell nivå. </w:t>
      </w:r>
    </w:p>
    <w:p w14:paraId="64A7FC28" w14:textId="77777777" w:rsidR="003A3D51" w:rsidRDefault="0002775A">
      <w:pPr>
        <w:pStyle w:val="P68B1DB1-Normal3"/>
        <w:spacing w:before="120" w:after="120" w:line="240" w:lineRule="auto"/>
        <w:jc w:val="both"/>
        <w:rPr>
          <w:noProof/>
        </w:rPr>
      </w:pPr>
      <w:r>
        <w:rPr>
          <w:noProof/>
        </w:rPr>
        <w:t>Reformen ska vara genomförd senast den 31 december 2025.</w:t>
      </w:r>
    </w:p>
    <w:p w14:paraId="1B817A1A" w14:textId="77777777" w:rsidR="003A3D51" w:rsidRDefault="003A3D51">
      <w:pPr>
        <w:rPr>
          <w:noProof/>
        </w:rPr>
        <w:sectPr w:rsidR="003A3D51" w:rsidSect="00932F3F">
          <w:headerReference w:type="even" r:id="rId378"/>
          <w:headerReference w:type="default" r:id="rId379"/>
          <w:footerReference w:type="even" r:id="rId380"/>
          <w:footerReference w:type="default" r:id="rId381"/>
          <w:headerReference w:type="first" r:id="rId382"/>
          <w:footerReference w:type="first" r:id="rId383"/>
          <w:pgSz w:w="12240" w:h="15840"/>
          <w:pgMar w:top="1440" w:right="1440" w:bottom="1440" w:left="1440" w:header="708" w:footer="708" w:gutter="0"/>
          <w:cols w:space="708"/>
          <w:docGrid w:linePitch="360"/>
        </w:sectPr>
      </w:pPr>
    </w:p>
    <w:p w14:paraId="5135FCAE" w14:textId="77777777" w:rsidR="003A3D51" w:rsidRDefault="0002775A">
      <w:pPr>
        <w:keepNext/>
        <w:tabs>
          <w:tab w:val="num" w:pos="284"/>
        </w:tabs>
        <w:spacing w:before="40" w:after="0"/>
        <w:jc w:val="both"/>
        <w:outlineLvl w:val="1"/>
        <w:rPr>
          <w:rFonts w:ascii="Times New Roman" w:eastAsia="SimSun" w:hAnsi="Times New Roman" w:cs="Times New Roman"/>
          <w:b/>
          <w:noProof/>
          <w:sz w:val="24"/>
        </w:rPr>
      </w:pPr>
      <w:r>
        <w:rPr>
          <w:rFonts w:ascii="Times New Roman" w:eastAsia="SimSun" w:hAnsi="Times New Roman" w:cs="Times New Roman"/>
          <w:b/>
          <w:noProof/>
          <w:sz w:val="24"/>
        </w:rPr>
        <w:t xml:space="preserve">V.2. </w:t>
      </w:r>
      <w:r>
        <w:rPr>
          <w:noProof/>
        </w:rPr>
        <w:tab/>
      </w:r>
      <w:r>
        <w:rPr>
          <w:rFonts w:ascii="Times New Roman" w:eastAsia="SimSun" w:hAnsi="Times New Roman" w:cs="Times New Roman"/>
          <w:b/>
          <w:noProof/>
          <w:sz w:val="24"/>
        </w:rPr>
        <w:t>Delmål, mål, indikatorer och tidsplan för övervakning och genomförande avseende icke återbetalningspliktigt ekonomiskt stöd</w:t>
      </w:r>
    </w:p>
    <w:p w14:paraId="1F2B72C2" w14:textId="77777777" w:rsidR="003A3D51" w:rsidRDefault="003A3D51">
      <w:pPr>
        <w:keepNext/>
        <w:numPr>
          <w:ilvl w:val="1"/>
          <w:numId w:val="0"/>
        </w:numPr>
        <w:tabs>
          <w:tab w:val="num" w:pos="850"/>
        </w:tabs>
        <w:spacing w:before="40" w:after="0"/>
        <w:ind w:left="851"/>
        <w:jc w:val="both"/>
        <w:outlineLvl w:val="1"/>
        <w:rPr>
          <w:rFonts w:ascii="Calibri" w:eastAsia="Calibri" w:hAnsi="Calibri" w:cs="Arial"/>
          <w:noProof/>
        </w:rPr>
      </w:pPr>
    </w:p>
    <w:tbl>
      <w:tblPr>
        <w:tblW w:w="15053" w:type="dxa"/>
        <w:jc w:val="center"/>
        <w:tblLayout w:type="fixed"/>
        <w:tblCellMar>
          <w:top w:w="28" w:type="dxa"/>
          <w:left w:w="28" w:type="dxa"/>
          <w:bottom w:w="28" w:type="dxa"/>
          <w:right w:w="28" w:type="dxa"/>
        </w:tblCellMar>
        <w:tblLook w:val="04A0" w:firstRow="1" w:lastRow="0" w:firstColumn="1" w:lastColumn="0" w:noHBand="0" w:noVBand="1"/>
      </w:tblPr>
      <w:tblGrid>
        <w:gridCol w:w="708"/>
        <w:gridCol w:w="821"/>
        <w:gridCol w:w="848"/>
        <w:gridCol w:w="2093"/>
        <w:gridCol w:w="2288"/>
        <w:gridCol w:w="1067"/>
        <w:gridCol w:w="707"/>
        <w:gridCol w:w="1356"/>
        <w:gridCol w:w="424"/>
        <w:gridCol w:w="641"/>
        <w:gridCol w:w="4100"/>
      </w:tblGrid>
      <w:tr w:rsidR="003A3D51" w14:paraId="42AE79FB" w14:textId="77777777">
        <w:trPr>
          <w:trHeight w:val="618"/>
          <w:tblHeader/>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DE4442" w14:textId="77777777" w:rsidR="003A3D51" w:rsidRDefault="0002775A">
            <w:pPr>
              <w:pStyle w:val="P68B1DB1-Normal6"/>
              <w:spacing w:after="0" w:line="276" w:lineRule="auto"/>
              <w:jc w:val="center"/>
              <w:rPr>
                <w:noProof/>
              </w:rPr>
            </w:pPr>
            <w:r>
              <w:rPr>
                <w:noProof/>
              </w:rPr>
              <w:t>Antal</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9ED7244" w14:textId="77777777" w:rsidR="003A3D51" w:rsidRDefault="0002775A">
            <w:pPr>
              <w:pStyle w:val="P68B1DB1-Normal6"/>
              <w:spacing w:after="0" w:line="276" w:lineRule="auto"/>
              <w:jc w:val="center"/>
              <w:rPr>
                <w:noProof/>
              </w:rPr>
            </w:pPr>
            <w:r>
              <w:rPr>
                <w:noProof/>
              </w:rPr>
              <w:t>Åtgärd</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5456FD3" w14:textId="77777777" w:rsidR="003A3D51" w:rsidRDefault="0002775A">
            <w:pPr>
              <w:pStyle w:val="P68B1DB1-Normal6"/>
              <w:spacing w:after="0" w:line="276" w:lineRule="auto"/>
              <w:jc w:val="center"/>
              <w:rPr>
                <w:noProof/>
              </w:rPr>
            </w:pPr>
            <w:r>
              <w:rPr>
                <w:noProof/>
              </w:rPr>
              <w:t>Delmål/mål</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3DFB251" w14:textId="77777777" w:rsidR="003A3D51" w:rsidRDefault="0002775A">
            <w:pPr>
              <w:pStyle w:val="P68B1DB1-Normal6"/>
              <w:spacing w:after="0" w:line="276" w:lineRule="auto"/>
              <w:jc w:val="center"/>
              <w:rPr>
                <w:noProof/>
              </w:rPr>
            </w:pPr>
            <w:r>
              <w:rPr>
                <w:noProof/>
              </w:rPr>
              <w:t>Namn</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7C89DE5"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delmål)</w:t>
            </w:r>
          </w:p>
        </w:tc>
        <w:tc>
          <w:tcPr>
            <w:tcW w:w="3130"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665E5D8A"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Times New Roman" w:eastAsia="Calibri" w:hAnsi="Times New Roman" w:cs="Times New Roman"/>
                <w:noProof/>
              </w:rPr>
              <w:br/>
            </w:r>
            <w:r>
              <w:rPr>
                <w:rFonts w:ascii="Times New Roman" w:eastAsia="Times New Roman" w:hAnsi="Times New Roman" w:cs="Times New Roman"/>
                <w:b/>
                <w:noProof/>
                <w:sz w:val="18"/>
              </w:rPr>
              <w:t>(för mål)</w:t>
            </w:r>
          </w:p>
        </w:tc>
        <w:tc>
          <w:tcPr>
            <w:tcW w:w="1065" w:type="dxa"/>
            <w:gridSpan w:val="2"/>
            <w:tcBorders>
              <w:top w:val="single" w:sz="4" w:space="0" w:color="auto"/>
              <w:left w:val="nil"/>
              <w:bottom w:val="single" w:sz="4" w:space="0" w:color="auto"/>
              <w:right w:val="single" w:sz="4" w:space="0" w:color="auto"/>
            </w:tcBorders>
            <w:shd w:val="clear" w:color="auto" w:fill="BDD7EE"/>
            <w:vAlign w:val="center"/>
            <w:hideMark/>
          </w:tcPr>
          <w:p w14:paraId="4D376102" w14:textId="77777777" w:rsidR="003A3D51" w:rsidRDefault="0002775A">
            <w:pPr>
              <w:pStyle w:val="P68B1DB1-Normal6"/>
              <w:spacing w:after="0" w:line="276" w:lineRule="auto"/>
              <w:jc w:val="center"/>
              <w:rPr>
                <w:noProof/>
              </w:rPr>
            </w:pPr>
            <w:r>
              <w:rPr>
                <w:noProof/>
              </w:rPr>
              <w:t>Tid</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0915674" w14:textId="77777777" w:rsidR="003A3D51" w:rsidRDefault="0002775A">
            <w:pPr>
              <w:pStyle w:val="P68B1DB1-Normal6"/>
              <w:spacing w:after="0" w:line="276" w:lineRule="auto"/>
              <w:jc w:val="center"/>
              <w:rPr>
                <w:noProof/>
              </w:rPr>
            </w:pPr>
            <w:r>
              <w:rPr>
                <w:noProof/>
              </w:rPr>
              <w:t>Beskrivning av varje delmål och mål</w:t>
            </w:r>
          </w:p>
        </w:tc>
      </w:tr>
      <w:tr w:rsidR="003A3D51" w14:paraId="0A988283" w14:textId="77777777">
        <w:trPr>
          <w:trHeight w:val="500"/>
          <w:tblHeader/>
          <w:jc w:val="center"/>
        </w:trPr>
        <w:tc>
          <w:tcPr>
            <w:tcW w:w="708" w:type="dxa"/>
            <w:vMerge/>
            <w:tcBorders>
              <w:top w:val="single" w:sz="4" w:space="0" w:color="auto"/>
              <w:left w:val="single" w:sz="4" w:space="0" w:color="auto"/>
              <w:bottom w:val="single" w:sz="4" w:space="0" w:color="auto"/>
              <w:right w:val="single" w:sz="4" w:space="0" w:color="auto"/>
            </w:tcBorders>
            <w:hideMark/>
          </w:tcPr>
          <w:p w14:paraId="3A8A63DB" w14:textId="77777777" w:rsidR="003A3D51" w:rsidRDefault="003A3D51">
            <w:pPr>
              <w:spacing w:after="0" w:line="276" w:lineRule="auto"/>
              <w:jc w:val="center"/>
              <w:rPr>
                <w:rFonts w:ascii="Times New Roman" w:eastAsia="Times New Roman" w:hAnsi="Times New Roman" w:cs="Times New Roman"/>
                <w:b/>
                <w:noProof/>
              </w:rPr>
            </w:pPr>
          </w:p>
        </w:tc>
        <w:tc>
          <w:tcPr>
            <w:tcW w:w="821" w:type="dxa"/>
            <w:vMerge/>
            <w:tcBorders>
              <w:top w:val="single" w:sz="4" w:space="0" w:color="auto"/>
              <w:left w:val="single" w:sz="4" w:space="0" w:color="auto"/>
              <w:bottom w:val="single" w:sz="4" w:space="0" w:color="auto"/>
              <w:right w:val="single" w:sz="4" w:space="0" w:color="auto"/>
            </w:tcBorders>
            <w:hideMark/>
          </w:tcPr>
          <w:p w14:paraId="6A25A1F2" w14:textId="77777777" w:rsidR="003A3D51" w:rsidRDefault="003A3D51">
            <w:pPr>
              <w:spacing w:after="0" w:line="276" w:lineRule="auto"/>
              <w:jc w:val="center"/>
              <w:rPr>
                <w:rFonts w:ascii="Times New Roman" w:eastAsia="Times New Roman" w:hAnsi="Times New Roman" w:cs="Times New Roman"/>
                <w:b/>
                <w:noProof/>
              </w:rPr>
            </w:pPr>
          </w:p>
        </w:tc>
        <w:tc>
          <w:tcPr>
            <w:tcW w:w="848" w:type="dxa"/>
            <w:vMerge/>
            <w:tcBorders>
              <w:top w:val="single" w:sz="4" w:space="0" w:color="auto"/>
              <w:left w:val="single" w:sz="4" w:space="0" w:color="auto"/>
              <w:bottom w:val="single" w:sz="4" w:space="0" w:color="auto"/>
              <w:right w:val="single" w:sz="4" w:space="0" w:color="auto"/>
            </w:tcBorders>
            <w:hideMark/>
          </w:tcPr>
          <w:p w14:paraId="40C2B581" w14:textId="77777777" w:rsidR="003A3D51" w:rsidRDefault="003A3D51">
            <w:pPr>
              <w:spacing w:after="0" w:line="276" w:lineRule="auto"/>
              <w:jc w:val="center"/>
              <w:rPr>
                <w:rFonts w:ascii="Times New Roman" w:eastAsia="Times New Roman" w:hAnsi="Times New Roman" w:cs="Times New Roman"/>
                <w:b/>
                <w:noProof/>
              </w:rPr>
            </w:pPr>
          </w:p>
        </w:tc>
        <w:tc>
          <w:tcPr>
            <w:tcW w:w="2093" w:type="dxa"/>
            <w:vMerge/>
            <w:tcBorders>
              <w:top w:val="single" w:sz="4" w:space="0" w:color="auto"/>
              <w:left w:val="single" w:sz="4" w:space="0" w:color="auto"/>
              <w:bottom w:val="single" w:sz="4" w:space="0" w:color="auto"/>
              <w:right w:val="single" w:sz="4" w:space="0" w:color="auto"/>
            </w:tcBorders>
            <w:hideMark/>
          </w:tcPr>
          <w:p w14:paraId="08B9E19F" w14:textId="77777777" w:rsidR="003A3D51" w:rsidRDefault="003A3D51">
            <w:pPr>
              <w:spacing w:after="0" w:line="276" w:lineRule="auto"/>
              <w:rPr>
                <w:rFonts w:ascii="Times New Roman" w:eastAsia="Times New Roman" w:hAnsi="Times New Roman" w:cs="Times New Roman"/>
                <w:b/>
                <w:noProof/>
              </w:rPr>
            </w:pPr>
          </w:p>
        </w:tc>
        <w:tc>
          <w:tcPr>
            <w:tcW w:w="2288" w:type="dxa"/>
            <w:vMerge/>
            <w:tcBorders>
              <w:top w:val="single" w:sz="4" w:space="0" w:color="auto"/>
              <w:left w:val="single" w:sz="4" w:space="0" w:color="auto"/>
              <w:bottom w:val="single" w:sz="4" w:space="0" w:color="auto"/>
              <w:right w:val="single" w:sz="4" w:space="0" w:color="auto"/>
            </w:tcBorders>
            <w:hideMark/>
          </w:tcPr>
          <w:p w14:paraId="5E113660" w14:textId="77777777" w:rsidR="003A3D51" w:rsidRDefault="003A3D51">
            <w:pPr>
              <w:spacing w:after="0" w:line="276" w:lineRule="auto"/>
              <w:rPr>
                <w:rFonts w:ascii="Times New Roman" w:eastAsia="Times New Roman" w:hAnsi="Times New Roman" w:cs="Times New Roman"/>
                <w:b/>
                <w:noProof/>
              </w:rPr>
            </w:pPr>
          </w:p>
        </w:tc>
        <w:tc>
          <w:tcPr>
            <w:tcW w:w="1067" w:type="dxa"/>
            <w:tcBorders>
              <w:top w:val="nil"/>
              <w:left w:val="single" w:sz="4" w:space="0" w:color="auto"/>
              <w:bottom w:val="single" w:sz="4" w:space="0" w:color="auto"/>
              <w:right w:val="single" w:sz="4" w:space="0" w:color="auto"/>
            </w:tcBorders>
            <w:shd w:val="clear" w:color="auto" w:fill="BDD7EE"/>
            <w:vAlign w:val="center"/>
            <w:hideMark/>
          </w:tcPr>
          <w:p w14:paraId="555FE1C2" w14:textId="77777777" w:rsidR="003A3D51" w:rsidRDefault="0002775A">
            <w:pPr>
              <w:pStyle w:val="P68B1DB1-Normal6"/>
              <w:spacing w:after="0" w:line="276" w:lineRule="auto"/>
              <w:jc w:val="center"/>
              <w:rPr>
                <w:noProof/>
              </w:rPr>
            </w:pPr>
            <w:r>
              <w:rPr>
                <w:noProof/>
              </w:rPr>
              <w:t>Enhet</w:t>
            </w:r>
          </w:p>
        </w:tc>
        <w:tc>
          <w:tcPr>
            <w:tcW w:w="707" w:type="dxa"/>
            <w:tcBorders>
              <w:top w:val="nil"/>
              <w:left w:val="nil"/>
              <w:bottom w:val="single" w:sz="4" w:space="0" w:color="auto"/>
              <w:right w:val="single" w:sz="4" w:space="0" w:color="auto"/>
            </w:tcBorders>
            <w:shd w:val="clear" w:color="auto" w:fill="BDD7EE"/>
            <w:vAlign w:val="center"/>
            <w:hideMark/>
          </w:tcPr>
          <w:p w14:paraId="5A64A3FF" w14:textId="77777777" w:rsidR="003A3D51" w:rsidRDefault="0002775A">
            <w:pPr>
              <w:pStyle w:val="P68B1DB1-Normal6"/>
              <w:spacing w:after="0" w:line="276" w:lineRule="auto"/>
              <w:jc w:val="center"/>
              <w:rPr>
                <w:noProof/>
              </w:rPr>
            </w:pPr>
            <w:r>
              <w:rPr>
                <w:noProof/>
              </w:rPr>
              <w:t>Baslinjen</w:t>
            </w:r>
          </w:p>
        </w:tc>
        <w:tc>
          <w:tcPr>
            <w:tcW w:w="1356" w:type="dxa"/>
            <w:tcBorders>
              <w:top w:val="nil"/>
              <w:left w:val="nil"/>
              <w:bottom w:val="single" w:sz="4" w:space="0" w:color="auto"/>
              <w:right w:val="single" w:sz="4" w:space="0" w:color="auto"/>
            </w:tcBorders>
            <w:shd w:val="clear" w:color="auto" w:fill="BDD7EE"/>
            <w:vAlign w:val="center"/>
            <w:hideMark/>
          </w:tcPr>
          <w:p w14:paraId="61F44347" w14:textId="77777777" w:rsidR="003A3D51" w:rsidRDefault="0002775A">
            <w:pPr>
              <w:pStyle w:val="P68B1DB1-Normal6"/>
              <w:spacing w:after="0" w:line="276" w:lineRule="auto"/>
              <w:jc w:val="center"/>
              <w:rPr>
                <w:noProof/>
              </w:rPr>
            </w:pPr>
            <w:r>
              <w:rPr>
                <w:noProof/>
              </w:rPr>
              <w:t>Mål</w:t>
            </w:r>
          </w:p>
        </w:tc>
        <w:tc>
          <w:tcPr>
            <w:tcW w:w="424" w:type="dxa"/>
            <w:tcBorders>
              <w:top w:val="nil"/>
              <w:left w:val="nil"/>
              <w:bottom w:val="single" w:sz="4" w:space="0" w:color="auto"/>
              <w:right w:val="single" w:sz="4" w:space="0" w:color="auto"/>
            </w:tcBorders>
            <w:shd w:val="clear" w:color="auto" w:fill="BDD7EE"/>
            <w:vAlign w:val="center"/>
            <w:hideMark/>
          </w:tcPr>
          <w:p w14:paraId="72C5EC3B" w14:textId="77777777" w:rsidR="003A3D51" w:rsidRDefault="0002775A">
            <w:pPr>
              <w:pStyle w:val="P68B1DB1-Normal6"/>
              <w:spacing w:after="0" w:line="276" w:lineRule="auto"/>
              <w:jc w:val="center"/>
              <w:rPr>
                <w:noProof/>
              </w:rPr>
            </w:pPr>
            <w:r>
              <w:rPr>
                <w:noProof/>
              </w:rPr>
              <w:t>Q</w:t>
            </w:r>
          </w:p>
        </w:tc>
        <w:tc>
          <w:tcPr>
            <w:tcW w:w="641" w:type="dxa"/>
            <w:tcBorders>
              <w:top w:val="nil"/>
              <w:left w:val="nil"/>
              <w:bottom w:val="single" w:sz="4" w:space="0" w:color="auto"/>
              <w:right w:val="single" w:sz="4" w:space="0" w:color="auto"/>
            </w:tcBorders>
            <w:shd w:val="clear" w:color="auto" w:fill="BDD7EE"/>
            <w:vAlign w:val="center"/>
            <w:hideMark/>
          </w:tcPr>
          <w:p w14:paraId="2E0493CA" w14:textId="77777777" w:rsidR="003A3D51" w:rsidRDefault="0002775A">
            <w:pPr>
              <w:pStyle w:val="P68B1DB1-Normal6"/>
              <w:spacing w:after="0" w:line="276" w:lineRule="auto"/>
              <w:jc w:val="center"/>
              <w:rPr>
                <w:noProof/>
              </w:rPr>
            </w:pPr>
            <w:r>
              <w:rPr>
                <w:noProof/>
              </w:rPr>
              <w:t>Året</w:t>
            </w:r>
          </w:p>
        </w:tc>
        <w:tc>
          <w:tcPr>
            <w:tcW w:w="4100" w:type="dxa"/>
            <w:vMerge/>
            <w:tcBorders>
              <w:top w:val="single" w:sz="4" w:space="0" w:color="auto"/>
              <w:bottom w:val="single" w:sz="4" w:space="0" w:color="auto"/>
              <w:right w:val="single" w:sz="4" w:space="0" w:color="auto"/>
            </w:tcBorders>
            <w:hideMark/>
          </w:tcPr>
          <w:p w14:paraId="00A665B5" w14:textId="77777777" w:rsidR="003A3D51" w:rsidRDefault="003A3D51">
            <w:pPr>
              <w:spacing w:after="0" w:line="276" w:lineRule="auto"/>
              <w:rPr>
                <w:rFonts w:ascii="Times New Roman" w:eastAsia="Times New Roman" w:hAnsi="Times New Roman" w:cs="Times New Roman"/>
                <w:b/>
                <w:noProof/>
              </w:rPr>
            </w:pPr>
          </w:p>
        </w:tc>
      </w:tr>
      <w:tr w:rsidR="003A3D51" w14:paraId="5D486ADF"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7D38015" w14:textId="77777777" w:rsidR="003A3D51" w:rsidRDefault="0002775A">
            <w:pPr>
              <w:pStyle w:val="P68B1DB1-Normal7"/>
              <w:spacing w:after="0" w:line="276" w:lineRule="auto"/>
              <w:jc w:val="center"/>
              <w:rPr>
                <w:rFonts w:ascii="Times New Roman" w:hAnsi="Times New Roman" w:cs="Times New Roman"/>
                <w:noProof/>
              </w:rPr>
            </w:pPr>
            <w:r>
              <w:rPr>
                <w:noProof/>
              </w:rPr>
              <w:t>351</w:t>
            </w:r>
          </w:p>
        </w:tc>
        <w:tc>
          <w:tcPr>
            <w:tcW w:w="821" w:type="dxa"/>
            <w:tcBorders>
              <w:top w:val="single" w:sz="4" w:space="0" w:color="auto"/>
              <w:left w:val="nil"/>
              <w:bottom w:val="single" w:sz="4" w:space="0" w:color="auto"/>
              <w:right w:val="single" w:sz="4" w:space="0" w:color="auto"/>
            </w:tcBorders>
            <w:shd w:val="clear" w:color="auto" w:fill="C6EFCE"/>
            <w:noWrap/>
          </w:tcPr>
          <w:p w14:paraId="27E57637" w14:textId="77777777" w:rsidR="003A3D51" w:rsidRDefault="0002775A">
            <w:pPr>
              <w:pStyle w:val="P68B1DB1-Normal7"/>
              <w:spacing w:after="200" w:line="276" w:lineRule="auto"/>
              <w:jc w:val="center"/>
              <w:rPr>
                <w:rFonts w:ascii="Times New Roman" w:hAnsi="Times New Roman" w:cs="Times New Roman"/>
                <w:noProof/>
              </w:rPr>
            </w:pPr>
            <w:r>
              <w:rPr>
                <w:noProof/>
              </w:rPr>
              <w:t>C6.1 R1</w:t>
            </w:r>
          </w:p>
        </w:tc>
        <w:tc>
          <w:tcPr>
            <w:tcW w:w="848" w:type="dxa"/>
            <w:tcBorders>
              <w:top w:val="single" w:sz="4" w:space="0" w:color="auto"/>
              <w:left w:val="nil"/>
              <w:bottom w:val="single" w:sz="4" w:space="0" w:color="auto"/>
              <w:right w:val="single" w:sz="4" w:space="0" w:color="auto"/>
            </w:tcBorders>
            <w:shd w:val="clear" w:color="auto" w:fill="C6EFCE"/>
            <w:noWrap/>
          </w:tcPr>
          <w:p w14:paraId="28F4F03D"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57B12498" w14:textId="77777777" w:rsidR="003A3D51" w:rsidRDefault="0002775A">
            <w:pPr>
              <w:pStyle w:val="P68B1DB1-Normal7"/>
              <w:spacing w:after="200" w:line="276" w:lineRule="auto"/>
              <w:rPr>
                <w:rFonts w:ascii="Times New Roman" w:hAnsi="Times New Roman" w:cs="Times New Roman"/>
                <w:noProof/>
              </w:rPr>
            </w:pPr>
            <w:r>
              <w:rPr>
                <w:noProof/>
              </w:rPr>
              <w:t>Antagande av nationella energirenoveringsprogram för i) flerbostadshus, ii) byggnader som har status som kulturföremål (både för perioden 2021–30) och för iii) minskning av energifattigdomen i områden av särskilt statligt intresse (för perioden 2021–25).</w:t>
            </w:r>
          </w:p>
        </w:tc>
        <w:tc>
          <w:tcPr>
            <w:tcW w:w="2288" w:type="dxa"/>
            <w:tcBorders>
              <w:top w:val="single" w:sz="4" w:space="0" w:color="auto"/>
              <w:left w:val="nil"/>
              <w:bottom w:val="single" w:sz="4" w:space="0" w:color="auto"/>
              <w:right w:val="single" w:sz="4" w:space="0" w:color="auto"/>
            </w:tcBorders>
            <w:shd w:val="clear" w:color="auto" w:fill="C6EFCE"/>
            <w:noWrap/>
          </w:tcPr>
          <w:p w14:paraId="41D5C7E7" w14:textId="77777777" w:rsidR="003A3D51" w:rsidRDefault="0002775A">
            <w:pPr>
              <w:pStyle w:val="P68B1DB1-Normal7"/>
              <w:spacing w:after="200" w:line="276" w:lineRule="auto"/>
              <w:rPr>
                <w:rFonts w:ascii="Times New Roman" w:hAnsi="Times New Roman" w:cs="Times New Roman"/>
                <w:noProof/>
              </w:rPr>
            </w:pPr>
            <w:r>
              <w:rPr>
                <w:noProof/>
              </w:rPr>
              <w:t>Offentliggörande på den officiella webbplatsen för ministeriet för fysisk planering, byggnation och statliga tillgångar</w:t>
            </w:r>
            <w:r>
              <w:rPr>
                <w:noProof/>
              </w:rPr>
              <w:br/>
            </w:r>
          </w:p>
        </w:tc>
        <w:tc>
          <w:tcPr>
            <w:tcW w:w="1067" w:type="dxa"/>
            <w:tcBorders>
              <w:top w:val="nil"/>
              <w:left w:val="nil"/>
              <w:bottom w:val="single" w:sz="4" w:space="0" w:color="auto"/>
              <w:right w:val="single" w:sz="4" w:space="0" w:color="auto"/>
            </w:tcBorders>
            <w:shd w:val="clear" w:color="auto" w:fill="C6EFCE"/>
            <w:noWrap/>
          </w:tcPr>
          <w:p w14:paraId="4162C1A2"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nil"/>
              <w:left w:val="nil"/>
              <w:bottom w:val="single" w:sz="4" w:space="0" w:color="auto"/>
              <w:right w:val="single" w:sz="4" w:space="0" w:color="auto"/>
            </w:tcBorders>
            <w:shd w:val="clear" w:color="auto" w:fill="C6EFCE"/>
            <w:noWrap/>
          </w:tcPr>
          <w:p w14:paraId="04AB401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nil"/>
              <w:left w:val="nil"/>
              <w:bottom w:val="single" w:sz="4" w:space="0" w:color="auto"/>
              <w:right w:val="single" w:sz="4" w:space="0" w:color="auto"/>
            </w:tcBorders>
            <w:shd w:val="clear" w:color="auto" w:fill="C6EFCE"/>
            <w:noWrap/>
          </w:tcPr>
          <w:p w14:paraId="38C67CD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nil"/>
              <w:left w:val="nil"/>
              <w:bottom w:val="single" w:sz="4" w:space="0" w:color="auto"/>
              <w:right w:val="single" w:sz="4" w:space="0" w:color="auto"/>
            </w:tcBorders>
            <w:shd w:val="clear" w:color="auto" w:fill="C6EFCE"/>
            <w:noWrap/>
          </w:tcPr>
          <w:p w14:paraId="31AFE659"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nil"/>
              <w:left w:val="nil"/>
              <w:bottom w:val="single" w:sz="4" w:space="0" w:color="auto"/>
              <w:right w:val="single" w:sz="4" w:space="0" w:color="auto"/>
            </w:tcBorders>
            <w:shd w:val="clear" w:color="auto" w:fill="C6EFCE"/>
            <w:noWrap/>
          </w:tcPr>
          <w:p w14:paraId="4424BE8C"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100" w:type="dxa"/>
            <w:tcBorders>
              <w:top w:val="single" w:sz="4" w:space="0" w:color="auto"/>
              <w:left w:val="nil"/>
              <w:bottom w:val="single" w:sz="4" w:space="0" w:color="auto"/>
              <w:right w:val="single" w:sz="4" w:space="0" w:color="auto"/>
            </w:tcBorders>
            <w:shd w:val="clear" w:color="auto" w:fill="C6EFCE"/>
            <w:noWrap/>
          </w:tcPr>
          <w:p w14:paraId="50AECF02" w14:textId="77777777" w:rsidR="003A3D51" w:rsidRDefault="0002775A">
            <w:pPr>
              <w:pStyle w:val="P68B1DB1-Normal7"/>
              <w:spacing w:after="200" w:line="276" w:lineRule="auto"/>
              <w:rPr>
                <w:rFonts w:ascii="Times New Roman" w:hAnsi="Times New Roman" w:cs="Times New Roman"/>
                <w:noProof/>
              </w:rPr>
            </w:pPr>
            <w:r>
              <w:rPr>
                <w:noProof/>
              </w:rPr>
              <w:t>Offentliggörande av program för att uppmuntra djupgående renovering av byggnader, högeffektiva alternativa system och som ska ägna särskild uppmärksamhet åt att säkerställa hälsosamma inomhusklimat, brandsäkerhet och risker i samband med ökad seismisk aktivitet. En särskild kategori av energirenovering av byggnader med status som kulturtillgång som ännu inte har inkluderats i energirenoveringsprogram för medfinansiering från EU i Kroatien ska införas.</w:t>
            </w:r>
            <w:r>
              <w:rPr>
                <w:noProof/>
              </w:rPr>
              <w:br/>
              <w:t>Offentliggörande av programmet för att minska energifattigdomen i områden av särskilt statligt intresse, för perioden 2021–2025, omfattande renovering av byggnader i stödområden och särskilda offentliga vård- och omsorgsområden, kapacitetsuppbyggnad för att lindra energifattigdomen, minska slutanvändningen av energi och därmed minska CO2-utsläppen från energifattiga eller utsatta hushåll.</w:t>
            </w:r>
          </w:p>
        </w:tc>
      </w:tr>
      <w:tr w:rsidR="003A3D51" w14:paraId="554BB635"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3E38E379" w14:textId="77777777" w:rsidR="003A3D51" w:rsidRDefault="0002775A">
            <w:pPr>
              <w:pStyle w:val="P68B1DB1-Normal7"/>
              <w:spacing w:after="200" w:line="276" w:lineRule="auto"/>
              <w:jc w:val="center"/>
              <w:rPr>
                <w:rFonts w:ascii="Times New Roman" w:hAnsi="Times New Roman" w:cs="Times New Roman"/>
                <w:noProof/>
              </w:rPr>
            </w:pPr>
            <w:r>
              <w:rPr>
                <w:noProof/>
              </w:rPr>
              <w:t>352</w:t>
            </w:r>
          </w:p>
        </w:tc>
        <w:tc>
          <w:tcPr>
            <w:tcW w:w="821" w:type="dxa"/>
            <w:tcBorders>
              <w:top w:val="single" w:sz="4" w:space="0" w:color="auto"/>
              <w:left w:val="nil"/>
              <w:bottom w:val="single" w:sz="4" w:space="0" w:color="auto"/>
              <w:right w:val="single" w:sz="4" w:space="0" w:color="auto"/>
            </w:tcBorders>
            <w:shd w:val="clear" w:color="auto" w:fill="C6EFCE"/>
            <w:noWrap/>
          </w:tcPr>
          <w:p w14:paraId="277B7977" w14:textId="77777777" w:rsidR="003A3D51" w:rsidRDefault="0002775A">
            <w:pPr>
              <w:pStyle w:val="P68B1DB1-Normal7"/>
              <w:spacing w:after="200" w:line="276" w:lineRule="auto"/>
              <w:jc w:val="center"/>
              <w:rPr>
                <w:rFonts w:ascii="Times New Roman" w:hAnsi="Times New Roman" w:cs="Times New Roman"/>
                <w:noProof/>
              </w:rPr>
            </w:pPr>
            <w:r>
              <w:rPr>
                <w:noProof/>
              </w:rPr>
              <w:t>C6.1 R1</w:t>
            </w:r>
          </w:p>
        </w:tc>
        <w:tc>
          <w:tcPr>
            <w:tcW w:w="848" w:type="dxa"/>
            <w:tcBorders>
              <w:top w:val="single" w:sz="4" w:space="0" w:color="auto"/>
              <w:left w:val="nil"/>
              <w:bottom w:val="single" w:sz="4" w:space="0" w:color="auto"/>
              <w:right w:val="single" w:sz="4" w:space="0" w:color="auto"/>
            </w:tcBorders>
            <w:shd w:val="clear" w:color="auto" w:fill="C6EFCE"/>
            <w:noWrap/>
          </w:tcPr>
          <w:p w14:paraId="46EFA245"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72311B50" w14:textId="77777777" w:rsidR="003A3D51" w:rsidRDefault="0002775A">
            <w:pPr>
              <w:pStyle w:val="P68B1DB1-Normal7"/>
              <w:spacing w:after="200" w:line="276" w:lineRule="auto"/>
              <w:rPr>
                <w:rFonts w:ascii="Times New Roman" w:hAnsi="Times New Roman" w:cs="Times New Roman"/>
                <w:noProof/>
              </w:rPr>
            </w:pPr>
            <w:r>
              <w:rPr>
                <w:noProof/>
              </w:rPr>
              <w:t>Antagande av programmet för energirenovering av byggnader inom den offentliga sektorn för perioden 2021–2030</w:t>
            </w:r>
          </w:p>
        </w:tc>
        <w:tc>
          <w:tcPr>
            <w:tcW w:w="2288" w:type="dxa"/>
            <w:tcBorders>
              <w:top w:val="single" w:sz="4" w:space="0" w:color="auto"/>
              <w:left w:val="nil"/>
              <w:bottom w:val="single" w:sz="4" w:space="0" w:color="auto"/>
              <w:right w:val="single" w:sz="4" w:space="0" w:color="auto"/>
            </w:tcBorders>
            <w:shd w:val="clear" w:color="auto" w:fill="C6EFCE"/>
            <w:noWrap/>
          </w:tcPr>
          <w:p w14:paraId="60F1BBA1"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 på den officiella webbplatsen för ministeriet för fysisk planering, byggnation och statliga tillgångar </w:t>
            </w:r>
          </w:p>
        </w:tc>
        <w:tc>
          <w:tcPr>
            <w:tcW w:w="1067" w:type="dxa"/>
            <w:tcBorders>
              <w:top w:val="single" w:sz="4" w:space="0" w:color="auto"/>
              <w:left w:val="nil"/>
              <w:bottom w:val="single" w:sz="4" w:space="0" w:color="auto"/>
              <w:right w:val="single" w:sz="4" w:space="0" w:color="auto"/>
            </w:tcBorders>
            <w:shd w:val="clear" w:color="auto" w:fill="C6EFCE"/>
            <w:noWrap/>
          </w:tcPr>
          <w:p w14:paraId="34B7FB2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112B2E6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40A035C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5D3CFA7F" w14:textId="77777777" w:rsidR="003A3D51" w:rsidRDefault="0002775A">
            <w:pPr>
              <w:pStyle w:val="P68B1DB1-Normal7"/>
              <w:spacing w:after="200" w:line="276" w:lineRule="auto"/>
              <w:jc w:val="center"/>
              <w:rPr>
                <w:rFonts w:ascii="Times New Roman" w:hAnsi="Times New Roman" w:cs="Times New Roman"/>
                <w:noProof/>
              </w:rPr>
            </w:pPr>
            <w:r>
              <w:rPr>
                <w:noProof/>
              </w:rPr>
              <w:t>KVARTAL 1</w:t>
            </w:r>
          </w:p>
        </w:tc>
        <w:tc>
          <w:tcPr>
            <w:tcW w:w="641" w:type="dxa"/>
            <w:tcBorders>
              <w:top w:val="single" w:sz="4" w:space="0" w:color="auto"/>
              <w:left w:val="nil"/>
              <w:bottom w:val="single" w:sz="4" w:space="0" w:color="auto"/>
              <w:right w:val="single" w:sz="4" w:space="0" w:color="auto"/>
            </w:tcBorders>
            <w:shd w:val="clear" w:color="auto" w:fill="C6EFCE"/>
            <w:noWrap/>
          </w:tcPr>
          <w:p w14:paraId="0762D21A"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7522DB80" w14:textId="77777777" w:rsidR="003A3D51" w:rsidRDefault="0002775A">
            <w:pPr>
              <w:pStyle w:val="P68B1DB1-Normal7"/>
              <w:spacing w:after="200" w:line="276" w:lineRule="auto"/>
              <w:rPr>
                <w:rFonts w:ascii="Times New Roman" w:hAnsi="Times New Roman" w:cs="Times New Roman"/>
                <w:noProof/>
              </w:rPr>
            </w:pPr>
            <w:r>
              <w:rPr>
                <w:noProof/>
              </w:rPr>
              <w:t>Offentliggörande av programmet för energirenovering av byggnader inom den offentliga sektorn för perioden 2021–2030, som omfattar en omfattande renovering av byggnader inom den offentliga sektorn, inbegripet energi- och resurseffektivitetsåtgärder, samtidigt som man minskar värmebehoven och energiförbrukningen i offentliga byggnader och ökar användningen av förnybara energikällor och den därav följande minskningen av CO2-utsläppen.</w:t>
            </w:r>
          </w:p>
        </w:tc>
      </w:tr>
      <w:tr w:rsidR="003A3D51" w14:paraId="40D23D8F"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549A0112" w14:textId="77777777" w:rsidR="003A3D51" w:rsidRDefault="0002775A">
            <w:pPr>
              <w:pStyle w:val="P68B1DB1-Normal7"/>
              <w:spacing w:after="200" w:line="276" w:lineRule="auto"/>
              <w:jc w:val="center"/>
              <w:rPr>
                <w:rFonts w:ascii="Times New Roman" w:hAnsi="Times New Roman" w:cs="Times New Roman"/>
                <w:noProof/>
              </w:rPr>
            </w:pPr>
            <w:r>
              <w:rPr>
                <w:noProof/>
              </w:rPr>
              <w:t>353</w:t>
            </w:r>
          </w:p>
        </w:tc>
        <w:tc>
          <w:tcPr>
            <w:tcW w:w="821" w:type="dxa"/>
            <w:tcBorders>
              <w:top w:val="single" w:sz="4" w:space="0" w:color="auto"/>
              <w:left w:val="nil"/>
              <w:bottom w:val="single" w:sz="4" w:space="0" w:color="auto"/>
              <w:right w:val="single" w:sz="4" w:space="0" w:color="auto"/>
            </w:tcBorders>
            <w:shd w:val="clear" w:color="auto" w:fill="C6EFCE"/>
            <w:noWrap/>
          </w:tcPr>
          <w:p w14:paraId="3327E602" w14:textId="77777777" w:rsidR="003A3D51" w:rsidRDefault="0002775A">
            <w:pPr>
              <w:pStyle w:val="P68B1DB1-Normal7"/>
              <w:spacing w:after="200" w:line="276" w:lineRule="auto"/>
              <w:jc w:val="center"/>
              <w:rPr>
                <w:rFonts w:ascii="Times New Roman" w:hAnsi="Times New Roman" w:cs="Times New Roman"/>
                <w:noProof/>
              </w:rPr>
            </w:pPr>
            <w:r>
              <w:rPr>
                <w:noProof/>
              </w:rPr>
              <w:t>C6.1 R1-I1</w:t>
            </w:r>
          </w:p>
        </w:tc>
        <w:tc>
          <w:tcPr>
            <w:tcW w:w="848" w:type="dxa"/>
            <w:tcBorders>
              <w:top w:val="single" w:sz="4" w:space="0" w:color="auto"/>
              <w:left w:val="nil"/>
              <w:bottom w:val="single" w:sz="4" w:space="0" w:color="auto"/>
              <w:right w:val="single" w:sz="4" w:space="0" w:color="auto"/>
            </w:tcBorders>
            <w:shd w:val="clear" w:color="auto" w:fill="C6EFCE"/>
            <w:noWrap/>
          </w:tcPr>
          <w:p w14:paraId="1CAFA5B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1975C9F5" w14:textId="77777777" w:rsidR="003A3D51" w:rsidRDefault="0002775A">
            <w:pPr>
              <w:pStyle w:val="P68B1DB1-Normal7"/>
              <w:spacing w:after="200" w:line="276" w:lineRule="auto"/>
              <w:rPr>
                <w:rFonts w:ascii="Times New Roman" w:hAnsi="Times New Roman" w:cs="Times New Roman"/>
                <w:noProof/>
              </w:rPr>
            </w:pPr>
            <w:r>
              <w:rPr>
                <w:noProof/>
              </w:rPr>
              <w:t xml:space="preserve">Undertecknade avtal för energirenovering av offentliga byggnader och flerbostadshus </w:t>
            </w:r>
          </w:p>
        </w:tc>
        <w:tc>
          <w:tcPr>
            <w:tcW w:w="2288" w:type="dxa"/>
            <w:tcBorders>
              <w:top w:val="single" w:sz="4" w:space="0" w:color="auto"/>
              <w:left w:val="nil"/>
              <w:bottom w:val="single" w:sz="4" w:space="0" w:color="auto"/>
              <w:right w:val="single" w:sz="4" w:space="0" w:color="auto"/>
            </w:tcBorders>
            <w:shd w:val="clear" w:color="auto" w:fill="C6EFCE"/>
            <w:noWrap/>
          </w:tcPr>
          <w:p w14:paraId="56D1795E"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3D2A0249" w14:textId="77777777" w:rsidR="003A3D51" w:rsidRDefault="0002775A">
            <w:pPr>
              <w:pStyle w:val="P68B1DB1-Normal7"/>
              <w:spacing w:after="200" w:line="276" w:lineRule="auto"/>
              <w:jc w:val="center"/>
              <w:rPr>
                <w:rFonts w:ascii="Times New Roman" w:hAnsi="Times New Roman" w:cs="Times New Roman"/>
                <w:noProof/>
              </w:rPr>
            </w:pPr>
            <w:r>
              <w:rPr>
                <w:noProof/>
              </w:rPr>
              <w:t xml:space="preserve">EURO </w:t>
            </w:r>
          </w:p>
        </w:tc>
        <w:tc>
          <w:tcPr>
            <w:tcW w:w="707" w:type="dxa"/>
            <w:tcBorders>
              <w:top w:val="single" w:sz="4" w:space="0" w:color="auto"/>
              <w:left w:val="nil"/>
              <w:bottom w:val="single" w:sz="4" w:space="0" w:color="auto"/>
              <w:right w:val="single" w:sz="4" w:space="0" w:color="auto"/>
            </w:tcBorders>
            <w:shd w:val="clear" w:color="auto" w:fill="C6EFCE"/>
            <w:noWrap/>
          </w:tcPr>
          <w:p w14:paraId="0FA67D05"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0116DBC6" w14:textId="77777777" w:rsidR="003A3D51" w:rsidRDefault="0002775A">
            <w:pPr>
              <w:pStyle w:val="P68B1DB1-Normal7"/>
              <w:spacing w:after="200" w:line="276" w:lineRule="auto"/>
              <w:jc w:val="center"/>
              <w:rPr>
                <w:rFonts w:ascii="Times New Roman" w:hAnsi="Times New Roman" w:cs="Times New Roman"/>
                <w:noProof/>
              </w:rPr>
            </w:pPr>
            <w:r>
              <w:rPr>
                <w:noProof/>
              </w:rPr>
              <w:t> 66 361 404</w:t>
            </w:r>
          </w:p>
        </w:tc>
        <w:tc>
          <w:tcPr>
            <w:tcW w:w="424" w:type="dxa"/>
            <w:tcBorders>
              <w:top w:val="single" w:sz="4" w:space="0" w:color="auto"/>
              <w:left w:val="nil"/>
              <w:bottom w:val="single" w:sz="4" w:space="0" w:color="auto"/>
              <w:right w:val="single" w:sz="4" w:space="0" w:color="auto"/>
            </w:tcBorders>
            <w:shd w:val="clear" w:color="auto" w:fill="C6EFCE"/>
            <w:noWrap/>
          </w:tcPr>
          <w:p w14:paraId="64F9DBD2"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6072FD87"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3674FB1C" w14:textId="77777777" w:rsidR="003A3D51" w:rsidRDefault="0002775A">
            <w:pPr>
              <w:pStyle w:val="P68B1DB1-Normal7"/>
              <w:spacing w:after="200" w:line="276" w:lineRule="auto"/>
              <w:rPr>
                <w:rFonts w:ascii="Times New Roman" w:hAnsi="Times New Roman" w:cs="Times New Roman"/>
                <w:noProof/>
              </w:rPr>
            </w:pPr>
            <w:r>
              <w:rPr>
                <w:noProof/>
              </w:rPr>
              <w:t>Undertecknade avtal om 66 361 404 EUR för energirenovering av byggnader.  Alla avtal om att ange det relevanta energieffektivitetskravet på en minsta minskning av energianvändningen för uppvärmning med minst 50 % jämfört med den årliga energianvändningen för uppvärmning före renoveringen för varje byggnad (förväntas för byggnader med status som kulturföremål), vilket ska leda till primärenergibesparingar på 30 % jämfört med förrenoveringstillståndet och med respekt för principen om att inte orsaka betydande skada enligt artikel 17 i förordning (EU) 2020/852 om inrättande av en ram för att underlätta hållbara investeringar.</w:t>
            </w:r>
          </w:p>
        </w:tc>
      </w:tr>
      <w:tr w:rsidR="003A3D51" w14:paraId="18FC05B9"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5C906F5D" w14:textId="77777777" w:rsidR="003A3D51" w:rsidRDefault="0002775A">
            <w:pPr>
              <w:pStyle w:val="P68B1DB1-Normal7"/>
              <w:spacing w:after="200" w:line="276" w:lineRule="auto"/>
              <w:jc w:val="center"/>
              <w:rPr>
                <w:rFonts w:ascii="Times New Roman" w:hAnsi="Times New Roman" w:cs="Times New Roman"/>
                <w:noProof/>
              </w:rPr>
            </w:pPr>
            <w:r>
              <w:rPr>
                <w:noProof/>
              </w:rPr>
              <w:t>354</w:t>
            </w:r>
          </w:p>
        </w:tc>
        <w:tc>
          <w:tcPr>
            <w:tcW w:w="821" w:type="dxa"/>
            <w:tcBorders>
              <w:top w:val="single" w:sz="4" w:space="0" w:color="auto"/>
              <w:left w:val="nil"/>
              <w:bottom w:val="single" w:sz="4" w:space="0" w:color="auto"/>
              <w:right w:val="single" w:sz="4" w:space="0" w:color="auto"/>
            </w:tcBorders>
            <w:shd w:val="clear" w:color="auto" w:fill="C6EFCE"/>
            <w:noWrap/>
          </w:tcPr>
          <w:p w14:paraId="2C0D2983" w14:textId="77777777" w:rsidR="003A3D51" w:rsidRDefault="0002775A">
            <w:pPr>
              <w:pStyle w:val="P68B1DB1-Normal7"/>
              <w:spacing w:after="200" w:line="276" w:lineRule="auto"/>
              <w:jc w:val="center"/>
              <w:rPr>
                <w:rFonts w:ascii="Times New Roman" w:hAnsi="Times New Roman" w:cs="Times New Roman"/>
                <w:noProof/>
              </w:rPr>
            </w:pPr>
            <w:r>
              <w:rPr>
                <w:noProof/>
              </w:rPr>
              <w:t>C6.1 R1-I1</w:t>
            </w:r>
          </w:p>
        </w:tc>
        <w:tc>
          <w:tcPr>
            <w:tcW w:w="848" w:type="dxa"/>
            <w:tcBorders>
              <w:top w:val="single" w:sz="4" w:space="0" w:color="auto"/>
              <w:left w:val="nil"/>
              <w:bottom w:val="single" w:sz="4" w:space="0" w:color="auto"/>
              <w:right w:val="single" w:sz="4" w:space="0" w:color="auto"/>
            </w:tcBorders>
            <w:shd w:val="clear" w:color="auto" w:fill="C6EFCE"/>
            <w:noWrap/>
          </w:tcPr>
          <w:p w14:paraId="0FFE618E"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2CF14BB2" w14:textId="77777777" w:rsidR="003A3D51" w:rsidRDefault="0002775A">
            <w:pPr>
              <w:pStyle w:val="P68B1DB1-Normal7"/>
              <w:spacing w:after="200" w:line="276" w:lineRule="auto"/>
              <w:rPr>
                <w:rFonts w:ascii="Times New Roman" w:hAnsi="Times New Roman" w:cs="Times New Roman"/>
                <w:noProof/>
              </w:rPr>
            </w:pPr>
            <w:r>
              <w:rPr>
                <w:noProof/>
              </w:rPr>
              <w:t xml:space="preserve">Energirenovering av flerbostadshus </w:t>
            </w:r>
          </w:p>
        </w:tc>
        <w:tc>
          <w:tcPr>
            <w:tcW w:w="2288" w:type="dxa"/>
            <w:tcBorders>
              <w:top w:val="single" w:sz="4" w:space="0" w:color="auto"/>
              <w:left w:val="nil"/>
              <w:bottom w:val="single" w:sz="4" w:space="0" w:color="auto"/>
              <w:right w:val="single" w:sz="4" w:space="0" w:color="auto"/>
            </w:tcBorders>
            <w:shd w:val="clear" w:color="auto" w:fill="C6EFCE"/>
            <w:noWrap/>
          </w:tcPr>
          <w:p w14:paraId="3FF1AD9A"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359DC0CB" w14:textId="77777777" w:rsidR="003A3D51" w:rsidRDefault="0002775A">
            <w:pPr>
              <w:pStyle w:val="P68B1DB1-Normal7"/>
              <w:spacing w:after="200" w:line="276" w:lineRule="auto"/>
              <w:jc w:val="center"/>
              <w:rPr>
                <w:rFonts w:ascii="Times New Roman" w:hAnsi="Times New Roman" w:cs="Times New Roman"/>
                <w:noProof/>
              </w:rPr>
            </w:pPr>
            <w:r>
              <w:rPr>
                <w:noProof/>
              </w:rPr>
              <w:t>Antal (m²)</w:t>
            </w:r>
          </w:p>
        </w:tc>
        <w:tc>
          <w:tcPr>
            <w:tcW w:w="707" w:type="dxa"/>
            <w:tcBorders>
              <w:top w:val="single" w:sz="4" w:space="0" w:color="auto"/>
              <w:left w:val="nil"/>
              <w:bottom w:val="single" w:sz="4" w:space="0" w:color="auto"/>
              <w:right w:val="single" w:sz="4" w:space="0" w:color="auto"/>
            </w:tcBorders>
            <w:shd w:val="clear" w:color="auto" w:fill="C6EFCE"/>
            <w:noWrap/>
          </w:tcPr>
          <w:p w14:paraId="7FF9E909"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316DEE70" w14:textId="77777777" w:rsidR="003A3D51" w:rsidRDefault="0002775A">
            <w:pPr>
              <w:pStyle w:val="P68B1DB1-Normal7"/>
              <w:spacing w:after="200" w:line="276" w:lineRule="auto"/>
              <w:jc w:val="center"/>
              <w:rPr>
                <w:rFonts w:ascii="Times New Roman" w:hAnsi="Times New Roman" w:cs="Times New Roman"/>
                <w:noProof/>
              </w:rPr>
            </w:pPr>
            <w:r>
              <w:rPr>
                <w:noProof/>
              </w:rPr>
              <w:t>180 000</w:t>
            </w:r>
          </w:p>
        </w:tc>
        <w:tc>
          <w:tcPr>
            <w:tcW w:w="424" w:type="dxa"/>
            <w:tcBorders>
              <w:top w:val="single" w:sz="4" w:space="0" w:color="auto"/>
              <w:left w:val="nil"/>
              <w:bottom w:val="single" w:sz="4" w:space="0" w:color="auto"/>
              <w:right w:val="single" w:sz="4" w:space="0" w:color="auto"/>
            </w:tcBorders>
            <w:shd w:val="clear" w:color="auto" w:fill="C6EFCE"/>
            <w:noWrap/>
          </w:tcPr>
          <w:p w14:paraId="6161156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647E0A25"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52581A76" w14:textId="77777777" w:rsidR="003A3D51" w:rsidRDefault="0002775A">
            <w:pPr>
              <w:pStyle w:val="P68B1DB1-Normal7"/>
              <w:spacing w:after="200" w:line="276" w:lineRule="auto"/>
              <w:rPr>
                <w:rFonts w:ascii="Times New Roman" w:hAnsi="Times New Roman" w:cs="Times New Roman"/>
                <w:noProof/>
              </w:rPr>
            </w:pPr>
            <w:r>
              <w:rPr>
                <w:noProof/>
              </w:rPr>
              <w:t xml:space="preserve">Energirenovering av minst 180 000 m² flerbostadshus i linje med samfinansieringsavtalen, för att uppnå ett minimikrav på att minska energianvändningen för uppvärmning med minst 50 % jämfört med den årliga energianvändningen för uppvärmning före renoveringen för varje byggnad, vilket ska leda till primärenergibesparingar på 30 % jämfört med förrenoveringen och respektera principen om att inte orsaka betydande skada i enlighet med artikel 17 i förordning (EU) 2020/852 om inrättande av en ram för att underlätta hållbara investeringar. </w:t>
            </w:r>
          </w:p>
        </w:tc>
      </w:tr>
      <w:tr w:rsidR="003A3D51" w14:paraId="7F740007"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774506B" w14:textId="77777777" w:rsidR="003A3D51" w:rsidRDefault="0002775A">
            <w:pPr>
              <w:pStyle w:val="P68B1DB1-Normal7"/>
              <w:spacing w:after="200" w:line="276" w:lineRule="auto"/>
              <w:jc w:val="center"/>
              <w:rPr>
                <w:rFonts w:ascii="Times New Roman" w:hAnsi="Times New Roman" w:cs="Times New Roman"/>
                <w:noProof/>
              </w:rPr>
            </w:pPr>
            <w:r>
              <w:rPr>
                <w:noProof/>
              </w:rPr>
              <w:t>355</w:t>
            </w:r>
          </w:p>
        </w:tc>
        <w:tc>
          <w:tcPr>
            <w:tcW w:w="821" w:type="dxa"/>
            <w:tcBorders>
              <w:top w:val="single" w:sz="4" w:space="0" w:color="auto"/>
              <w:left w:val="nil"/>
              <w:bottom w:val="single" w:sz="4" w:space="0" w:color="auto"/>
              <w:right w:val="single" w:sz="4" w:space="0" w:color="auto"/>
            </w:tcBorders>
            <w:shd w:val="clear" w:color="auto" w:fill="C6EFCE"/>
            <w:noWrap/>
          </w:tcPr>
          <w:p w14:paraId="643DD3EA" w14:textId="77777777" w:rsidR="003A3D51" w:rsidRDefault="0002775A">
            <w:pPr>
              <w:pStyle w:val="P68B1DB1-Normal7"/>
              <w:spacing w:after="200" w:line="276" w:lineRule="auto"/>
              <w:jc w:val="center"/>
              <w:rPr>
                <w:rFonts w:ascii="Times New Roman" w:hAnsi="Times New Roman" w:cs="Times New Roman"/>
                <w:noProof/>
              </w:rPr>
            </w:pPr>
            <w:r>
              <w:rPr>
                <w:noProof/>
              </w:rPr>
              <w:t>C6.1 R1-I1</w:t>
            </w:r>
          </w:p>
        </w:tc>
        <w:tc>
          <w:tcPr>
            <w:tcW w:w="848" w:type="dxa"/>
            <w:tcBorders>
              <w:top w:val="single" w:sz="4" w:space="0" w:color="auto"/>
              <w:left w:val="nil"/>
              <w:bottom w:val="single" w:sz="4" w:space="0" w:color="auto"/>
              <w:right w:val="single" w:sz="4" w:space="0" w:color="auto"/>
            </w:tcBorders>
            <w:shd w:val="clear" w:color="auto" w:fill="C6EFCE"/>
            <w:noWrap/>
          </w:tcPr>
          <w:p w14:paraId="32F796F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5F667AB5" w14:textId="77777777" w:rsidR="003A3D51" w:rsidRDefault="0002775A">
            <w:pPr>
              <w:pStyle w:val="P68B1DB1-Normal7"/>
              <w:spacing w:after="200" w:line="276" w:lineRule="auto"/>
              <w:rPr>
                <w:rFonts w:ascii="Times New Roman" w:hAnsi="Times New Roman" w:cs="Times New Roman"/>
                <w:noProof/>
              </w:rPr>
            </w:pPr>
            <w:r>
              <w:rPr>
                <w:noProof/>
              </w:rPr>
              <w:t xml:space="preserve">Energirenovering av offentliga byggnader </w:t>
            </w:r>
          </w:p>
        </w:tc>
        <w:tc>
          <w:tcPr>
            <w:tcW w:w="2288" w:type="dxa"/>
            <w:tcBorders>
              <w:top w:val="single" w:sz="4" w:space="0" w:color="auto"/>
              <w:left w:val="nil"/>
              <w:bottom w:val="single" w:sz="4" w:space="0" w:color="auto"/>
              <w:right w:val="single" w:sz="4" w:space="0" w:color="auto"/>
            </w:tcBorders>
            <w:shd w:val="clear" w:color="auto" w:fill="C6EFCE"/>
            <w:noWrap/>
          </w:tcPr>
          <w:p w14:paraId="797E65D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0114EAA1" w14:textId="77777777" w:rsidR="003A3D51" w:rsidRDefault="0002775A">
            <w:pPr>
              <w:pStyle w:val="P68B1DB1-Normal7"/>
              <w:spacing w:after="200" w:line="276" w:lineRule="auto"/>
              <w:jc w:val="center"/>
              <w:rPr>
                <w:rFonts w:ascii="Times New Roman" w:hAnsi="Times New Roman" w:cs="Times New Roman"/>
                <w:noProof/>
              </w:rPr>
            </w:pPr>
            <w:r>
              <w:rPr>
                <w:noProof/>
              </w:rPr>
              <w:t>Antal</w:t>
            </w:r>
            <w:r>
              <w:rPr>
                <w:noProof/>
              </w:rPr>
              <w:br/>
              <w:t>(m²)</w:t>
            </w:r>
          </w:p>
        </w:tc>
        <w:tc>
          <w:tcPr>
            <w:tcW w:w="707" w:type="dxa"/>
            <w:tcBorders>
              <w:top w:val="single" w:sz="4" w:space="0" w:color="auto"/>
              <w:left w:val="nil"/>
              <w:bottom w:val="single" w:sz="4" w:space="0" w:color="auto"/>
              <w:right w:val="single" w:sz="4" w:space="0" w:color="auto"/>
            </w:tcBorders>
            <w:shd w:val="clear" w:color="auto" w:fill="C6EFCE"/>
            <w:noWrap/>
          </w:tcPr>
          <w:p w14:paraId="1A79E4F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51511C8A" w14:textId="77777777" w:rsidR="003A3D51" w:rsidRDefault="0002775A">
            <w:pPr>
              <w:pStyle w:val="P68B1DB1-Normal7"/>
              <w:spacing w:after="200" w:line="276" w:lineRule="auto"/>
              <w:jc w:val="center"/>
              <w:rPr>
                <w:rFonts w:ascii="Times New Roman" w:hAnsi="Times New Roman" w:cs="Times New Roman"/>
                <w:noProof/>
              </w:rPr>
            </w:pPr>
            <w:r>
              <w:rPr>
                <w:noProof/>
              </w:rPr>
              <w:t>288 000</w:t>
            </w:r>
          </w:p>
        </w:tc>
        <w:tc>
          <w:tcPr>
            <w:tcW w:w="424" w:type="dxa"/>
            <w:tcBorders>
              <w:top w:val="single" w:sz="4" w:space="0" w:color="auto"/>
              <w:left w:val="nil"/>
              <w:bottom w:val="single" w:sz="4" w:space="0" w:color="auto"/>
              <w:right w:val="single" w:sz="4" w:space="0" w:color="auto"/>
            </w:tcBorders>
            <w:shd w:val="clear" w:color="auto" w:fill="C6EFCE"/>
            <w:noWrap/>
          </w:tcPr>
          <w:p w14:paraId="2FC0AC71"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0DA4462B"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72248E4C" w14:textId="77777777" w:rsidR="003A3D51" w:rsidRDefault="0002775A">
            <w:pPr>
              <w:pStyle w:val="P68B1DB1-Normal7"/>
              <w:spacing w:after="200" w:line="276" w:lineRule="auto"/>
              <w:rPr>
                <w:rFonts w:ascii="Times New Roman" w:hAnsi="Times New Roman" w:cs="Times New Roman"/>
                <w:noProof/>
              </w:rPr>
            </w:pPr>
            <w:r>
              <w:rPr>
                <w:noProof/>
              </w:rPr>
              <w:t xml:space="preserve">Energirenovering av minst 288 000 m² av offentliga byggnader i linje med samfinansieringsavtalen, för att uppnå ett minimikrav på att minska energianvändningen för uppvärmning med minst 50 % jämfört med den årliga energianvändningen för uppvärmning före renoveringen för varje byggnad, vilket ska ge en ökning på 30 % i primärenergibesparingar jämfört med förrenoveringen och respektera principen om att inte orsaka betydande skada enligt artikel 17 i förordning (EU) 2020/852 om inrättande av en ram för att underlätta hållbara investeringar. </w:t>
            </w:r>
          </w:p>
        </w:tc>
      </w:tr>
      <w:tr w:rsidR="003A3D51" w14:paraId="14614761"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6B07E04" w14:textId="77777777" w:rsidR="003A3D51" w:rsidRDefault="0002775A">
            <w:pPr>
              <w:pStyle w:val="P68B1DB1-Normal7"/>
              <w:spacing w:after="200" w:line="276" w:lineRule="auto"/>
              <w:jc w:val="center"/>
              <w:rPr>
                <w:rFonts w:ascii="Times New Roman" w:hAnsi="Times New Roman" w:cs="Times New Roman"/>
                <w:noProof/>
              </w:rPr>
            </w:pPr>
            <w:r>
              <w:rPr>
                <w:noProof/>
              </w:rPr>
              <w:t>358</w:t>
            </w:r>
          </w:p>
        </w:tc>
        <w:tc>
          <w:tcPr>
            <w:tcW w:w="821" w:type="dxa"/>
            <w:tcBorders>
              <w:top w:val="single" w:sz="4" w:space="0" w:color="auto"/>
              <w:left w:val="nil"/>
              <w:bottom w:val="single" w:sz="4" w:space="0" w:color="auto"/>
              <w:right w:val="single" w:sz="4" w:space="0" w:color="auto"/>
            </w:tcBorders>
            <w:shd w:val="clear" w:color="auto" w:fill="C6EFCE"/>
            <w:noWrap/>
          </w:tcPr>
          <w:p w14:paraId="6BDF546A" w14:textId="77777777" w:rsidR="003A3D51" w:rsidRDefault="0002775A">
            <w:pPr>
              <w:pStyle w:val="P68B1DB1-Normal7"/>
              <w:spacing w:after="200" w:line="276" w:lineRule="auto"/>
              <w:jc w:val="center"/>
              <w:rPr>
                <w:rFonts w:ascii="Times New Roman" w:hAnsi="Times New Roman" w:cs="Times New Roman"/>
                <w:noProof/>
              </w:rPr>
            </w:pPr>
            <w:r>
              <w:rPr>
                <w:noProof/>
              </w:rPr>
              <w:t>C6.1 R1-I3</w:t>
            </w:r>
          </w:p>
        </w:tc>
        <w:tc>
          <w:tcPr>
            <w:tcW w:w="848" w:type="dxa"/>
            <w:tcBorders>
              <w:top w:val="single" w:sz="4" w:space="0" w:color="auto"/>
              <w:left w:val="nil"/>
              <w:bottom w:val="single" w:sz="4" w:space="0" w:color="auto"/>
              <w:right w:val="single" w:sz="4" w:space="0" w:color="auto"/>
            </w:tcBorders>
            <w:shd w:val="clear" w:color="auto" w:fill="C6EFCE"/>
            <w:noWrap/>
          </w:tcPr>
          <w:p w14:paraId="71B6552D"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7AEE841F" w14:textId="77777777" w:rsidR="003A3D51" w:rsidRDefault="0002775A">
            <w:pPr>
              <w:pStyle w:val="P68B1DB1-Normal7"/>
              <w:spacing w:after="200" w:line="276" w:lineRule="auto"/>
              <w:rPr>
                <w:rFonts w:ascii="Times New Roman" w:hAnsi="Times New Roman" w:cs="Times New Roman"/>
                <w:noProof/>
              </w:rPr>
            </w:pPr>
            <w:r>
              <w:rPr>
                <w:noProof/>
              </w:rPr>
              <w:t xml:space="preserve">Energirenovering av byggnader med status som kulturföremål </w:t>
            </w:r>
          </w:p>
        </w:tc>
        <w:tc>
          <w:tcPr>
            <w:tcW w:w="2288" w:type="dxa"/>
            <w:tcBorders>
              <w:top w:val="single" w:sz="4" w:space="0" w:color="auto"/>
              <w:left w:val="nil"/>
              <w:bottom w:val="single" w:sz="4" w:space="0" w:color="auto"/>
              <w:right w:val="single" w:sz="4" w:space="0" w:color="auto"/>
            </w:tcBorders>
            <w:shd w:val="clear" w:color="auto" w:fill="C6EFCE"/>
            <w:noWrap/>
          </w:tcPr>
          <w:p w14:paraId="2B4FA54E"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2985678C" w14:textId="77777777" w:rsidR="003A3D51" w:rsidRDefault="0002775A">
            <w:pPr>
              <w:pStyle w:val="P68B1DB1-Normal7"/>
              <w:spacing w:after="200" w:line="276" w:lineRule="auto"/>
              <w:jc w:val="center"/>
              <w:rPr>
                <w:rFonts w:ascii="Times New Roman" w:hAnsi="Times New Roman" w:cs="Times New Roman"/>
                <w:noProof/>
              </w:rPr>
            </w:pPr>
            <w:r>
              <w:rPr>
                <w:noProof/>
              </w:rPr>
              <w:t>Antal (m²)</w:t>
            </w:r>
          </w:p>
        </w:tc>
        <w:tc>
          <w:tcPr>
            <w:tcW w:w="707" w:type="dxa"/>
            <w:tcBorders>
              <w:top w:val="single" w:sz="4" w:space="0" w:color="auto"/>
              <w:left w:val="nil"/>
              <w:bottom w:val="single" w:sz="4" w:space="0" w:color="auto"/>
              <w:right w:val="single" w:sz="4" w:space="0" w:color="auto"/>
            </w:tcBorders>
            <w:shd w:val="clear" w:color="auto" w:fill="C6EFCE"/>
            <w:noWrap/>
          </w:tcPr>
          <w:p w14:paraId="7DE220E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67151CDA" w14:textId="77777777" w:rsidR="003A3D51" w:rsidRDefault="0002775A">
            <w:pPr>
              <w:pStyle w:val="P68B1DB1-Normal7"/>
              <w:spacing w:after="200" w:line="276" w:lineRule="auto"/>
              <w:jc w:val="center"/>
              <w:rPr>
                <w:rFonts w:ascii="Times New Roman" w:hAnsi="Times New Roman" w:cs="Times New Roman"/>
                <w:noProof/>
              </w:rPr>
            </w:pPr>
            <w:r>
              <w:rPr>
                <w:noProof/>
              </w:rPr>
              <w:t>31 000</w:t>
            </w:r>
          </w:p>
        </w:tc>
        <w:tc>
          <w:tcPr>
            <w:tcW w:w="424" w:type="dxa"/>
            <w:tcBorders>
              <w:top w:val="single" w:sz="4" w:space="0" w:color="auto"/>
              <w:left w:val="nil"/>
              <w:bottom w:val="single" w:sz="4" w:space="0" w:color="auto"/>
              <w:right w:val="single" w:sz="4" w:space="0" w:color="auto"/>
            </w:tcBorders>
            <w:shd w:val="clear" w:color="auto" w:fill="C6EFCE"/>
            <w:noWrap/>
          </w:tcPr>
          <w:p w14:paraId="3000B66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26636EA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4F97FA11" w14:textId="77777777" w:rsidR="003A3D51" w:rsidRDefault="0002775A">
            <w:pPr>
              <w:pStyle w:val="P68B1DB1-Normal7"/>
              <w:spacing w:after="200" w:line="276" w:lineRule="auto"/>
              <w:rPr>
                <w:rFonts w:ascii="Times New Roman" w:hAnsi="Times New Roman" w:cs="Times New Roman"/>
                <w:noProof/>
              </w:rPr>
            </w:pPr>
            <w:r>
              <w:rPr>
                <w:noProof/>
              </w:rPr>
              <w:t>Energirenovering av minst 31 000 m² byggnader med status som kulturföremål, vilket i genomsnitt uppnår en ökning på 30 % i primärenergibesparingar, med ett minimikrav på minst 20 % för varje byggnad, jämfört med läget före renoveringen och med respekt för principen om att inte orsaka betydande skada enligt artikel 17 i förordning (EU) 2020/852 om inrättande av en ram för att underlätta hållbara investeringar, ska slutföras. </w:t>
            </w:r>
            <w:r>
              <w:rPr>
                <w:noProof/>
              </w:rPr>
              <w:br/>
              <w:t xml:space="preserve">Investeringen omfattar utarbetande och genomförande av öppna ansökningsomgångar för utarbetande av dokumentation och genomförande av energirenoveringsarbeten för byggnader med status som kulturföremål för offentliga och kulturella ändamål. Programmet omfattar två kategorier av byggnader: individuellt skyddade kulturföremål (enskilda byggnader och byggnadskomplex) och byggnader belägna inom en skyddad kulturell och historisk enhet. </w:t>
            </w:r>
          </w:p>
        </w:tc>
      </w:tr>
      <w:tr w:rsidR="003A3D51" w14:paraId="7B577E8E"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2FC089C" w14:textId="77777777" w:rsidR="003A3D51" w:rsidRDefault="0002775A">
            <w:pPr>
              <w:pStyle w:val="P68B1DB1-Normal7"/>
              <w:spacing w:after="200" w:line="276" w:lineRule="auto"/>
              <w:jc w:val="center"/>
              <w:rPr>
                <w:rFonts w:ascii="Times New Roman" w:hAnsi="Times New Roman" w:cs="Times New Roman"/>
                <w:noProof/>
              </w:rPr>
            </w:pPr>
            <w:r>
              <w:rPr>
                <w:noProof/>
              </w:rPr>
              <w:t>359</w:t>
            </w:r>
          </w:p>
        </w:tc>
        <w:tc>
          <w:tcPr>
            <w:tcW w:w="821" w:type="dxa"/>
            <w:tcBorders>
              <w:top w:val="single" w:sz="4" w:space="0" w:color="auto"/>
              <w:left w:val="nil"/>
              <w:bottom w:val="single" w:sz="4" w:space="0" w:color="auto"/>
              <w:right w:val="single" w:sz="4" w:space="0" w:color="auto"/>
            </w:tcBorders>
            <w:shd w:val="clear" w:color="auto" w:fill="C6EFCE"/>
            <w:noWrap/>
          </w:tcPr>
          <w:p w14:paraId="49E3479A" w14:textId="77777777" w:rsidR="003A3D51" w:rsidRDefault="0002775A">
            <w:pPr>
              <w:pStyle w:val="P68B1DB1-Normal7"/>
              <w:spacing w:after="200" w:line="276" w:lineRule="auto"/>
              <w:jc w:val="center"/>
              <w:rPr>
                <w:rFonts w:ascii="Times New Roman" w:hAnsi="Times New Roman" w:cs="Times New Roman"/>
                <w:noProof/>
              </w:rPr>
            </w:pPr>
            <w:r>
              <w:rPr>
                <w:noProof/>
              </w:rPr>
              <w:t>C6.1 R2</w:t>
            </w:r>
          </w:p>
        </w:tc>
        <w:tc>
          <w:tcPr>
            <w:tcW w:w="848" w:type="dxa"/>
            <w:tcBorders>
              <w:top w:val="single" w:sz="4" w:space="0" w:color="auto"/>
              <w:left w:val="nil"/>
              <w:bottom w:val="single" w:sz="4" w:space="0" w:color="auto"/>
              <w:right w:val="single" w:sz="4" w:space="0" w:color="auto"/>
            </w:tcBorders>
            <w:shd w:val="clear" w:color="auto" w:fill="C6EFCE"/>
            <w:noWrap/>
          </w:tcPr>
          <w:p w14:paraId="2F3EAD66"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128EDC5A" w14:textId="77777777" w:rsidR="003A3D51" w:rsidRDefault="0002775A">
            <w:pPr>
              <w:pStyle w:val="P68B1DB1-Normal7"/>
              <w:spacing w:after="200" w:line="276" w:lineRule="auto"/>
              <w:rPr>
                <w:rFonts w:ascii="Times New Roman" w:hAnsi="Times New Roman" w:cs="Times New Roman"/>
                <w:noProof/>
              </w:rPr>
            </w:pPr>
            <w:r>
              <w:rPr>
                <w:noProof/>
              </w:rPr>
              <w:t>Offentliggörande av den nationella kompetensutvecklingsplanen i samband med gröna jobb i samband med energieffektivitet och återuppbyggnad efter jordbävningen</w:t>
            </w:r>
          </w:p>
        </w:tc>
        <w:tc>
          <w:tcPr>
            <w:tcW w:w="2288" w:type="dxa"/>
            <w:tcBorders>
              <w:top w:val="single" w:sz="4" w:space="0" w:color="auto"/>
              <w:left w:val="nil"/>
              <w:bottom w:val="single" w:sz="4" w:space="0" w:color="auto"/>
              <w:right w:val="single" w:sz="4" w:space="0" w:color="auto"/>
            </w:tcBorders>
            <w:shd w:val="clear" w:color="auto" w:fill="C6EFCE"/>
            <w:noWrap/>
          </w:tcPr>
          <w:p w14:paraId="0DA82850"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 på den officiella webbplatsen för ministeriet för fysisk planering, byggnation och statliga tillgångar </w:t>
            </w:r>
          </w:p>
        </w:tc>
        <w:tc>
          <w:tcPr>
            <w:tcW w:w="1067" w:type="dxa"/>
            <w:tcBorders>
              <w:top w:val="single" w:sz="4" w:space="0" w:color="auto"/>
              <w:left w:val="nil"/>
              <w:bottom w:val="single" w:sz="4" w:space="0" w:color="auto"/>
              <w:right w:val="single" w:sz="4" w:space="0" w:color="auto"/>
            </w:tcBorders>
            <w:shd w:val="clear" w:color="auto" w:fill="C6EFCE"/>
            <w:noWrap/>
          </w:tcPr>
          <w:p w14:paraId="071F40B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550229B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4F06E94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57314C65"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194CB096"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2E1F2191"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Offentliggörandet av den nationella kompetensutvecklingsplanen som ska förbättra kompetensen hos gröna jobb i samband med energirenovering, renovering efter jordbävningen, grön infrastruktur, tillämpning av naturbaserade lösningar och cirkulär förvaltning av utrymme och byggnader, på grundval av en översyn av befintliga program och förberedelse och anpassning av de utbildningsprogram som fastställs i reformen. </w:t>
            </w:r>
          </w:p>
        </w:tc>
      </w:tr>
      <w:tr w:rsidR="003A3D51" w14:paraId="3C260778"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669F0758" w14:textId="77777777" w:rsidR="003A3D51" w:rsidRDefault="0002775A">
            <w:pPr>
              <w:pStyle w:val="P68B1DB1-Normal7"/>
              <w:spacing w:after="200" w:line="276" w:lineRule="auto"/>
              <w:jc w:val="center"/>
              <w:rPr>
                <w:rFonts w:ascii="Times New Roman" w:hAnsi="Times New Roman" w:cs="Times New Roman"/>
                <w:noProof/>
              </w:rPr>
            </w:pPr>
            <w:r>
              <w:rPr>
                <w:noProof/>
              </w:rPr>
              <w:t>360</w:t>
            </w:r>
          </w:p>
        </w:tc>
        <w:tc>
          <w:tcPr>
            <w:tcW w:w="821" w:type="dxa"/>
            <w:tcBorders>
              <w:top w:val="single" w:sz="4" w:space="0" w:color="auto"/>
              <w:left w:val="nil"/>
              <w:bottom w:val="single" w:sz="4" w:space="0" w:color="auto"/>
              <w:right w:val="single" w:sz="4" w:space="0" w:color="auto"/>
            </w:tcBorders>
            <w:shd w:val="clear" w:color="auto" w:fill="C6EFCE"/>
            <w:noWrap/>
          </w:tcPr>
          <w:p w14:paraId="7DE99B40" w14:textId="77777777" w:rsidR="003A3D51" w:rsidRDefault="0002775A">
            <w:pPr>
              <w:pStyle w:val="P68B1DB1-Normal7"/>
              <w:spacing w:after="200" w:line="276" w:lineRule="auto"/>
              <w:jc w:val="center"/>
              <w:rPr>
                <w:rFonts w:ascii="Times New Roman" w:hAnsi="Times New Roman" w:cs="Times New Roman"/>
                <w:noProof/>
              </w:rPr>
            </w:pPr>
            <w:r>
              <w:rPr>
                <w:noProof/>
              </w:rPr>
              <w:t>C6.1 R2</w:t>
            </w:r>
          </w:p>
        </w:tc>
        <w:tc>
          <w:tcPr>
            <w:tcW w:w="848" w:type="dxa"/>
            <w:tcBorders>
              <w:top w:val="single" w:sz="4" w:space="0" w:color="auto"/>
              <w:left w:val="nil"/>
              <w:bottom w:val="single" w:sz="4" w:space="0" w:color="auto"/>
              <w:right w:val="single" w:sz="4" w:space="0" w:color="auto"/>
            </w:tcBorders>
            <w:shd w:val="clear" w:color="auto" w:fill="C6EFCE"/>
            <w:noWrap/>
          </w:tcPr>
          <w:p w14:paraId="05F5CFC1"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422FC900" w14:textId="77777777" w:rsidR="003A3D51" w:rsidRDefault="0002775A">
            <w:pPr>
              <w:pStyle w:val="P68B1DB1-Normal7"/>
              <w:spacing w:after="200" w:line="276" w:lineRule="auto"/>
              <w:rPr>
                <w:rFonts w:ascii="Times New Roman" w:hAnsi="Times New Roman" w:cs="Times New Roman"/>
                <w:noProof/>
              </w:rPr>
            </w:pPr>
            <w:r>
              <w:rPr>
                <w:noProof/>
              </w:rPr>
              <w:t xml:space="preserve">Slutförd utbildning och vuxenutbildning för återuppbyggnad efter jordbävningen och energirenovering </w:t>
            </w:r>
          </w:p>
        </w:tc>
        <w:tc>
          <w:tcPr>
            <w:tcW w:w="2288" w:type="dxa"/>
            <w:tcBorders>
              <w:top w:val="single" w:sz="4" w:space="0" w:color="auto"/>
              <w:left w:val="nil"/>
              <w:bottom w:val="single" w:sz="4" w:space="0" w:color="auto"/>
              <w:right w:val="single" w:sz="4" w:space="0" w:color="auto"/>
            </w:tcBorders>
            <w:shd w:val="clear" w:color="auto" w:fill="C6EFCE"/>
            <w:noWrap/>
          </w:tcPr>
          <w:p w14:paraId="3E3ECD15"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0A4E6E6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7DEF3698"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5D0E4DBE" w14:textId="77777777" w:rsidR="003A3D51" w:rsidRDefault="0002775A">
            <w:pPr>
              <w:pStyle w:val="P68B1DB1-Normal7"/>
              <w:spacing w:after="200" w:line="276" w:lineRule="auto"/>
              <w:jc w:val="center"/>
              <w:rPr>
                <w:rFonts w:ascii="Times New Roman" w:hAnsi="Times New Roman" w:cs="Times New Roman"/>
                <w:noProof/>
              </w:rPr>
            </w:pPr>
            <w:r>
              <w:rPr>
                <w:noProof/>
              </w:rPr>
              <w:t>500</w:t>
            </w:r>
          </w:p>
        </w:tc>
        <w:tc>
          <w:tcPr>
            <w:tcW w:w="424" w:type="dxa"/>
            <w:tcBorders>
              <w:top w:val="single" w:sz="4" w:space="0" w:color="auto"/>
              <w:left w:val="nil"/>
              <w:bottom w:val="single" w:sz="4" w:space="0" w:color="auto"/>
              <w:right w:val="single" w:sz="4" w:space="0" w:color="auto"/>
            </w:tcBorders>
            <w:shd w:val="clear" w:color="auto" w:fill="C6EFCE"/>
            <w:noWrap/>
          </w:tcPr>
          <w:p w14:paraId="08C95ADA"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2FAF1518"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6AC90086" w14:textId="77777777" w:rsidR="003A3D51" w:rsidRDefault="0002775A">
            <w:pPr>
              <w:pStyle w:val="P68B1DB1-Normal7"/>
              <w:spacing w:after="200" w:line="276" w:lineRule="auto"/>
              <w:rPr>
                <w:rFonts w:ascii="Times New Roman" w:hAnsi="Times New Roman" w:cs="Times New Roman"/>
                <w:noProof/>
              </w:rPr>
            </w:pPr>
            <w:r>
              <w:rPr>
                <w:noProof/>
              </w:rPr>
              <w:t>500 personer ska slutföra vuxenutbildningsprogram för renovering efter jordbävning och energirenovering som certifierats av det offentliga öppna universitetet i Zagreb/Kroatiens arbetsförmedling eller andra relevanta organ.</w:t>
            </w:r>
          </w:p>
        </w:tc>
      </w:tr>
      <w:tr w:rsidR="003A3D51" w14:paraId="3C137884"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9F96AED" w14:textId="28E5FADF" w:rsidR="003A3D51" w:rsidRDefault="0002775A">
            <w:pPr>
              <w:pStyle w:val="P68B1DB1-Normal7"/>
              <w:spacing w:after="200" w:line="276" w:lineRule="auto"/>
              <w:jc w:val="center"/>
              <w:rPr>
                <w:noProof/>
              </w:rPr>
            </w:pPr>
            <w:r>
              <w:rPr>
                <w:noProof/>
              </w:rPr>
              <w:t>400</w:t>
            </w:r>
          </w:p>
        </w:tc>
        <w:tc>
          <w:tcPr>
            <w:tcW w:w="821" w:type="dxa"/>
            <w:tcBorders>
              <w:top w:val="single" w:sz="4" w:space="0" w:color="auto"/>
              <w:left w:val="nil"/>
              <w:bottom w:val="single" w:sz="4" w:space="0" w:color="auto"/>
              <w:right w:val="single" w:sz="4" w:space="0" w:color="auto"/>
            </w:tcBorders>
            <w:shd w:val="clear" w:color="auto" w:fill="C6EFCE"/>
            <w:noWrap/>
          </w:tcPr>
          <w:p w14:paraId="1087C1E5" w14:textId="77777777" w:rsidR="003A3D51" w:rsidRDefault="0002775A">
            <w:pPr>
              <w:pStyle w:val="P68B1DB1-Normal7"/>
              <w:spacing w:after="200" w:line="276" w:lineRule="auto"/>
              <w:jc w:val="center"/>
              <w:rPr>
                <w:noProof/>
              </w:rPr>
            </w:pPr>
            <w:r>
              <w:rPr>
                <w:noProof/>
              </w:rPr>
              <w:t xml:space="preserve">C6.1 R2 </w:t>
            </w:r>
          </w:p>
        </w:tc>
        <w:tc>
          <w:tcPr>
            <w:tcW w:w="848" w:type="dxa"/>
            <w:tcBorders>
              <w:top w:val="single" w:sz="4" w:space="0" w:color="auto"/>
              <w:left w:val="nil"/>
              <w:bottom w:val="single" w:sz="4" w:space="0" w:color="auto"/>
              <w:right w:val="single" w:sz="4" w:space="0" w:color="auto"/>
            </w:tcBorders>
            <w:shd w:val="clear" w:color="auto" w:fill="C6EFCE"/>
            <w:noWrap/>
          </w:tcPr>
          <w:p w14:paraId="43261FB8" w14:textId="77777777" w:rsidR="003A3D51" w:rsidRDefault="0002775A">
            <w:pPr>
              <w:pStyle w:val="P68B1DB1-Normal7"/>
              <w:spacing w:after="200" w:line="276" w:lineRule="auto"/>
              <w:jc w:val="center"/>
              <w:rPr>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289BB228" w14:textId="2140CBCF" w:rsidR="003A3D51" w:rsidRDefault="0002775A">
            <w:pPr>
              <w:pStyle w:val="P68B1DB1-Normal7"/>
              <w:spacing w:after="200" w:line="276" w:lineRule="auto"/>
              <w:rPr>
                <w:noProof/>
              </w:rPr>
            </w:pPr>
            <w:r>
              <w:rPr>
                <w:noProof/>
              </w:rPr>
              <w:t xml:space="preserve">Inleda ackrediteringsprocessen för att inrätta ett nytt tvärvetenskapligt masterprogram </w:t>
            </w:r>
          </w:p>
        </w:tc>
        <w:tc>
          <w:tcPr>
            <w:tcW w:w="2288" w:type="dxa"/>
            <w:tcBorders>
              <w:top w:val="single" w:sz="4" w:space="0" w:color="auto"/>
              <w:left w:val="nil"/>
              <w:bottom w:val="single" w:sz="4" w:space="0" w:color="auto"/>
              <w:right w:val="single" w:sz="4" w:space="0" w:color="auto"/>
            </w:tcBorders>
            <w:shd w:val="clear" w:color="auto" w:fill="C6EFCE"/>
            <w:noWrap/>
          </w:tcPr>
          <w:p w14:paraId="780E79FA" w14:textId="6E33C16F" w:rsidR="003A3D51" w:rsidRDefault="0002775A">
            <w:pPr>
              <w:pStyle w:val="P68B1DB1-Normal7"/>
              <w:spacing w:after="200" w:line="276" w:lineRule="auto"/>
              <w:rPr>
                <w:noProof/>
              </w:rPr>
            </w:pPr>
            <w:r>
              <w:rPr>
                <w:noProof/>
              </w:rPr>
              <w:t>Tillstånd att genomföra det begärda masterprogrammet</w:t>
            </w:r>
          </w:p>
        </w:tc>
        <w:tc>
          <w:tcPr>
            <w:tcW w:w="1067" w:type="dxa"/>
            <w:tcBorders>
              <w:top w:val="single" w:sz="4" w:space="0" w:color="auto"/>
              <w:left w:val="nil"/>
              <w:bottom w:val="single" w:sz="4" w:space="0" w:color="auto"/>
              <w:right w:val="single" w:sz="4" w:space="0" w:color="auto"/>
            </w:tcBorders>
            <w:shd w:val="clear" w:color="auto" w:fill="C6EFCE"/>
            <w:noWrap/>
          </w:tcPr>
          <w:p w14:paraId="5E6A56AB" w14:textId="77777777" w:rsidR="003A3D51" w:rsidRDefault="003A3D51">
            <w:pPr>
              <w:spacing w:after="200" w:line="276" w:lineRule="auto"/>
              <w:jc w:val="center"/>
              <w:rPr>
                <w:rFonts w:ascii="Calibri" w:eastAsia="Calibri" w:hAnsi="Calibri" w:cs="Arial"/>
                <w:noProof/>
                <w:color w:val="000000"/>
                <w:sz w:val="20"/>
              </w:rPr>
            </w:pPr>
          </w:p>
        </w:tc>
        <w:tc>
          <w:tcPr>
            <w:tcW w:w="707" w:type="dxa"/>
            <w:tcBorders>
              <w:top w:val="single" w:sz="4" w:space="0" w:color="auto"/>
              <w:left w:val="nil"/>
              <w:bottom w:val="single" w:sz="4" w:space="0" w:color="auto"/>
              <w:right w:val="single" w:sz="4" w:space="0" w:color="auto"/>
            </w:tcBorders>
            <w:shd w:val="clear" w:color="auto" w:fill="C6EFCE"/>
            <w:noWrap/>
          </w:tcPr>
          <w:p w14:paraId="308BB8DC" w14:textId="77777777" w:rsidR="003A3D51" w:rsidRDefault="003A3D51">
            <w:pPr>
              <w:spacing w:after="200" w:line="276" w:lineRule="auto"/>
              <w:jc w:val="center"/>
              <w:rPr>
                <w:rFonts w:ascii="Calibri" w:eastAsia="Calibri" w:hAnsi="Calibri" w:cs="Arial"/>
                <w:noProof/>
                <w:color w:val="000000"/>
                <w:sz w:val="20"/>
              </w:rPr>
            </w:pPr>
          </w:p>
        </w:tc>
        <w:tc>
          <w:tcPr>
            <w:tcW w:w="1356" w:type="dxa"/>
            <w:tcBorders>
              <w:top w:val="single" w:sz="4" w:space="0" w:color="auto"/>
              <w:left w:val="nil"/>
              <w:bottom w:val="single" w:sz="4" w:space="0" w:color="auto"/>
              <w:right w:val="single" w:sz="4" w:space="0" w:color="auto"/>
            </w:tcBorders>
            <w:shd w:val="clear" w:color="auto" w:fill="C6EFCE"/>
            <w:noWrap/>
          </w:tcPr>
          <w:p w14:paraId="7B3FA87C" w14:textId="77777777" w:rsidR="003A3D51" w:rsidRDefault="003A3D51">
            <w:pPr>
              <w:spacing w:after="200" w:line="276" w:lineRule="auto"/>
              <w:jc w:val="center"/>
              <w:rPr>
                <w:rFonts w:ascii="Calibri" w:eastAsia="Calibri" w:hAnsi="Calibri" w:cs="Arial"/>
                <w:noProof/>
                <w:color w:val="000000"/>
                <w:sz w:val="20"/>
              </w:rPr>
            </w:pPr>
          </w:p>
        </w:tc>
        <w:tc>
          <w:tcPr>
            <w:tcW w:w="424" w:type="dxa"/>
            <w:tcBorders>
              <w:top w:val="single" w:sz="4" w:space="0" w:color="auto"/>
              <w:left w:val="nil"/>
              <w:bottom w:val="single" w:sz="4" w:space="0" w:color="auto"/>
              <w:right w:val="single" w:sz="4" w:space="0" w:color="auto"/>
            </w:tcBorders>
            <w:shd w:val="clear" w:color="auto" w:fill="C6EFCE"/>
            <w:noWrap/>
          </w:tcPr>
          <w:p w14:paraId="542F91B6" w14:textId="38E20652" w:rsidR="003A3D51" w:rsidRDefault="0002775A">
            <w:pPr>
              <w:pStyle w:val="P68B1DB1-Normal7"/>
              <w:spacing w:after="200" w:line="276" w:lineRule="auto"/>
              <w:jc w:val="center"/>
              <w:rPr>
                <w:noProof/>
              </w:rPr>
            </w:pPr>
            <w:r>
              <w:rPr>
                <w:noProof/>
              </w:rPr>
              <w:t>KVARTAL 3</w:t>
            </w:r>
          </w:p>
        </w:tc>
        <w:tc>
          <w:tcPr>
            <w:tcW w:w="641" w:type="dxa"/>
            <w:tcBorders>
              <w:top w:val="single" w:sz="4" w:space="0" w:color="auto"/>
              <w:left w:val="nil"/>
              <w:bottom w:val="single" w:sz="4" w:space="0" w:color="auto"/>
              <w:right w:val="single" w:sz="4" w:space="0" w:color="auto"/>
            </w:tcBorders>
            <w:shd w:val="clear" w:color="auto" w:fill="C6EFCE"/>
            <w:noWrap/>
          </w:tcPr>
          <w:p w14:paraId="3FF5C5EA" w14:textId="134B8AA1" w:rsidR="003A3D51" w:rsidRDefault="0002775A">
            <w:pPr>
              <w:pStyle w:val="P68B1DB1-Normal7"/>
              <w:spacing w:after="200" w:line="276" w:lineRule="auto"/>
              <w:jc w:val="center"/>
              <w:rPr>
                <w:noProof/>
              </w:rPr>
            </w:pPr>
            <w:r>
              <w:rPr>
                <w:noProof/>
              </w:rPr>
              <w:t>2025</w:t>
            </w:r>
          </w:p>
        </w:tc>
        <w:tc>
          <w:tcPr>
            <w:tcW w:w="4100" w:type="dxa"/>
            <w:tcBorders>
              <w:top w:val="single" w:sz="4" w:space="0" w:color="auto"/>
              <w:left w:val="nil"/>
              <w:bottom w:val="single" w:sz="4" w:space="0" w:color="auto"/>
              <w:right w:val="single" w:sz="4" w:space="0" w:color="auto"/>
            </w:tcBorders>
            <w:shd w:val="clear" w:color="auto" w:fill="C6EFCE"/>
            <w:noWrap/>
          </w:tcPr>
          <w:p w14:paraId="52B670D5" w14:textId="1DE81D7A" w:rsidR="003A3D51" w:rsidRDefault="0002775A">
            <w:pPr>
              <w:pStyle w:val="P68B1DB1-Normal7"/>
              <w:spacing w:after="200" w:line="276" w:lineRule="auto"/>
              <w:rPr>
                <w:noProof/>
              </w:rPr>
            </w:pPr>
            <w:r>
              <w:rPr>
                <w:noProof/>
              </w:rPr>
              <w:t xml:space="preserve">Ansökan om tillstånd att genomföra det nya masterprogrammet på det tekniska området ska lämnas in till byrån för vetenskap och högre utbildning. </w:t>
            </w:r>
          </w:p>
        </w:tc>
      </w:tr>
      <w:tr w:rsidR="003A3D51" w14:paraId="628BF1EA"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52033153" w14:textId="6381E61C" w:rsidR="003A3D51" w:rsidRDefault="0002775A">
            <w:pPr>
              <w:pStyle w:val="P68B1DB1-Normal7"/>
              <w:spacing w:after="200" w:line="276" w:lineRule="auto"/>
              <w:jc w:val="center"/>
              <w:rPr>
                <w:noProof/>
              </w:rPr>
            </w:pPr>
            <w:r>
              <w:rPr>
                <w:noProof/>
              </w:rPr>
              <w:t>401</w:t>
            </w:r>
          </w:p>
        </w:tc>
        <w:tc>
          <w:tcPr>
            <w:tcW w:w="821" w:type="dxa"/>
            <w:tcBorders>
              <w:top w:val="single" w:sz="4" w:space="0" w:color="auto"/>
              <w:left w:val="nil"/>
              <w:bottom w:val="single" w:sz="4" w:space="0" w:color="auto"/>
              <w:right w:val="single" w:sz="4" w:space="0" w:color="auto"/>
            </w:tcBorders>
            <w:shd w:val="clear" w:color="auto" w:fill="C6EFCE"/>
            <w:noWrap/>
          </w:tcPr>
          <w:p w14:paraId="5F882108" w14:textId="77777777" w:rsidR="003A3D51" w:rsidRDefault="0002775A">
            <w:pPr>
              <w:pStyle w:val="P68B1DB1-Normal7"/>
              <w:spacing w:after="200" w:line="276" w:lineRule="auto"/>
              <w:jc w:val="center"/>
              <w:rPr>
                <w:noProof/>
              </w:rPr>
            </w:pPr>
            <w:r>
              <w:rPr>
                <w:noProof/>
              </w:rPr>
              <w:t xml:space="preserve">C6.1 R2 </w:t>
            </w:r>
          </w:p>
          <w:p w14:paraId="04680E9F" w14:textId="77777777" w:rsidR="003A3D51" w:rsidRDefault="003A3D51">
            <w:pPr>
              <w:spacing w:after="200" w:line="276" w:lineRule="auto"/>
              <w:jc w:val="center"/>
              <w:rPr>
                <w:rFonts w:ascii="Calibri" w:eastAsia="Calibri" w:hAnsi="Calibri" w:cs="Arial"/>
                <w:noProof/>
                <w:color w:val="000000"/>
                <w:sz w:val="20"/>
              </w:rPr>
            </w:pPr>
          </w:p>
        </w:tc>
        <w:tc>
          <w:tcPr>
            <w:tcW w:w="848" w:type="dxa"/>
            <w:tcBorders>
              <w:top w:val="single" w:sz="4" w:space="0" w:color="auto"/>
              <w:left w:val="nil"/>
              <w:bottom w:val="single" w:sz="4" w:space="0" w:color="auto"/>
              <w:right w:val="single" w:sz="4" w:space="0" w:color="auto"/>
            </w:tcBorders>
            <w:shd w:val="clear" w:color="auto" w:fill="C6EFCE"/>
            <w:noWrap/>
          </w:tcPr>
          <w:p w14:paraId="27058DA7" w14:textId="77777777" w:rsidR="003A3D51" w:rsidRDefault="0002775A">
            <w:pPr>
              <w:pStyle w:val="P68B1DB1-Normal7"/>
              <w:spacing w:after="200" w:line="276" w:lineRule="auto"/>
              <w:jc w:val="center"/>
              <w:rPr>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1B1819BC" w14:textId="33BF37B0" w:rsidR="003A3D51" w:rsidRDefault="0002775A">
            <w:pPr>
              <w:pStyle w:val="P68B1DB1-Normal7"/>
              <w:spacing w:after="200" w:line="276" w:lineRule="auto"/>
              <w:rPr>
                <w:noProof/>
              </w:rPr>
            </w:pPr>
            <w:r>
              <w:rPr>
                <w:noProof/>
              </w:rPr>
              <w:t>Deltagande i det nya masterprogram som erbjuds</w:t>
            </w:r>
          </w:p>
          <w:p w14:paraId="06A00184" w14:textId="77777777" w:rsidR="003A3D51" w:rsidRDefault="003A3D51">
            <w:pPr>
              <w:spacing w:after="200" w:line="276" w:lineRule="auto"/>
              <w:rPr>
                <w:rFonts w:ascii="Calibri" w:eastAsia="Calibri" w:hAnsi="Calibri" w:cs="Arial"/>
                <w:noProof/>
                <w:color w:val="000000"/>
                <w:sz w:val="20"/>
              </w:rPr>
            </w:pPr>
          </w:p>
        </w:tc>
        <w:tc>
          <w:tcPr>
            <w:tcW w:w="2288" w:type="dxa"/>
            <w:tcBorders>
              <w:top w:val="single" w:sz="4" w:space="0" w:color="auto"/>
              <w:left w:val="nil"/>
              <w:bottom w:val="single" w:sz="4" w:space="0" w:color="auto"/>
              <w:right w:val="single" w:sz="4" w:space="0" w:color="auto"/>
            </w:tcBorders>
            <w:shd w:val="clear" w:color="auto" w:fill="C6EFCE"/>
            <w:noWrap/>
          </w:tcPr>
          <w:p w14:paraId="4366CB9E" w14:textId="44BB34DC" w:rsidR="003A3D51" w:rsidRDefault="0002775A">
            <w:pPr>
              <w:pStyle w:val="P68B1DB1-Normal7"/>
              <w:spacing w:after="200" w:line="276" w:lineRule="auto"/>
              <w:rPr>
                <w:noProof/>
              </w:rPr>
            </w:pPr>
            <w:r>
              <w:rPr>
                <w:noProof/>
              </w:rPr>
              <w:t xml:space="preserve">En utlysning av ansökan om tillträde till det nya masterprogrammet har offentliggjorts.  </w:t>
            </w:r>
          </w:p>
          <w:p w14:paraId="599E3BBF" w14:textId="77777777" w:rsidR="003A3D51" w:rsidRDefault="003A3D51">
            <w:pPr>
              <w:spacing w:after="200" w:line="276" w:lineRule="auto"/>
              <w:rPr>
                <w:rFonts w:ascii="Calibri" w:eastAsia="Calibri" w:hAnsi="Calibri" w:cs="Arial"/>
                <w:noProof/>
                <w:color w:val="000000"/>
                <w:sz w:val="20"/>
              </w:rPr>
            </w:pPr>
          </w:p>
        </w:tc>
        <w:tc>
          <w:tcPr>
            <w:tcW w:w="1067" w:type="dxa"/>
            <w:tcBorders>
              <w:top w:val="single" w:sz="4" w:space="0" w:color="auto"/>
              <w:left w:val="nil"/>
              <w:bottom w:val="single" w:sz="4" w:space="0" w:color="auto"/>
              <w:right w:val="single" w:sz="4" w:space="0" w:color="auto"/>
            </w:tcBorders>
            <w:shd w:val="clear" w:color="auto" w:fill="C6EFCE"/>
            <w:noWrap/>
          </w:tcPr>
          <w:p w14:paraId="2666F5F1" w14:textId="77777777" w:rsidR="003A3D51" w:rsidRDefault="003A3D51">
            <w:pPr>
              <w:spacing w:after="200" w:line="276" w:lineRule="auto"/>
              <w:jc w:val="center"/>
              <w:rPr>
                <w:rFonts w:ascii="Calibri" w:eastAsia="Calibri" w:hAnsi="Calibri" w:cs="Arial"/>
                <w:noProof/>
                <w:color w:val="000000"/>
                <w:sz w:val="20"/>
              </w:rPr>
            </w:pPr>
          </w:p>
        </w:tc>
        <w:tc>
          <w:tcPr>
            <w:tcW w:w="707" w:type="dxa"/>
            <w:tcBorders>
              <w:top w:val="single" w:sz="4" w:space="0" w:color="auto"/>
              <w:left w:val="nil"/>
              <w:bottom w:val="single" w:sz="4" w:space="0" w:color="auto"/>
              <w:right w:val="single" w:sz="4" w:space="0" w:color="auto"/>
            </w:tcBorders>
            <w:shd w:val="clear" w:color="auto" w:fill="C6EFCE"/>
            <w:noWrap/>
          </w:tcPr>
          <w:p w14:paraId="56F5D313" w14:textId="77777777" w:rsidR="003A3D51" w:rsidRDefault="003A3D51">
            <w:pPr>
              <w:spacing w:after="200" w:line="276" w:lineRule="auto"/>
              <w:jc w:val="center"/>
              <w:rPr>
                <w:rFonts w:ascii="Calibri" w:eastAsia="Calibri" w:hAnsi="Calibri" w:cs="Arial"/>
                <w:noProof/>
                <w:color w:val="000000"/>
                <w:sz w:val="20"/>
              </w:rPr>
            </w:pPr>
          </w:p>
        </w:tc>
        <w:tc>
          <w:tcPr>
            <w:tcW w:w="1356" w:type="dxa"/>
            <w:tcBorders>
              <w:top w:val="single" w:sz="4" w:space="0" w:color="auto"/>
              <w:left w:val="nil"/>
              <w:bottom w:val="single" w:sz="4" w:space="0" w:color="auto"/>
              <w:right w:val="single" w:sz="4" w:space="0" w:color="auto"/>
            </w:tcBorders>
            <w:shd w:val="clear" w:color="auto" w:fill="C6EFCE"/>
            <w:noWrap/>
          </w:tcPr>
          <w:p w14:paraId="2FAF6668" w14:textId="77777777" w:rsidR="003A3D51" w:rsidRDefault="003A3D51">
            <w:pPr>
              <w:spacing w:after="200" w:line="276" w:lineRule="auto"/>
              <w:jc w:val="center"/>
              <w:rPr>
                <w:rFonts w:ascii="Calibri" w:eastAsia="Calibri" w:hAnsi="Calibri" w:cs="Arial"/>
                <w:noProof/>
                <w:color w:val="000000"/>
                <w:sz w:val="20"/>
              </w:rPr>
            </w:pPr>
          </w:p>
        </w:tc>
        <w:tc>
          <w:tcPr>
            <w:tcW w:w="424" w:type="dxa"/>
            <w:tcBorders>
              <w:top w:val="single" w:sz="4" w:space="0" w:color="auto"/>
              <w:left w:val="nil"/>
              <w:bottom w:val="single" w:sz="4" w:space="0" w:color="auto"/>
              <w:right w:val="single" w:sz="4" w:space="0" w:color="auto"/>
            </w:tcBorders>
            <w:shd w:val="clear" w:color="auto" w:fill="C6EFCE"/>
            <w:noWrap/>
          </w:tcPr>
          <w:p w14:paraId="76F869D6" w14:textId="77777777" w:rsidR="003A3D51" w:rsidRDefault="0002775A">
            <w:pPr>
              <w:spacing w:after="200" w:line="276" w:lineRule="auto"/>
              <w:jc w:val="center"/>
              <w:rPr>
                <w:rFonts w:ascii="Calibri" w:eastAsia="Calibri" w:hAnsi="Calibri" w:cs="Arial"/>
                <w:noProof/>
                <w:color w:val="000000"/>
                <w:sz w:val="20"/>
              </w:rPr>
            </w:pPr>
            <w:r>
              <w:rPr>
                <w:noProof/>
              </w:rPr>
              <w:t xml:space="preserve"> </w:t>
            </w:r>
            <w:r>
              <w:rPr>
                <w:rFonts w:ascii="Calibri" w:eastAsia="Calibri" w:hAnsi="Calibri" w:cs="Arial"/>
                <w:noProof/>
                <w:color w:val="000000"/>
                <w:sz w:val="20"/>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33013094" w14:textId="77777777" w:rsidR="003A3D51" w:rsidRDefault="0002775A">
            <w:pPr>
              <w:pStyle w:val="P68B1DB1-Normal7"/>
              <w:spacing w:after="200" w:line="276" w:lineRule="auto"/>
              <w:jc w:val="center"/>
              <w:rPr>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4FB15EBA" w14:textId="5B44B1D5" w:rsidR="003A3D51" w:rsidRDefault="0002775A">
            <w:pPr>
              <w:pStyle w:val="P68B1DB1-Normal7"/>
              <w:spacing w:after="200" w:line="276" w:lineRule="auto"/>
              <w:rPr>
                <w:noProof/>
              </w:rPr>
            </w:pPr>
            <w:r>
              <w:rPr>
                <w:noProof/>
              </w:rPr>
              <w:t>Den högskola som är innehavare av det nya studieprogrammet för utexaminerade ska offentliggöra en ansökningsomgång för tillträde till det nya masterprogrammet med minst 30 platser som ska finansieras genom statsbudgeten.</w:t>
            </w:r>
          </w:p>
        </w:tc>
      </w:tr>
      <w:tr w:rsidR="003A3D51" w14:paraId="10E08040"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3A4EEB95" w14:textId="77777777" w:rsidR="003A3D51" w:rsidRDefault="0002775A">
            <w:pPr>
              <w:pStyle w:val="P68B1DB1-Normal7"/>
              <w:spacing w:after="200" w:line="276" w:lineRule="auto"/>
              <w:jc w:val="center"/>
              <w:rPr>
                <w:rFonts w:ascii="Times New Roman" w:hAnsi="Times New Roman" w:cs="Times New Roman"/>
                <w:noProof/>
              </w:rPr>
            </w:pPr>
            <w:r>
              <w:rPr>
                <w:noProof/>
              </w:rPr>
              <w:t>362</w:t>
            </w:r>
          </w:p>
        </w:tc>
        <w:tc>
          <w:tcPr>
            <w:tcW w:w="821" w:type="dxa"/>
            <w:tcBorders>
              <w:top w:val="single" w:sz="4" w:space="0" w:color="auto"/>
              <w:left w:val="nil"/>
              <w:bottom w:val="single" w:sz="4" w:space="0" w:color="auto"/>
              <w:right w:val="single" w:sz="4" w:space="0" w:color="auto"/>
            </w:tcBorders>
            <w:shd w:val="clear" w:color="auto" w:fill="C6EFCE"/>
            <w:noWrap/>
          </w:tcPr>
          <w:p w14:paraId="00B08DDF" w14:textId="77777777" w:rsidR="003A3D51" w:rsidRDefault="0002775A">
            <w:pPr>
              <w:pStyle w:val="P68B1DB1-Normal7"/>
              <w:spacing w:after="200" w:line="276" w:lineRule="auto"/>
              <w:jc w:val="center"/>
              <w:rPr>
                <w:rFonts w:ascii="Times New Roman" w:hAnsi="Times New Roman" w:cs="Times New Roman"/>
                <w:noProof/>
              </w:rPr>
            </w:pPr>
            <w:r>
              <w:rPr>
                <w:noProof/>
              </w:rPr>
              <w:t>C6.1 R3</w:t>
            </w:r>
          </w:p>
        </w:tc>
        <w:tc>
          <w:tcPr>
            <w:tcW w:w="848" w:type="dxa"/>
            <w:tcBorders>
              <w:top w:val="single" w:sz="4" w:space="0" w:color="auto"/>
              <w:left w:val="nil"/>
              <w:bottom w:val="single" w:sz="4" w:space="0" w:color="auto"/>
              <w:right w:val="single" w:sz="4" w:space="0" w:color="auto"/>
            </w:tcBorders>
            <w:shd w:val="clear" w:color="auto" w:fill="C6EFCE"/>
            <w:noWrap/>
          </w:tcPr>
          <w:p w14:paraId="103F5638"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68DB4A48" w14:textId="77777777" w:rsidR="003A3D51" w:rsidRDefault="0002775A">
            <w:pPr>
              <w:pStyle w:val="P68B1DB1-Normal7"/>
              <w:spacing w:after="200" w:line="276" w:lineRule="auto"/>
              <w:rPr>
                <w:rFonts w:ascii="Times New Roman" w:hAnsi="Times New Roman" w:cs="Times New Roman"/>
                <w:noProof/>
              </w:rPr>
            </w:pPr>
            <w:r>
              <w:rPr>
                <w:noProof/>
              </w:rPr>
              <w:t>Inrättande och drift av ett fysiskt enda kontor för energirenovering och jordbävningsförstärkning.</w:t>
            </w:r>
          </w:p>
        </w:tc>
        <w:tc>
          <w:tcPr>
            <w:tcW w:w="2288" w:type="dxa"/>
            <w:tcBorders>
              <w:top w:val="single" w:sz="4" w:space="0" w:color="auto"/>
              <w:left w:val="nil"/>
              <w:bottom w:val="single" w:sz="4" w:space="0" w:color="auto"/>
              <w:right w:val="single" w:sz="4" w:space="0" w:color="auto"/>
            </w:tcBorders>
            <w:shd w:val="clear" w:color="auto" w:fill="C6EFCE"/>
            <w:noWrap/>
          </w:tcPr>
          <w:p w14:paraId="3FBD8A61" w14:textId="77777777" w:rsidR="003A3D51" w:rsidRDefault="0002775A">
            <w:pPr>
              <w:pStyle w:val="P68B1DB1-Normal7"/>
              <w:spacing w:after="200" w:line="276" w:lineRule="auto"/>
              <w:rPr>
                <w:rFonts w:ascii="Times New Roman" w:hAnsi="Times New Roman" w:cs="Times New Roman"/>
                <w:noProof/>
              </w:rPr>
            </w:pPr>
            <w:r>
              <w:rPr>
                <w:noProof/>
              </w:rPr>
              <w:t xml:space="preserve">Gemensam kontaktpunkt (one-stop-shop) i drift </w:t>
            </w:r>
          </w:p>
        </w:tc>
        <w:tc>
          <w:tcPr>
            <w:tcW w:w="1067" w:type="dxa"/>
            <w:tcBorders>
              <w:top w:val="single" w:sz="4" w:space="0" w:color="auto"/>
              <w:left w:val="nil"/>
              <w:bottom w:val="single" w:sz="4" w:space="0" w:color="auto"/>
              <w:right w:val="single" w:sz="4" w:space="0" w:color="auto"/>
            </w:tcBorders>
            <w:shd w:val="clear" w:color="auto" w:fill="C6EFCE"/>
            <w:noWrap/>
          </w:tcPr>
          <w:p w14:paraId="657281B4"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74E6C7C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548A307F"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54735BDE"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6898246B"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100" w:type="dxa"/>
            <w:tcBorders>
              <w:top w:val="single" w:sz="4" w:space="0" w:color="auto"/>
              <w:left w:val="nil"/>
              <w:bottom w:val="single" w:sz="4" w:space="0" w:color="auto"/>
              <w:right w:val="single" w:sz="4" w:space="0" w:color="auto"/>
            </w:tcBorders>
            <w:shd w:val="clear" w:color="auto" w:fill="C6EFCE"/>
            <w:noWrap/>
          </w:tcPr>
          <w:p w14:paraId="2FBA15BB" w14:textId="77777777" w:rsidR="003A3D51" w:rsidRDefault="0002775A">
            <w:pPr>
              <w:pStyle w:val="P68B1DB1-Normal7"/>
              <w:spacing w:after="200" w:line="276" w:lineRule="auto"/>
              <w:rPr>
                <w:rFonts w:ascii="Times New Roman" w:hAnsi="Times New Roman" w:cs="Times New Roman"/>
                <w:noProof/>
              </w:rPr>
            </w:pPr>
            <w:r>
              <w:rPr>
                <w:noProof/>
              </w:rPr>
              <w:t>Det fysiska kontoret med en enda kontaktpunkt ska utvecklas och tas i drift i det jordbävningsdrabbade området för att minska den administrativa bördan för medborgarna. Investeringen ska omfatta anpassning och modernisering av den fysiska infrastrukturen på en plats där en enda kontaktpunkt ska inrättas, investeringar i online-systemutveckling och nätunderhåll, investeringar i onlinesystemets funktionalitet, utbildning av personal, utbildning av berörda offentliga myndigheter och främjande verksamhet.</w:t>
            </w:r>
          </w:p>
        </w:tc>
      </w:tr>
      <w:tr w:rsidR="003A3D51" w14:paraId="0683E9BD"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0FA4DE83" w14:textId="77777777" w:rsidR="003A3D51" w:rsidRDefault="0002775A">
            <w:pPr>
              <w:pStyle w:val="P68B1DB1-Normal7"/>
              <w:spacing w:after="200" w:line="276" w:lineRule="auto"/>
              <w:jc w:val="center"/>
              <w:rPr>
                <w:rFonts w:ascii="Times New Roman" w:hAnsi="Times New Roman" w:cs="Times New Roman"/>
                <w:noProof/>
              </w:rPr>
            </w:pPr>
            <w:r>
              <w:rPr>
                <w:noProof/>
              </w:rPr>
              <w:t>363</w:t>
            </w:r>
          </w:p>
        </w:tc>
        <w:tc>
          <w:tcPr>
            <w:tcW w:w="821" w:type="dxa"/>
            <w:tcBorders>
              <w:top w:val="single" w:sz="4" w:space="0" w:color="auto"/>
              <w:left w:val="nil"/>
              <w:bottom w:val="single" w:sz="4" w:space="0" w:color="auto"/>
              <w:right w:val="single" w:sz="4" w:space="0" w:color="auto"/>
            </w:tcBorders>
            <w:shd w:val="clear" w:color="auto" w:fill="C6EFCE"/>
            <w:noWrap/>
          </w:tcPr>
          <w:p w14:paraId="42F8F11A" w14:textId="77777777" w:rsidR="003A3D51" w:rsidRDefault="0002775A">
            <w:pPr>
              <w:pStyle w:val="P68B1DB1-Normal7"/>
              <w:spacing w:after="200" w:line="276" w:lineRule="auto"/>
              <w:jc w:val="center"/>
              <w:rPr>
                <w:rFonts w:ascii="Times New Roman" w:hAnsi="Times New Roman" w:cs="Times New Roman"/>
                <w:noProof/>
              </w:rPr>
            </w:pPr>
            <w:r>
              <w:rPr>
                <w:noProof/>
              </w:rPr>
              <w:t>C6.1 R3</w:t>
            </w:r>
          </w:p>
        </w:tc>
        <w:tc>
          <w:tcPr>
            <w:tcW w:w="848" w:type="dxa"/>
            <w:tcBorders>
              <w:top w:val="single" w:sz="4" w:space="0" w:color="auto"/>
              <w:left w:val="nil"/>
              <w:bottom w:val="single" w:sz="4" w:space="0" w:color="auto"/>
              <w:right w:val="single" w:sz="4" w:space="0" w:color="auto"/>
            </w:tcBorders>
            <w:shd w:val="clear" w:color="auto" w:fill="C6EFCE"/>
            <w:noWrap/>
          </w:tcPr>
          <w:p w14:paraId="63463E0C"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18C736C4" w14:textId="77777777" w:rsidR="003A3D51" w:rsidRDefault="0002775A">
            <w:pPr>
              <w:pStyle w:val="P68B1DB1-Normal7"/>
              <w:spacing w:after="200" w:line="276" w:lineRule="auto"/>
              <w:rPr>
                <w:rFonts w:ascii="Times New Roman" w:hAnsi="Times New Roman" w:cs="Times New Roman"/>
                <w:noProof/>
              </w:rPr>
            </w:pPr>
            <w:r>
              <w:rPr>
                <w:noProof/>
              </w:rPr>
              <w:t xml:space="preserve">Inrättande och drift av en enda kontaktpunkt online för energirenovering och jordbävningsförstärkning </w:t>
            </w:r>
          </w:p>
        </w:tc>
        <w:tc>
          <w:tcPr>
            <w:tcW w:w="2288" w:type="dxa"/>
            <w:tcBorders>
              <w:top w:val="single" w:sz="4" w:space="0" w:color="auto"/>
              <w:left w:val="nil"/>
              <w:bottom w:val="single" w:sz="4" w:space="0" w:color="auto"/>
              <w:right w:val="single" w:sz="4" w:space="0" w:color="auto"/>
            </w:tcBorders>
            <w:shd w:val="clear" w:color="auto" w:fill="C6EFCE"/>
            <w:noWrap/>
          </w:tcPr>
          <w:p w14:paraId="2D8CBFF7" w14:textId="77777777" w:rsidR="003A3D51" w:rsidRDefault="0002775A">
            <w:pPr>
              <w:pStyle w:val="P68B1DB1-Normal7"/>
              <w:spacing w:after="200" w:line="276" w:lineRule="auto"/>
              <w:rPr>
                <w:rFonts w:ascii="Times New Roman" w:hAnsi="Times New Roman" w:cs="Times New Roman"/>
                <w:noProof/>
              </w:rPr>
            </w:pPr>
            <w:r>
              <w:rPr>
                <w:noProof/>
              </w:rPr>
              <w:t xml:space="preserve">Gemensam kontaktpunkt online i drift  </w:t>
            </w:r>
          </w:p>
        </w:tc>
        <w:tc>
          <w:tcPr>
            <w:tcW w:w="1067" w:type="dxa"/>
            <w:tcBorders>
              <w:top w:val="single" w:sz="4" w:space="0" w:color="auto"/>
              <w:left w:val="nil"/>
              <w:bottom w:val="single" w:sz="4" w:space="0" w:color="auto"/>
              <w:right w:val="single" w:sz="4" w:space="0" w:color="auto"/>
            </w:tcBorders>
            <w:shd w:val="clear" w:color="auto" w:fill="C6EFCE"/>
            <w:noWrap/>
          </w:tcPr>
          <w:p w14:paraId="0BAD3A8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0FAA1D3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0C2E885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70322E06"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501C9F01"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750CC8E5" w14:textId="77777777" w:rsidR="003A3D51" w:rsidRDefault="0002775A">
            <w:pPr>
              <w:pStyle w:val="P68B1DB1-Normal7"/>
              <w:spacing w:after="200" w:line="276" w:lineRule="auto"/>
              <w:rPr>
                <w:rFonts w:ascii="Times New Roman" w:hAnsi="Times New Roman" w:cs="Times New Roman"/>
                <w:noProof/>
              </w:rPr>
            </w:pPr>
            <w:r>
              <w:rPr>
                <w:noProof/>
              </w:rPr>
              <w:t>Införande av ett system med en enda kontaktpunkt online som sammanför all nödvändig information för energirenovering och återuppbyggnad efter jordbävningen.</w:t>
            </w:r>
            <w:r>
              <w:rPr>
                <w:noProof/>
              </w:rPr>
              <w:br/>
              <w:t>Den enda kontaktpunkten ska genomföras i två faser: i) räddningstjänst som är nödvändig för brådskande strukturella renoveringar och nödvändigt återställande av skador för att säkerställa en säkerhetsnivå för medborgare och anläggningar. II) integrera alla andra tjänster och all annan information som behövs för övergripande renovering och energirenovering med de tjänster och den information som ingår i konceptet ”bättre återuppbyggnad”.</w:t>
            </w:r>
          </w:p>
        </w:tc>
      </w:tr>
      <w:tr w:rsidR="003A3D51" w14:paraId="7867C4A4"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0DAAA48C" w14:textId="77777777" w:rsidR="003A3D51" w:rsidRDefault="0002775A">
            <w:pPr>
              <w:pStyle w:val="P68B1DB1-Normal7"/>
              <w:spacing w:after="200" w:line="276" w:lineRule="auto"/>
              <w:jc w:val="center"/>
              <w:rPr>
                <w:rFonts w:ascii="Times New Roman" w:hAnsi="Times New Roman" w:cs="Times New Roman"/>
                <w:noProof/>
              </w:rPr>
            </w:pPr>
            <w:r>
              <w:rPr>
                <w:noProof/>
              </w:rPr>
              <w:t>364</w:t>
            </w:r>
          </w:p>
        </w:tc>
        <w:tc>
          <w:tcPr>
            <w:tcW w:w="821" w:type="dxa"/>
            <w:tcBorders>
              <w:top w:val="single" w:sz="4" w:space="0" w:color="auto"/>
              <w:left w:val="nil"/>
              <w:bottom w:val="single" w:sz="4" w:space="0" w:color="auto"/>
              <w:right w:val="single" w:sz="4" w:space="0" w:color="auto"/>
            </w:tcBorders>
            <w:shd w:val="clear" w:color="auto" w:fill="C6EFCE"/>
            <w:noWrap/>
          </w:tcPr>
          <w:p w14:paraId="66773AC4" w14:textId="77777777" w:rsidR="003A3D51" w:rsidRDefault="0002775A">
            <w:pPr>
              <w:pStyle w:val="P68B1DB1-Normal7"/>
              <w:spacing w:after="200" w:line="276" w:lineRule="auto"/>
              <w:jc w:val="center"/>
              <w:rPr>
                <w:rFonts w:ascii="Times New Roman" w:hAnsi="Times New Roman" w:cs="Times New Roman"/>
                <w:noProof/>
              </w:rPr>
            </w:pPr>
            <w:r>
              <w:rPr>
                <w:noProof/>
              </w:rPr>
              <w:t>C6.1 R3</w:t>
            </w:r>
          </w:p>
        </w:tc>
        <w:tc>
          <w:tcPr>
            <w:tcW w:w="848" w:type="dxa"/>
            <w:tcBorders>
              <w:top w:val="single" w:sz="4" w:space="0" w:color="auto"/>
              <w:left w:val="nil"/>
              <w:bottom w:val="single" w:sz="4" w:space="0" w:color="auto"/>
              <w:right w:val="single" w:sz="4" w:space="0" w:color="auto"/>
            </w:tcBorders>
            <w:shd w:val="clear" w:color="auto" w:fill="C6EFCE"/>
            <w:noWrap/>
          </w:tcPr>
          <w:p w14:paraId="07165BF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7FD35970" w14:textId="77777777" w:rsidR="003A3D51" w:rsidRDefault="0002775A">
            <w:pPr>
              <w:pStyle w:val="P68B1DB1-Normal7"/>
              <w:spacing w:after="200" w:line="276" w:lineRule="auto"/>
              <w:rPr>
                <w:rFonts w:ascii="Times New Roman" w:hAnsi="Times New Roman" w:cs="Times New Roman"/>
                <w:noProof/>
              </w:rPr>
            </w:pPr>
            <w:r>
              <w:rPr>
                <w:noProof/>
              </w:rPr>
              <w:t xml:space="preserve">Slutförd utbildning för offentliganställda för att tillhandahålla tjänster med en enda kontaktpunkt för energieffektivitet och återuppbyggnad efter jordbävningen. </w:t>
            </w:r>
          </w:p>
        </w:tc>
        <w:tc>
          <w:tcPr>
            <w:tcW w:w="2288" w:type="dxa"/>
            <w:tcBorders>
              <w:top w:val="single" w:sz="4" w:space="0" w:color="auto"/>
              <w:left w:val="nil"/>
              <w:bottom w:val="single" w:sz="4" w:space="0" w:color="auto"/>
              <w:right w:val="single" w:sz="4" w:space="0" w:color="auto"/>
            </w:tcBorders>
            <w:shd w:val="clear" w:color="auto" w:fill="C6EFCE"/>
            <w:noWrap/>
          </w:tcPr>
          <w:p w14:paraId="6A1B12CC"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1067" w:type="dxa"/>
            <w:tcBorders>
              <w:top w:val="single" w:sz="4" w:space="0" w:color="auto"/>
              <w:left w:val="nil"/>
              <w:bottom w:val="single" w:sz="4" w:space="0" w:color="auto"/>
              <w:right w:val="single" w:sz="4" w:space="0" w:color="auto"/>
            </w:tcBorders>
            <w:shd w:val="clear" w:color="auto" w:fill="C6EFCE"/>
            <w:noWrap/>
          </w:tcPr>
          <w:p w14:paraId="2BAD18B7"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2A9A00F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7122FCEF" w14:textId="77777777" w:rsidR="003A3D51" w:rsidRDefault="0002775A">
            <w:pPr>
              <w:pStyle w:val="P68B1DB1-Normal7"/>
              <w:spacing w:after="200" w:line="276" w:lineRule="auto"/>
              <w:jc w:val="center"/>
              <w:rPr>
                <w:rFonts w:ascii="Times New Roman" w:hAnsi="Times New Roman" w:cs="Times New Roman"/>
                <w:noProof/>
              </w:rPr>
            </w:pPr>
            <w:r>
              <w:rPr>
                <w:noProof/>
              </w:rPr>
              <w:t>80</w:t>
            </w:r>
          </w:p>
        </w:tc>
        <w:tc>
          <w:tcPr>
            <w:tcW w:w="424" w:type="dxa"/>
            <w:tcBorders>
              <w:top w:val="single" w:sz="4" w:space="0" w:color="auto"/>
              <w:left w:val="nil"/>
              <w:bottom w:val="single" w:sz="4" w:space="0" w:color="auto"/>
              <w:right w:val="single" w:sz="4" w:space="0" w:color="auto"/>
            </w:tcBorders>
            <w:shd w:val="clear" w:color="auto" w:fill="C6EFCE"/>
            <w:noWrap/>
          </w:tcPr>
          <w:p w14:paraId="664E3F6E"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62E43A4C"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689D5F8E" w14:textId="77777777" w:rsidR="003A3D51" w:rsidRDefault="0002775A">
            <w:pPr>
              <w:pStyle w:val="P68B1DB1-Normal7"/>
              <w:spacing w:after="200" w:line="276" w:lineRule="auto"/>
              <w:rPr>
                <w:rFonts w:ascii="Times New Roman" w:hAnsi="Times New Roman" w:cs="Times New Roman"/>
                <w:noProof/>
              </w:rPr>
            </w:pPr>
            <w:r>
              <w:rPr>
                <w:noProof/>
              </w:rPr>
              <w:t>Minst 80 offentliganställda utbildade för att tillhandahålla högkvalitativa tjänster som kombinerar energieffektivitet och återuppbyggnad efter jordbävningen. Av detta kommer minst 40 anställda vid den gemensamma kontaktpunkten att få utbildning i olika aspekter av återuppbyggnaden, särskilt om undanröjande av administrativa hinder vid genomförandet av återuppbyggnadsverksamhet och användningen av onlineplattformen. Ytterligare minst 40 anställda vid genomförande offentliga institutioner för att få utbildning i de administrativa och tekniska aspekterna av återuppbyggnaden och arbete på onlineplattformen.</w:t>
            </w:r>
          </w:p>
        </w:tc>
      </w:tr>
      <w:tr w:rsidR="003A3D51" w14:paraId="19564B5A" w14:textId="77777777">
        <w:trPr>
          <w:trHeight w:val="1962"/>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3FEFC3A9" w14:textId="77777777" w:rsidR="003A3D51" w:rsidRDefault="0002775A">
            <w:pPr>
              <w:pStyle w:val="P68B1DB1-Normal7"/>
              <w:spacing w:after="200" w:line="276" w:lineRule="auto"/>
              <w:jc w:val="center"/>
              <w:rPr>
                <w:rFonts w:ascii="Times New Roman" w:hAnsi="Times New Roman" w:cs="Times New Roman"/>
                <w:noProof/>
              </w:rPr>
            </w:pPr>
            <w:r>
              <w:rPr>
                <w:noProof/>
              </w:rPr>
              <w:t>365</w:t>
            </w:r>
          </w:p>
        </w:tc>
        <w:tc>
          <w:tcPr>
            <w:tcW w:w="821" w:type="dxa"/>
            <w:tcBorders>
              <w:top w:val="single" w:sz="4" w:space="0" w:color="auto"/>
              <w:left w:val="nil"/>
              <w:bottom w:val="single" w:sz="4" w:space="0" w:color="auto"/>
              <w:right w:val="single" w:sz="4" w:space="0" w:color="auto"/>
            </w:tcBorders>
            <w:shd w:val="clear" w:color="auto" w:fill="C6EFCE"/>
            <w:noWrap/>
          </w:tcPr>
          <w:p w14:paraId="6C31FC70" w14:textId="77777777" w:rsidR="003A3D51" w:rsidRDefault="0002775A">
            <w:pPr>
              <w:pStyle w:val="P68B1DB1-Normal7"/>
              <w:spacing w:after="200" w:line="276" w:lineRule="auto"/>
              <w:jc w:val="center"/>
              <w:rPr>
                <w:rFonts w:ascii="Times New Roman" w:hAnsi="Times New Roman" w:cs="Times New Roman"/>
                <w:noProof/>
              </w:rPr>
            </w:pPr>
            <w:r>
              <w:rPr>
                <w:noProof/>
              </w:rPr>
              <w:t>C6.1 R4</w:t>
            </w:r>
          </w:p>
        </w:tc>
        <w:tc>
          <w:tcPr>
            <w:tcW w:w="848" w:type="dxa"/>
            <w:tcBorders>
              <w:top w:val="single" w:sz="4" w:space="0" w:color="auto"/>
              <w:left w:val="nil"/>
              <w:bottom w:val="single" w:sz="4" w:space="0" w:color="auto"/>
              <w:right w:val="single" w:sz="4" w:space="0" w:color="auto"/>
            </w:tcBorders>
            <w:shd w:val="clear" w:color="auto" w:fill="C6EFCE"/>
            <w:noWrap/>
          </w:tcPr>
          <w:p w14:paraId="54AE50EB"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3E632781" w14:textId="77777777" w:rsidR="003A3D51" w:rsidRDefault="0002775A">
            <w:pPr>
              <w:pStyle w:val="P68B1DB1-Normal7"/>
              <w:spacing w:after="200" w:line="276" w:lineRule="auto"/>
              <w:rPr>
                <w:rFonts w:ascii="Times New Roman" w:hAnsi="Times New Roman" w:cs="Times New Roman"/>
                <w:noProof/>
              </w:rPr>
            </w:pPr>
            <w:r>
              <w:rPr>
                <w:noProof/>
              </w:rPr>
              <w:t>Seismiska data integrerade i 10 expertbaser för fysisk planering för lokala förvaltningsenheter</w:t>
            </w:r>
          </w:p>
        </w:tc>
        <w:tc>
          <w:tcPr>
            <w:tcW w:w="2288" w:type="dxa"/>
            <w:tcBorders>
              <w:top w:val="single" w:sz="4" w:space="0" w:color="auto"/>
              <w:left w:val="nil"/>
              <w:bottom w:val="single" w:sz="4" w:space="0" w:color="auto"/>
              <w:right w:val="single" w:sz="4" w:space="0" w:color="auto"/>
            </w:tcBorders>
            <w:shd w:val="clear" w:color="auto" w:fill="C6EFCE"/>
            <w:noWrap/>
          </w:tcPr>
          <w:p w14:paraId="7CEF5B6C"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05933D18"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7C9B62C2"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7028B0A6" w14:textId="77777777" w:rsidR="003A3D51" w:rsidRDefault="0002775A">
            <w:pPr>
              <w:pStyle w:val="P68B1DB1-Normal7"/>
              <w:spacing w:after="200" w:line="276" w:lineRule="auto"/>
              <w:jc w:val="center"/>
              <w:rPr>
                <w:rFonts w:ascii="Times New Roman" w:hAnsi="Times New Roman" w:cs="Times New Roman"/>
                <w:noProof/>
              </w:rPr>
            </w:pPr>
            <w:r>
              <w:rPr>
                <w:noProof/>
              </w:rPr>
              <w:t>10</w:t>
            </w:r>
          </w:p>
        </w:tc>
        <w:tc>
          <w:tcPr>
            <w:tcW w:w="424" w:type="dxa"/>
            <w:tcBorders>
              <w:top w:val="single" w:sz="4" w:space="0" w:color="auto"/>
              <w:left w:val="nil"/>
              <w:bottom w:val="single" w:sz="4" w:space="0" w:color="auto"/>
              <w:right w:val="single" w:sz="4" w:space="0" w:color="auto"/>
            </w:tcBorders>
            <w:shd w:val="clear" w:color="auto" w:fill="C6EFCE"/>
            <w:noWrap/>
          </w:tcPr>
          <w:p w14:paraId="640DBA07"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7DA683C5"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100" w:type="dxa"/>
            <w:tcBorders>
              <w:top w:val="single" w:sz="4" w:space="0" w:color="auto"/>
              <w:left w:val="nil"/>
              <w:bottom w:val="single" w:sz="4" w:space="0" w:color="auto"/>
              <w:right w:val="single" w:sz="4" w:space="0" w:color="auto"/>
            </w:tcBorders>
            <w:shd w:val="clear" w:color="auto" w:fill="C6EFCE"/>
            <w:noWrap/>
          </w:tcPr>
          <w:p w14:paraId="781A059D" w14:textId="77777777" w:rsidR="003A3D51" w:rsidRDefault="0002775A">
            <w:pPr>
              <w:pStyle w:val="P68B1DB1-Normal7"/>
              <w:spacing w:after="200" w:line="276" w:lineRule="auto"/>
              <w:rPr>
                <w:rFonts w:ascii="Times New Roman" w:hAnsi="Times New Roman" w:cs="Times New Roman"/>
                <w:noProof/>
              </w:rPr>
            </w:pPr>
            <w:r>
              <w:rPr>
                <w:noProof/>
              </w:rPr>
              <w:t xml:space="preserve">Fullständig integrering av seismiska data (felkartor, seismiska områdeskartor, kartor över jordskred i lämpliga upplösningar osv.) i systemet för fysisk planering och tillämpning på 10 expertpilotbaser för lokala myndigheters fysiska planering. Resultaten av analysen av seismiska data kan användas vid utarbetandet av ändringar av fysiska planer eller utarbetandet av nya fysiska planer efter genomförandet av reformen. </w:t>
            </w:r>
          </w:p>
        </w:tc>
      </w:tr>
      <w:tr w:rsidR="003A3D51" w14:paraId="4BD61622"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E958427" w14:textId="77777777" w:rsidR="003A3D51" w:rsidRDefault="0002775A">
            <w:pPr>
              <w:pStyle w:val="P68B1DB1-Normal7"/>
              <w:spacing w:after="200" w:line="276" w:lineRule="auto"/>
              <w:jc w:val="center"/>
              <w:rPr>
                <w:rFonts w:ascii="Times New Roman" w:hAnsi="Times New Roman" w:cs="Times New Roman"/>
                <w:noProof/>
              </w:rPr>
            </w:pPr>
            <w:r>
              <w:rPr>
                <w:noProof/>
              </w:rPr>
              <w:t>366</w:t>
            </w:r>
          </w:p>
        </w:tc>
        <w:tc>
          <w:tcPr>
            <w:tcW w:w="821" w:type="dxa"/>
            <w:tcBorders>
              <w:top w:val="single" w:sz="4" w:space="0" w:color="auto"/>
              <w:left w:val="nil"/>
              <w:bottom w:val="single" w:sz="4" w:space="0" w:color="auto"/>
              <w:right w:val="single" w:sz="4" w:space="0" w:color="auto"/>
            </w:tcBorders>
            <w:shd w:val="clear" w:color="auto" w:fill="C6EFCE"/>
            <w:noWrap/>
          </w:tcPr>
          <w:p w14:paraId="68FB9871" w14:textId="77777777" w:rsidR="003A3D51" w:rsidRDefault="0002775A">
            <w:pPr>
              <w:pStyle w:val="P68B1DB1-Normal7"/>
              <w:spacing w:after="200" w:line="276" w:lineRule="auto"/>
              <w:jc w:val="center"/>
              <w:rPr>
                <w:rFonts w:ascii="Times New Roman" w:hAnsi="Times New Roman" w:cs="Times New Roman"/>
                <w:noProof/>
              </w:rPr>
            </w:pPr>
            <w:r>
              <w:rPr>
                <w:noProof/>
              </w:rPr>
              <w:t>C6.1 R4-I1</w:t>
            </w:r>
          </w:p>
        </w:tc>
        <w:tc>
          <w:tcPr>
            <w:tcW w:w="848" w:type="dxa"/>
            <w:tcBorders>
              <w:top w:val="single" w:sz="4" w:space="0" w:color="auto"/>
              <w:left w:val="nil"/>
              <w:bottom w:val="single" w:sz="4" w:space="0" w:color="auto"/>
              <w:right w:val="single" w:sz="4" w:space="0" w:color="auto"/>
            </w:tcBorders>
            <w:shd w:val="clear" w:color="auto" w:fill="C6EFCE"/>
            <w:noWrap/>
          </w:tcPr>
          <w:p w14:paraId="171423CF"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7AAE803B" w14:textId="77777777" w:rsidR="003A3D51" w:rsidRDefault="0002775A">
            <w:pPr>
              <w:pStyle w:val="P68B1DB1-Normal7"/>
              <w:spacing w:after="200" w:line="276" w:lineRule="auto"/>
              <w:rPr>
                <w:rFonts w:ascii="Times New Roman" w:hAnsi="Times New Roman" w:cs="Times New Roman"/>
                <w:noProof/>
              </w:rPr>
            </w:pPr>
            <w:r>
              <w:rPr>
                <w:noProof/>
              </w:rPr>
              <w:t xml:space="preserve">Upphandlade seismiska utrustningsenheter </w:t>
            </w:r>
          </w:p>
        </w:tc>
        <w:tc>
          <w:tcPr>
            <w:tcW w:w="2288" w:type="dxa"/>
            <w:tcBorders>
              <w:top w:val="single" w:sz="4" w:space="0" w:color="auto"/>
              <w:left w:val="nil"/>
              <w:bottom w:val="single" w:sz="4" w:space="0" w:color="auto"/>
              <w:right w:val="single" w:sz="4" w:space="0" w:color="auto"/>
            </w:tcBorders>
            <w:shd w:val="clear" w:color="auto" w:fill="C6EFCE"/>
            <w:noWrap/>
          </w:tcPr>
          <w:p w14:paraId="137A54F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57195E9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034FAEA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22EC6C60" w14:textId="77777777" w:rsidR="003A3D51" w:rsidRDefault="0002775A">
            <w:pPr>
              <w:pStyle w:val="P68B1DB1-Normal7"/>
              <w:spacing w:after="200" w:line="276" w:lineRule="auto"/>
              <w:jc w:val="center"/>
              <w:rPr>
                <w:rFonts w:ascii="Times New Roman" w:hAnsi="Times New Roman" w:cs="Times New Roman"/>
                <w:noProof/>
              </w:rPr>
            </w:pPr>
            <w:r>
              <w:rPr>
                <w:noProof/>
              </w:rPr>
              <w:t>300</w:t>
            </w:r>
          </w:p>
        </w:tc>
        <w:tc>
          <w:tcPr>
            <w:tcW w:w="424" w:type="dxa"/>
            <w:tcBorders>
              <w:top w:val="single" w:sz="4" w:space="0" w:color="auto"/>
              <w:left w:val="nil"/>
              <w:bottom w:val="single" w:sz="4" w:space="0" w:color="auto"/>
              <w:right w:val="single" w:sz="4" w:space="0" w:color="auto"/>
            </w:tcBorders>
            <w:shd w:val="clear" w:color="auto" w:fill="C6EFCE"/>
            <w:noWrap/>
          </w:tcPr>
          <w:p w14:paraId="630676B1"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0A0450A7" w14:textId="77777777" w:rsidR="003A3D51" w:rsidRDefault="0002775A">
            <w:pPr>
              <w:pStyle w:val="P68B1DB1-Normal7"/>
              <w:spacing w:after="200" w:line="276" w:lineRule="auto"/>
              <w:jc w:val="center"/>
              <w:rPr>
                <w:rFonts w:ascii="Times New Roman" w:hAnsi="Times New Roman" w:cs="Times New Roman"/>
                <w:noProof/>
              </w:rPr>
            </w:pPr>
            <w:r>
              <w:rPr>
                <w:noProof/>
              </w:rPr>
              <w:t>2022</w:t>
            </w:r>
          </w:p>
        </w:tc>
        <w:tc>
          <w:tcPr>
            <w:tcW w:w="4100" w:type="dxa"/>
            <w:tcBorders>
              <w:top w:val="single" w:sz="4" w:space="0" w:color="auto"/>
              <w:left w:val="nil"/>
              <w:bottom w:val="single" w:sz="4" w:space="0" w:color="auto"/>
              <w:right w:val="single" w:sz="4" w:space="0" w:color="auto"/>
            </w:tcBorders>
            <w:shd w:val="clear" w:color="auto" w:fill="C6EFCE"/>
            <w:noWrap/>
          </w:tcPr>
          <w:p w14:paraId="6296BCCE" w14:textId="77777777" w:rsidR="003A3D51" w:rsidRDefault="0002775A">
            <w:pPr>
              <w:pStyle w:val="P68B1DB1-Normal7"/>
              <w:spacing w:after="200" w:line="276" w:lineRule="auto"/>
              <w:rPr>
                <w:rFonts w:ascii="Times New Roman" w:hAnsi="Times New Roman" w:cs="Times New Roman"/>
                <w:noProof/>
              </w:rPr>
            </w:pPr>
            <w:r>
              <w:rPr>
                <w:noProof/>
              </w:rPr>
              <w:t>Investeringen ska stärka den organisatoriska kapaciteten och infrastrukturkapaciteten i Republiken Kroatiens Seismologiska undersökning genom inköp av minst 300 utrustningsenheter för att höja kvaliteten på insamlingen, behandlingen och tillämpningen av de seismiska data som behövs för renovering av byggnader, planering för utveckling av nya anläggningar och övervakning av offentlig infrastruktur samt stärka Kroatiens motståndskraft mot jordbävningar och därmed sammanhängande risker.</w:t>
            </w:r>
          </w:p>
        </w:tc>
      </w:tr>
      <w:tr w:rsidR="003A3D51" w14:paraId="18B5DA00"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6F1BF462" w14:textId="77777777" w:rsidR="003A3D51" w:rsidRDefault="0002775A">
            <w:pPr>
              <w:pStyle w:val="P68B1DB1-Normal7"/>
              <w:spacing w:after="200" w:line="276" w:lineRule="auto"/>
              <w:jc w:val="center"/>
              <w:rPr>
                <w:rFonts w:ascii="Times New Roman" w:hAnsi="Times New Roman" w:cs="Times New Roman"/>
                <w:noProof/>
              </w:rPr>
            </w:pPr>
            <w:r>
              <w:rPr>
                <w:noProof/>
              </w:rPr>
              <w:t>367</w:t>
            </w:r>
          </w:p>
        </w:tc>
        <w:tc>
          <w:tcPr>
            <w:tcW w:w="821" w:type="dxa"/>
            <w:tcBorders>
              <w:top w:val="single" w:sz="4" w:space="0" w:color="auto"/>
              <w:left w:val="nil"/>
              <w:bottom w:val="single" w:sz="4" w:space="0" w:color="auto"/>
              <w:right w:val="single" w:sz="4" w:space="0" w:color="auto"/>
            </w:tcBorders>
            <w:shd w:val="clear" w:color="auto" w:fill="C6EFCE"/>
            <w:noWrap/>
          </w:tcPr>
          <w:p w14:paraId="1E7B523C" w14:textId="77777777" w:rsidR="003A3D51" w:rsidRDefault="0002775A">
            <w:pPr>
              <w:pStyle w:val="P68B1DB1-Normal7"/>
              <w:spacing w:after="200" w:line="276" w:lineRule="auto"/>
              <w:jc w:val="center"/>
              <w:rPr>
                <w:rFonts w:ascii="Times New Roman" w:hAnsi="Times New Roman" w:cs="Times New Roman"/>
                <w:noProof/>
              </w:rPr>
            </w:pPr>
            <w:r>
              <w:rPr>
                <w:noProof/>
              </w:rPr>
              <w:t>C6.1 R4-I1</w:t>
            </w:r>
          </w:p>
        </w:tc>
        <w:tc>
          <w:tcPr>
            <w:tcW w:w="848" w:type="dxa"/>
            <w:tcBorders>
              <w:top w:val="single" w:sz="4" w:space="0" w:color="auto"/>
              <w:left w:val="nil"/>
              <w:bottom w:val="single" w:sz="4" w:space="0" w:color="auto"/>
              <w:right w:val="single" w:sz="4" w:space="0" w:color="auto"/>
            </w:tcBorders>
            <w:shd w:val="clear" w:color="auto" w:fill="C6EFCE"/>
            <w:noWrap/>
          </w:tcPr>
          <w:p w14:paraId="7C0E7A5F"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52797FA7" w14:textId="77777777" w:rsidR="003A3D51" w:rsidRDefault="0002775A">
            <w:pPr>
              <w:pStyle w:val="P68B1DB1-Normal7"/>
              <w:spacing w:after="200" w:line="276" w:lineRule="auto"/>
              <w:rPr>
                <w:rFonts w:ascii="Times New Roman" w:hAnsi="Times New Roman" w:cs="Times New Roman"/>
                <w:noProof/>
              </w:rPr>
            </w:pPr>
            <w:r>
              <w:rPr>
                <w:noProof/>
              </w:rPr>
              <w:t xml:space="preserve">Anställning och utbildning av experter på Seismologisk undersökning </w:t>
            </w:r>
          </w:p>
        </w:tc>
        <w:tc>
          <w:tcPr>
            <w:tcW w:w="2288" w:type="dxa"/>
            <w:tcBorders>
              <w:top w:val="single" w:sz="4" w:space="0" w:color="auto"/>
              <w:left w:val="nil"/>
              <w:bottom w:val="single" w:sz="4" w:space="0" w:color="auto"/>
              <w:right w:val="single" w:sz="4" w:space="0" w:color="auto"/>
            </w:tcBorders>
            <w:shd w:val="clear" w:color="auto" w:fill="C6EFCE"/>
            <w:noWrap/>
          </w:tcPr>
          <w:p w14:paraId="1A230E4D"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1067" w:type="dxa"/>
            <w:tcBorders>
              <w:top w:val="single" w:sz="4" w:space="0" w:color="auto"/>
              <w:left w:val="nil"/>
              <w:bottom w:val="single" w:sz="4" w:space="0" w:color="auto"/>
              <w:right w:val="single" w:sz="4" w:space="0" w:color="auto"/>
            </w:tcBorders>
            <w:shd w:val="clear" w:color="auto" w:fill="C6EFCE"/>
            <w:noWrap/>
          </w:tcPr>
          <w:p w14:paraId="4DE85146"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6482D833" w14:textId="77777777" w:rsidR="003A3D51" w:rsidRDefault="0002775A">
            <w:pPr>
              <w:pStyle w:val="P68B1DB1-Normal7"/>
              <w:spacing w:after="200" w:line="276" w:lineRule="auto"/>
              <w:jc w:val="center"/>
              <w:rPr>
                <w:rFonts w:ascii="Times New Roman" w:hAnsi="Times New Roman" w:cs="Times New Roman"/>
                <w:noProof/>
              </w:rPr>
            </w:pPr>
            <w:r>
              <w:rPr>
                <w:noProof/>
              </w:rPr>
              <w:t>12</w:t>
            </w:r>
          </w:p>
        </w:tc>
        <w:tc>
          <w:tcPr>
            <w:tcW w:w="1356" w:type="dxa"/>
            <w:tcBorders>
              <w:top w:val="single" w:sz="4" w:space="0" w:color="auto"/>
              <w:left w:val="nil"/>
              <w:bottom w:val="single" w:sz="4" w:space="0" w:color="auto"/>
              <w:right w:val="single" w:sz="4" w:space="0" w:color="auto"/>
            </w:tcBorders>
            <w:shd w:val="clear" w:color="auto" w:fill="C6EFCE"/>
            <w:noWrap/>
          </w:tcPr>
          <w:p w14:paraId="0AACFA57" w14:textId="77777777" w:rsidR="003A3D51" w:rsidRDefault="0002775A">
            <w:pPr>
              <w:pStyle w:val="P68B1DB1-Normal7"/>
              <w:spacing w:after="200" w:line="276" w:lineRule="auto"/>
              <w:jc w:val="center"/>
              <w:rPr>
                <w:rFonts w:ascii="Times New Roman" w:hAnsi="Times New Roman" w:cs="Times New Roman"/>
                <w:noProof/>
              </w:rPr>
            </w:pPr>
            <w:r>
              <w:rPr>
                <w:noProof/>
              </w:rPr>
              <w:t>21</w:t>
            </w:r>
          </w:p>
        </w:tc>
        <w:tc>
          <w:tcPr>
            <w:tcW w:w="424" w:type="dxa"/>
            <w:tcBorders>
              <w:top w:val="single" w:sz="4" w:space="0" w:color="auto"/>
              <w:left w:val="nil"/>
              <w:bottom w:val="single" w:sz="4" w:space="0" w:color="auto"/>
              <w:right w:val="single" w:sz="4" w:space="0" w:color="auto"/>
            </w:tcBorders>
            <w:shd w:val="clear" w:color="auto" w:fill="C6EFCE"/>
            <w:noWrap/>
          </w:tcPr>
          <w:p w14:paraId="290C9EF8"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643B4EE2"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524E162F" w14:textId="77777777" w:rsidR="003A3D51" w:rsidRDefault="0002775A">
            <w:pPr>
              <w:pStyle w:val="P68B1DB1-Normal7"/>
              <w:spacing w:after="200" w:line="276" w:lineRule="auto"/>
              <w:rPr>
                <w:rFonts w:ascii="Times New Roman" w:hAnsi="Times New Roman" w:cs="Times New Roman"/>
                <w:noProof/>
              </w:rPr>
            </w:pPr>
            <w:r>
              <w:rPr>
                <w:noProof/>
              </w:rPr>
              <w:t xml:space="preserve">Anställning av ytterligare 9 experter i den Seismologiska undersökningen i Kroatien, vars löner kommer att finansieras genom statsbudgeten efter det att faciliteten för återhämtning och resiliens har löpt ut, och slutfört utbildning för insamling, bearbetning och analys av seismiska data på Kroatiens territorium.  </w:t>
            </w:r>
          </w:p>
        </w:tc>
      </w:tr>
      <w:tr w:rsidR="003A3D51" w14:paraId="4C629C6B"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378EC13" w14:textId="77777777" w:rsidR="003A3D51" w:rsidRDefault="0002775A">
            <w:pPr>
              <w:pStyle w:val="P68B1DB1-Normal7"/>
              <w:spacing w:after="200" w:line="276" w:lineRule="auto"/>
              <w:jc w:val="center"/>
              <w:rPr>
                <w:rFonts w:ascii="Times New Roman" w:hAnsi="Times New Roman" w:cs="Times New Roman"/>
                <w:noProof/>
              </w:rPr>
            </w:pPr>
            <w:r>
              <w:rPr>
                <w:noProof/>
              </w:rPr>
              <w:t>368</w:t>
            </w:r>
          </w:p>
        </w:tc>
        <w:tc>
          <w:tcPr>
            <w:tcW w:w="821" w:type="dxa"/>
            <w:tcBorders>
              <w:top w:val="single" w:sz="4" w:space="0" w:color="auto"/>
              <w:left w:val="nil"/>
              <w:bottom w:val="single" w:sz="4" w:space="0" w:color="auto"/>
              <w:right w:val="single" w:sz="4" w:space="0" w:color="auto"/>
            </w:tcBorders>
            <w:shd w:val="clear" w:color="auto" w:fill="C6EFCE"/>
            <w:noWrap/>
          </w:tcPr>
          <w:p w14:paraId="21053F9D" w14:textId="77777777" w:rsidR="003A3D51" w:rsidRDefault="0002775A">
            <w:pPr>
              <w:pStyle w:val="P68B1DB1-Normal7"/>
              <w:spacing w:after="200" w:line="276" w:lineRule="auto"/>
              <w:jc w:val="center"/>
              <w:rPr>
                <w:rFonts w:ascii="Times New Roman" w:hAnsi="Times New Roman" w:cs="Times New Roman"/>
                <w:noProof/>
              </w:rPr>
            </w:pPr>
            <w:r>
              <w:rPr>
                <w:noProof/>
              </w:rPr>
              <w:t>C6.1 R5</w:t>
            </w:r>
          </w:p>
        </w:tc>
        <w:tc>
          <w:tcPr>
            <w:tcW w:w="848" w:type="dxa"/>
            <w:tcBorders>
              <w:top w:val="single" w:sz="4" w:space="0" w:color="auto"/>
              <w:left w:val="nil"/>
              <w:bottom w:val="single" w:sz="4" w:space="0" w:color="auto"/>
              <w:right w:val="single" w:sz="4" w:space="0" w:color="auto"/>
            </w:tcBorders>
            <w:shd w:val="clear" w:color="auto" w:fill="C6EFCE"/>
            <w:noWrap/>
          </w:tcPr>
          <w:p w14:paraId="6166320A"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289A98D4" w14:textId="77777777" w:rsidR="003A3D51" w:rsidRDefault="0002775A">
            <w:pPr>
              <w:pStyle w:val="P68B1DB1-Normal7"/>
              <w:spacing w:after="200" w:line="276" w:lineRule="auto"/>
              <w:rPr>
                <w:rFonts w:ascii="Times New Roman" w:hAnsi="Times New Roman" w:cs="Times New Roman"/>
                <w:noProof/>
              </w:rPr>
            </w:pPr>
            <w:r>
              <w:rPr>
                <w:noProof/>
              </w:rPr>
              <w:t>Antagande av programmet för cirkulär förvaltning av rymden och byggnader för perioden 2021–2030 och programmet för utveckling av grön infrastruktur i städer för perioden 2021–2030</w:t>
            </w:r>
          </w:p>
        </w:tc>
        <w:tc>
          <w:tcPr>
            <w:tcW w:w="2288" w:type="dxa"/>
            <w:tcBorders>
              <w:top w:val="single" w:sz="4" w:space="0" w:color="auto"/>
              <w:left w:val="nil"/>
              <w:bottom w:val="single" w:sz="4" w:space="0" w:color="auto"/>
              <w:right w:val="single" w:sz="4" w:space="0" w:color="auto"/>
            </w:tcBorders>
            <w:shd w:val="clear" w:color="auto" w:fill="C6EFCE"/>
            <w:noWrap/>
          </w:tcPr>
          <w:p w14:paraId="4DE5C5C5"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 på den officiella webbplatsen för ministeriet för fysisk planering, byggnation och statliga tillgångar </w:t>
            </w:r>
          </w:p>
        </w:tc>
        <w:tc>
          <w:tcPr>
            <w:tcW w:w="1067" w:type="dxa"/>
            <w:tcBorders>
              <w:top w:val="single" w:sz="4" w:space="0" w:color="auto"/>
              <w:left w:val="nil"/>
              <w:bottom w:val="single" w:sz="4" w:space="0" w:color="auto"/>
              <w:right w:val="single" w:sz="4" w:space="0" w:color="auto"/>
            </w:tcBorders>
            <w:shd w:val="clear" w:color="auto" w:fill="C6EFCE"/>
            <w:noWrap/>
          </w:tcPr>
          <w:p w14:paraId="02E0FEB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0C989EC1"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560F17A6"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1C0B1B5B"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7125375D" w14:textId="77777777" w:rsidR="003A3D51" w:rsidRDefault="0002775A">
            <w:pPr>
              <w:pStyle w:val="P68B1DB1-Normal7"/>
              <w:spacing w:after="200" w:line="276" w:lineRule="auto"/>
              <w:jc w:val="center"/>
              <w:rPr>
                <w:rFonts w:ascii="Times New Roman" w:hAnsi="Times New Roman" w:cs="Times New Roman"/>
                <w:noProof/>
              </w:rPr>
            </w:pPr>
            <w:r>
              <w:rPr>
                <w:noProof/>
              </w:rPr>
              <w:t>2021</w:t>
            </w:r>
          </w:p>
        </w:tc>
        <w:tc>
          <w:tcPr>
            <w:tcW w:w="4100" w:type="dxa"/>
            <w:tcBorders>
              <w:top w:val="single" w:sz="4" w:space="0" w:color="auto"/>
              <w:left w:val="nil"/>
              <w:bottom w:val="single" w:sz="4" w:space="0" w:color="auto"/>
              <w:right w:val="single" w:sz="4" w:space="0" w:color="auto"/>
            </w:tcBorders>
            <w:shd w:val="clear" w:color="auto" w:fill="C6EFCE"/>
            <w:noWrap/>
          </w:tcPr>
          <w:p w14:paraId="3BC9EBAA" w14:textId="77777777" w:rsidR="003A3D51" w:rsidRDefault="0002775A">
            <w:pPr>
              <w:pStyle w:val="P68B1DB1-Normal7"/>
              <w:spacing w:after="200" w:line="276" w:lineRule="auto"/>
              <w:rPr>
                <w:rFonts w:ascii="Times New Roman" w:hAnsi="Times New Roman" w:cs="Times New Roman"/>
                <w:noProof/>
              </w:rPr>
            </w:pPr>
            <w:r>
              <w:rPr>
                <w:noProof/>
              </w:rPr>
              <w:t>Programmet för cirkulär förvaltning av rymden och byggnader för perioden 2021–2030, som ska antas av regeringen, ska fastställa mål och åtgärder för cirkulär förvaltning av utrymmen och byggnader som bland annat uppmuntrar cirkularitetsåtgärder vid planering av nya byggnader, återanvändning av övergivna byggnader och förlängning av hållbarheten hos befintliga utrymmen och byggnader, ökad energi- och resurseffektivitet i byggnader och användning av förnybara energikällor, återanvändning av byggprodukter och byggmaterial, för en effektiv användning av rumsliga resurser och minskad generering av byggnadsavfall i linje med den uppdaterade avfallshanteringsplanen, som en grund för utarbetandet av gröna strategier för stadsförnyelse.</w:t>
            </w:r>
            <w:r>
              <w:rPr>
                <w:noProof/>
              </w:rPr>
              <w:br/>
            </w:r>
            <w:r>
              <w:rPr>
                <w:noProof/>
              </w:rPr>
              <w:br/>
              <w:t>Programmet för utveckling av grön infrastruktur i städer för perioden 2021–2030, som ska antas av regeringen, ska innehålla en beskrivning av de mål och åtgärder som bidrar till att begränsa klimatförändringarna och minska effekterna av värmeöar, minska utsläppen av växthusgaser, förbättra livskvaliteten och boendekvaliteten i städer, förbättra människors hälsa, förbättra kvaliteten i stadsområden genom omvandling av underutnyttjad och övergiven mark, främja gröna investeringar, stödja återställande och bevarande av arter och livsmiljöer enligt art- och habitatdirektiven i linje med EU:s strategi för biologisk mångfald för 2030 och skapandet av nya arbetstillfällen och energibesparingar, vilket ska ligga till grund för utarbetandet av strategier för grön förnyelse av städer.</w:t>
            </w:r>
          </w:p>
        </w:tc>
      </w:tr>
      <w:tr w:rsidR="003A3D51" w14:paraId="549F07C5"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E178F88" w14:textId="77777777" w:rsidR="003A3D51" w:rsidRDefault="0002775A">
            <w:pPr>
              <w:pStyle w:val="P68B1DB1-Normal7"/>
              <w:spacing w:after="200" w:line="276" w:lineRule="auto"/>
              <w:jc w:val="center"/>
              <w:rPr>
                <w:rFonts w:ascii="Times New Roman" w:hAnsi="Times New Roman" w:cs="Times New Roman"/>
                <w:noProof/>
              </w:rPr>
            </w:pPr>
            <w:r>
              <w:rPr>
                <w:noProof/>
              </w:rPr>
              <w:t>369</w:t>
            </w:r>
          </w:p>
        </w:tc>
        <w:tc>
          <w:tcPr>
            <w:tcW w:w="821" w:type="dxa"/>
            <w:tcBorders>
              <w:top w:val="single" w:sz="4" w:space="0" w:color="auto"/>
              <w:left w:val="nil"/>
              <w:bottom w:val="single" w:sz="4" w:space="0" w:color="auto"/>
              <w:right w:val="single" w:sz="4" w:space="0" w:color="auto"/>
            </w:tcBorders>
            <w:shd w:val="clear" w:color="auto" w:fill="C6EFCE"/>
            <w:noWrap/>
          </w:tcPr>
          <w:p w14:paraId="68EA4C5D" w14:textId="77777777" w:rsidR="003A3D51" w:rsidRDefault="0002775A">
            <w:pPr>
              <w:pStyle w:val="P68B1DB1-Normal7"/>
              <w:spacing w:after="200" w:line="276" w:lineRule="auto"/>
              <w:jc w:val="center"/>
              <w:rPr>
                <w:rFonts w:ascii="Times New Roman" w:hAnsi="Times New Roman" w:cs="Times New Roman"/>
                <w:noProof/>
              </w:rPr>
            </w:pPr>
            <w:r>
              <w:rPr>
                <w:noProof/>
              </w:rPr>
              <w:t>C6.1 R5</w:t>
            </w:r>
          </w:p>
        </w:tc>
        <w:tc>
          <w:tcPr>
            <w:tcW w:w="848" w:type="dxa"/>
            <w:tcBorders>
              <w:top w:val="single" w:sz="4" w:space="0" w:color="auto"/>
              <w:left w:val="nil"/>
              <w:bottom w:val="single" w:sz="4" w:space="0" w:color="auto"/>
              <w:right w:val="single" w:sz="4" w:space="0" w:color="auto"/>
            </w:tcBorders>
            <w:shd w:val="clear" w:color="auto" w:fill="C6EFCE"/>
            <w:noWrap/>
          </w:tcPr>
          <w:p w14:paraId="7F8084A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006D8743"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strategier för grön stadsförnyelse </w:t>
            </w:r>
          </w:p>
        </w:tc>
        <w:tc>
          <w:tcPr>
            <w:tcW w:w="2288" w:type="dxa"/>
            <w:tcBorders>
              <w:top w:val="single" w:sz="4" w:space="0" w:color="auto"/>
              <w:left w:val="nil"/>
              <w:bottom w:val="single" w:sz="4" w:space="0" w:color="auto"/>
              <w:right w:val="single" w:sz="4" w:space="0" w:color="auto"/>
            </w:tcBorders>
            <w:shd w:val="clear" w:color="auto" w:fill="C6EFCE"/>
            <w:noWrap/>
          </w:tcPr>
          <w:p w14:paraId="04EAB63D"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3B5DEBAC"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1D26FC96"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7BB4CB93" w14:textId="77777777" w:rsidR="003A3D51" w:rsidRDefault="0002775A">
            <w:pPr>
              <w:pStyle w:val="P68B1DB1-Normal7"/>
              <w:spacing w:after="200" w:line="276" w:lineRule="auto"/>
              <w:jc w:val="center"/>
              <w:rPr>
                <w:rFonts w:ascii="Times New Roman" w:hAnsi="Times New Roman" w:cs="Times New Roman"/>
                <w:noProof/>
              </w:rPr>
            </w:pPr>
            <w:r>
              <w:rPr>
                <w:noProof/>
              </w:rPr>
              <w:t>10</w:t>
            </w:r>
          </w:p>
        </w:tc>
        <w:tc>
          <w:tcPr>
            <w:tcW w:w="424" w:type="dxa"/>
            <w:tcBorders>
              <w:top w:val="single" w:sz="4" w:space="0" w:color="auto"/>
              <w:left w:val="nil"/>
              <w:bottom w:val="single" w:sz="4" w:space="0" w:color="auto"/>
              <w:right w:val="single" w:sz="4" w:space="0" w:color="auto"/>
            </w:tcBorders>
            <w:shd w:val="clear" w:color="auto" w:fill="C6EFCE"/>
            <w:noWrap/>
          </w:tcPr>
          <w:p w14:paraId="61F2B25F"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36B1DCF9"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4100" w:type="dxa"/>
            <w:tcBorders>
              <w:top w:val="single" w:sz="4" w:space="0" w:color="auto"/>
              <w:left w:val="nil"/>
              <w:bottom w:val="single" w:sz="4" w:space="0" w:color="auto"/>
              <w:right w:val="single" w:sz="4" w:space="0" w:color="auto"/>
            </w:tcBorders>
            <w:shd w:val="clear" w:color="auto" w:fill="C6EFCE"/>
            <w:noWrap/>
          </w:tcPr>
          <w:p w14:paraId="60771CF7" w14:textId="77777777" w:rsidR="003A3D51" w:rsidRDefault="0002775A">
            <w:pPr>
              <w:pStyle w:val="P68B1DB1-Normal7"/>
              <w:spacing w:after="200" w:line="276" w:lineRule="auto"/>
              <w:rPr>
                <w:rFonts w:ascii="Times New Roman" w:hAnsi="Times New Roman" w:cs="Times New Roman"/>
                <w:noProof/>
              </w:rPr>
            </w:pPr>
            <w:r>
              <w:rPr>
                <w:noProof/>
              </w:rPr>
              <w:t>Antagande av minst 10 gröna strategier för stadsförnyelse för att lägga grunden för utvecklingen av hållbara områden, med fokus på att utveckla grön stadsinfrastruktur och integrera naturbaserade lösningar, integrera modeller för cirkulär förvaltning av utrymmen och byggnader, stärka motståndskraften mot risker och klimatförändringar och stödja den övergripande hållbara utvecklingen.</w:t>
            </w:r>
          </w:p>
        </w:tc>
      </w:tr>
      <w:tr w:rsidR="003A3D51" w14:paraId="38B0E0B5"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3F9FAD0" w14:textId="77777777" w:rsidR="003A3D51" w:rsidRDefault="0002775A">
            <w:pPr>
              <w:pStyle w:val="P68B1DB1-Normal7"/>
              <w:spacing w:after="200" w:line="276" w:lineRule="auto"/>
              <w:jc w:val="center"/>
              <w:rPr>
                <w:rFonts w:ascii="Times New Roman" w:hAnsi="Times New Roman" w:cs="Times New Roman"/>
                <w:noProof/>
              </w:rPr>
            </w:pPr>
            <w:r>
              <w:rPr>
                <w:noProof/>
              </w:rPr>
              <w:t>370</w:t>
            </w:r>
          </w:p>
        </w:tc>
        <w:tc>
          <w:tcPr>
            <w:tcW w:w="821" w:type="dxa"/>
            <w:tcBorders>
              <w:top w:val="single" w:sz="4" w:space="0" w:color="auto"/>
              <w:left w:val="nil"/>
              <w:bottom w:val="single" w:sz="4" w:space="0" w:color="auto"/>
              <w:right w:val="single" w:sz="4" w:space="0" w:color="auto"/>
            </w:tcBorders>
            <w:shd w:val="clear" w:color="auto" w:fill="C6EFCE"/>
            <w:noWrap/>
          </w:tcPr>
          <w:p w14:paraId="5817ED21" w14:textId="77777777" w:rsidR="003A3D51" w:rsidRDefault="0002775A">
            <w:pPr>
              <w:pStyle w:val="P68B1DB1-Normal7"/>
              <w:spacing w:after="200" w:line="276" w:lineRule="auto"/>
              <w:jc w:val="center"/>
              <w:rPr>
                <w:rFonts w:ascii="Times New Roman" w:hAnsi="Times New Roman" w:cs="Times New Roman"/>
                <w:noProof/>
              </w:rPr>
            </w:pPr>
            <w:r>
              <w:rPr>
                <w:noProof/>
              </w:rPr>
              <w:t>C6.1 R5</w:t>
            </w:r>
          </w:p>
        </w:tc>
        <w:tc>
          <w:tcPr>
            <w:tcW w:w="848" w:type="dxa"/>
            <w:tcBorders>
              <w:top w:val="single" w:sz="4" w:space="0" w:color="auto"/>
              <w:left w:val="nil"/>
              <w:bottom w:val="single" w:sz="4" w:space="0" w:color="auto"/>
              <w:right w:val="single" w:sz="4" w:space="0" w:color="auto"/>
            </w:tcBorders>
            <w:shd w:val="clear" w:color="auto" w:fill="C6EFCE"/>
            <w:noWrap/>
          </w:tcPr>
          <w:p w14:paraId="28F0F6A9"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093" w:type="dxa"/>
            <w:tcBorders>
              <w:top w:val="single" w:sz="4" w:space="0" w:color="auto"/>
              <w:left w:val="nil"/>
              <w:bottom w:val="single" w:sz="4" w:space="0" w:color="auto"/>
              <w:right w:val="single" w:sz="4" w:space="0" w:color="auto"/>
            </w:tcBorders>
            <w:shd w:val="clear" w:color="auto" w:fill="C6EFCE"/>
            <w:noWrap/>
          </w:tcPr>
          <w:p w14:paraId="3F338BE9" w14:textId="77777777" w:rsidR="003A3D51" w:rsidRDefault="0002775A">
            <w:pPr>
              <w:pStyle w:val="P68B1DB1-Normal7"/>
              <w:spacing w:after="200" w:line="276" w:lineRule="auto"/>
              <w:rPr>
                <w:rFonts w:ascii="Times New Roman" w:hAnsi="Times New Roman" w:cs="Times New Roman"/>
                <w:noProof/>
              </w:rPr>
            </w:pPr>
            <w:r>
              <w:rPr>
                <w:noProof/>
              </w:rPr>
              <w:t>Genomförandet av ett pilotprojekt som identifierats genom strategier för grön stadsförnyelse och som är kopplat till de nationella programmen för grön infrastruktur och cirkulär förvaltning av utrymmen och byggnader.</w:t>
            </w:r>
          </w:p>
        </w:tc>
        <w:tc>
          <w:tcPr>
            <w:tcW w:w="2288" w:type="dxa"/>
            <w:tcBorders>
              <w:top w:val="single" w:sz="4" w:space="0" w:color="auto"/>
              <w:left w:val="nil"/>
              <w:bottom w:val="single" w:sz="4" w:space="0" w:color="auto"/>
              <w:right w:val="single" w:sz="4" w:space="0" w:color="auto"/>
            </w:tcBorders>
            <w:shd w:val="clear" w:color="auto" w:fill="C6EFCE"/>
            <w:noWrap/>
          </w:tcPr>
          <w:p w14:paraId="378B2D4E" w14:textId="77777777" w:rsidR="003A3D51" w:rsidRDefault="0002775A">
            <w:pPr>
              <w:pStyle w:val="P68B1DB1-Normal7"/>
              <w:spacing w:after="200" w:line="276" w:lineRule="auto"/>
              <w:rPr>
                <w:rFonts w:ascii="Times New Roman" w:hAnsi="Times New Roman" w:cs="Times New Roman"/>
                <w:noProof/>
              </w:rPr>
            </w:pPr>
            <w:r>
              <w:rPr>
                <w:noProof/>
              </w:rPr>
              <w:t> </w:t>
            </w:r>
          </w:p>
        </w:tc>
        <w:tc>
          <w:tcPr>
            <w:tcW w:w="1067" w:type="dxa"/>
            <w:tcBorders>
              <w:top w:val="single" w:sz="4" w:space="0" w:color="auto"/>
              <w:left w:val="nil"/>
              <w:bottom w:val="single" w:sz="4" w:space="0" w:color="auto"/>
              <w:right w:val="single" w:sz="4" w:space="0" w:color="auto"/>
            </w:tcBorders>
            <w:shd w:val="clear" w:color="auto" w:fill="C6EFCE"/>
            <w:noWrap/>
          </w:tcPr>
          <w:p w14:paraId="7155E3FF"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707" w:type="dxa"/>
            <w:tcBorders>
              <w:top w:val="single" w:sz="4" w:space="0" w:color="auto"/>
              <w:left w:val="nil"/>
              <w:bottom w:val="single" w:sz="4" w:space="0" w:color="auto"/>
              <w:right w:val="single" w:sz="4" w:space="0" w:color="auto"/>
            </w:tcBorders>
            <w:shd w:val="clear" w:color="auto" w:fill="C6EFCE"/>
            <w:noWrap/>
          </w:tcPr>
          <w:p w14:paraId="0718A59A"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1356" w:type="dxa"/>
            <w:tcBorders>
              <w:top w:val="single" w:sz="4" w:space="0" w:color="auto"/>
              <w:left w:val="nil"/>
              <w:bottom w:val="single" w:sz="4" w:space="0" w:color="auto"/>
              <w:right w:val="single" w:sz="4" w:space="0" w:color="auto"/>
            </w:tcBorders>
            <w:shd w:val="clear" w:color="auto" w:fill="C6EFCE"/>
            <w:noWrap/>
          </w:tcPr>
          <w:p w14:paraId="5795B114" w14:textId="77777777" w:rsidR="003A3D51" w:rsidRDefault="0002775A">
            <w:pPr>
              <w:pStyle w:val="P68B1DB1-Normal7"/>
              <w:spacing w:after="200" w:line="276" w:lineRule="auto"/>
              <w:jc w:val="center"/>
              <w:rPr>
                <w:rFonts w:ascii="Times New Roman" w:hAnsi="Times New Roman" w:cs="Times New Roman"/>
                <w:noProof/>
              </w:rPr>
            </w:pPr>
            <w:r>
              <w:rPr>
                <w:noProof/>
              </w:rPr>
              <w:t>1</w:t>
            </w:r>
          </w:p>
        </w:tc>
        <w:tc>
          <w:tcPr>
            <w:tcW w:w="424" w:type="dxa"/>
            <w:tcBorders>
              <w:top w:val="single" w:sz="4" w:space="0" w:color="auto"/>
              <w:left w:val="nil"/>
              <w:bottom w:val="single" w:sz="4" w:space="0" w:color="auto"/>
              <w:right w:val="single" w:sz="4" w:space="0" w:color="auto"/>
            </w:tcBorders>
            <w:shd w:val="clear" w:color="auto" w:fill="C6EFCE"/>
            <w:noWrap/>
          </w:tcPr>
          <w:p w14:paraId="24B72595"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641" w:type="dxa"/>
            <w:tcBorders>
              <w:top w:val="single" w:sz="4" w:space="0" w:color="auto"/>
              <w:left w:val="nil"/>
              <w:bottom w:val="single" w:sz="4" w:space="0" w:color="auto"/>
              <w:right w:val="single" w:sz="4" w:space="0" w:color="auto"/>
            </w:tcBorders>
            <w:shd w:val="clear" w:color="auto" w:fill="C6EFCE"/>
            <w:noWrap/>
          </w:tcPr>
          <w:p w14:paraId="21298C63"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4100" w:type="dxa"/>
            <w:tcBorders>
              <w:top w:val="single" w:sz="4" w:space="0" w:color="auto"/>
              <w:left w:val="nil"/>
              <w:bottom w:val="single" w:sz="4" w:space="0" w:color="auto"/>
              <w:right w:val="single" w:sz="4" w:space="0" w:color="auto"/>
            </w:tcBorders>
            <w:shd w:val="clear" w:color="auto" w:fill="C6EFCE"/>
            <w:noWrap/>
          </w:tcPr>
          <w:p w14:paraId="51FB81D6" w14:textId="77777777" w:rsidR="003A3D51" w:rsidRDefault="0002775A">
            <w:pPr>
              <w:pStyle w:val="P68B1DB1-Normal7"/>
              <w:spacing w:after="200" w:line="276" w:lineRule="auto"/>
              <w:rPr>
                <w:rFonts w:ascii="Times New Roman" w:hAnsi="Times New Roman" w:cs="Times New Roman"/>
                <w:noProof/>
              </w:rPr>
            </w:pPr>
            <w:r>
              <w:rPr>
                <w:noProof/>
              </w:rPr>
              <w:t>Genomförande av minst ett pilotprojekt som identifierats genom strategier för grön stadsförnyelse och som är kopplat till de nationella programmen för grön infrastruktur och cirkulär förvaltning av utrymmen och byggnader.</w:t>
            </w:r>
          </w:p>
        </w:tc>
      </w:tr>
      <w:tr w:rsidR="003A3D51" w14:paraId="1778D3F3"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74A96428" w14:textId="77777777" w:rsidR="003A3D51" w:rsidRDefault="0002775A">
            <w:pPr>
              <w:pStyle w:val="P68B1DB1-Normal7"/>
              <w:spacing w:after="200" w:line="276" w:lineRule="auto"/>
              <w:jc w:val="center"/>
              <w:rPr>
                <w:rFonts w:ascii="Times New Roman" w:hAnsi="Times New Roman" w:cs="Times New Roman"/>
                <w:noProof/>
              </w:rPr>
            </w:pPr>
            <w:r>
              <w:rPr>
                <w:noProof/>
              </w:rPr>
              <w:t>371</w:t>
            </w:r>
          </w:p>
        </w:tc>
        <w:tc>
          <w:tcPr>
            <w:tcW w:w="821" w:type="dxa"/>
            <w:tcBorders>
              <w:top w:val="single" w:sz="4" w:space="0" w:color="auto"/>
              <w:left w:val="nil"/>
              <w:bottom w:val="single" w:sz="4" w:space="0" w:color="auto"/>
              <w:right w:val="single" w:sz="4" w:space="0" w:color="auto"/>
            </w:tcBorders>
            <w:shd w:val="clear" w:color="auto" w:fill="C6EFCE"/>
            <w:noWrap/>
          </w:tcPr>
          <w:p w14:paraId="21743BA8" w14:textId="77777777" w:rsidR="003A3D51" w:rsidRDefault="0002775A">
            <w:pPr>
              <w:pStyle w:val="P68B1DB1-Normal7"/>
              <w:spacing w:after="200" w:line="276" w:lineRule="auto"/>
              <w:jc w:val="center"/>
              <w:rPr>
                <w:rFonts w:ascii="Times New Roman" w:hAnsi="Times New Roman" w:cs="Times New Roman"/>
                <w:noProof/>
              </w:rPr>
            </w:pPr>
            <w:r>
              <w:rPr>
                <w:noProof/>
              </w:rPr>
              <w:t>C6.1 R6</w:t>
            </w:r>
          </w:p>
        </w:tc>
        <w:tc>
          <w:tcPr>
            <w:tcW w:w="848" w:type="dxa"/>
            <w:tcBorders>
              <w:top w:val="single" w:sz="4" w:space="0" w:color="auto"/>
              <w:left w:val="nil"/>
              <w:bottom w:val="single" w:sz="4" w:space="0" w:color="auto"/>
              <w:right w:val="single" w:sz="4" w:space="0" w:color="auto"/>
            </w:tcBorders>
            <w:shd w:val="clear" w:color="auto" w:fill="C6EFCE"/>
            <w:noWrap/>
          </w:tcPr>
          <w:p w14:paraId="03216FE1"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34CDC808" w14:textId="77777777" w:rsidR="003A3D51" w:rsidRDefault="0002775A">
            <w:pPr>
              <w:pStyle w:val="P68B1DB1-Normal7"/>
              <w:spacing w:after="200" w:line="276" w:lineRule="auto"/>
              <w:rPr>
                <w:rFonts w:ascii="Times New Roman" w:hAnsi="Times New Roman" w:cs="Times New Roman"/>
                <w:noProof/>
              </w:rPr>
            </w:pPr>
            <w:r>
              <w:rPr>
                <w:noProof/>
              </w:rPr>
              <w:t xml:space="preserve">Framgångsrikt slutfört ett pilotprojekt för systematisk energiförvaltning i syfte att testa en ny finansieringsmodell för energieffektivitetsrenovering </w:t>
            </w:r>
          </w:p>
        </w:tc>
        <w:tc>
          <w:tcPr>
            <w:tcW w:w="2288" w:type="dxa"/>
            <w:tcBorders>
              <w:top w:val="single" w:sz="4" w:space="0" w:color="auto"/>
              <w:left w:val="nil"/>
              <w:bottom w:val="single" w:sz="4" w:space="0" w:color="auto"/>
              <w:right w:val="single" w:sz="4" w:space="0" w:color="auto"/>
            </w:tcBorders>
            <w:shd w:val="clear" w:color="auto" w:fill="C6EFCE"/>
            <w:noWrap/>
          </w:tcPr>
          <w:p w14:paraId="557FA4B6"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 av ett slutfört pilotprojekt på den officiella webbplatsen för ministeriet för fysisk planering, byggnation och statliga tillgångar </w:t>
            </w:r>
            <w:r>
              <w:rPr>
                <w:noProof/>
              </w:rPr>
              <w:br/>
              <w:t xml:space="preserve"> </w:t>
            </w:r>
          </w:p>
        </w:tc>
        <w:tc>
          <w:tcPr>
            <w:tcW w:w="1067" w:type="dxa"/>
            <w:tcBorders>
              <w:top w:val="single" w:sz="4" w:space="0" w:color="auto"/>
              <w:left w:val="nil"/>
              <w:bottom w:val="single" w:sz="4" w:space="0" w:color="auto"/>
              <w:right w:val="single" w:sz="4" w:space="0" w:color="auto"/>
            </w:tcBorders>
            <w:shd w:val="clear" w:color="auto" w:fill="C6EFCE"/>
            <w:noWrap/>
          </w:tcPr>
          <w:p w14:paraId="1CDEC7BD"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29A16D89"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30F3EC60"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18BFDCEB"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138AE623" w14:textId="77777777" w:rsidR="003A3D51" w:rsidRDefault="0002775A">
            <w:pPr>
              <w:pStyle w:val="P68B1DB1-Normal7"/>
              <w:spacing w:after="200" w:line="276" w:lineRule="auto"/>
              <w:jc w:val="center"/>
              <w:rPr>
                <w:rFonts w:ascii="Times New Roman" w:hAnsi="Times New Roman" w:cs="Times New Roman"/>
                <w:noProof/>
              </w:rPr>
            </w:pPr>
            <w:r>
              <w:rPr>
                <w:noProof/>
              </w:rPr>
              <w:t>2023</w:t>
            </w:r>
          </w:p>
        </w:tc>
        <w:tc>
          <w:tcPr>
            <w:tcW w:w="4100" w:type="dxa"/>
            <w:tcBorders>
              <w:top w:val="single" w:sz="4" w:space="0" w:color="auto"/>
              <w:left w:val="nil"/>
              <w:bottom w:val="single" w:sz="4" w:space="0" w:color="auto"/>
              <w:right w:val="single" w:sz="4" w:space="0" w:color="auto"/>
            </w:tcBorders>
            <w:shd w:val="clear" w:color="auto" w:fill="C6EFCE"/>
            <w:noWrap/>
          </w:tcPr>
          <w:p w14:paraId="52AB7A1F" w14:textId="77777777" w:rsidR="003A3D51" w:rsidRDefault="0002775A">
            <w:pPr>
              <w:pStyle w:val="P68B1DB1-Normal7"/>
              <w:spacing w:after="200" w:line="276" w:lineRule="auto"/>
              <w:rPr>
                <w:rFonts w:ascii="Times New Roman" w:hAnsi="Times New Roman" w:cs="Times New Roman"/>
                <w:noProof/>
              </w:rPr>
            </w:pPr>
            <w:r>
              <w:rPr>
                <w:noProof/>
              </w:rPr>
              <w:t xml:space="preserve">Efter en offentlig inbjudan ska ministeriet för fysisk planering, byggande och statliga tillgångar i samarbete med Kroatiens statliga fastighetsbyrå genomföra ett pilotprojekt som omfattar alla energi- och vattenförbrukningssektorer i den lokala pilotenheten genom att inrätta automatisk datainsamling om energi- och vattenförbrukning i flerbostadshus i det valda pilotområdet. </w:t>
            </w:r>
            <w:r>
              <w:rPr>
                <w:noProof/>
              </w:rPr>
              <w:br/>
              <w:t xml:space="preserve">Syftet med pilotprojektet är att uppnå energi- och vattenbesparingar genom att inrätta och genomföra systematisk energiförvaltning och göra det möjligt att testa genomförandemöjligheterna för den nya finansieringsmodellen för energirenovering av flerbostadshus, inbegripet en kostnads-nyttoanalys för dess tillämpning på nationell nivå. </w:t>
            </w:r>
            <w:r>
              <w:rPr>
                <w:noProof/>
              </w:rPr>
              <w:br/>
              <w:t xml:space="preserve">På grundval av pilotprojektets riktlinjer för tillämpningen av energiförbrukningshanteringen för flerbostadshus på nationell nivå ska det utarbetas riktlinjer. </w:t>
            </w:r>
          </w:p>
        </w:tc>
      </w:tr>
      <w:tr w:rsidR="003A3D51" w14:paraId="4F222385" w14:textId="77777777">
        <w:trPr>
          <w:trHeight w:val="283"/>
          <w:jc w:val="center"/>
        </w:trPr>
        <w:tc>
          <w:tcPr>
            <w:tcW w:w="708" w:type="dxa"/>
            <w:tcBorders>
              <w:top w:val="single" w:sz="4" w:space="0" w:color="auto"/>
              <w:left w:val="single" w:sz="4" w:space="0" w:color="auto"/>
              <w:bottom w:val="single" w:sz="4" w:space="0" w:color="auto"/>
              <w:right w:val="single" w:sz="4" w:space="0" w:color="auto"/>
            </w:tcBorders>
            <w:shd w:val="clear" w:color="auto" w:fill="C6EFCE"/>
            <w:noWrap/>
          </w:tcPr>
          <w:p w14:paraId="1167DF35" w14:textId="77777777" w:rsidR="003A3D51" w:rsidRDefault="0002775A">
            <w:pPr>
              <w:pStyle w:val="P68B1DB1-Normal7"/>
              <w:spacing w:after="200" w:line="276" w:lineRule="auto"/>
              <w:jc w:val="center"/>
              <w:rPr>
                <w:rFonts w:ascii="Times New Roman" w:hAnsi="Times New Roman" w:cs="Times New Roman"/>
                <w:noProof/>
              </w:rPr>
            </w:pPr>
            <w:r>
              <w:rPr>
                <w:noProof/>
              </w:rPr>
              <w:t>372</w:t>
            </w:r>
          </w:p>
        </w:tc>
        <w:tc>
          <w:tcPr>
            <w:tcW w:w="821" w:type="dxa"/>
            <w:tcBorders>
              <w:top w:val="single" w:sz="4" w:space="0" w:color="auto"/>
              <w:left w:val="nil"/>
              <w:bottom w:val="single" w:sz="4" w:space="0" w:color="auto"/>
              <w:right w:val="single" w:sz="4" w:space="0" w:color="auto"/>
            </w:tcBorders>
            <w:shd w:val="clear" w:color="auto" w:fill="C6EFCE"/>
            <w:noWrap/>
          </w:tcPr>
          <w:p w14:paraId="58EAA422" w14:textId="77777777" w:rsidR="003A3D51" w:rsidRDefault="0002775A">
            <w:pPr>
              <w:pStyle w:val="P68B1DB1-Normal7"/>
              <w:spacing w:after="200" w:line="276" w:lineRule="auto"/>
              <w:jc w:val="center"/>
              <w:rPr>
                <w:rFonts w:ascii="Times New Roman" w:hAnsi="Times New Roman" w:cs="Times New Roman"/>
                <w:noProof/>
              </w:rPr>
            </w:pPr>
            <w:r>
              <w:rPr>
                <w:noProof/>
              </w:rPr>
              <w:t>C6.1 R6</w:t>
            </w:r>
          </w:p>
        </w:tc>
        <w:tc>
          <w:tcPr>
            <w:tcW w:w="848" w:type="dxa"/>
            <w:tcBorders>
              <w:top w:val="single" w:sz="4" w:space="0" w:color="auto"/>
              <w:left w:val="nil"/>
              <w:bottom w:val="single" w:sz="4" w:space="0" w:color="auto"/>
              <w:right w:val="single" w:sz="4" w:space="0" w:color="auto"/>
            </w:tcBorders>
            <w:shd w:val="clear" w:color="auto" w:fill="C6EFCE"/>
            <w:noWrap/>
          </w:tcPr>
          <w:p w14:paraId="3CA788D0" w14:textId="77777777" w:rsidR="003A3D51" w:rsidRDefault="0002775A">
            <w:pPr>
              <w:pStyle w:val="P68B1DB1-Normal7"/>
              <w:spacing w:after="200" w:line="276" w:lineRule="auto"/>
              <w:jc w:val="center"/>
              <w:rPr>
                <w:rFonts w:ascii="Times New Roman" w:hAnsi="Times New Roman" w:cs="Times New Roman"/>
                <w:noProof/>
              </w:rPr>
            </w:pPr>
            <w:r>
              <w:rPr>
                <w:noProof/>
              </w:rPr>
              <w:t>M</w:t>
            </w:r>
          </w:p>
        </w:tc>
        <w:tc>
          <w:tcPr>
            <w:tcW w:w="2093" w:type="dxa"/>
            <w:tcBorders>
              <w:top w:val="single" w:sz="4" w:space="0" w:color="auto"/>
              <w:left w:val="nil"/>
              <w:bottom w:val="single" w:sz="4" w:space="0" w:color="auto"/>
              <w:right w:val="single" w:sz="4" w:space="0" w:color="auto"/>
            </w:tcBorders>
            <w:shd w:val="clear" w:color="auto" w:fill="C6EFCE"/>
            <w:noWrap/>
          </w:tcPr>
          <w:p w14:paraId="023872F3" w14:textId="77777777" w:rsidR="003A3D51" w:rsidRDefault="0002775A">
            <w:pPr>
              <w:pStyle w:val="P68B1DB1-Normal7"/>
              <w:spacing w:after="200" w:line="276" w:lineRule="auto"/>
              <w:rPr>
                <w:rFonts w:ascii="Times New Roman" w:hAnsi="Times New Roman" w:cs="Times New Roman"/>
                <w:noProof/>
              </w:rPr>
            </w:pPr>
            <w:r>
              <w:rPr>
                <w:noProof/>
              </w:rPr>
              <w:t xml:space="preserve">Antagande av riktlinjer för tillämpning av en modell för övervakning av energiförbrukningen i flerbostadshus </w:t>
            </w:r>
          </w:p>
        </w:tc>
        <w:tc>
          <w:tcPr>
            <w:tcW w:w="2288" w:type="dxa"/>
            <w:tcBorders>
              <w:top w:val="single" w:sz="4" w:space="0" w:color="auto"/>
              <w:left w:val="nil"/>
              <w:bottom w:val="single" w:sz="4" w:space="0" w:color="auto"/>
              <w:right w:val="single" w:sz="4" w:space="0" w:color="auto"/>
            </w:tcBorders>
            <w:shd w:val="clear" w:color="auto" w:fill="C6EFCE"/>
            <w:noWrap/>
          </w:tcPr>
          <w:p w14:paraId="4A9E9085" w14:textId="77777777" w:rsidR="003A3D51" w:rsidRDefault="0002775A">
            <w:pPr>
              <w:pStyle w:val="P68B1DB1-Normal7"/>
              <w:spacing w:after="200" w:line="276" w:lineRule="auto"/>
              <w:rPr>
                <w:rFonts w:ascii="Times New Roman" w:hAnsi="Times New Roman" w:cs="Times New Roman"/>
                <w:noProof/>
              </w:rPr>
            </w:pPr>
            <w:r>
              <w:rPr>
                <w:noProof/>
              </w:rPr>
              <w:t xml:space="preserve">Offentliggörande på den officiella webbplatsen för ministeriet för fysisk planering, byggnation och statliga tillgångar </w:t>
            </w:r>
          </w:p>
        </w:tc>
        <w:tc>
          <w:tcPr>
            <w:tcW w:w="1067" w:type="dxa"/>
            <w:tcBorders>
              <w:top w:val="single" w:sz="4" w:space="0" w:color="auto"/>
              <w:left w:val="nil"/>
              <w:bottom w:val="single" w:sz="4" w:space="0" w:color="auto"/>
              <w:right w:val="single" w:sz="4" w:space="0" w:color="auto"/>
            </w:tcBorders>
            <w:shd w:val="clear" w:color="auto" w:fill="C6EFCE"/>
            <w:noWrap/>
          </w:tcPr>
          <w:p w14:paraId="401B19A8"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707" w:type="dxa"/>
            <w:tcBorders>
              <w:top w:val="single" w:sz="4" w:space="0" w:color="auto"/>
              <w:left w:val="nil"/>
              <w:bottom w:val="single" w:sz="4" w:space="0" w:color="auto"/>
              <w:right w:val="single" w:sz="4" w:space="0" w:color="auto"/>
            </w:tcBorders>
            <w:shd w:val="clear" w:color="auto" w:fill="C6EFCE"/>
            <w:noWrap/>
          </w:tcPr>
          <w:p w14:paraId="6AB41C9E"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1356" w:type="dxa"/>
            <w:tcBorders>
              <w:top w:val="single" w:sz="4" w:space="0" w:color="auto"/>
              <w:left w:val="nil"/>
              <w:bottom w:val="single" w:sz="4" w:space="0" w:color="auto"/>
              <w:right w:val="single" w:sz="4" w:space="0" w:color="auto"/>
            </w:tcBorders>
            <w:shd w:val="clear" w:color="auto" w:fill="C6EFCE"/>
            <w:noWrap/>
          </w:tcPr>
          <w:p w14:paraId="1ABACA65" w14:textId="77777777" w:rsidR="003A3D51" w:rsidRDefault="0002775A">
            <w:pPr>
              <w:pStyle w:val="P68B1DB1-Normal7"/>
              <w:spacing w:after="200" w:line="276" w:lineRule="auto"/>
              <w:jc w:val="center"/>
              <w:rPr>
                <w:rFonts w:ascii="Times New Roman" w:hAnsi="Times New Roman" w:cs="Times New Roman"/>
                <w:noProof/>
              </w:rPr>
            </w:pPr>
            <w:r>
              <w:rPr>
                <w:noProof/>
              </w:rPr>
              <w:t> </w:t>
            </w:r>
          </w:p>
        </w:tc>
        <w:tc>
          <w:tcPr>
            <w:tcW w:w="424" w:type="dxa"/>
            <w:tcBorders>
              <w:top w:val="single" w:sz="4" w:space="0" w:color="auto"/>
              <w:left w:val="nil"/>
              <w:bottom w:val="single" w:sz="4" w:space="0" w:color="auto"/>
              <w:right w:val="single" w:sz="4" w:space="0" w:color="auto"/>
            </w:tcBorders>
            <w:shd w:val="clear" w:color="auto" w:fill="C6EFCE"/>
            <w:noWrap/>
          </w:tcPr>
          <w:p w14:paraId="0AF334E0" w14:textId="77777777" w:rsidR="003A3D51" w:rsidRDefault="0002775A">
            <w:pPr>
              <w:pStyle w:val="P68B1DB1-Normal7"/>
              <w:spacing w:after="200" w:line="276" w:lineRule="auto"/>
              <w:jc w:val="center"/>
              <w:rPr>
                <w:rFonts w:ascii="Times New Roman" w:hAnsi="Times New Roman" w:cs="Times New Roman"/>
                <w:noProof/>
              </w:rPr>
            </w:pPr>
            <w:r>
              <w:rPr>
                <w:noProof/>
              </w:rPr>
              <w:t>KVARTAL 4</w:t>
            </w:r>
          </w:p>
        </w:tc>
        <w:tc>
          <w:tcPr>
            <w:tcW w:w="641" w:type="dxa"/>
            <w:tcBorders>
              <w:top w:val="single" w:sz="4" w:space="0" w:color="auto"/>
              <w:left w:val="nil"/>
              <w:bottom w:val="single" w:sz="4" w:space="0" w:color="auto"/>
              <w:right w:val="single" w:sz="4" w:space="0" w:color="auto"/>
            </w:tcBorders>
            <w:shd w:val="clear" w:color="auto" w:fill="C6EFCE"/>
            <w:noWrap/>
          </w:tcPr>
          <w:p w14:paraId="2F4020FC" w14:textId="77777777" w:rsidR="003A3D51" w:rsidRDefault="0002775A">
            <w:pPr>
              <w:pStyle w:val="P68B1DB1-Normal7"/>
              <w:spacing w:after="200" w:line="276" w:lineRule="auto"/>
              <w:jc w:val="center"/>
              <w:rPr>
                <w:rFonts w:ascii="Times New Roman" w:hAnsi="Times New Roman" w:cs="Times New Roman"/>
                <w:noProof/>
              </w:rPr>
            </w:pPr>
            <w:r>
              <w:rPr>
                <w:noProof/>
              </w:rPr>
              <w:t>2025</w:t>
            </w:r>
          </w:p>
        </w:tc>
        <w:tc>
          <w:tcPr>
            <w:tcW w:w="4100" w:type="dxa"/>
            <w:tcBorders>
              <w:top w:val="single" w:sz="4" w:space="0" w:color="auto"/>
              <w:left w:val="nil"/>
              <w:bottom w:val="single" w:sz="4" w:space="0" w:color="auto"/>
              <w:right w:val="single" w:sz="4" w:space="0" w:color="auto"/>
            </w:tcBorders>
            <w:shd w:val="clear" w:color="auto" w:fill="C6EFCE"/>
            <w:noWrap/>
          </w:tcPr>
          <w:p w14:paraId="4A3E3272" w14:textId="77777777" w:rsidR="003A3D51" w:rsidRDefault="0002775A">
            <w:pPr>
              <w:pStyle w:val="P68B1DB1-Normal7"/>
              <w:spacing w:after="200" w:line="276" w:lineRule="auto"/>
              <w:rPr>
                <w:rFonts w:ascii="Times New Roman" w:hAnsi="Times New Roman" w:cs="Times New Roman"/>
                <w:noProof/>
              </w:rPr>
            </w:pPr>
            <w:r>
              <w:rPr>
                <w:noProof/>
              </w:rPr>
              <w:t xml:space="preserve">Ministeriet för fysisk planering, byggande och statliga tillgångar ska anta riktlinjer för tillämpningen av en modell för övervakning av energiförbrukningen i flerbostadshus, på grundval av det frivilliga intresset hos ägare av flerbostadshus. </w:t>
            </w:r>
          </w:p>
        </w:tc>
      </w:tr>
    </w:tbl>
    <w:p w14:paraId="6BB97291" w14:textId="77777777" w:rsidR="003A3D51" w:rsidRDefault="003A3D51">
      <w:pPr>
        <w:rPr>
          <w:noProof/>
        </w:rPr>
        <w:sectPr w:rsidR="003A3D51" w:rsidSect="0001477B">
          <w:headerReference w:type="even" r:id="rId384"/>
          <w:headerReference w:type="default" r:id="rId385"/>
          <w:footerReference w:type="even" r:id="rId386"/>
          <w:footerReference w:type="default" r:id="rId387"/>
          <w:headerReference w:type="first" r:id="rId388"/>
          <w:footerReference w:type="first" r:id="rId389"/>
          <w:pgSz w:w="15840" w:h="12240" w:orient="landscape"/>
          <w:pgMar w:top="1440" w:right="1440" w:bottom="1440" w:left="1440" w:header="708" w:footer="708" w:gutter="0"/>
          <w:cols w:space="708"/>
          <w:docGrid w:linePitch="360"/>
        </w:sectPr>
      </w:pPr>
    </w:p>
    <w:p w14:paraId="446D08EE" w14:textId="02B2850F" w:rsidR="003A3D51" w:rsidRDefault="003A3D51">
      <w:pPr>
        <w:pStyle w:val="paragraph"/>
        <w:spacing w:before="0" w:beforeAutospacing="0" w:after="0" w:afterAutospacing="0"/>
        <w:ind w:left="705"/>
        <w:jc w:val="both"/>
        <w:textAlignment w:val="baseline"/>
        <w:rPr>
          <w:rFonts w:ascii="Segoe UI" w:hAnsi="Segoe UI" w:cs="Segoe UI"/>
          <w:noProof/>
          <w:sz w:val="18"/>
        </w:rPr>
      </w:pPr>
    </w:p>
    <w:p w14:paraId="25FC6DCD" w14:textId="77777777" w:rsidR="003A3D51" w:rsidRDefault="0002775A">
      <w:pPr>
        <w:pStyle w:val="P68B1DB1-Normal52"/>
        <w:keepNext/>
        <w:tabs>
          <w:tab w:val="num" w:pos="284"/>
        </w:tabs>
        <w:spacing w:before="40" w:after="0"/>
        <w:jc w:val="both"/>
        <w:outlineLvl w:val="1"/>
        <w:rPr>
          <w:noProof/>
        </w:rPr>
      </w:pPr>
      <w:r>
        <w:rPr>
          <w:noProof/>
        </w:rPr>
        <w:t xml:space="preserve">V.3. </w:t>
      </w:r>
      <w:r>
        <w:rPr>
          <w:noProof/>
        </w:rPr>
        <w:tab/>
        <w:t>Beskrivning av reformerna och investeringarna för lånet  </w:t>
      </w:r>
    </w:p>
    <w:p w14:paraId="70EDB424" w14:textId="77777777" w:rsidR="003A3D51" w:rsidRDefault="0002775A">
      <w:pPr>
        <w:pStyle w:val="paragraph"/>
        <w:spacing w:before="0" w:beforeAutospacing="0" w:after="0" w:afterAutospacing="0"/>
        <w:ind w:left="840"/>
        <w:jc w:val="both"/>
        <w:textAlignment w:val="baseline"/>
        <w:rPr>
          <w:rStyle w:val="eop"/>
          <w:noProof/>
        </w:rPr>
      </w:pPr>
      <w:r>
        <w:rPr>
          <w:rStyle w:val="normaltextrun"/>
          <w:noProof/>
        </w:rPr>
        <w:t>  </w:t>
      </w:r>
    </w:p>
    <w:p w14:paraId="6A24C528"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37182EDB" w14:textId="2D7AE71B" w:rsidR="003A3D51" w:rsidRDefault="0002775A">
      <w:pPr>
        <w:pStyle w:val="P68B1DB1-Normal19"/>
        <w:spacing w:before="120" w:after="120" w:line="240" w:lineRule="auto"/>
        <w:ind w:left="850"/>
        <w:jc w:val="both"/>
        <w:rPr>
          <w:rStyle w:val="normaltextrun"/>
          <w:rFonts w:ascii="Times New Roman" w:eastAsia="Times New Roman" w:hAnsi="Times New Roman" w:cs="Times New Roman"/>
          <w:noProof/>
          <w:sz w:val="24"/>
        </w:rPr>
      </w:pPr>
      <w:r>
        <w:rPr>
          <w:rFonts w:ascii="Times New Roman" w:eastAsia="Times New Roman" w:hAnsi="Times New Roman" w:cs="Times New Roman"/>
          <w:noProof/>
          <w:sz w:val="24"/>
        </w:rPr>
        <w:t xml:space="preserve">Reform C6.1 R7 </w:t>
      </w:r>
      <w:r>
        <w:rPr>
          <w:rFonts w:ascii="Calibri" w:eastAsia="Calibri" w:hAnsi="Calibri" w:cs="Arial"/>
          <w:noProof/>
        </w:rPr>
        <w:t>–</w:t>
      </w:r>
      <w:r>
        <w:rPr>
          <w:rFonts w:ascii="Times New Roman" w:eastAsia="Times New Roman" w:hAnsi="Times New Roman" w:cs="Times New Roman"/>
          <w:noProof/>
          <w:sz w:val="24"/>
        </w:rPr>
        <w:t xml:space="preserve"> Cirkulär användning av byggavfall från byggnader med status som kulturföremål: ett pilotprojekt för att undersöka möjligheterna till utbyte och handel</w:t>
      </w:r>
    </w:p>
    <w:p w14:paraId="35CA552F" w14:textId="6F82741B" w:rsidR="003A3D51" w:rsidRDefault="0002775A">
      <w:pPr>
        <w:pStyle w:val="paragraph"/>
        <w:spacing w:after="0"/>
        <w:jc w:val="both"/>
        <w:rPr>
          <w:rStyle w:val="normaltextrun"/>
          <w:noProof/>
          <w:color w:val="000000"/>
        </w:rPr>
      </w:pPr>
      <w:r>
        <w:rPr>
          <w:rStyle w:val="normaltextrun"/>
          <w:noProof/>
          <w:color w:val="000000"/>
        </w:rPr>
        <w:t>Syftet med reformen är att undersöka behoven, möjligheterna och mekanismerna för cirkulär användning av byggavfall från byggnader med status som kulturföremål genom att genomföra pilotprojekt i två utvalda lokala självstyrande enheter.</w:t>
      </w:r>
    </w:p>
    <w:p w14:paraId="6A32461E" w14:textId="54C34E96" w:rsidR="003A3D51" w:rsidRDefault="0002775A">
      <w:pPr>
        <w:pStyle w:val="paragraph"/>
        <w:spacing w:before="0" w:beforeAutospacing="0" w:after="0" w:afterAutospacing="0"/>
        <w:jc w:val="both"/>
        <w:rPr>
          <w:rStyle w:val="normaltextrun"/>
          <w:noProof/>
          <w:color w:val="000000" w:themeColor="text1"/>
        </w:rPr>
      </w:pPr>
      <w:r>
        <w:rPr>
          <w:rStyle w:val="normaltextrun"/>
          <w:noProof/>
          <w:color w:val="000000" w:themeColor="text1"/>
        </w:rPr>
        <w:t xml:space="preserve">Förutom att utrusta två platser för att underlätta en effektiv hantering av byggavfall och förvärva lämpliga nya fordon ska projekten inriktas på återanvändning av byggavfallsmaterial från byggnader med status som kulturvara, bättre hantering av byggavfall i praktiken, främjande av hållbarhet inom byggsektorn och utforskning av möjligheter och möjligheter till utbyte av och handel med byggavfallsmaterial. </w:t>
      </w:r>
    </w:p>
    <w:p w14:paraId="1BB3360C" w14:textId="77777777" w:rsidR="003A3D51" w:rsidRDefault="003A3D51">
      <w:pPr>
        <w:pStyle w:val="paragraph"/>
        <w:spacing w:before="0" w:beforeAutospacing="0" w:after="0" w:afterAutospacing="0"/>
        <w:jc w:val="both"/>
        <w:rPr>
          <w:rStyle w:val="normaltextrun"/>
          <w:noProof/>
          <w:color w:val="000000" w:themeColor="text1"/>
        </w:rPr>
      </w:pPr>
    </w:p>
    <w:p w14:paraId="5A104429" w14:textId="1C6755EE" w:rsidR="003A3D51" w:rsidRDefault="0002775A">
      <w:pPr>
        <w:pStyle w:val="paragraph"/>
        <w:spacing w:before="0" w:beforeAutospacing="0" w:after="0" w:afterAutospacing="0"/>
        <w:jc w:val="both"/>
        <w:rPr>
          <w:rStyle w:val="normaltextrun"/>
          <w:noProof/>
          <w:color w:val="000000" w:themeColor="text1"/>
        </w:rPr>
      </w:pPr>
      <w:r>
        <w:rPr>
          <w:rStyle w:val="normaltextrun"/>
          <w:noProof/>
          <w:color w:val="000000" w:themeColor="text1"/>
        </w:rPr>
        <w:t xml:space="preserve">Som en del av projekten ska en omfattande inventering av byggnader med ett kulturföremåls status genomföras i de utvalda lokala självstyrenheterna, för att dokumentera egenskapernas egenskaper, material och skick inom ramen för de utvalda lokala självstyrenheterna. En digital lösning för den omfattande inventeringen av byggnader med status som kulturföremål ska utvecklas. </w:t>
      </w:r>
    </w:p>
    <w:p w14:paraId="7753A6F6" w14:textId="77777777" w:rsidR="003A3D51" w:rsidRDefault="003A3D51">
      <w:pPr>
        <w:pStyle w:val="paragraph"/>
        <w:spacing w:before="0" w:beforeAutospacing="0" w:after="0" w:afterAutospacing="0"/>
        <w:jc w:val="both"/>
        <w:rPr>
          <w:rStyle w:val="normaltextrun"/>
          <w:noProof/>
          <w:color w:val="000000" w:themeColor="text1"/>
        </w:rPr>
      </w:pPr>
    </w:p>
    <w:p w14:paraId="6DE7E7C7" w14:textId="0CA1F169" w:rsidR="003A3D51" w:rsidRDefault="0002775A">
      <w:pPr>
        <w:pStyle w:val="paragraph"/>
        <w:spacing w:before="0" w:beforeAutospacing="0" w:after="0" w:afterAutospacing="0"/>
        <w:jc w:val="both"/>
        <w:rPr>
          <w:rStyle w:val="normaltextrun"/>
          <w:noProof/>
          <w:color w:val="000000"/>
        </w:rPr>
      </w:pPr>
      <w:r>
        <w:rPr>
          <w:rStyle w:val="normaltextrun"/>
          <w:noProof/>
          <w:color w:val="000000" w:themeColor="text1"/>
        </w:rPr>
        <w:t>Som en del av genomförandet av pilotprojekt ska dessutom utbildningsverksamhet genomföras, med fokus på hantering av byggavfall, minskning av byggnadsavfall från byggnader med status som kulturföremål och avfall som uppstår till följd av översvämningar, bevarande av miljön och kulturarvet.</w:t>
      </w:r>
    </w:p>
    <w:p w14:paraId="74B3C18A" w14:textId="77777777" w:rsidR="003A3D51" w:rsidRDefault="0002775A">
      <w:pPr>
        <w:pStyle w:val="paragraph"/>
        <w:spacing w:after="0"/>
        <w:jc w:val="both"/>
        <w:rPr>
          <w:rStyle w:val="normaltextrun"/>
          <w:noProof/>
          <w:color w:val="000000" w:themeColor="text1"/>
        </w:rPr>
      </w:pPr>
      <w:r>
        <w:rPr>
          <w:rStyle w:val="normaltextrun"/>
          <w:noProof/>
          <w:color w:val="000000" w:themeColor="text1"/>
        </w:rPr>
        <w:t xml:space="preserve">Det ska säkerställas att den operatör som ansvarar för insamling av material och logistik inrättar ett riskhanteringssystem för miljö, hälsa och säkerhet. Systemet ska säkerställa full överensstämmelse med principerna om att inte orsaka betydande skada inom ramen för faciliteten för återhämtning och resiliens i enlighet med den tekniska vägledningen om att inte orsaka betydande skada (C (2023) 6454 final), särskilt när det gäller målet att förebygga och begränsa föroreningar och målet för den cirkulära ekonomin och utesluta verksamheter och tillgångar med anknytning till fossila bränslen eller förbränning.  </w:t>
      </w:r>
    </w:p>
    <w:p w14:paraId="2F14BBE7" w14:textId="77777777" w:rsidR="003A3D51" w:rsidRDefault="0002775A">
      <w:pPr>
        <w:pStyle w:val="paragraph"/>
        <w:spacing w:after="0"/>
        <w:jc w:val="both"/>
        <w:rPr>
          <w:rStyle w:val="normaltextrun"/>
          <w:noProof/>
          <w:color w:val="000000"/>
        </w:rPr>
      </w:pPr>
      <w:r>
        <w:rPr>
          <w:rStyle w:val="normaltextrun"/>
          <w:noProof/>
          <w:color w:val="000000" w:themeColor="text1"/>
        </w:rPr>
        <w:t>Stöd till denna reform ska endast ges för utsläppsfria fordon och laddhybrider som släpper ut mindre än 50 g CO2/km eller fordon avsedda för särskilda ändamål som bygger på bästa tillgängliga teknik.</w:t>
      </w:r>
    </w:p>
    <w:p w14:paraId="49794EA1" w14:textId="77777777" w:rsidR="003A3D51" w:rsidRDefault="0002775A">
      <w:pPr>
        <w:pStyle w:val="paragraph"/>
        <w:spacing w:before="0" w:beforeAutospacing="0" w:after="0" w:afterAutospacing="0"/>
        <w:jc w:val="both"/>
        <w:rPr>
          <w:rStyle w:val="normaltextrun"/>
          <w:noProof/>
          <w:color w:val="000000"/>
        </w:rPr>
      </w:pPr>
      <w:r>
        <w:rPr>
          <w:rStyle w:val="normaltextrun"/>
          <w:noProof/>
          <w:color w:val="000000"/>
        </w:rPr>
        <w:t xml:space="preserve">Riktlinjer för tillämpningen av systemet med cirkulär användning av byggavfall från byggnader med status som kulturföremål på nationell nivå med rekommendationer om inrättande av en nationell plattform för utbyte av och handel med byggavfall från byggnader med status som kulturföremål ska antas och offentliggöras på den officiella webbplatsen för ministeriet för fysisk planering, byggnation och statliga tillgångar. </w:t>
      </w:r>
    </w:p>
    <w:p w14:paraId="41BCEC19" w14:textId="1179E83A" w:rsidR="003A3D51" w:rsidRDefault="0002775A">
      <w:pPr>
        <w:pStyle w:val="paragraph"/>
        <w:spacing w:after="0"/>
        <w:jc w:val="both"/>
        <w:rPr>
          <w:noProof/>
        </w:rPr>
      </w:pPr>
      <w:r>
        <w:rPr>
          <w:rStyle w:val="normaltextrun"/>
          <w:noProof/>
          <w:color w:val="000000"/>
        </w:rPr>
        <w:t>Åtgärden ska anpassas till den nationella avfallshanteringsplanen och bidra till att förbättra infrastrukturen och metoderna för bygg- och rivningsavfall, förbättra återvinningen och minska deponeringen. Den ska genomföras för att säkerställa en stabil politisk samstämmighet i förvaltningen av den cirkulära ekonomin inom olika ministerier och andra berörda parter.</w:t>
      </w:r>
    </w:p>
    <w:p w14:paraId="36C78052" w14:textId="2011B2CC" w:rsidR="003A3D51" w:rsidRDefault="0002775A">
      <w:pPr>
        <w:pStyle w:val="paragraph"/>
        <w:spacing w:before="0" w:beforeAutospacing="0" w:after="0" w:afterAutospacing="0"/>
        <w:textAlignment w:val="baseline"/>
        <w:rPr>
          <w:noProof/>
        </w:rPr>
      </w:pPr>
      <w:r>
        <w:rPr>
          <w:noProof/>
        </w:rPr>
        <w:t>Genomförandet ska vara slutfört senast den 31 mars 2026.</w:t>
      </w:r>
    </w:p>
    <w:p w14:paraId="29A117DA" w14:textId="77777777" w:rsidR="003A3D51" w:rsidRDefault="003A3D51">
      <w:pPr>
        <w:tabs>
          <w:tab w:val="left" w:pos="1100"/>
        </w:tabs>
        <w:rPr>
          <w:rFonts w:ascii="Times New Roman" w:eastAsia="Times New Roman" w:hAnsi="Times New Roman" w:cs="Times New Roman"/>
          <w:noProof/>
          <w:sz w:val="24"/>
        </w:rPr>
      </w:pPr>
    </w:p>
    <w:p w14:paraId="241CDA44" w14:textId="1DF01EF7" w:rsidR="003A3D51" w:rsidRDefault="0002775A">
      <w:pPr>
        <w:pStyle w:val="P68B1DB1-Normal11"/>
        <w:tabs>
          <w:tab w:val="left" w:pos="1100"/>
        </w:tabs>
        <w:ind w:left="851"/>
        <w:rPr>
          <w:noProof/>
        </w:rPr>
      </w:pPr>
      <w:r>
        <w:rPr>
          <w:noProof/>
        </w:rPr>
        <w:t>Investering C6.1 R1 – I4 Energirenovering av byggnader med status som kulturföremål</w:t>
      </w:r>
    </w:p>
    <w:p w14:paraId="01EE34E7" w14:textId="0004CC3F" w:rsidR="003A3D51" w:rsidRDefault="0002775A">
      <w:pPr>
        <w:tabs>
          <w:tab w:val="left" w:pos="1100"/>
        </w:tabs>
        <w:jc w:val="both"/>
        <w:rPr>
          <w:rFonts w:ascii="Times New Roman" w:eastAsia="Times New Roman" w:hAnsi="Times New Roman" w:cs="Times New Roman"/>
          <w:noProof/>
          <w:sz w:val="24"/>
        </w:rPr>
      </w:pPr>
      <w:r>
        <w:rPr>
          <w:rFonts w:ascii="Times New Roman" w:eastAsia="Times New Roman" w:hAnsi="Times New Roman" w:cs="Times New Roman"/>
          <w:noProof/>
          <w:sz w:val="24"/>
        </w:rPr>
        <w:t>Syftet med denna åtgärd är att höja ambitionsnivån för den befintliga åtgärden C6.1 R1 – I3 Energirenovering av byggnader med status som kulturgod. Riktlinjerna för energirenovering av byggnader med status som kulturföremål ska utarbetas och offentliggöras på kulturministeriets officiella webbplats.</w:t>
      </w:r>
      <w:r>
        <w:rPr>
          <w:noProof/>
        </w:rPr>
        <w:t xml:space="preserve"> </w:t>
      </w:r>
      <w:r>
        <w:rPr>
          <w:rFonts w:ascii="Times New Roman" w:eastAsia="Times New Roman" w:hAnsi="Times New Roman" w:cs="Times New Roman"/>
          <w:noProof/>
          <w:sz w:val="24"/>
        </w:rPr>
        <w:t>Riktlinjerna ska innehålla rekommendationer om energirenoveringsåtgärder, tekniska lösningar och moderna material samt klargöra förfarandena för utarbetande av dokumentation och erhållande av nödvändiga tillstånd.</w:t>
      </w:r>
    </w:p>
    <w:p w14:paraId="5758A1F3" w14:textId="07FC8D48" w:rsidR="003A3D51" w:rsidRDefault="0002775A">
      <w:pPr>
        <w:pStyle w:val="P68B1DB1-Normal11"/>
        <w:tabs>
          <w:tab w:val="left" w:pos="1100"/>
        </w:tabs>
        <w:rPr>
          <w:noProof/>
        </w:rPr>
      </w:pPr>
      <w:r>
        <w:rPr>
          <w:noProof/>
        </w:rPr>
        <w:t>Investeringen ska vara genomförd senast den 31 december 2023.</w:t>
      </w:r>
    </w:p>
    <w:p w14:paraId="2A703F5C" w14:textId="77777777" w:rsidR="003A3D51" w:rsidRDefault="0002775A">
      <w:pPr>
        <w:tabs>
          <w:tab w:val="left" w:pos="1100"/>
        </w:tabs>
        <w:rPr>
          <w:noProof/>
        </w:rPr>
        <w:sectPr w:rsidR="003A3D51" w:rsidSect="0001477B">
          <w:headerReference w:type="even" r:id="rId390"/>
          <w:headerReference w:type="default" r:id="rId391"/>
          <w:footerReference w:type="even" r:id="rId392"/>
          <w:footerReference w:type="default" r:id="rId393"/>
          <w:headerReference w:type="first" r:id="rId394"/>
          <w:footerReference w:type="first" r:id="rId395"/>
          <w:pgSz w:w="12240" w:h="15840"/>
          <w:pgMar w:top="1440" w:right="1440" w:bottom="1440" w:left="1440" w:header="708" w:footer="708" w:gutter="0"/>
          <w:cols w:space="708"/>
          <w:docGrid w:linePitch="360"/>
        </w:sectPr>
      </w:pPr>
      <w:r>
        <w:rPr>
          <w:noProof/>
        </w:rPr>
        <w:tab/>
      </w:r>
    </w:p>
    <w:p w14:paraId="2F3B842B" w14:textId="77777777" w:rsidR="003A3D51" w:rsidRDefault="0002775A">
      <w:pPr>
        <w:pStyle w:val="P68B1DB1-Normal52"/>
        <w:keepNext/>
        <w:tabs>
          <w:tab w:val="num" w:pos="284"/>
        </w:tabs>
        <w:spacing w:before="40" w:after="0"/>
        <w:jc w:val="both"/>
        <w:outlineLvl w:val="1"/>
        <w:rPr>
          <w:noProof/>
        </w:rPr>
      </w:pPr>
      <w:r>
        <w:rPr>
          <w:noProof/>
        </w:rPr>
        <w:t xml:space="preserve">V.4. </w:t>
      </w:r>
      <w:r>
        <w:rPr>
          <w:noProof/>
        </w:rPr>
        <w:tab/>
        <w:t>Delmål, mål, indikatorer och tidsplan för övervakning och genomförande av lånet  </w:t>
      </w:r>
    </w:p>
    <w:p w14:paraId="194A24A3" w14:textId="2700D9A4" w:rsidR="003A3D51" w:rsidRDefault="0002775A">
      <w:pPr>
        <w:pStyle w:val="paragraph"/>
        <w:spacing w:before="0" w:beforeAutospacing="0" w:after="0" w:afterAutospacing="0"/>
        <w:ind w:left="840"/>
        <w:jc w:val="both"/>
        <w:textAlignment w:val="baseline"/>
        <w:rPr>
          <w:rFonts w:asciiTheme="minorHAnsi" w:hAnsiTheme="minorHAnsi" w:cstheme="minorHAnsi"/>
          <w:noProof/>
          <w:sz w:val="20"/>
        </w:rPr>
      </w:pPr>
      <w:r>
        <w:rPr>
          <w:rStyle w:val="eop"/>
          <w:rFonts w:asciiTheme="minorHAnsi" w:hAnsiTheme="minorHAnsi" w:cstheme="minorHAnsi"/>
          <w:noProof/>
          <w:color w:val="4F81BD"/>
          <w:sz w:val="20"/>
        </w:rPr>
        <w:t> </w:t>
      </w:r>
    </w:p>
    <w:tbl>
      <w:tblPr>
        <w:tblpPr w:leftFromText="180" w:rightFromText="180" w:vertAnchor="text" w:horzAnchor="page" w:tblpX="415" w:tblpY="37"/>
        <w:tblW w:w="151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4"/>
        <w:gridCol w:w="1620"/>
        <w:gridCol w:w="932"/>
        <w:gridCol w:w="1984"/>
        <w:gridCol w:w="2126"/>
        <w:gridCol w:w="993"/>
        <w:gridCol w:w="850"/>
        <w:gridCol w:w="851"/>
        <w:gridCol w:w="425"/>
        <w:gridCol w:w="850"/>
        <w:gridCol w:w="3828"/>
      </w:tblGrid>
      <w:tr w:rsidR="003A3D51" w14:paraId="210BF4E9" w14:textId="77777777">
        <w:trPr>
          <w:trHeight w:val="688"/>
        </w:trPr>
        <w:tc>
          <w:tcPr>
            <w:tcW w:w="7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6C51D6" w14:textId="280B8ADD" w:rsidR="003A3D51" w:rsidRDefault="0002775A">
            <w:pPr>
              <w:pStyle w:val="P68B1DB1-Normal53"/>
              <w:spacing w:after="0" w:line="240" w:lineRule="auto"/>
              <w:jc w:val="center"/>
              <w:textAlignment w:val="baseline"/>
              <w:rPr>
                <w:noProof/>
              </w:rPr>
            </w:pPr>
            <w:r>
              <w:rPr>
                <w:noProof/>
              </w:rPr>
              <w:t>Antal</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8C69A9" w14:textId="1D0C3E14" w:rsidR="003A3D51" w:rsidRDefault="0002775A">
            <w:pPr>
              <w:pStyle w:val="P68B1DB1-Normal53"/>
              <w:spacing w:after="0" w:line="240" w:lineRule="auto"/>
              <w:jc w:val="center"/>
              <w:textAlignment w:val="baseline"/>
              <w:rPr>
                <w:noProof/>
              </w:rPr>
            </w:pPr>
            <w:r>
              <w:rPr>
                <w:noProof/>
              </w:rPr>
              <w:t xml:space="preserve">Åtgärd </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BE8051" w14:textId="77777777" w:rsidR="003A3D51" w:rsidRDefault="0002775A">
            <w:pPr>
              <w:pStyle w:val="P68B1DB1-Normal27"/>
              <w:spacing w:after="0" w:line="240" w:lineRule="auto"/>
              <w:jc w:val="center"/>
              <w:textAlignment w:val="baseline"/>
              <w:rPr>
                <w:noProof/>
              </w:rPr>
            </w:pPr>
            <w:r>
              <w:rPr>
                <w:b/>
                <w:noProof/>
              </w:rPr>
              <w:t>Delmål/mål</w:t>
            </w:r>
            <w:r>
              <w:rPr>
                <w:noProof/>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A4D6A16" w14:textId="77777777" w:rsidR="003A3D51" w:rsidRDefault="0002775A">
            <w:pPr>
              <w:pStyle w:val="P68B1DB1-Normal27"/>
              <w:spacing w:after="0" w:line="240" w:lineRule="auto"/>
              <w:jc w:val="center"/>
              <w:textAlignment w:val="baseline"/>
              <w:rPr>
                <w:noProof/>
              </w:rPr>
            </w:pPr>
            <w:r>
              <w:rPr>
                <w:b/>
                <w:noProof/>
              </w:rPr>
              <w:t>Namn</w:t>
            </w:r>
            <w:r>
              <w:rPr>
                <w:noProof/>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EB8C7C" w14:textId="77777777" w:rsidR="003A3D51" w:rsidRDefault="0002775A">
            <w:pPr>
              <w:spacing w:after="0" w:line="240" w:lineRule="auto"/>
              <w:jc w:val="center"/>
              <w:textAlignment w:val="baseline"/>
              <w:rPr>
                <w:rFonts w:eastAsia="Times New Roman"/>
                <w:noProof/>
                <w:sz w:val="20"/>
              </w:rPr>
            </w:pPr>
            <w:r>
              <w:rPr>
                <w:rFonts w:eastAsia="Times New Roman"/>
                <w:b/>
                <w:noProof/>
                <w:sz w:val="20"/>
              </w:rPr>
              <w:t xml:space="preserve">Kvalitativa indikatorer </w:t>
            </w:r>
            <w:r>
              <w:rPr>
                <w:rFonts w:eastAsia="Times New Roman"/>
                <w:noProof/>
                <w:sz w:val="20"/>
              </w:rPr>
              <w:t xml:space="preserve"> </w:t>
            </w:r>
            <w:r>
              <w:rPr>
                <w:noProof/>
              </w:rPr>
              <w:br/>
            </w:r>
            <w:r>
              <w:rPr>
                <w:rFonts w:eastAsia="Times New Roman"/>
                <w:b/>
                <w:noProof/>
                <w:sz w:val="20"/>
              </w:rPr>
              <w:t>(för delmål)</w:t>
            </w:r>
            <w:r>
              <w:rPr>
                <w:rFonts w:eastAsia="Times New Roman"/>
                <w:noProof/>
                <w:sz w:val="20"/>
              </w:rPr>
              <w:t xml:space="preserve"> </w:t>
            </w:r>
          </w:p>
        </w:tc>
        <w:tc>
          <w:tcPr>
            <w:tcW w:w="2694" w:type="dxa"/>
            <w:gridSpan w:val="3"/>
            <w:tcBorders>
              <w:top w:val="single" w:sz="6" w:space="0" w:color="auto"/>
              <w:left w:val="single" w:sz="4" w:space="0" w:color="auto"/>
              <w:bottom w:val="single" w:sz="6" w:space="0" w:color="auto"/>
              <w:right w:val="single" w:sz="6" w:space="0" w:color="auto"/>
            </w:tcBorders>
            <w:shd w:val="clear" w:color="auto" w:fill="BDD7EE"/>
            <w:vAlign w:val="center"/>
            <w:hideMark/>
          </w:tcPr>
          <w:p w14:paraId="35793741" w14:textId="77777777" w:rsidR="003A3D51" w:rsidRDefault="0002775A">
            <w:pPr>
              <w:pStyle w:val="P68B1DB1-Normal24"/>
              <w:spacing w:after="0" w:line="240" w:lineRule="auto"/>
              <w:jc w:val="center"/>
              <w:textAlignment w:val="baseline"/>
              <w:rPr>
                <w:noProof/>
              </w:rPr>
            </w:pPr>
            <w:r>
              <w:rPr>
                <w:b/>
                <w:noProof/>
              </w:rPr>
              <w:t>Kvantitativa indikatorer</w:t>
            </w:r>
            <w:r>
              <w:rPr>
                <w:noProof/>
              </w:rPr>
              <w:t> </w:t>
            </w:r>
            <w:r>
              <w:rPr>
                <w:noProof/>
              </w:rPr>
              <w:br/>
            </w:r>
            <w:r>
              <w:rPr>
                <w:b/>
                <w:noProof/>
              </w:rPr>
              <w:t>(för mål)</w:t>
            </w:r>
            <w:r>
              <w:rPr>
                <w:noProof/>
              </w:rPr>
              <w:t> </w:t>
            </w:r>
          </w:p>
        </w:tc>
        <w:tc>
          <w:tcPr>
            <w:tcW w:w="1275" w:type="dxa"/>
            <w:gridSpan w:val="2"/>
            <w:tcBorders>
              <w:top w:val="single" w:sz="6" w:space="0" w:color="auto"/>
              <w:left w:val="nil"/>
              <w:bottom w:val="single" w:sz="6" w:space="0" w:color="auto"/>
              <w:right w:val="single" w:sz="4" w:space="0" w:color="auto"/>
            </w:tcBorders>
            <w:shd w:val="clear" w:color="auto" w:fill="BDD7EE"/>
            <w:vAlign w:val="center"/>
            <w:hideMark/>
          </w:tcPr>
          <w:p w14:paraId="06499A06" w14:textId="760667C8" w:rsidR="003A3D51" w:rsidRDefault="0002775A">
            <w:pPr>
              <w:pStyle w:val="P68B1DB1-Normal24"/>
              <w:spacing w:after="0" w:line="240" w:lineRule="auto"/>
              <w:jc w:val="center"/>
              <w:textAlignment w:val="baseline"/>
              <w:rPr>
                <w:noProof/>
              </w:rPr>
            </w:pPr>
            <w:r>
              <w:rPr>
                <w:b/>
                <w:noProof/>
              </w:rPr>
              <w:t>Tid</w:t>
            </w:r>
            <w:r>
              <w:rPr>
                <w:noProof/>
              </w:rPr>
              <w:t> </w:t>
            </w:r>
          </w:p>
        </w:tc>
        <w:tc>
          <w:tcPr>
            <w:tcW w:w="3828" w:type="dxa"/>
            <w:vMerge w:val="restart"/>
            <w:tcBorders>
              <w:top w:val="single" w:sz="4" w:space="0" w:color="auto"/>
              <w:left w:val="single" w:sz="4" w:space="0" w:color="auto"/>
              <w:right w:val="single" w:sz="4" w:space="0" w:color="auto"/>
            </w:tcBorders>
            <w:shd w:val="clear" w:color="auto" w:fill="BDD7EE"/>
            <w:vAlign w:val="center"/>
            <w:hideMark/>
          </w:tcPr>
          <w:p w14:paraId="50A690C0" w14:textId="77777777" w:rsidR="003A3D51" w:rsidRDefault="0002775A">
            <w:pPr>
              <w:pStyle w:val="P68B1DB1-Normal24"/>
              <w:spacing w:after="0" w:line="240" w:lineRule="auto"/>
              <w:jc w:val="center"/>
              <w:textAlignment w:val="baseline"/>
              <w:rPr>
                <w:noProof/>
              </w:rPr>
            </w:pPr>
            <w:r>
              <w:rPr>
                <w:b/>
                <w:noProof/>
              </w:rPr>
              <w:t>Beskrivning av varje delmål och mål</w:t>
            </w:r>
            <w:r>
              <w:rPr>
                <w:noProof/>
              </w:rPr>
              <w:t> </w:t>
            </w:r>
          </w:p>
        </w:tc>
      </w:tr>
      <w:tr w:rsidR="003A3D51" w14:paraId="4D606BE0" w14:textId="77777777">
        <w:trPr>
          <w:trHeight w:val="589"/>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2BF5C58" w14:textId="77777777" w:rsidR="003A3D51" w:rsidRDefault="003A3D51">
            <w:pPr>
              <w:spacing w:after="0" w:line="240" w:lineRule="auto"/>
              <w:rPr>
                <w:rFonts w:eastAsia="Times New Roman" w:cstheme="minorHAnsi"/>
                <w:noProof/>
                <w:sz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24683AB" w14:textId="77777777" w:rsidR="003A3D51" w:rsidRDefault="003A3D51">
            <w:pPr>
              <w:spacing w:after="0" w:line="240" w:lineRule="auto"/>
              <w:rPr>
                <w:rFonts w:eastAsia="Times New Roman" w:cstheme="minorHAnsi"/>
                <w:noProof/>
                <w:sz w:val="20"/>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46361FF2" w14:textId="77777777" w:rsidR="003A3D51" w:rsidRDefault="003A3D51">
            <w:pPr>
              <w:spacing w:after="0" w:line="240" w:lineRule="auto"/>
              <w:rPr>
                <w:rFonts w:eastAsia="Times New Roman" w:cstheme="minorHAnsi"/>
                <w:noProof/>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74652D" w14:textId="77777777" w:rsidR="003A3D51" w:rsidRDefault="003A3D51">
            <w:pPr>
              <w:spacing w:after="0" w:line="240" w:lineRule="auto"/>
              <w:rPr>
                <w:rFonts w:eastAsia="Times New Roman" w:cstheme="minorHAnsi"/>
                <w:noProof/>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5A3627" w14:textId="77777777" w:rsidR="003A3D51" w:rsidRDefault="003A3D51">
            <w:pPr>
              <w:spacing w:after="0" w:line="240" w:lineRule="auto"/>
              <w:rPr>
                <w:rFonts w:eastAsia="Times New Roman" w:cstheme="minorHAnsi"/>
                <w:noProof/>
                <w:sz w:val="20"/>
              </w:rPr>
            </w:pPr>
          </w:p>
        </w:tc>
        <w:tc>
          <w:tcPr>
            <w:tcW w:w="993" w:type="dxa"/>
            <w:tcBorders>
              <w:top w:val="nil"/>
              <w:left w:val="single" w:sz="4" w:space="0" w:color="auto"/>
              <w:bottom w:val="single" w:sz="6" w:space="0" w:color="auto"/>
              <w:right w:val="single" w:sz="6" w:space="0" w:color="auto"/>
            </w:tcBorders>
            <w:shd w:val="clear" w:color="auto" w:fill="BDD7EE"/>
            <w:vAlign w:val="center"/>
            <w:hideMark/>
          </w:tcPr>
          <w:p w14:paraId="08DC68F6" w14:textId="2DEB25C0" w:rsidR="003A3D51" w:rsidRDefault="0002775A">
            <w:pPr>
              <w:pStyle w:val="P68B1DB1-Normal24"/>
              <w:spacing w:after="0" w:line="240" w:lineRule="auto"/>
              <w:jc w:val="center"/>
              <w:textAlignment w:val="baseline"/>
              <w:rPr>
                <w:noProof/>
              </w:rPr>
            </w:pPr>
            <w:r>
              <w:rPr>
                <w:b/>
                <w:noProof/>
              </w:rPr>
              <w:t>Enhet</w:t>
            </w:r>
            <w:r>
              <w:rPr>
                <w:noProof/>
              </w:rPr>
              <w:t> </w:t>
            </w:r>
          </w:p>
        </w:tc>
        <w:tc>
          <w:tcPr>
            <w:tcW w:w="850" w:type="dxa"/>
            <w:tcBorders>
              <w:top w:val="nil"/>
              <w:left w:val="nil"/>
              <w:bottom w:val="single" w:sz="6" w:space="0" w:color="auto"/>
              <w:right w:val="single" w:sz="6" w:space="0" w:color="auto"/>
            </w:tcBorders>
            <w:shd w:val="clear" w:color="auto" w:fill="BDD7EE"/>
            <w:vAlign w:val="center"/>
            <w:hideMark/>
          </w:tcPr>
          <w:p w14:paraId="0AB36356" w14:textId="77777777" w:rsidR="003A3D51" w:rsidRDefault="0002775A">
            <w:pPr>
              <w:pStyle w:val="P68B1DB1-Normal24"/>
              <w:spacing w:after="0" w:line="240" w:lineRule="auto"/>
              <w:jc w:val="center"/>
              <w:textAlignment w:val="baseline"/>
              <w:rPr>
                <w:noProof/>
              </w:rPr>
            </w:pPr>
            <w:r>
              <w:rPr>
                <w:b/>
                <w:noProof/>
              </w:rPr>
              <w:t>Baslinjen</w:t>
            </w:r>
            <w:r>
              <w:rPr>
                <w:noProof/>
              </w:rPr>
              <w:t> </w:t>
            </w:r>
          </w:p>
        </w:tc>
        <w:tc>
          <w:tcPr>
            <w:tcW w:w="851" w:type="dxa"/>
            <w:tcBorders>
              <w:top w:val="nil"/>
              <w:left w:val="nil"/>
              <w:bottom w:val="single" w:sz="6" w:space="0" w:color="auto"/>
              <w:right w:val="single" w:sz="6" w:space="0" w:color="auto"/>
            </w:tcBorders>
            <w:shd w:val="clear" w:color="auto" w:fill="BDD7EE"/>
            <w:vAlign w:val="center"/>
            <w:hideMark/>
          </w:tcPr>
          <w:p w14:paraId="1EF6960A" w14:textId="77777777" w:rsidR="003A3D51" w:rsidRDefault="0002775A">
            <w:pPr>
              <w:pStyle w:val="P68B1DB1-Normal24"/>
              <w:spacing w:after="0" w:line="240" w:lineRule="auto"/>
              <w:jc w:val="center"/>
              <w:textAlignment w:val="baseline"/>
              <w:rPr>
                <w:noProof/>
              </w:rPr>
            </w:pPr>
            <w:r>
              <w:rPr>
                <w:b/>
                <w:noProof/>
              </w:rPr>
              <w:t>Mål</w:t>
            </w:r>
            <w:r>
              <w:rPr>
                <w:noProof/>
              </w:rPr>
              <w:t> </w:t>
            </w:r>
          </w:p>
        </w:tc>
        <w:tc>
          <w:tcPr>
            <w:tcW w:w="425" w:type="dxa"/>
            <w:tcBorders>
              <w:top w:val="nil"/>
              <w:left w:val="nil"/>
              <w:bottom w:val="single" w:sz="6" w:space="0" w:color="auto"/>
              <w:right w:val="single" w:sz="6" w:space="0" w:color="auto"/>
            </w:tcBorders>
            <w:shd w:val="clear" w:color="auto" w:fill="BDD7EE"/>
            <w:vAlign w:val="center"/>
            <w:hideMark/>
          </w:tcPr>
          <w:p w14:paraId="74E6AF28" w14:textId="79B6415B" w:rsidR="003A3D51" w:rsidRDefault="0002775A">
            <w:pPr>
              <w:pStyle w:val="P68B1DB1-Normal24"/>
              <w:spacing w:after="0" w:line="240" w:lineRule="auto"/>
              <w:jc w:val="center"/>
              <w:textAlignment w:val="baseline"/>
              <w:rPr>
                <w:noProof/>
              </w:rPr>
            </w:pPr>
            <w:r>
              <w:rPr>
                <w:b/>
                <w:noProof/>
              </w:rPr>
              <w:t>Q</w:t>
            </w:r>
            <w:r>
              <w:rPr>
                <w:noProof/>
              </w:rPr>
              <w:t> </w:t>
            </w:r>
          </w:p>
        </w:tc>
        <w:tc>
          <w:tcPr>
            <w:tcW w:w="850" w:type="dxa"/>
            <w:tcBorders>
              <w:top w:val="nil"/>
              <w:left w:val="nil"/>
              <w:bottom w:val="single" w:sz="6" w:space="0" w:color="auto"/>
              <w:right w:val="single" w:sz="4" w:space="0" w:color="auto"/>
            </w:tcBorders>
            <w:shd w:val="clear" w:color="auto" w:fill="BDD7EE"/>
            <w:vAlign w:val="center"/>
            <w:hideMark/>
          </w:tcPr>
          <w:p w14:paraId="50DA9435" w14:textId="77777777" w:rsidR="003A3D51" w:rsidRDefault="0002775A">
            <w:pPr>
              <w:pStyle w:val="P68B1DB1-Normal24"/>
              <w:spacing w:after="0" w:line="240" w:lineRule="auto"/>
              <w:jc w:val="center"/>
              <w:textAlignment w:val="baseline"/>
              <w:rPr>
                <w:noProof/>
              </w:rPr>
            </w:pPr>
            <w:r>
              <w:rPr>
                <w:b/>
                <w:noProof/>
              </w:rPr>
              <w:t>Året</w:t>
            </w:r>
            <w:r>
              <w:rPr>
                <w:noProof/>
              </w:rPr>
              <w:t> </w:t>
            </w:r>
          </w:p>
        </w:tc>
        <w:tc>
          <w:tcPr>
            <w:tcW w:w="3828" w:type="dxa"/>
            <w:vMerge/>
            <w:vAlign w:val="center"/>
            <w:hideMark/>
          </w:tcPr>
          <w:p w14:paraId="6C7486B3" w14:textId="77777777" w:rsidR="003A3D51" w:rsidRDefault="003A3D51">
            <w:pPr>
              <w:spacing w:after="0" w:line="240" w:lineRule="auto"/>
              <w:rPr>
                <w:rFonts w:eastAsia="Times New Roman" w:cstheme="minorHAnsi"/>
                <w:noProof/>
                <w:sz w:val="20"/>
              </w:rPr>
            </w:pPr>
          </w:p>
        </w:tc>
      </w:tr>
      <w:tr w:rsidR="003A3D51" w14:paraId="0D55AFD6" w14:textId="77777777">
        <w:trPr>
          <w:trHeight w:val="301"/>
        </w:trPr>
        <w:tc>
          <w:tcPr>
            <w:tcW w:w="714" w:type="dxa"/>
            <w:tcBorders>
              <w:top w:val="single" w:sz="4" w:space="0" w:color="auto"/>
              <w:left w:val="single" w:sz="6" w:space="0" w:color="auto"/>
              <w:bottom w:val="single" w:sz="6" w:space="0" w:color="auto"/>
              <w:right w:val="single" w:sz="6" w:space="0" w:color="auto"/>
            </w:tcBorders>
            <w:shd w:val="clear" w:color="auto" w:fill="C6EFCE"/>
            <w:hideMark/>
          </w:tcPr>
          <w:p w14:paraId="07174B1E" w14:textId="0234713B" w:rsidR="003A3D51" w:rsidRDefault="0002775A">
            <w:pPr>
              <w:pStyle w:val="P68B1DB1-Normal24"/>
              <w:spacing w:after="0" w:line="240" w:lineRule="auto"/>
              <w:jc w:val="center"/>
              <w:textAlignment w:val="baseline"/>
              <w:rPr>
                <w:noProof/>
              </w:rPr>
            </w:pPr>
            <w:r>
              <w:rPr>
                <w:noProof/>
              </w:rPr>
              <w:t>402</w:t>
            </w:r>
          </w:p>
        </w:tc>
        <w:tc>
          <w:tcPr>
            <w:tcW w:w="1620" w:type="dxa"/>
            <w:tcBorders>
              <w:top w:val="single" w:sz="4" w:space="0" w:color="auto"/>
              <w:left w:val="nil"/>
              <w:bottom w:val="single" w:sz="6" w:space="0" w:color="auto"/>
              <w:right w:val="single" w:sz="6" w:space="0" w:color="auto"/>
            </w:tcBorders>
            <w:shd w:val="clear" w:color="auto" w:fill="C6EFCE"/>
            <w:hideMark/>
          </w:tcPr>
          <w:p w14:paraId="23A9701A" w14:textId="18D20A9C" w:rsidR="003A3D51" w:rsidRDefault="0002775A">
            <w:pPr>
              <w:pStyle w:val="P68B1DB1-Normal24"/>
              <w:spacing w:after="0" w:line="240" w:lineRule="auto"/>
              <w:textAlignment w:val="baseline"/>
              <w:rPr>
                <w:noProof/>
              </w:rPr>
            </w:pPr>
            <w:r>
              <w:rPr>
                <w:noProof/>
              </w:rPr>
              <w:t>C6.1 R7</w:t>
            </w:r>
          </w:p>
          <w:p w14:paraId="363E63BF" w14:textId="7C28A697" w:rsidR="003A3D51" w:rsidRDefault="003A3D51">
            <w:pPr>
              <w:spacing w:after="0" w:line="240" w:lineRule="auto"/>
              <w:textAlignment w:val="baseline"/>
              <w:rPr>
                <w:rFonts w:eastAsia="Times New Roman" w:cstheme="minorHAnsi"/>
                <w:noProof/>
                <w:sz w:val="20"/>
              </w:rPr>
            </w:pPr>
          </w:p>
        </w:tc>
        <w:tc>
          <w:tcPr>
            <w:tcW w:w="932" w:type="dxa"/>
            <w:tcBorders>
              <w:top w:val="single" w:sz="4" w:space="0" w:color="auto"/>
              <w:left w:val="nil"/>
              <w:bottom w:val="single" w:sz="6" w:space="0" w:color="auto"/>
              <w:right w:val="single" w:sz="6" w:space="0" w:color="auto"/>
            </w:tcBorders>
            <w:shd w:val="clear" w:color="auto" w:fill="C6EFCE"/>
          </w:tcPr>
          <w:p w14:paraId="1285691C" w14:textId="77777777" w:rsidR="003A3D51" w:rsidRDefault="0002775A">
            <w:pPr>
              <w:pStyle w:val="P68B1DB1-Normal24"/>
              <w:spacing w:after="0" w:line="240" w:lineRule="auto"/>
              <w:jc w:val="center"/>
              <w:textAlignment w:val="baseline"/>
              <w:rPr>
                <w:noProof/>
              </w:rPr>
            </w:pPr>
            <w:r>
              <w:rPr>
                <w:noProof/>
              </w:rPr>
              <w:t>M</w:t>
            </w:r>
          </w:p>
        </w:tc>
        <w:tc>
          <w:tcPr>
            <w:tcW w:w="1984" w:type="dxa"/>
            <w:tcBorders>
              <w:top w:val="single" w:sz="4" w:space="0" w:color="auto"/>
              <w:left w:val="nil"/>
              <w:bottom w:val="single" w:sz="6" w:space="0" w:color="auto"/>
              <w:right w:val="single" w:sz="6" w:space="0" w:color="auto"/>
            </w:tcBorders>
            <w:shd w:val="clear" w:color="auto" w:fill="C6EFCE"/>
          </w:tcPr>
          <w:p w14:paraId="231E1F08" w14:textId="5A1EBE0E" w:rsidR="003A3D51" w:rsidRDefault="0002775A">
            <w:pPr>
              <w:pStyle w:val="P68B1DB1-Normal24"/>
              <w:spacing w:after="0" w:line="240" w:lineRule="auto"/>
              <w:textAlignment w:val="baseline"/>
              <w:rPr>
                <w:b/>
                <w:noProof/>
              </w:rPr>
            </w:pPr>
            <w:r>
              <w:rPr>
                <w:noProof/>
              </w:rPr>
              <w:t xml:space="preserve">Undertecknade avtal om genomförande av pilotprojekt  </w:t>
            </w:r>
          </w:p>
        </w:tc>
        <w:tc>
          <w:tcPr>
            <w:tcW w:w="2126" w:type="dxa"/>
            <w:tcBorders>
              <w:top w:val="single" w:sz="4" w:space="0" w:color="auto"/>
              <w:left w:val="nil"/>
              <w:bottom w:val="single" w:sz="6" w:space="0" w:color="auto"/>
              <w:right w:val="single" w:sz="6" w:space="0" w:color="auto"/>
            </w:tcBorders>
            <w:shd w:val="clear" w:color="auto" w:fill="C6EFCE"/>
          </w:tcPr>
          <w:p w14:paraId="559930CD" w14:textId="68BEAD26" w:rsidR="003A3D51" w:rsidRDefault="0002775A">
            <w:pPr>
              <w:pStyle w:val="P68B1DB1-Normal24"/>
              <w:spacing w:after="0" w:line="240" w:lineRule="auto"/>
              <w:textAlignment w:val="baseline"/>
              <w:rPr>
                <w:noProof/>
              </w:rPr>
            </w:pPr>
            <w:r>
              <w:rPr>
                <w:noProof/>
              </w:rPr>
              <w:t xml:space="preserve">Undertecknade avtal för genomförande av pilotprojekt </w:t>
            </w:r>
          </w:p>
        </w:tc>
        <w:tc>
          <w:tcPr>
            <w:tcW w:w="993" w:type="dxa"/>
            <w:tcBorders>
              <w:top w:val="nil"/>
              <w:left w:val="nil"/>
              <w:bottom w:val="single" w:sz="6" w:space="0" w:color="auto"/>
              <w:right w:val="single" w:sz="6" w:space="0" w:color="auto"/>
            </w:tcBorders>
            <w:shd w:val="clear" w:color="auto" w:fill="C6EFCE"/>
            <w:hideMark/>
          </w:tcPr>
          <w:p w14:paraId="70F1F978" w14:textId="77777777" w:rsidR="003A3D51" w:rsidRDefault="003A3D51">
            <w:pPr>
              <w:spacing w:after="0" w:line="240" w:lineRule="auto"/>
              <w:jc w:val="center"/>
              <w:textAlignment w:val="baseline"/>
              <w:rPr>
                <w:rFonts w:eastAsia="Times New Roman" w:cstheme="minorHAnsi"/>
                <w:noProof/>
                <w:sz w:val="20"/>
              </w:rPr>
            </w:pPr>
          </w:p>
        </w:tc>
        <w:tc>
          <w:tcPr>
            <w:tcW w:w="850" w:type="dxa"/>
            <w:tcBorders>
              <w:top w:val="nil"/>
              <w:left w:val="nil"/>
              <w:bottom w:val="single" w:sz="6" w:space="0" w:color="auto"/>
              <w:right w:val="single" w:sz="6" w:space="0" w:color="auto"/>
            </w:tcBorders>
            <w:shd w:val="clear" w:color="auto" w:fill="C6EFCE"/>
            <w:hideMark/>
          </w:tcPr>
          <w:p w14:paraId="0DFC5800" w14:textId="26997BFF" w:rsidR="003A3D51" w:rsidRDefault="003A3D51">
            <w:pPr>
              <w:spacing w:after="0" w:line="240" w:lineRule="auto"/>
              <w:jc w:val="center"/>
              <w:textAlignment w:val="baseline"/>
              <w:rPr>
                <w:rFonts w:eastAsia="Times New Roman" w:cstheme="minorHAnsi"/>
                <w:noProof/>
                <w:sz w:val="20"/>
              </w:rPr>
            </w:pPr>
          </w:p>
        </w:tc>
        <w:tc>
          <w:tcPr>
            <w:tcW w:w="851" w:type="dxa"/>
            <w:tcBorders>
              <w:top w:val="nil"/>
              <w:left w:val="nil"/>
              <w:bottom w:val="single" w:sz="6" w:space="0" w:color="auto"/>
              <w:right w:val="single" w:sz="6" w:space="0" w:color="auto"/>
            </w:tcBorders>
            <w:shd w:val="clear" w:color="auto" w:fill="C6EFCE"/>
            <w:hideMark/>
          </w:tcPr>
          <w:p w14:paraId="24C89E97" w14:textId="6936A10D" w:rsidR="003A3D51" w:rsidRDefault="003A3D51">
            <w:pPr>
              <w:spacing w:after="0" w:line="240" w:lineRule="auto"/>
              <w:jc w:val="center"/>
              <w:textAlignment w:val="baseline"/>
              <w:rPr>
                <w:rFonts w:eastAsia="Times New Roman" w:cstheme="minorHAnsi"/>
                <w:noProof/>
                <w:sz w:val="20"/>
              </w:rPr>
            </w:pPr>
          </w:p>
        </w:tc>
        <w:tc>
          <w:tcPr>
            <w:tcW w:w="425" w:type="dxa"/>
            <w:tcBorders>
              <w:top w:val="nil"/>
              <w:left w:val="nil"/>
              <w:bottom w:val="single" w:sz="6" w:space="0" w:color="auto"/>
              <w:right w:val="single" w:sz="6" w:space="0" w:color="auto"/>
            </w:tcBorders>
            <w:shd w:val="clear" w:color="auto" w:fill="C6EFCE"/>
            <w:hideMark/>
          </w:tcPr>
          <w:p w14:paraId="3F78CF3D" w14:textId="6FCD717F" w:rsidR="003A3D51" w:rsidRDefault="0002775A">
            <w:pPr>
              <w:pStyle w:val="P68B1DB1-Normal24"/>
              <w:spacing w:after="0" w:line="240" w:lineRule="auto"/>
              <w:jc w:val="center"/>
              <w:textAlignment w:val="baseline"/>
              <w:rPr>
                <w:noProof/>
              </w:rPr>
            </w:pPr>
            <w:r>
              <w:rPr>
                <w:noProof/>
              </w:rPr>
              <w:t>KVARTAL 3</w:t>
            </w:r>
          </w:p>
        </w:tc>
        <w:tc>
          <w:tcPr>
            <w:tcW w:w="850" w:type="dxa"/>
            <w:tcBorders>
              <w:top w:val="nil"/>
              <w:left w:val="nil"/>
              <w:bottom w:val="single" w:sz="6" w:space="0" w:color="auto"/>
              <w:right w:val="single" w:sz="6" w:space="0" w:color="auto"/>
            </w:tcBorders>
            <w:shd w:val="clear" w:color="auto" w:fill="C6EFCE"/>
            <w:hideMark/>
          </w:tcPr>
          <w:p w14:paraId="18B31C79" w14:textId="77777777" w:rsidR="003A3D51" w:rsidRDefault="0002775A">
            <w:pPr>
              <w:pStyle w:val="P68B1DB1-Normal24"/>
              <w:spacing w:after="0" w:line="240" w:lineRule="auto"/>
              <w:jc w:val="center"/>
              <w:textAlignment w:val="baseline"/>
              <w:rPr>
                <w:noProof/>
              </w:rPr>
            </w:pPr>
            <w:r>
              <w:rPr>
                <w:noProof/>
              </w:rPr>
              <w:t>2024</w:t>
            </w:r>
          </w:p>
        </w:tc>
        <w:tc>
          <w:tcPr>
            <w:tcW w:w="3828" w:type="dxa"/>
            <w:tcBorders>
              <w:top w:val="single" w:sz="4" w:space="0" w:color="auto"/>
              <w:left w:val="nil"/>
              <w:bottom w:val="single" w:sz="6" w:space="0" w:color="auto"/>
              <w:right w:val="single" w:sz="6" w:space="0" w:color="auto"/>
            </w:tcBorders>
            <w:shd w:val="clear" w:color="auto" w:fill="C6EFCE"/>
            <w:hideMark/>
          </w:tcPr>
          <w:p w14:paraId="2A58021C" w14:textId="4F7A337C" w:rsidR="003A3D51" w:rsidRDefault="0002775A">
            <w:pPr>
              <w:pStyle w:val="P68B1DB1-Normal24"/>
              <w:spacing w:after="0" w:line="240" w:lineRule="auto"/>
              <w:textAlignment w:val="baseline"/>
              <w:rPr>
                <w:noProof/>
              </w:rPr>
            </w:pPr>
            <w:r>
              <w:rPr>
                <w:noProof/>
              </w:rPr>
              <w:t>Avtal om genomförande av pilotprojekt ska undertecknas med de lokala självstyrenheterna.</w:t>
            </w:r>
          </w:p>
        </w:tc>
      </w:tr>
      <w:tr w:rsidR="003A3D51" w14:paraId="0A7700FC" w14:textId="77777777">
        <w:trPr>
          <w:trHeight w:val="301"/>
        </w:trPr>
        <w:tc>
          <w:tcPr>
            <w:tcW w:w="714" w:type="dxa"/>
            <w:tcBorders>
              <w:top w:val="nil"/>
              <w:left w:val="single" w:sz="6" w:space="0" w:color="auto"/>
              <w:bottom w:val="single" w:sz="6" w:space="0" w:color="auto"/>
              <w:right w:val="single" w:sz="6" w:space="0" w:color="auto"/>
            </w:tcBorders>
            <w:shd w:val="clear" w:color="auto" w:fill="C6EFCE"/>
            <w:hideMark/>
          </w:tcPr>
          <w:p w14:paraId="2B47590B" w14:textId="0373228D" w:rsidR="003A3D51" w:rsidRDefault="0002775A">
            <w:pPr>
              <w:pStyle w:val="P68B1DB1-Normal24"/>
              <w:spacing w:after="0" w:line="240" w:lineRule="auto"/>
              <w:jc w:val="center"/>
              <w:textAlignment w:val="baseline"/>
              <w:rPr>
                <w:noProof/>
              </w:rPr>
            </w:pPr>
            <w:r>
              <w:rPr>
                <w:noProof/>
              </w:rPr>
              <w:t>403</w:t>
            </w:r>
          </w:p>
        </w:tc>
        <w:tc>
          <w:tcPr>
            <w:tcW w:w="1620" w:type="dxa"/>
            <w:tcBorders>
              <w:top w:val="nil"/>
              <w:left w:val="nil"/>
              <w:bottom w:val="single" w:sz="6" w:space="0" w:color="auto"/>
              <w:right w:val="single" w:sz="6" w:space="0" w:color="auto"/>
            </w:tcBorders>
            <w:shd w:val="clear" w:color="auto" w:fill="C6EFCE"/>
            <w:hideMark/>
          </w:tcPr>
          <w:p w14:paraId="6B2FCC97" w14:textId="4CEDCDC0" w:rsidR="003A3D51" w:rsidRDefault="0002775A">
            <w:pPr>
              <w:pStyle w:val="P68B1DB1-Normal24"/>
              <w:spacing w:after="0" w:line="240" w:lineRule="auto"/>
              <w:textAlignment w:val="baseline"/>
              <w:rPr>
                <w:noProof/>
              </w:rPr>
            </w:pPr>
            <w:r>
              <w:rPr>
                <w:noProof/>
              </w:rPr>
              <w:t>C6.1 R7</w:t>
            </w:r>
          </w:p>
          <w:p w14:paraId="23C8B5A4" w14:textId="635E5AEC" w:rsidR="003A3D51" w:rsidRDefault="003A3D51">
            <w:pPr>
              <w:spacing w:after="0" w:line="240" w:lineRule="auto"/>
              <w:textAlignment w:val="baseline"/>
              <w:rPr>
                <w:rFonts w:eastAsia="Times New Roman" w:cstheme="minorHAnsi"/>
                <w:noProof/>
                <w:sz w:val="20"/>
              </w:rPr>
            </w:pPr>
          </w:p>
        </w:tc>
        <w:tc>
          <w:tcPr>
            <w:tcW w:w="932" w:type="dxa"/>
            <w:tcBorders>
              <w:top w:val="nil"/>
              <w:left w:val="nil"/>
              <w:bottom w:val="single" w:sz="6" w:space="0" w:color="auto"/>
              <w:right w:val="single" w:sz="6" w:space="0" w:color="auto"/>
            </w:tcBorders>
            <w:shd w:val="clear" w:color="auto" w:fill="C6EFCE"/>
            <w:hideMark/>
          </w:tcPr>
          <w:p w14:paraId="65ED26EC" w14:textId="77777777" w:rsidR="003A3D51" w:rsidRDefault="0002775A">
            <w:pPr>
              <w:pStyle w:val="P68B1DB1-Normal24"/>
              <w:spacing w:after="0" w:line="240" w:lineRule="auto"/>
              <w:jc w:val="center"/>
              <w:textAlignment w:val="baseline"/>
              <w:rPr>
                <w:noProof/>
              </w:rPr>
            </w:pPr>
            <w:r>
              <w:rPr>
                <w:noProof/>
              </w:rPr>
              <w:t>T</w:t>
            </w:r>
          </w:p>
        </w:tc>
        <w:tc>
          <w:tcPr>
            <w:tcW w:w="1984" w:type="dxa"/>
            <w:tcBorders>
              <w:top w:val="nil"/>
              <w:left w:val="nil"/>
              <w:bottom w:val="single" w:sz="6" w:space="0" w:color="auto"/>
              <w:right w:val="single" w:sz="6" w:space="0" w:color="auto"/>
            </w:tcBorders>
            <w:shd w:val="clear" w:color="auto" w:fill="C6EFCE"/>
            <w:hideMark/>
          </w:tcPr>
          <w:p w14:paraId="55FB1D79" w14:textId="54FB2CD3" w:rsidR="003A3D51" w:rsidRDefault="0002775A">
            <w:pPr>
              <w:pStyle w:val="P68B1DB1-Normal24"/>
              <w:spacing w:after="0" w:line="240" w:lineRule="auto"/>
              <w:textAlignment w:val="baseline"/>
              <w:rPr>
                <w:noProof/>
              </w:rPr>
            </w:pPr>
            <w:r>
              <w:rPr>
                <w:noProof/>
              </w:rPr>
              <w:t>Pilotprojekt slutförda</w:t>
            </w:r>
          </w:p>
        </w:tc>
        <w:tc>
          <w:tcPr>
            <w:tcW w:w="2126" w:type="dxa"/>
            <w:tcBorders>
              <w:top w:val="nil"/>
              <w:left w:val="nil"/>
              <w:bottom w:val="single" w:sz="6" w:space="0" w:color="auto"/>
              <w:right w:val="single" w:sz="6" w:space="0" w:color="auto"/>
            </w:tcBorders>
            <w:shd w:val="clear" w:color="auto" w:fill="C6EFCE"/>
            <w:hideMark/>
          </w:tcPr>
          <w:p w14:paraId="1DA6A0D2" w14:textId="5DE8E5BA" w:rsidR="003A3D51" w:rsidRDefault="003A3D51">
            <w:pPr>
              <w:spacing w:after="0" w:line="240" w:lineRule="auto"/>
              <w:textAlignment w:val="baseline"/>
              <w:rPr>
                <w:rFonts w:eastAsia="Times New Roman" w:cstheme="minorHAnsi"/>
                <w:noProof/>
                <w:sz w:val="20"/>
              </w:rPr>
            </w:pPr>
          </w:p>
        </w:tc>
        <w:tc>
          <w:tcPr>
            <w:tcW w:w="993" w:type="dxa"/>
            <w:tcBorders>
              <w:top w:val="nil"/>
              <w:left w:val="nil"/>
              <w:bottom w:val="single" w:sz="6" w:space="0" w:color="auto"/>
              <w:right w:val="single" w:sz="6" w:space="0" w:color="auto"/>
            </w:tcBorders>
            <w:shd w:val="clear" w:color="auto" w:fill="C6EFCE"/>
            <w:hideMark/>
          </w:tcPr>
          <w:p w14:paraId="1C74676A" w14:textId="77777777" w:rsidR="003A3D51" w:rsidRDefault="0002775A">
            <w:pPr>
              <w:pStyle w:val="P68B1DB1-Normal24"/>
              <w:spacing w:after="0" w:line="240" w:lineRule="auto"/>
              <w:jc w:val="center"/>
              <w:textAlignment w:val="baseline"/>
              <w:rPr>
                <w:noProof/>
              </w:rPr>
            </w:pPr>
            <w:r>
              <w:rPr>
                <w:noProof/>
              </w:rPr>
              <w:t>Antal</w:t>
            </w:r>
          </w:p>
        </w:tc>
        <w:tc>
          <w:tcPr>
            <w:tcW w:w="850" w:type="dxa"/>
            <w:tcBorders>
              <w:top w:val="nil"/>
              <w:left w:val="nil"/>
              <w:bottom w:val="single" w:sz="6" w:space="0" w:color="auto"/>
              <w:right w:val="single" w:sz="6" w:space="0" w:color="auto"/>
            </w:tcBorders>
            <w:shd w:val="clear" w:color="auto" w:fill="C6EFCE"/>
            <w:hideMark/>
          </w:tcPr>
          <w:p w14:paraId="38B02028" w14:textId="3788060E" w:rsidR="003A3D51" w:rsidRDefault="0002775A">
            <w:pPr>
              <w:pStyle w:val="P68B1DB1-Normal24"/>
              <w:spacing w:after="0" w:line="240" w:lineRule="auto"/>
              <w:jc w:val="center"/>
              <w:textAlignment w:val="baseline"/>
              <w:rPr>
                <w:noProof/>
              </w:rPr>
            </w:pPr>
            <w:r>
              <w:rPr>
                <w:noProof/>
              </w:rPr>
              <w:t>0</w:t>
            </w:r>
          </w:p>
        </w:tc>
        <w:tc>
          <w:tcPr>
            <w:tcW w:w="851" w:type="dxa"/>
            <w:tcBorders>
              <w:top w:val="nil"/>
              <w:left w:val="nil"/>
              <w:bottom w:val="single" w:sz="6" w:space="0" w:color="auto"/>
              <w:right w:val="single" w:sz="6" w:space="0" w:color="auto"/>
            </w:tcBorders>
            <w:shd w:val="clear" w:color="auto" w:fill="C6EFCE"/>
            <w:hideMark/>
          </w:tcPr>
          <w:p w14:paraId="57CE5F6B" w14:textId="785D16BB" w:rsidR="003A3D51" w:rsidRDefault="0002775A">
            <w:pPr>
              <w:pStyle w:val="P68B1DB1-Normal24"/>
              <w:spacing w:after="0" w:line="240" w:lineRule="auto"/>
              <w:jc w:val="center"/>
              <w:textAlignment w:val="baseline"/>
              <w:rPr>
                <w:noProof/>
              </w:rPr>
            </w:pPr>
            <w:r>
              <w:rPr>
                <w:noProof/>
              </w:rPr>
              <w:t>2</w:t>
            </w:r>
          </w:p>
        </w:tc>
        <w:tc>
          <w:tcPr>
            <w:tcW w:w="425" w:type="dxa"/>
            <w:tcBorders>
              <w:top w:val="nil"/>
              <w:left w:val="nil"/>
              <w:bottom w:val="single" w:sz="6" w:space="0" w:color="auto"/>
              <w:right w:val="single" w:sz="6" w:space="0" w:color="auto"/>
            </w:tcBorders>
            <w:shd w:val="clear" w:color="auto" w:fill="C6EFCE"/>
            <w:hideMark/>
          </w:tcPr>
          <w:p w14:paraId="232F7140" w14:textId="77777777" w:rsidR="003A3D51" w:rsidRDefault="0002775A">
            <w:pPr>
              <w:pStyle w:val="P68B1DB1-Normal24"/>
              <w:spacing w:after="0" w:line="240" w:lineRule="auto"/>
              <w:jc w:val="center"/>
              <w:textAlignment w:val="baseline"/>
              <w:rPr>
                <w:noProof/>
              </w:rPr>
            </w:pPr>
            <w:r>
              <w:rPr>
                <w:noProof/>
              </w:rPr>
              <w:t>KVARTAL 1</w:t>
            </w:r>
          </w:p>
        </w:tc>
        <w:tc>
          <w:tcPr>
            <w:tcW w:w="850" w:type="dxa"/>
            <w:tcBorders>
              <w:top w:val="nil"/>
              <w:left w:val="nil"/>
              <w:bottom w:val="single" w:sz="6" w:space="0" w:color="auto"/>
              <w:right w:val="single" w:sz="6" w:space="0" w:color="auto"/>
            </w:tcBorders>
            <w:shd w:val="clear" w:color="auto" w:fill="C6EFCE"/>
            <w:hideMark/>
          </w:tcPr>
          <w:p w14:paraId="6E1874DF" w14:textId="263E075C" w:rsidR="003A3D51" w:rsidRDefault="0002775A">
            <w:pPr>
              <w:pStyle w:val="P68B1DB1-Normal24"/>
              <w:spacing w:after="0" w:line="240" w:lineRule="auto"/>
              <w:jc w:val="center"/>
              <w:textAlignment w:val="baseline"/>
              <w:rPr>
                <w:noProof/>
              </w:rPr>
            </w:pPr>
            <w:r>
              <w:rPr>
                <w:noProof/>
              </w:rPr>
              <w:t>2026</w:t>
            </w:r>
          </w:p>
        </w:tc>
        <w:tc>
          <w:tcPr>
            <w:tcW w:w="3828" w:type="dxa"/>
            <w:tcBorders>
              <w:top w:val="nil"/>
              <w:left w:val="nil"/>
              <w:bottom w:val="single" w:sz="6" w:space="0" w:color="auto"/>
              <w:right w:val="single" w:sz="6" w:space="0" w:color="auto"/>
            </w:tcBorders>
            <w:shd w:val="clear" w:color="auto" w:fill="C6EFCE"/>
            <w:hideMark/>
          </w:tcPr>
          <w:p w14:paraId="3B4879EF" w14:textId="396B37E5" w:rsidR="003A3D51" w:rsidRDefault="0002775A">
            <w:pPr>
              <w:pStyle w:val="P68B1DB1-Normal24"/>
              <w:spacing w:after="0" w:line="240" w:lineRule="auto"/>
              <w:textAlignment w:val="baseline"/>
              <w:rPr>
                <w:noProof/>
              </w:rPr>
            </w:pPr>
            <w:r>
              <w:rPr>
                <w:noProof/>
              </w:rPr>
              <w:t>Pilotprojekt ska genomföras i två utvalda lokala självstyrande enheter.</w:t>
            </w:r>
          </w:p>
          <w:p w14:paraId="667AA774" w14:textId="77777777" w:rsidR="003A3D51" w:rsidRDefault="003A3D51">
            <w:pPr>
              <w:spacing w:after="0" w:line="240" w:lineRule="auto"/>
              <w:textAlignment w:val="baseline"/>
              <w:rPr>
                <w:rFonts w:eastAsia="Times New Roman" w:cstheme="minorHAnsi"/>
                <w:noProof/>
                <w:sz w:val="20"/>
              </w:rPr>
            </w:pPr>
          </w:p>
        </w:tc>
      </w:tr>
      <w:tr w:rsidR="003A3D51" w14:paraId="78A8A694" w14:textId="77777777">
        <w:trPr>
          <w:trHeight w:val="301"/>
        </w:trPr>
        <w:tc>
          <w:tcPr>
            <w:tcW w:w="714" w:type="dxa"/>
            <w:tcBorders>
              <w:top w:val="nil"/>
              <w:left w:val="single" w:sz="6" w:space="0" w:color="auto"/>
              <w:bottom w:val="single" w:sz="6" w:space="0" w:color="auto"/>
              <w:right w:val="single" w:sz="6" w:space="0" w:color="auto"/>
            </w:tcBorders>
            <w:shd w:val="clear" w:color="auto" w:fill="C6EFCE"/>
            <w:hideMark/>
          </w:tcPr>
          <w:p w14:paraId="126D6FFC" w14:textId="13CD9DD3" w:rsidR="003A3D51" w:rsidRDefault="0002775A">
            <w:pPr>
              <w:pStyle w:val="P68B1DB1-Normal24"/>
              <w:spacing w:after="0" w:line="240" w:lineRule="auto"/>
              <w:jc w:val="center"/>
              <w:textAlignment w:val="baseline"/>
              <w:rPr>
                <w:noProof/>
              </w:rPr>
            </w:pPr>
            <w:r>
              <w:rPr>
                <w:noProof/>
              </w:rPr>
              <w:t> 404</w:t>
            </w:r>
          </w:p>
        </w:tc>
        <w:tc>
          <w:tcPr>
            <w:tcW w:w="1620" w:type="dxa"/>
            <w:tcBorders>
              <w:top w:val="nil"/>
              <w:left w:val="nil"/>
              <w:bottom w:val="single" w:sz="6" w:space="0" w:color="auto"/>
              <w:right w:val="single" w:sz="6" w:space="0" w:color="auto"/>
            </w:tcBorders>
            <w:shd w:val="clear" w:color="auto" w:fill="C6EFCE"/>
            <w:hideMark/>
          </w:tcPr>
          <w:p w14:paraId="0C458CDE" w14:textId="20CB1C17" w:rsidR="003A3D51" w:rsidRDefault="0002775A">
            <w:pPr>
              <w:pStyle w:val="P68B1DB1-Normal24"/>
              <w:spacing w:after="0" w:line="240" w:lineRule="auto"/>
              <w:textAlignment w:val="baseline"/>
              <w:rPr>
                <w:noProof/>
              </w:rPr>
            </w:pPr>
            <w:r>
              <w:rPr>
                <w:noProof/>
              </w:rPr>
              <w:t>  C6.1 R7</w:t>
            </w:r>
          </w:p>
        </w:tc>
        <w:tc>
          <w:tcPr>
            <w:tcW w:w="932" w:type="dxa"/>
            <w:tcBorders>
              <w:top w:val="nil"/>
              <w:left w:val="nil"/>
              <w:bottom w:val="single" w:sz="6" w:space="0" w:color="auto"/>
              <w:right w:val="single" w:sz="6" w:space="0" w:color="auto"/>
            </w:tcBorders>
            <w:shd w:val="clear" w:color="auto" w:fill="C6EFCE"/>
            <w:hideMark/>
          </w:tcPr>
          <w:p w14:paraId="6339CBA8" w14:textId="77777777" w:rsidR="003A3D51" w:rsidRDefault="0002775A">
            <w:pPr>
              <w:pStyle w:val="P68B1DB1-Normal24"/>
              <w:spacing w:after="0" w:line="240" w:lineRule="auto"/>
              <w:jc w:val="center"/>
              <w:textAlignment w:val="baseline"/>
              <w:rPr>
                <w:noProof/>
              </w:rPr>
            </w:pPr>
            <w:r>
              <w:rPr>
                <w:noProof/>
              </w:rPr>
              <w:t>M</w:t>
            </w:r>
          </w:p>
        </w:tc>
        <w:tc>
          <w:tcPr>
            <w:tcW w:w="1984" w:type="dxa"/>
            <w:tcBorders>
              <w:top w:val="nil"/>
              <w:left w:val="nil"/>
              <w:bottom w:val="single" w:sz="6" w:space="0" w:color="auto"/>
              <w:right w:val="single" w:sz="6" w:space="0" w:color="auto"/>
            </w:tcBorders>
            <w:shd w:val="clear" w:color="auto" w:fill="C6EFCE"/>
            <w:hideMark/>
          </w:tcPr>
          <w:p w14:paraId="3B46CFE9" w14:textId="77777777" w:rsidR="003A3D51" w:rsidRDefault="0002775A">
            <w:pPr>
              <w:pStyle w:val="P68B1DB1-Normal25"/>
              <w:spacing w:after="0" w:line="240" w:lineRule="auto"/>
              <w:textAlignment w:val="baseline"/>
              <w:rPr>
                <w:rFonts w:eastAsia="Times New Roman"/>
                <w:noProof/>
              </w:rPr>
            </w:pPr>
            <w:r>
              <w:rPr>
                <w:noProof/>
              </w:rPr>
              <w:t>     Nationella riktlinjer för cirkulär användning av byggavfall från byggnader med status som kulturföremål har antagits</w:t>
            </w:r>
          </w:p>
        </w:tc>
        <w:tc>
          <w:tcPr>
            <w:tcW w:w="2126" w:type="dxa"/>
            <w:tcBorders>
              <w:top w:val="nil"/>
              <w:left w:val="nil"/>
              <w:bottom w:val="single" w:sz="6" w:space="0" w:color="auto"/>
              <w:right w:val="single" w:sz="6" w:space="0" w:color="auto"/>
            </w:tcBorders>
            <w:shd w:val="clear" w:color="auto" w:fill="C6EFCE"/>
            <w:hideMark/>
          </w:tcPr>
          <w:p w14:paraId="26A2FC5B" w14:textId="712E5F6F" w:rsidR="003A3D51" w:rsidRDefault="0002775A">
            <w:pPr>
              <w:pStyle w:val="P68B1DB1-Normal24"/>
              <w:spacing w:after="0" w:line="240" w:lineRule="auto"/>
              <w:textAlignment w:val="baseline"/>
              <w:rPr>
                <w:noProof/>
              </w:rPr>
            </w:pPr>
            <w:r>
              <w:rPr>
                <w:noProof/>
              </w:rPr>
              <w:t>Nationella riktlinjer för cirkulär användning av byggavfall utgör byggnader med status som kulturföremål som antas av och offentliggörs på den officiella webbplatsen för ministeriet för fysisk planering, byggnation och statliga tillgångar.</w:t>
            </w:r>
          </w:p>
        </w:tc>
        <w:tc>
          <w:tcPr>
            <w:tcW w:w="993" w:type="dxa"/>
            <w:tcBorders>
              <w:top w:val="nil"/>
              <w:left w:val="nil"/>
              <w:bottom w:val="single" w:sz="6" w:space="0" w:color="auto"/>
              <w:right w:val="single" w:sz="6" w:space="0" w:color="auto"/>
            </w:tcBorders>
            <w:shd w:val="clear" w:color="auto" w:fill="C6EFCE"/>
            <w:hideMark/>
          </w:tcPr>
          <w:p w14:paraId="55B7F950" w14:textId="34AD1EFA" w:rsidR="003A3D51" w:rsidRDefault="0002775A">
            <w:pPr>
              <w:pStyle w:val="P68B1DB1-Normal54"/>
              <w:spacing w:after="0" w:line="240" w:lineRule="auto"/>
              <w:jc w:val="center"/>
              <w:textAlignment w:val="baseline"/>
              <w:rPr>
                <w:noProof/>
              </w:rPr>
            </w:pPr>
            <w:r>
              <w:rPr>
                <w:noProof/>
              </w:rPr>
              <w:t> </w:t>
            </w:r>
          </w:p>
        </w:tc>
        <w:tc>
          <w:tcPr>
            <w:tcW w:w="850" w:type="dxa"/>
            <w:tcBorders>
              <w:top w:val="nil"/>
              <w:left w:val="nil"/>
              <w:bottom w:val="single" w:sz="6" w:space="0" w:color="auto"/>
              <w:right w:val="single" w:sz="6" w:space="0" w:color="auto"/>
            </w:tcBorders>
            <w:shd w:val="clear" w:color="auto" w:fill="C6EFCE"/>
            <w:hideMark/>
          </w:tcPr>
          <w:p w14:paraId="0DE44C21" w14:textId="708A2C64" w:rsidR="003A3D51" w:rsidRDefault="0002775A">
            <w:pPr>
              <w:pStyle w:val="P68B1DB1-Normal24"/>
              <w:spacing w:after="0" w:line="240" w:lineRule="auto"/>
              <w:jc w:val="center"/>
              <w:textAlignment w:val="baseline"/>
              <w:rPr>
                <w:noProof/>
              </w:rPr>
            </w:pPr>
            <w:r>
              <w:rPr>
                <w:noProof/>
              </w:rPr>
              <w:t> </w:t>
            </w:r>
          </w:p>
        </w:tc>
        <w:tc>
          <w:tcPr>
            <w:tcW w:w="851" w:type="dxa"/>
            <w:tcBorders>
              <w:top w:val="nil"/>
              <w:left w:val="nil"/>
              <w:bottom w:val="single" w:sz="6" w:space="0" w:color="auto"/>
              <w:right w:val="single" w:sz="6" w:space="0" w:color="auto"/>
            </w:tcBorders>
            <w:shd w:val="clear" w:color="auto" w:fill="C6EFCE"/>
            <w:hideMark/>
          </w:tcPr>
          <w:p w14:paraId="0A494E35" w14:textId="7FD5F4C8" w:rsidR="003A3D51" w:rsidRDefault="0002775A">
            <w:pPr>
              <w:pStyle w:val="P68B1DB1-Normal24"/>
              <w:spacing w:after="0" w:line="240" w:lineRule="auto"/>
              <w:jc w:val="center"/>
              <w:textAlignment w:val="baseline"/>
              <w:rPr>
                <w:noProof/>
              </w:rPr>
            </w:pPr>
            <w:r>
              <w:rPr>
                <w:noProof/>
              </w:rPr>
              <w:t> </w:t>
            </w:r>
          </w:p>
        </w:tc>
        <w:tc>
          <w:tcPr>
            <w:tcW w:w="425" w:type="dxa"/>
            <w:tcBorders>
              <w:top w:val="nil"/>
              <w:left w:val="nil"/>
              <w:bottom w:val="single" w:sz="6" w:space="0" w:color="auto"/>
              <w:right w:val="single" w:sz="6" w:space="0" w:color="auto"/>
            </w:tcBorders>
            <w:shd w:val="clear" w:color="auto" w:fill="C6EFCE"/>
            <w:hideMark/>
          </w:tcPr>
          <w:p w14:paraId="3949EDEB" w14:textId="77777777" w:rsidR="003A3D51" w:rsidRDefault="0002775A">
            <w:pPr>
              <w:pStyle w:val="P68B1DB1-Normal24"/>
              <w:spacing w:after="0" w:line="240" w:lineRule="auto"/>
              <w:jc w:val="center"/>
              <w:textAlignment w:val="baseline"/>
              <w:rPr>
                <w:noProof/>
              </w:rPr>
            </w:pPr>
            <w:r>
              <w:rPr>
                <w:noProof/>
              </w:rPr>
              <w:t>  KVARTAL 1</w:t>
            </w:r>
          </w:p>
        </w:tc>
        <w:tc>
          <w:tcPr>
            <w:tcW w:w="850" w:type="dxa"/>
            <w:tcBorders>
              <w:top w:val="nil"/>
              <w:left w:val="nil"/>
              <w:bottom w:val="single" w:sz="6" w:space="0" w:color="auto"/>
              <w:right w:val="single" w:sz="6" w:space="0" w:color="auto"/>
            </w:tcBorders>
            <w:shd w:val="clear" w:color="auto" w:fill="C6EFCE"/>
            <w:hideMark/>
          </w:tcPr>
          <w:p w14:paraId="64391FB8" w14:textId="77777777" w:rsidR="003A3D51" w:rsidRDefault="0002775A">
            <w:pPr>
              <w:pStyle w:val="P68B1DB1-Normal24"/>
              <w:spacing w:after="0" w:line="240" w:lineRule="auto"/>
              <w:jc w:val="center"/>
              <w:textAlignment w:val="baseline"/>
              <w:rPr>
                <w:noProof/>
              </w:rPr>
            </w:pPr>
            <w:r>
              <w:rPr>
                <w:noProof/>
              </w:rPr>
              <w:t>  2026</w:t>
            </w:r>
          </w:p>
        </w:tc>
        <w:tc>
          <w:tcPr>
            <w:tcW w:w="3828" w:type="dxa"/>
            <w:tcBorders>
              <w:top w:val="nil"/>
              <w:left w:val="nil"/>
              <w:bottom w:val="single" w:sz="6" w:space="0" w:color="auto"/>
              <w:right w:val="single" w:sz="6" w:space="0" w:color="auto"/>
            </w:tcBorders>
            <w:shd w:val="clear" w:color="auto" w:fill="C6EFCE"/>
            <w:hideMark/>
          </w:tcPr>
          <w:p w14:paraId="7E82BD64" w14:textId="4AC206BB" w:rsidR="003A3D51" w:rsidRDefault="0002775A">
            <w:pPr>
              <w:pStyle w:val="P68B1DB1-Normal25"/>
              <w:spacing w:after="0" w:line="240" w:lineRule="auto"/>
              <w:textAlignment w:val="baseline"/>
              <w:rPr>
                <w:rFonts w:eastAsia="Times New Roman"/>
                <w:noProof/>
              </w:rPr>
            </w:pPr>
            <w:r>
              <w:rPr>
                <w:noProof/>
              </w:rPr>
              <w:t xml:space="preserve">  Riktlinjer för tillämpningen av systemet med cirkulär användning av byggavfall från byggnader med status som kulturföremål på nationell nivå med rekommendationer om inrättande av en nationell plattform för utbyte av och handel med byggavfall från byggnader med status som kulturföremål ska antas och offentliggöras på den officiella webbplatsen för ministeriet för fysisk planering, byggnation och statliga tillgångar. </w:t>
            </w:r>
          </w:p>
        </w:tc>
      </w:tr>
      <w:tr w:rsidR="003A3D51" w14:paraId="69E0C04A" w14:textId="77777777">
        <w:trPr>
          <w:trHeight w:val="301"/>
        </w:trPr>
        <w:tc>
          <w:tcPr>
            <w:tcW w:w="714" w:type="dxa"/>
            <w:tcBorders>
              <w:top w:val="single" w:sz="6" w:space="0" w:color="auto"/>
              <w:left w:val="single" w:sz="6" w:space="0" w:color="auto"/>
              <w:bottom w:val="single" w:sz="6" w:space="0" w:color="auto"/>
              <w:right w:val="single" w:sz="6" w:space="0" w:color="auto"/>
            </w:tcBorders>
            <w:shd w:val="clear" w:color="auto" w:fill="C6EFCE"/>
          </w:tcPr>
          <w:p w14:paraId="1147A0A8" w14:textId="3E9879F8" w:rsidR="003A3D51" w:rsidRDefault="0002775A">
            <w:pPr>
              <w:pStyle w:val="P68B1DB1-Normal24"/>
              <w:spacing w:after="0" w:line="240" w:lineRule="auto"/>
              <w:jc w:val="center"/>
              <w:textAlignment w:val="baseline"/>
              <w:rPr>
                <w:noProof/>
              </w:rPr>
            </w:pPr>
            <w:r>
              <w:rPr>
                <w:noProof/>
              </w:rPr>
              <w:t>405</w:t>
            </w:r>
          </w:p>
        </w:tc>
        <w:tc>
          <w:tcPr>
            <w:tcW w:w="1620" w:type="dxa"/>
            <w:tcBorders>
              <w:top w:val="single" w:sz="6" w:space="0" w:color="auto"/>
              <w:left w:val="single" w:sz="6" w:space="0" w:color="auto"/>
              <w:bottom w:val="single" w:sz="6" w:space="0" w:color="auto"/>
              <w:right w:val="single" w:sz="6" w:space="0" w:color="auto"/>
            </w:tcBorders>
            <w:shd w:val="clear" w:color="auto" w:fill="C6EFCE"/>
          </w:tcPr>
          <w:p w14:paraId="03EAF57F" w14:textId="10F0EA46" w:rsidR="003A3D51" w:rsidRDefault="0002775A">
            <w:pPr>
              <w:pStyle w:val="P68B1DB1-Normal24"/>
              <w:spacing w:after="0" w:line="240" w:lineRule="auto"/>
              <w:textAlignment w:val="baseline"/>
              <w:rPr>
                <w:noProof/>
              </w:rPr>
            </w:pPr>
            <w:r>
              <w:rPr>
                <w:noProof/>
              </w:rPr>
              <w:t>C6.1 R1 – I4</w:t>
            </w:r>
          </w:p>
        </w:tc>
        <w:tc>
          <w:tcPr>
            <w:tcW w:w="932" w:type="dxa"/>
            <w:tcBorders>
              <w:top w:val="single" w:sz="6" w:space="0" w:color="auto"/>
              <w:left w:val="single" w:sz="6" w:space="0" w:color="auto"/>
              <w:bottom w:val="single" w:sz="6" w:space="0" w:color="auto"/>
              <w:right w:val="single" w:sz="6" w:space="0" w:color="auto"/>
            </w:tcBorders>
            <w:shd w:val="clear" w:color="auto" w:fill="C6EFCE"/>
          </w:tcPr>
          <w:p w14:paraId="67D8BFE8" w14:textId="77777777" w:rsidR="003A3D51" w:rsidRDefault="0002775A">
            <w:pPr>
              <w:pStyle w:val="P68B1DB1-Normal24"/>
              <w:spacing w:after="0" w:line="240" w:lineRule="auto"/>
              <w:jc w:val="center"/>
              <w:textAlignment w:val="baseline"/>
              <w:rPr>
                <w:noProof/>
              </w:rPr>
            </w:pPr>
            <w:r>
              <w:rPr>
                <w:noProof/>
              </w:rPr>
              <w:t>M</w:t>
            </w:r>
          </w:p>
        </w:tc>
        <w:tc>
          <w:tcPr>
            <w:tcW w:w="1984" w:type="dxa"/>
            <w:tcBorders>
              <w:top w:val="single" w:sz="6" w:space="0" w:color="auto"/>
              <w:left w:val="single" w:sz="6" w:space="0" w:color="auto"/>
              <w:bottom w:val="single" w:sz="6" w:space="0" w:color="auto"/>
              <w:right w:val="single" w:sz="6" w:space="0" w:color="auto"/>
            </w:tcBorders>
            <w:shd w:val="clear" w:color="auto" w:fill="C6EFCE"/>
          </w:tcPr>
          <w:p w14:paraId="01471F05" w14:textId="77777777" w:rsidR="003A3D51" w:rsidRDefault="0002775A">
            <w:pPr>
              <w:pStyle w:val="P68B1DB1-Normal24"/>
              <w:spacing w:after="0" w:line="240" w:lineRule="auto"/>
              <w:textAlignment w:val="baseline"/>
              <w:rPr>
                <w:noProof/>
              </w:rPr>
            </w:pPr>
            <w:r>
              <w:rPr>
                <w:noProof/>
              </w:rPr>
              <w:t>Riktlinjer för energirenovering av byggnader med status som kulturföremål</w:t>
            </w:r>
          </w:p>
        </w:tc>
        <w:tc>
          <w:tcPr>
            <w:tcW w:w="2126" w:type="dxa"/>
            <w:tcBorders>
              <w:top w:val="single" w:sz="6" w:space="0" w:color="auto"/>
              <w:left w:val="single" w:sz="6" w:space="0" w:color="auto"/>
              <w:bottom w:val="single" w:sz="6" w:space="0" w:color="auto"/>
              <w:right w:val="single" w:sz="6" w:space="0" w:color="auto"/>
            </w:tcBorders>
            <w:shd w:val="clear" w:color="auto" w:fill="C6EFCE"/>
          </w:tcPr>
          <w:p w14:paraId="207DC056" w14:textId="77777777" w:rsidR="003A3D51" w:rsidRDefault="0002775A">
            <w:pPr>
              <w:pStyle w:val="P68B1DB1-Normal24"/>
              <w:spacing w:after="0" w:line="240" w:lineRule="auto"/>
              <w:textAlignment w:val="baseline"/>
              <w:rPr>
                <w:noProof/>
              </w:rPr>
            </w:pPr>
            <w:r>
              <w:rPr>
                <w:noProof/>
              </w:rPr>
              <w:t>Offentliggörande på kultur- och medieministeriets officiella webbplats</w:t>
            </w:r>
          </w:p>
        </w:tc>
        <w:tc>
          <w:tcPr>
            <w:tcW w:w="993" w:type="dxa"/>
            <w:tcBorders>
              <w:top w:val="single" w:sz="6" w:space="0" w:color="auto"/>
              <w:left w:val="single" w:sz="6" w:space="0" w:color="auto"/>
              <w:bottom w:val="single" w:sz="6" w:space="0" w:color="auto"/>
              <w:right w:val="single" w:sz="6" w:space="0" w:color="auto"/>
            </w:tcBorders>
            <w:shd w:val="clear" w:color="auto" w:fill="C6EFCE"/>
          </w:tcPr>
          <w:p w14:paraId="13485B98" w14:textId="77777777" w:rsidR="003A3D51" w:rsidRDefault="003A3D51">
            <w:pPr>
              <w:spacing w:after="0" w:line="240" w:lineRule="auto"/>
              <w:jc w:val="center"/>
              <w:textAlignment w:val="baseline"/>
              <w:rPr>
                <w:rFonts w:eastAsia="Times New Roman" w:cstheme="minorHAnsi"/>
                <w:noProof/>
                <w:sz w:val="20"/>
              </w:rPr>
            </w:pP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59EE859C" w14:textId="77777777" w:rsidR="003A3D51" w:rsidRDefault="003A3D51">
            <w:pPr>
              <w:spacing w:after="0" w:line="240" w:lineRule="auto"/>
              <w:jc w:val="center"/>
              <w:textAlignment w:val="baseline"/>
              <w:rPr>
                <w:rFonts w:eastAsia="Times New Roman" w:cstheme="minorHAnsi"/>
                <w:noProof/>
                <w:sz w:val="20"/>
              </w:rPr>
            </w:pPr>
          </w:p>
        </w:tc>
        <w:tc>
          <w:tcPr>
            <w:tcW w:w="851" w:type="dxa"/>
            <w:tcBorders>
              <w:top w:val="single" w:sz="6" w:space="0" w:color="auto"/>
              <w:left w:val="single" w:sz="6" w:space="0" w:color="auto"/>
              <w:bottom w:val="single" w:sz="6" w:space="0" w:color="auto"/>
              <w:right w:val="single" w:sz="6" w:space="0" w:color="auto"/>
            </w:tcBorders>
            <w:shd w:val="clear" w:color="auto" w:fill="C6EFCE"/>
          </w:tcPr>
          <w:p w14:paraId="2E889A63" w14:textId="77777777" w:rsidR="003A3D51" w:rsidRDefault="003A3D51">
            <w:pPr>
              <w:spacing w:after="0" w:line="240" w:lineRule="auto"/>
              <w:jc w:val="center"/>
              <w:textAlignment w:val="baseline"/>
              <w:rPr>
                <w:rFonts w:eastAsia="Times New Roman" w:cstheme="minorHAnsi"/>
                <w:noProof/>
                <w:sz w:val="20"/>
              </w:rPr>
            </w:pPr>
          </w:p>
        </w:tc>
        <w:tc>
          <w:tcPr>
            <w:tcW w:w="425" w:type="dxa"/>
            <w:tcBorders>
              <w:top w:val="single" w:sz="6" w:space="0" w:color="auto"/>
              <w:left w:val="single" w:sz="6" w:space="0" w:color="auto"/>
              <w:bottom w:val="single" w:sz="6" w:space="0" w:color="auto"/>
              <w:right w:val="single" w:sz="6" w:space="0" w:color="auto"/>
            </w:tcBorders>
            <w:shd w:val="clear" w:color="auto" w:fill="C6EFCE"/>
          </w:tcPr>
          <w:p w14:paraId="4997888E" w14:textId="77777777" w:rsidR="003A3D51" w:rsidRDefault="0002775A">
            <w:pPr>
              <w:pStyle w:val="P68B1DB1-Normal24"/>
              <w:spacing w:after="0" w:line="240" w:lineRule="auto"/>
              <w:jc w:val="center"/>
              <w:textAlignment w:val="baseline"/>
              <w:rPr>
                <w:noProof/>
              </w:rPr>
            </w:pPr>
            <w:r>
              <w:rPr>
                <w:noProof/>
              </w:rPr>
              <w:t>KVARTAL 4</w:t>
            </w:r>
          </w:p>
        </w:tc>
        <w:tc>
          <w:tcPr>
            <w:tcW w:w="850" w:type="dxa"/>
            <w:tcBorders>
              <w:top w:val="single" w:sz="6" w:space="0" w:color="auto"/>
              <w:left w:val="single" w:sz="6" w:space="0" w:color="auto"/>
              <w:bottom w:val="single" w:sz="6" w:space="0" w:color="auto"/>
              <w:right w:val="single" w:sz="6" w:space="0" w:color="auto"/>
            </w:tcBorders>
            <w:shd w:val="clear" w:color="auto" w:fill="C6EFCE"/>
          </w:tcPr>
          <w:p w14:paraId="555E7917" w14:textId="77777777" w:rsidR="003A3D51" w:rsidRDefault="0002775A">
            <w:pPr>
              <w:pStyle w:val="P68B1DB1-Normal24"/>
              <w:spacing w:after="0" w:line="240" w:lineRule="auto"/>
              <w:jc w:val="center"/>
              <w:textAlignment w:val="baseline"/>
              <w:rPr>
                <w:noProof/>
              </w:rPr>
            </w:pPr>
            <w:r>
              <w:rPr>
                <w:noProof/>
              </w:rPr>
              <w:t>2023</w:t>
            </w:r>
          </w:p>
        </w:tc>
        <w:tc>
          <w:tcPr>
            <w:tcW w:w="3828" w:type="dxa"/>
            <w:tcBorders>
              <w:top w:val="single" w:sz="6" w:space="0" w:color="auto"/>
              <w:left w:val="single" w:sz="6" w:space="0" w:color="auto"/>
              <w:bottom w:val="single" w:sz="6" w:space="0" w:color="auto"/>
              <w:right w:val="single" w:sz="6" w:space="0" w:color="auto"/>
            </w:tcBorders>
            <w:shd w:val="clear" w:color="auto" w:fill="C6EFCE"/>
          </w:tcPr>
          <w:p w14:paraId="24584877" w14:textId="77777777" w:rsidR="003A3D51" w:rsidRDefault="0002775A">
            <w:pPr>
              <w:pStyle w:val="P68B1DB1-Normal24"/>
              <w:spacing w:after="0" w:line="240" w:lineRule="auto"/>
              <w:textAlignment w:val="baseline"/>
              <w:rPr>
                <w:noProof/>
              </w:rPr>
            </w:pPr>
            <w:r>
              <w:rPr>
                <w:noProof/>
              </w:rPr>
              <w:t>Riktlinjer för energirenovering av byggnader med status som kulturföremål ska utarbetas och offentliggöras på kulturministeriets officiella webbplats. Riktlinjerna ska innehålla rekommendationer om energirenoveringsåtgärder, tekniska lösningar och moderna material samt klargöra förfarandena för utarbetande av dokumentation och erhållande av nödvändiga tillstånd.</w:t>
            </w:r>
          </w:p>
        </w:tc>
      </w:tr>
    </w:tbl>
    <w:p w14:paraId="6E3DC686" w14:textId="77777777" w:rsidR="003A3D51" w:rsidRDefault="0002775A">
      <w:pPr>
        <w:pStyle w:val="paragraph"/>
        <w:spacing w:before="0" w:beforeAutospacing="0" w:after="0" w:afterAutospacing="0"/>
        <w:jc w:val="both"/>
        <w:textAlignment w:val="baseline"/>
        <w:rPr>
          <w:rFonts w:ascii="Segoe UI" w:hAnsi="Segoe UI" w:cs="Segoe UI"/>
          <w:noProof/>
          <w:sz w:val="18"/>
        </w:rPr>
      </w:pPr>
      <w:r>
        <w:rPr>
          <w:rStyle w:val="eop"/>
          <w:noProof/>
        </w:rPr>
        <w:t> </w:t>
      </w:r>
    </w:p>
    <w:p w14:paraId="051B1BB8" w14:textId="77777777" w:rsidR="003A3D51" w:rsidRDefault="003A3D51">
      <w:pPr>
        <w:rPr>
          <w:noProof/>
        </w:rPr>
        <w:sectPr w:rsidR="003A3D51" w:rsidSect="0001477B">
          <w:headerReference w:type="even" r:id="rId396"/>
          <w:headerReference w:type="default" r:id="rId397"/>
          <w:footerReference w:type="even" r:id="rId398"/>
          <w:footerReference w:type="default" r:id="rId399"/>
          <w:headerReference w:type="first" r:id="rId400"/>
          <w:footerReference w:type="first" r:id="rId401"/>
          <w:pgSz w:w="15840" w:h="12240" w:orient="landscape"/>
          <w:pgMar w:top="1440" w:right="1440" w:bottom="1440" w:left="1440" w:header="708" w:footer="708" w:gutter="0"/>
          <w:cols w:space="708"/>
          <w:docGrid w:linePitch="360"/>
        </w:sectPr>
      </w:pPr>
    </w:p>
    <w:p w14:paraId="221DC06F" w14:textId="06DD250D" w:rsidR="003A3D51" w:rsidRDefault="0002775A">
      <w:pPr>
        <w:pStyle w:val="P68B1DB1-Normal1"/>
        <w:keepNext/>
        <w:tabs>
          <w:tab w:val="left" w:pos="284"/>
        </w:tabs>
        <w:spacing w:after="200" w:line="276" w:lineRule="auto"/>
        <w:ind w:left="850" w:firstLine="1"/>
        <w:jc w:val="both"/>
        <w:outlineLvl w:val="0"/>
        <w:rPr>
          <w:smallCaps/>
          <w:noProof/>
        </w:rPr>
      </w:pPr>
      <w:r>
        <w:rPr>
          <w:noProof/>
        </w:rPr>
        <w:t>W. KOMPONENT 7.1: Energi OCH STAINABLE TRANSPORT (REPowerEU</w:t>
      </w:r>
      <w:r>
        <w:rPr>
          <w:smallCaps/>
          <w:noProof/>
        </w:rPr>
        <w:t xml:space="preserve"> COMPONENT)</w:t>
      </w:r>
    </w:p>
    <w:p w14:paraId="53DFD95A" w14:textId="77777777" w:rsidR="003A3D51" w:rsidRDefault="003A3D51">
      <w:pPr>
        <w:pStyle w:val="paragraph"/>
        <w:spacing w:before="0" w:beforeAutospacing="0" w:after="0" w:afterAutospacing="0"/>
        <w:jc w:val="both"/>
        <w:textAlignment w:val="baseline"/>
        <w:rPr>
          <w:noProof/>
        </w:rPr>
      </w:pPr>
    </w:p>
    <w:p w14:paraId="4DA243BC" w14:textId="506E9BBC" w:rsidR="003A3D51" w:rsidRDefault="0002775A">
      <w:pPr>
        <w:pStyle w:val="paragraph"/>
        <w:spacing w:before="0" w:beforeAutospacing="0" w:after="0" w:afterAutospacing="0"/>
        <w:jc w:val="both"/>
        <w:textAlignment w:val="baseline"/>
        <w:rPr>
          <w:noProof/>
        </w:rPr>
      </w:pPr>
      <w:r>
        <w:rPr>
          <w:noProof/>
        </w:rPr>
        <w:t>Huvudsyftet med denna komponent är att minska beroendet av fossila bränslen, särskilt från Ryssland, och påskynda den gröna omställningen i hela ekonomin.</w:t>
      </w:r>
      <w:r>
        <w:rPr>
          <w:noProof/>
          <w:color w:val="000000" w:themeColor="text1"/>
        </w:rPr>
        <w:t xml:space="preserve"> Detta ska enligt planerna uppnås genom åtgärder </w:t>
      </w:r>
      <w:r>
        <w:rPr>
          <w:noProof/>
        </w:rPr>
        <w:t xml:space="preserve">som rör energinät, infrastruktur för flytande naturgas och gas, användning av förnybara energikällor, utsläppsfria transporter och förnybar vätgas. De ovannämnda åtgärderna är avsedda att bidra till att förbättra försörjningstryggheten och diversifieringen av unionens gasförsörjning, minska beroendet av fossila bränslen genom att öka produktionen och användningen av förnybar energi, såsom hållbar biometan, förnybar vätgas och geotermisk energi, öka andelen och påskynda utbyggnaden av förnybar energi, bidra till att öka energitryggheten och ta itu med flaskhalsar i eldistributionen samt stödja utsläppsfria transporter. </w:t>
      </w:r>
    </w:p>
    <w:p w14:paraId="650D6EAB" w14:textId="77777777" w:rsidR="003A3D51" w:rsidRDefault="003A3D51">
      <w:pPr>
        <w:pStyle w:val="paragraph"/>
        <w:spacing w:before="0" w:beforeAutospacing="0" w:after="0" w:afterAutospacing="0"/>
        <w:jc w:val="both"/>
        <w:textAlignment w:val="baseline"/>
        <w:rPr>
          <w:noProof/>
        </w:rPr>
      </w:pPr>
    </w:p>
    <w:p w14:paraId="2BCDB4BC" w14:textId="4D880A1E" w:rsidR="003A3D51" w:rsidRDefault="0002775A">
      <w:pPr>
        <w:pStyle w:val="paragraph"/>
        <w:spacing w:before="0" w:beforeAutospacing="0" w:after="0" w:afterAutospacing="0"/>
        <w:jc w:val="both"/>
        <w:textAlignment w:val="baseline"/>
        <w:rPr>
          <w:noProof/>
          <w:color w:val="000000" w:themeColor="text1"/>
        </w:rPr>
      </w:pPr>
      <w:r>
        <w:rPr>
          <w:noProof/>
        </w:rPr>
        <w:t xml:space="preserve">Av de nio åtgärderna inom denna del har åtta en gränsöverskridande dimension eller en dimension som omfattar flera länder. De största investeringarna med en gränsöverskridande dimension eller en dimension som omfattar flera länder avser att öka kapaciteten i LNG-terminalen på ön Krk och </w:t>
      </w:r>
      <w:r>
        <w:rPr>
          <w:noProof/>
          <w:color w:val="000000" w:themeColor="text1"/>
        </w:rPr>
        <w:t>stärka gasinfrastrukturen samt stärka överförings- och distributionskapaciteten i</w:t>
      </w:r>
      <w:r>
        <w:rPr>
          <w:noProof/>
          <w:color w:val="000000" w:themeColor="text1"/>
          <w:u w:val="single"/>
        </w:rPr>
        <w:t xml:space="preserve"> </w:t>
      </w:r>
      <w:r>
        <w:rPr>
          <w:noProof/>
          <w:color w:val="000000" w:themeColor="text1"/>
        </w:rPr>
        <w:t xml:space="preserve">elnätet. Andra betydande investeringar med en </w:t>
      </w:r>
      <w:r>
        <w:rPr>
          <w:noProof/>
        </w:rPr>
        <w:t>gränsöverskridande dimension eller en dimension</w:t>
      </w:r>
      <w:r>
        <w:rPr>
          <w:noProof/>
          <w:color w:val="000000" w:themeColor="text1"/>
        </w:rPr>
        <w:t xml:space="preserve"> som omfattar flera länder rör ökad användning av förnybar energi, såsom förnybar vätgas, hållbar biometan och geotermisk energi, samt investeringar i fordon som drivs med alternativa bränslen för allmänna reguljära transporter i städer och förorter och utveckling av infrastruktur för alternativa bränslen inom vägtransporter.</w:t>
      </w:r>
    </w:p>
    <w:p w14:paraId="0D9B499F" w14:textId="77777777" w:rsidR="003A3D51" w:rsidRDefault="003A3D51">
      <w:pPr>
        <w:pStyle w:val="paragraph"/>
        <w:spacing w:before="0" w:beforeAutospacing="0" w:after="0" w:afterAutospacing="0"/>
        <w:jc w:val="both"/>
        <w:textAlignment w:val="baseline"/>
        <w:rPr>
          <w:noProof/>
          <w:color w:val="000000" w:themeColor="text1"/>
        </w:rPr>
      </w:pPr>
    </w:p>
    <w:p w14:paraId="19640A84" w14:textId="03622FA1" w:rsidR="003A3D51" w:rsidRDefault="0002775A">
      <w:pPr>
        <w:pStyle w:val="paragraph"/>
        <w:spacing w:before="0" w:beforeAutospacing="0" w:after="0" w:afterAutospacing="0"/>
        <w:jc w:val="both"/>
        <w:textAlignment w:val="baseline"/>
        <w:rPr>
          <w:noProof/>
          <w:color w:val="000000" w:themeColor="text1"/>
        </w:rPr>
      </w:pPr>
      <w:r>
        <w:rPr>
          <w:noProof/>
          <w:color w:val="000000" w:themeColor="text1"/>
        </w:rPr>
        <w:t>Investeringarna och reformerna ska bidra till att följa de landsspecifika</w:t>
      </w:r>
      <w:r w:rsidR="00C94222">
        <w:rPr>
          <w:noProof/>
          <w:color w:val="000000" w:themeColor="text1"/>
        </w:rPr>
        <w:t xml:space="preserve"> </w:t>
      </w:r>
      <w:r>
        <w:rPr>
          <w:noProof/>
        </w:rPr>
        <w:t>rekommendationer som riktats till Kroatien om behovet av att uppgradera elöverförings- och eldistributionsnäten (de landsspecifika rekommendationerna 2022.3.3 och 2023.3.4), öka utbyggnaden och användningen av förnybara energikällor (de landsspecifika rekommendationerna 2019.3.3, 2020.3.8, 2022.3.2, 2023.3.1 och 3.2), diversifiera importen av fossila bränslen (rekommendation 2022.3.1) och minska beroendet av fossila bränslen inom transportsektorn och främja utsläppsfria transporter (de landsspecifika rekommendationerna 2019.3.3, 2020.3.7, 2022.3.5, 2023.3.1 och 3.6).</w:t>
      </w:r>
    </w:p>
    <w:p w14:paraId="2DF434CF" w14:textId="77777777" w:rsidR="003A3D51" w:rsidRDefault="003A3D51">
      <w:pPr>
        <w:pStyle w:val="paragraph"/>
        <w:spacing w:before="0" w:beforeAutospacing="0" w:after="0" w:afterAutospacing="0"/>
        <w:jc w:val="both"/>
        <w:textAlignment w:val="baseline"/>
        <w:rPr>
          <w:noProof/>
          <w:color w:val="000000" w:themeColor="text1"/>
        </w:rPr>
      </w:pPr>
    </w:p>
    <w:p w14:paraId="0C9AAE49" w14:textId="2F1DA62E" w:rsidR="003A3D51" w:rsidRDefault="0002775A">
      <w:pPr>
        <w:pStyle w:val="paragraph"/>
        <w:spacing w:before="0" w:beforeAutospacing="0" w:after="0" w:afterAutospacing="0"/>
        <w:jc w:val="both"/>
        <w:textAlignment w:val="baseline"/>
        <w:rPr>
          <w:noProof/>
          <w:color w:val="000000" w:themeColor="text1"/>
        </w:rPr>
      </w:pPr>
      <w:r>
        <w:rPr>
          <w:noProof/>
          <w:color w:val="000000" w:themeColor="text1"/>
        </w:rPr>
        <w:t>Ingen åtgärd i denna komponent förväntas orsaka betydande skada för miljömål i den mening som avses i artikel 17 i förordning (EU) 2020/852, med beaktande av beskrivningen av åtgärderna och de riskreducerande åtgärder som anges i återhämtnings- och resiliensplanen i enlighet med den tekniska vägledningen om att inte orsaka betydande skada</w:t>
      </w:r>
      <w:r>
        <w:rPr>
          <w:rFonts w:eastAsia="Calibri"/>
          <w:noProof/>
        </w:rPr>
        <w:t>(C (2023) 6454 final</w:t>
      </w:r>
      <w:r>
        <w:rPr>
          <w:noProof/>
          <w:color w:val="000000" w:themeColor="text1"/>
        </w:rPr>
        <w:t>), medan principen om att inte orsaka betydande skada inte är tillämplig på investeringen C7.1 I3 – Ökning av kapaciteten i LNG-terminalen på ön Krk och stärka gasinfrastrukturen, i enlighet med artikel 21c.6 i förordning (EU) 2021/241.</w:t>
      </w:r>
    </w:p>
    <w:p w14:paraId="251CEC21" w14:textId="77777777" w:rsidR="003A3D51" w:rsidRDefault="003A3D51">
      <w:pPr>
        <w:pStyle w:val="paragraph"/>
        <w:spacing w:before="0" w:beforeAutospacing="0" w:after="0" w:afterAutospacing="0"/>
        <w:jc w:val="both"/>
        <w:textAlignment w:val="baseline"/>
        <w:rPr>
          <w:noProof/>
        </w:rPr>
      </w:pPr>
    </w:p>
    <w:p w14:paraId="619B7E03" w14:textId="77777777" w:rsidR="003A3D51" w:rsidRDefault="0002775A">
      <w:pPr>
        <w:pStyle w:val="paragraph"/>
        <w:spacing w:before="0" w:beforeAutospacing="0" w:after="0" w:afterAutospacing="0"/>
        <w:jc w:val="both"/>
        <w:textAlignment w:val="baseline"/>
        <w:rPr>
          <w:noProof/>
        </w:rPr>
      </w:pPr>
      <w:r>
        <w:rPr>
          <w:rStyle w:val="normaltextrun"/>
          <w:b/>
          <w:noProof/>
          <w:u w:val="single"/>
        </w:rPr>
        <w:t xml:space="preserve">W.1. </w:t>
      </w:r>
      <w:r>
        <w:rPr>
          <w:rStyle w:val="tabchar"/>
          <w:noProof/>
        </w:rPr>
        <w:tab/>
      </w:r>
      <w:r>
        <w:rPr>
          <w:rStyle w:val="normaltextrun"/>
          <w:b/>
          <w:noProof/>
          <w:u w:val="single"/>
        </w:rPr>
        <w:t>Beskrivning av reformer och investeringar avseende icke återbetalningspliktigt ekonomiskt stöd</w:t>
      </w:r>
      <w:r>
        <w:rPr>
          <w:rStyle w:val="eop"/>
          <w:noProof/>
        </w:rPr>
        <w:t xml:space="preserve"> </w:t>
      </w:r>
    </w:p>
    <w:p w14:paraId="7403782D" w14:textId="77777777" w:rsidR="003A3D51" w:rsidRDefault="003A3D51">
      <w:pPr>
        <w:pStyle w:val="paragraph"/>
        <w:spacing w:before="0" w:beforeAutospacing="0" w:after="0" w:afterAutospacing="0"/>
        <w:jc w:val="both"/>
        <w:textAlignment w:val="baseline"/>
        <w:rPr>
          <w:rStyle w:val="normaltextrun"/>
          <w:noProof/>
        </w:rPr>
      </w:pPr>
    </w:p>
    <w:p w14:paraId="44264970" w14:textId="5EB8D44D" w:rsidR="003A3D51" w:rsidRDefault="0002775A">
      <w:pPr>
        <w:pStyle w:val="P68B1DB1-paragraph55"/>
        <w:spacing w:before="0" w:beforeAutospacing="0" w:after="0" w:afterAutospacing="0"/>
        <w:ind w:firstLine="720"/>
        <w:jc w:val="both"/>
        <w:textAlignment w:val="baseline"/>
        <w:rPr>
          <w:noProof/>
          <w:color w:val="000000" w:themeColor="text1"/>
        </w:rPr>
      </w:pPr>
      <w:r>
        <w:rPr>
          <w:noProof/>
          <w:color w:val="000000" w:themeColor="text1"/>
        </w:rPr>
        <w:t xml:space="preserve">Reform C7.1 R1 – </w:t>
      </w:r>
      <w:r>
        <w:rPr>
          <w:noProof/>
        </w:rPr>
        <w:t>utökad åtgärd</w:t>
      </w:r>
      <w:r>
        <w:rPr>
          <w:noProof/>
          <w:color w:val="000000" w:themeColor="text1"/>
        </w:rPr>
        <w:t>: Utfasning av fossila bränslen i energisektorn</w:t>
      </w:r>
    </w:p>
    <w:p w14:paraId="1B387E9B" w14:textId="77777777" w:rsidR="003A3D51" w:rsidRDefault="003A3D51">
      <w:pPr>
        <w:pStyle w:val="paragraph"/>
        <w:spacing w:before="0" w:beforeAutospacing="0" w:after="0" w:afterAutospacing="0"/>
        <w:ind w:firstLine="720"/>
        <w:jc w:val="both"/>
        <w:textAlignment w:val="baseline"/>
        <w:rPr>
          <w:noProof/>
          <w:color w:val="000000" w:themeColor="text1"/>
          <w:u w:val="single"/>
        </w:rPr>
      </w:pPr>
    </w:p>
    <w:p w14:paraId="0BDC2788" w14:textId="104FEF17" w:rsidR="003A3D51" w:rsidRDefault="0002775A">
      <w:pPr>
        <w:pStyle w:val="paragraph"/>
        <w:spacing w:before="0" w:beforeAutospacing="0" w:after="0" w:afterAutospacing="0"/>
        <w:jc w:val="both"/>
        <w:textAlignment w:val="baseline"/>
        <w:rPr>
          <w:noProof/>
          <w:color w:val="000000" w:themeColor="text1"/>
        </w:rPr>
      </w:pPr>
      <w:r>
        <w:rPr>
          <w:noProof/>
        </w:rPr>
        <w:t xml:space="preserve">Syftet </w:t>
      </w:r>
      <w:r>
        <w:rPr>
          <w:rFonts w:eastAsia="Calibri"/>
          <w:noProof/>
        </w:rPr>
        <w:t>med denna åtgärd är att utöka reformen C1.2</w:t>
      </w:r>
      <w:r>
        <w:rPr>
          <w:noProof/>
        </w:rPr>
        <w:t xml:space="preserve"> R1: </w:t>
      </w:r>
      <w:r>
        <w:rPr>
          <w:noProof/>
          <w:color w:val="000000"/>
        </w:rPr>
        <w:t xml:space="preserve">Utfasning av fossila bränslen i energisektorn inom </w:t>
      </w:r>
      <w:r>
        <w:rPr>
          <w:noProof/>
        </w:rPr>
        <w:t xml:space="preserve">del 1.2 (Energiomställning för en hållbar ekonomi). Den utökade delen av åtgärden ska </w:t>
      </w:r>
      <w:r>
        <w:rPr>
          <w:rFonts w:eastAsia="Calibri"/>
          <w:noProof/>
        </w:rPr>
        <w:t xml:space="preserve">inrätta </w:t>
      </w:r>
      <w:r w:rsidR="00C94222">
        <w:rPr>
          <w:rFonts w:eastAsia="Calibri"/>
          <w:noProof/>
        </w:rPr>
        <w:t>ett</w:t>
      </w:r>
      <w:r w:rsidR="00C94222">
        <w:rPr>
          <w:noProof/>
        </w:rPr>
        <w:t xml:space="preserve"> nytt</w:t>
      </w:r>
      <w:r>
        <w:rPr>
          <w:noProof/>
        </w:rPr>
        <w:t xml:space="preserve"> system för egenförbrukning för energiproduktionsanläggningar som är självförsörjande för att säkerställa likabehandling av alla kunder när det gäller tillträde till distributionsnätet och nätavgifter. Det nya systemet ska omforma sättet att beräkna ersättningen för egenproducerad el som matas in i nätet. alla avgifter, inklusive nättariffer, måste återspegla kostnaderna, vara proportionella och icke-diskriminerande. Samtidigt ska det nya systemet skapa incitament för konsumenterna att bli egenförbrukare och för egenförbrukning. Pålagor och avgifter får inte tas ut på egenproducerad el som finns kvar hos egenförbrukaren. Det nya systemet för egenförbrukning ska inrättas senast den 31 mars 2025 och ska tillämpas från och med den 1 januari 2026</w:t>
      </w:r>
      <w:r>
        <w:rPr>
          <w:noProof/>
          <w:color w:val="000000" w:themeColor="text1"/>
        </w:rPr>
        <w:t>.</w:t>
      </w:r>
    </w:p>
    <w:p w14:paraId="17E537B8" w14:textId="77777777" w:rsidR="003A3D51" w:rsidRDefault="003A3D51">
      <w:pPr>
        <w:pStyle w:val="paragraph"/>
        <w:spacing w:before="0" w:beforeAutospacing="0" w:after="0" w:afterAutospacing="0"/>
        <w:jc w:val="both"/>
        <w:textAlignment w:val="baseline"/>
        <w:rPr>
          <w:noProof/>
          <w:color w:val="000000" w:themeColor="text1"/>
        </w:rPr>
      </w:pPr>
    </w:p>
    <w:p w14:paraId="4F9740DF"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31 mars 2025.</w:t>
      </w:r>
    </w:p>
    <w:p w14:paraId="78A0793C" w14:textId="77777777" w:rsidR="003A3D51" w:rsidRDefault="003A3D51">
      <w:pPr>
        <w:pStyle w:val="paragraph"/>
        <w:spacing w:before="0" w:beforeAutospacing="0" w:after="0" w:afterAutospacing="0"/>
        <w:jc w:val="both"/>
        <w:textAlignment w:val="baseline"/>
        <w:rPr>
          <w:noProof/>
          <w:color w:val="000000" w:themeColor="text1"/>
          <w:u w:val="single"/>
        </w:rPr>
      </w:pPr>
    </w:p>
    <w:p w14:paraId="3F57E4EA" w14:textId="14A3C279" w:rsidR="003A3D51" w:rsidRDefault="0002775A">
      <w:pPr>
        <w:pStyle w:val="P68B1DB1-paragraph55"/>
        <w:spacing w:before="0" w:beforeAutospacing="0" w:after="0" w:afterAutospacing="0"/>
        <w:ind w:left="720"/>
        <w:jc w:val="both"/>
        <w:textAlignment w:val="baseline"/>
        <w:rPr>
          <w:noProof/>
          <w:color w:val="000000" w:themeColor="text1"/>
        </w:rPr>
      </w:pPr>
      <w:r>
        <w:rPr>
          <w:noProof/>
          <w:color w:val="000000" w:themeColor="text1"/>
        </w:rPr>
        <w:t>Investering C7.1 R1-I1 – Vätgasanvändning och ny teknik (</w:t>
      </w:r>
      <w:r>
        <w:rPr>
          <w:noProof/>
        </w:rPr>
        <w:t>investering C1.2.R1-I3 överförd från rådets redan antagna genomförandebeslut)</w:t>
      </w:r>
    </w:p>
    <w:p w14:paraId="29F5B110" w14:textId="77777777" w:rsidR="003A3D51" w:rsidRDefault="003A3D51">
      <w:pPr>
        <w:pStyle w:val="paragraph"/>
        <w:spacing w:before="0" w:beforeAutospacing="0" w:after="0" w:afterAutospacing="0"/>
        <w:jc w:val="both"/>
        <w:textAlignment w:val="baseline"/>
        <w:rPr>
          <w:noProof/>
          <w:color w:val="000000" w:themeColor="text1"/>
        </w:rPr>
      </w:pPr>
    </w:p>
    <w:p w14:paraId="5196744D" w14:textId="77777777" w:rsidR="003A3D51" w:rsidRDefault="0002775A">
      <w:pPr>
        <w:pStyle w:val="P68B1DB1-Normal3"/>
        <w:spacing w:before="120" w:after="120" w:line="240" w:lineRule="auto"/>
        <w:jc w:val="both"/>
        <w:rPr>
          <w:noProof/>
        </w:rPr>
      </w:pPr>
      <w:r>
        <w:rPr>
          <w:noProof/>
        </w:rPr>
        <w:t xml:space="preserve">Syftet med denna investering är att förbättra användningen av vätgas och ny teknik i Kroatien för att minska utsläppen av växthusgaser inom transportsektorn och industrin. </w:t>
      </w:r>
    </w:p>
    <w:p w14:paraId="13F87E60" w14:textId="77777777" w:rsidR="003A3D51" w:rsidRDefault="0002775A">
      <w:pPr>
        <w:pStyle w:val="P68B1DB1-Normal3"/>
        <w:spacing w:before="120" w:after="120" w:line="240" w:lineRule="auto"/>
        <w:jc w:val="both"/>
        <w:rPr>
          <w:noProof/>
        </w:rPr>
      </w:pPr>
      <w:r>
        <w:rPr>
          <w:noProof/>
        </w:rPr>
        <w:t>Denna investering ska omfatta tre olika verksamheter:</w:t>
      </w:r>
    </w:p>
    <w:p w14:paraId="3F14D888" w14:textId="77777777" w:rsidR="003A3D51" w:rsidRDefault="0002775A">
      <w:pPr>
        <w:pStyle w:val="P68B1DB1-Normal3"/>
        <w:numPr>
          <w:ilvl w:val="0"/>
          <w:numId w:val="9"/>
        </w:numPr>
        <w:spacing w:before="120" w:after="120" w:line="240" w:lineRule="auto"/>
        <w:jc w:val="both"/>
        <w:rPr>
          <w:noProof/>
        </w:rPr>
      </w:pPr>
      <w:r>
        <w:rPr>
          <w:noProof/>
        </w:rPr>
        <w:t>Produktion av förnybar vätgas genom anläggning av elektrolyskapacitet på minst 10 MW. Denna investering ska genomföras av INA -Industrija nafte d.d. och ska vara helt i linje med EU:s regler om statligt stöd.</w:t>
      </w:r>
    </w:p>
    <w:p w14:paraId="1DC3A0F7" w14:textId="5A58D610" w:rsidR="003A3D51" w:rsidRDefault="0002775A">
      <w:pPr>
        <w:pStyle w:val="P68B1DB1-Normal3"/>
        <w:numPr>
          <w:ilvl w:val="0"/>
          <w:numId w:val="9"/>
        </w:numPr>
        <w:spacing w:before="120" w:after="120" w:line="240" w:lineRule="auto"/>
        <w:jc w:val="both"/>
        <w:rPr>
          <w:noProof/>
        </w:rPr>
      </w:pPr>
      <w:r>
        <w:rPr>
          <w:noProof/>
        </w:rPr>
        <w:t xml:space="preserve">Utbyggnad av infrastruktur för förnybar energi för transport genom uppförande av 6 laddningsstationer för vätgas. Denna åtgärd ska genomföras genom ett konkurrensutsatt anbudsförfarande som ska inledas senast den 31 december 2024. </w:t>
      </w:r>
    </w:p>
    <w:p w14:paraId="7502E91C" w14:textId="1D190346" w:rsidR="003A3D51" w:rsidRDefault="0002775A">
      <w:pPr>
        <w:pStyle w:val="P68B1DB1-Normal3"/>
        <w:numPr>
          <w:ilvl w:val="0"/>
          <w:numId w:val="9"/>
        </w:numPr>
        <w:spacing w:before="120" w:after="120" w:line="240" w:lineRule="auto"/>
        <w:jc w:val="both"/>
        <w:rPr>
          <w:noProof/>
        </w:rPr>
      </w:pPr>
      <w:r>
        <w:rPr>
          <w:noProof/>
        </w:rPr>
        <w:t xml:space="preserve">Offentliggörande av en uppsättning tekniska sammanfattningar av de studier som ska behandla potentialen för geologisk underjordisk lagring av CO2 i Kroatien (på land och till havs). Studierna ska omfatta strategiska miljöstudier för utveckling av permanent koldioxidhantering i geologiska strukturer på land och i havet, undersökningar av fysisk planering, kartläggning av geologiska strukturer som lämpar sig för permanent bortskaffande av koldioxid samt en integrerad genomförbarhetsstudie om permanent bortskaffande av koldioxid vid Bockovci i enlighet med artikel 7 och bilaga I till direktiv 2009/31/EG. </w:t>
      </w:r>
    </w:p>
    <w:p w14:paraId="0BB5DF05" w14:textId="639F57A3" w:rsidR="003A3D51" w:rsidRDefault="0002775A">
      <w:pPr>
        <w:pStyle w:val="P68B1DB1-Normal3"/>
        <w:spacing w:before="120" w:after="120" w:line="240" w:lineRule="auto"/>
        <w:jc w:val="both"/>
        <w:rPr>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(C (2023) 6454 final).</w:t>
      </w:r>
    </w:p>
    <w:p w14:paraId="5B39826E" w14:textId="49D52712" w:rsidR="003A3D51" w:rsidRDefault="0002775A">
      <w:pPr>
        <w:pStyle w:val="P68B1DB1-paragraph56"/>
        <w:spacing w:before="0" w:beforeAutospacing="0" w:after="0" w:afterAutospacing="0"/>
        <w:jc w:val="both"/>
        <w:textAlignment w:val="baseline"/>
        <w:rPr>
          <w:noProof/>
        </w:rPr>
      </w:pPr>
      <w:r>
        <w:rPr>
          <w:noProof/>
        </w:rPr>
        <w:t>Investeringen ska vara genomförd senast den 31 augusti 2026.</w:t>
      </w:r>
    </w:p>
    <w:p w14:paraId="484D97F8" w14:textId="77777777" w:rsidR="003A3D51" w:rsidRDefault="003A3D51">
      <w:pPr>
        <w:pStyle w:val="paragraph"/>
        <w:spacing w:before="0" w:beforeAutospacing="0" w:after="0" w:afterAutospacing="0"/>
        <w:jc w:val="both"/>
        <w:textAlignment w:val="baseline"/>
        <w:rPr>
          <w:noProof/>
          <w:color w:val="000000" w:themeColor="text1"/>
        </w:rPr>
      </w:pPr>
    </w:p>
    <w:p w14:paraId="63CBCF0C" w14:textId="6553FD9C" w:rsidR="003A3D51" w:rsidRDefault="0002775A">
      <w:pPr>
        <w:pStyle w:val="P68B1DB1-paragraph57"/>
        <w:spacing w:before="0" w:beforeAutospacing="0" w:after="0" w:afterAutospacing="0"/>
        <w:ind w:left="720"/>
        <w:jc w:val="both"/>
        <w:textAlignment w:val="baseline"/>
        <w:rPr>
          <w:noProof/>
        </w:rPr>
      </w:pPr>
      <w:r>
        <w:rPr>
          <w:noProof/>
        </w:rPr>
        <w:t>Investering C7.1 R1 – I2 – Inrättande av en vätgasbaserad ekonomi (genom den norra adriatiska vätgasdalen)</w:t>
      </w:r>
    </w:p>
    <w:p w14:paraId="1CD2E3EA" w14:textId="77777777" w:rsidR="003A3D51" w:rsidRDefault="003A3D51">
      <w:pPr>
        <w:pStyle w:val="paragraph"/>
        <w:spacing w:before="0" w:beforeAutospacing="0" w:after="0" w:afterAutospacing="0"/>
        <w:jc w:val="both"/>
        <w:textAlignment w:val="baseline"/>
        <w:rPr>
          <w:noProof/>
          <w:color w:val="000000" w:themeColor="text1"/>
        </w:rPr>
      </w:pPr>
    </w:p>
    <w:p w14:paraId="617E58B4" w14:textId="69654DA9" w:rsidR="003A3D51" w:rsidRDefault="0002775A">
      <w:pPr>
        <w:pStyle w:val="paragraph"/>
        <w:spacing w:before="0" w:beforeAutospacing="0" w:after="0" w:afterAutospacing="0"/>
        <w:jc w:val="both"/>
        <w:textAlignment w:val="baseline"/>
        <w:rPr>
          <w:noProof/>
          <w:color w:val="000000" w:themeColor="text1"/>
        </w:rPr>
      </w:pPr>
      <w:r>
        <w:rPr>
          <w:noProof/>
          <w:color w:val="000000" w:themeColor="text1"/>
        </w:rPr>
        <w:t xml:space="preserve">Syftet med investeringen är att öka användningen av, och användningen av, förnybar vätgas, genom </w:t>
      </w:r>
      <w:r w:rsidR="00C94222">
        <w:rPr>
          <w:noProof/>
          <w:color w:val="000000" w:themeColor="text1"/>
        </w:rPr>
        <w:t>samfinansiering</w:t>
      </w:r>
      <w:r w:rsidR="00C94222">
        <w:rPr>
          <w:noProof/>
        </w:rPr>
        <w:t xml:space="preserve"> av</w:t>
      </w:r>
      <w:r>
        <w:rPr>
          <w:noProof/>
        </w:rPr>
        <w:t xml:space="preserve"> projekt för förnybar vätgas inom ramen för den norra adriatiska vätgasdalen och genom att utse Kroatiens vätgasmyndighet till samordnande organ för vätgas i Kroatien. Den kroatiska myndigheten för kolväten ska anta en utvecklingsplan och ett program som analyserar de lämpligaste användningsområdena för vätgas i utfasningen av fossila bränslen i den kroatiska ekonomin. Investeringen ska också bidra till att stödja utsläppsfria transporter genom eftermontering av fem diesellok för vätgas och uppförande av minst fem laddningsstationer för vätgas för bussar, tåg och/eller sjötransporter. </w:t>
      </w:r>
    </w:p>
    <w:p w14:paraId="471DE348" w14:textId="77777777" w:rsidR="003A3D51" w:rsidRDefault="003A3D51">
      <w:pPr>
        <w:pStyle w:val="paragraph"/>
        <w:spacing w:before="0" w:beforeAutospacing="0" w:after="0" w:afterAutospacing="0"/>
        <w:jc w:val="both"/>
        <w:textAlignment w:val="baseline"/>
        <w:rPr>
          <w:noProof/>
          <w:color w:val="000000" w:themeColor="text1"/>
        </w:rPr>
      </w:pPr>
    </w:p>
    <w:p w14:paraId="60A51E97" w14:textId="06A77E8B" w:rsidR="003A3D51" w:rsidRDefault="0002775A">
      <w:pPr>
        <w:pStyle w:val="paragraph"/>
        <w:spacing w:before="0" w:beforeAutospacing="0" w:after="0" w:afterAutospacing="0"/>
        <w:jc w:val="both"/>
        <w:textAlignment w:val="baseline"/>
        <w:rPr>
          <w:noProof/>
          <w:color w:val="000000" w:themeColor="text1"/>
        </w:rPr>
      </w:pPr>
      <w:r>
        <w:rPr>
          <w:noProof/>
          <w:color w:val="000000" w:themeColor="text1"/>
        </w:rPr>
        <w:t xml:space="preserve">Denna åtgärd förväntas inte orsaka betydande skada för miljömål i den mening som avses i artikel 17 i förordning (EU) 2020/852, med beaktande av beskrivningen av åtgärden och de </w:t>
      </w:r>
      <w:r>
        <w:rPr>
          <w:rFonts w:eastAsia="Calibri"/>
          <w:noProof/>
        </w:rPr>
        <w:t>riskreducerande åtgärder som anges i återhämtnings- och resiliensplanen i enlighet med den</w:t>
      </w:r>
      <w:r>
        <w:rPr>
          <w:noProof/>
          <w:color w:val="000000" w:themeColor="text1"/>
        </w:rPr>
        <w:t xml:space="preserve"> tekniska vägledningen om att inte orsaka betydande skada (</w:t>
      </w:r>
      <w:r>
        <w:rPr>
          <w:rFonts w:eastAsia="Calibri"/>
          <w:noProof/>
        </w:rPr>
        <w:t>C (2023) 6454 final</w:t>
      </w:r>
      <w:r>
        <w:rPr>
          <w:noProof/>
          <w:color w:val="000000" w:themeColor="text1"/>
        </w:rPr>
        <w:t>).</w:t>
      </w:r>
    </w:p>
    <w:p w14:paraId="3993741A" w14:textId="77777777" w:rsidR="003A3D51" w:rsidRDefault="003A3D51">
      <w:pPr>
        <w:pStyle w:val="paragraph"/>
        <w:spacing w:before="0" w:beforeAutospacing="0" w:after="0" w:afterAutospacing="0"/>
        <w:jc w:val="both"/>
        <w:textAlignment w:val="baseline"/>
        <w:rPr>
          <w:noProof/>
          <w:color w:val="000000" w:themeColor="text1"/>
        </w:rPr>
      </w:pPr>
    </w:p>
    <w:p w14:paraId="68D9DCD7" w14:textId="62AE5CA8" w:rsidR="003A3D51" w:rsidRDefault="0002775A">
      <w:pPr>
        <w:pStyle w:val="P68B1DB1-paragraph56"/>
        <w:spacing w:before="0" w:beforeAutospacing="0" w:after="0" w:afterAutospacing="0"/>
        <w:jc w:val="both"/>
        <w:textAlignment w:val="baseline"/>
        <w:rPr>
          <w:noProof/>
        </w:rPr>
      </w:pPr>
      <w:r>
        <w:rPr>
          <w:noProof/>
        </w:rPr>
        <w:t>Investeringen ska vara genomförd senast den 31 augusti 2026.</w:t>
      </w:r>
    </w:p>
    <w:p w14:paraId="08FA0451" w14:textId="77777777" w:rsidR="003A3D51" w:rsidRDefault="003A3D51">
      <w:pPr>
        <w:pStyle w:val="paragraph"/>
        <w:spacing w:before="0" w:beforeAutospacing="0" w:after="0" w:afterAutospacing="0"/>
        <w:jc w:val="both"/>
        <w:textAlignment w:val="baseline"/>
        <w:rPr>
          <w:noProof/>
          <w:color w:val="000000" w:themeColor="text1"/>
        </w:rPr>
      </w:pPr>
    </w:p>
    <w:p w14:paraId="7A845397" w14:textId="2F26C1A8" w:rsidR="003A3D51" w:rsidRDefault="0002775A">
      <w:pPr>
        <w:pStyle w:val="P68B1DB1-paragraph55"/>
        <w:spacing w:before="0" w:beforeAutospacing="0" w:after="0" w:afterAutospacing="0"/>
        <w:ind w:left="720"/>
        <w:jc w:val="both"/>
        <w:textAlignment w:val="baseline"/>
        <w:rPr>
          <w:rStyle w:val="eop"/>
          <w:noProof/>
        </w:rPr>
      </w:pPr>
      <w:r>
        <w:rPr>
          <w:noProof/>
          <w:color w:val="000000" w:themeColor="text1"/>
        </w:rPr>
        <w:t>Investering C7.1 R1-I3</w:t>
      </w:r>
      <w:r>
        <w:rPr>
          <w:noProof/>
        </w:rPr>
        <w:t xml:space="preserve"> – </w:t>
      </w:r>
      <w:r>
        <w:rPr>
          <w:noProof/>
          <w:color w:val="000000" w:themeColor="text1"/>
        </w:rPr>
        <w:t>Stärka användningen av förnybara energikällor inom transport och uppvärmning</w:t>
      </w:r>
    </w:p>
    <w:p w14:paraId="4187C297" w14:textId="77777777" w:rsidR="003A3D51" w:rsidRDefault="003A3D51">
      <w:pPr>
        <w:pStyle w:val="paragraph"/>
        <w:spacing w:before="0" w:beforeAutospacing="0" w:after="0" w:afterAutospacing="0"/>
        <w:jc w:val="both"/>
        <w:textAlignment w:val="baseline"/>
        <w:rPr>
          <w:rStyle w:val="eop"/>
          <w:noProof/>
        </w:rPr>
      </w:pPr>
    </w:p>
    <w:p w14:paraId="1040E2B7" w14:textId="562581C8" w:rsidR="003A3D51" w:rsidRDefault="0002775A">
      <w:pPr>
        <w:pStyle w:val="paragraph"/>
        <w:spacing w:before="0" w:beforeAutospacing="0" w:after="0" w:afterAutospacing="0"/>
        <w:jc w:val="both"/>
        <w:textAlignment w:val="baseline"/>
        <w:rPr>
          <w:rStyle w:val="eop"/>
          <w:noProof/>
        </w:rPr>
      </w:pPr>
      <w:r>
        <w:rPr>
          <w:noProof/>
        </w:rPr>
        <w:t xml:space="preserve">Syftet med investeringen är att öka användningen av geotermisk energi genom ytterligare geotermisk prospektering och borrning för framtida fjärrvärme samt antagandet av utvecklingsplanen för den geotermiska potentialen. </w:t>
      </w:r>
    </w:p>
    <w:p w14:paraId="24464160" w14:textId="77777777" w:rsidR="003A3D51" w:rsidRDefault="003A3D51">
      <w:pPr>
        <w:pStyle w:val="paragraph"/>
        <w:spacing w:before="0" w:beforeAutospacing="0" w:after="0" w:afterAutospacing="0"/>
        <w:jc w:val="both"/>
        <w:textAlignment w:val="baseline"/>
        <w:rPr>
          <w:rStyle w:val="eop"/>
          <w:noProof/>
        </w:rPr>
      </w:pPr>
    </w:p>
    <w:p w14:paraId="3646D0E0" w14:textId="77F0ACF2" w:rsidR="003A3D51" w:rsidRDefault="0002775A">
      <w:pPr>
        <w:pStyle w:val="paragraph"/>
        <w:spacing w:before="0" w:beforeAutospacing="0" w:after="0" w:afterAutospacing="0"/>
        <w:jc w:val="both"/>
        <w:textAlignment w:val="baseline"/>
        <w:rPr>
          <w:noProof/>
          <w:color w:val="000000" w:themeColor="text1"/>
        </w:rPr>
      </w:pPr>
      <w:r>
        <w:rPr>
          <w:noProof/>
          <w:color w:val="000000" w:themeColor="text1"/>
        </w:rPr>
        <w:t>Denna åtgärd förväntas inte orsaka betydande skada för miljömål i den mening som avses i artikel 17 i förordning (EU) 2020/852, med beaktande av beskrivningen av åtgärden och de</w:t>
      </w:r>
      <w:r>
        <w:rPr>
          <w:rFonts w:eastAsia="Calibri"/>
          <w:noProof/>
        </w:rPr>
        <w:t xml:space="preserve"> riskreducerande åtgärder som anges i återhämtnings- och resiliensplanen i enlighet med den</w:t>
      </w:r>
      <w:r>
        <w:rPr>
          <w:noProof/>
          <w:color w:val="000000" w:themeColor="text1"/>
        </w:rPr>
        <w:t xml:space="preserve"> tekniska vägledningen om att inte orsaka betydande skada (</w:t>
      </w:r>
      <w:r>
        <w:rPr>
          <w:rFonts w:eastAsia="Calibri"/>
          <w:noProof/>
        </w:rPr>
        <w:t>C (2023) 6454 final</w:t>
      </w:r>
      <w:r>
        <w:rPr>
          <w:noProof/>
          <w:color w:val="000000" w:themeColor="text1"/>
        </w:rPr>
        <w:t>).</w:t>
      </w:r>
    </w:p>
    <w:p w14:paraId="55C7E269" w14:textId="77777777" w:rsidR="003A3D51" w:rsidRDefault="003A3D51">
      <w:pPr>
        <w:pStyle w:val="paragraph"/>
        <w:spacing w:before="0" w:beforeAutospacing="0" w:after="0" w:afterAutospacing="0"/>
        <w:jc w:val="both"/>
        <w:textAlignment w:val="baseline"/>
        <w:rPr>
          <w:rStyle w:val="eop"/>
          <w:noProof/>
        </w:rPr>
      </w:pPr>
    </w:p>
    <w:p w14:paraId="7045C975" w14:textId="78C60A4E" w:rsidR="003A3D51" w:rsidRDefault="0002775A">
      <w:pPr>
        <w:pStyle w:val="P68B1DB1-paragraph56"/>
        <w:spacing w:before="0" w:beforeAutospacing="0" w:after="0" w:afterAutospacing="0"/>
        <w:jc w:val="both"/>
        <w:textAlignment w:val="baseline"/>
        <w:rPr>
          <w:noProof/>
        </w:rPr>
      </w:pPr>
      <w:r>
        <w:rPr>
          <w:noProof/>
        </w:rPr>
        <w:t>Investeringen ska vara genomförd senast den 31 augusti 2026.</w:t>
      </w:r>
    </w:p>
    <w:p w14:paraId="404E7C40" w14:textId="77777777" w:rsidR="003A3D51" w:rsidRDefault="003A3D51">
      <w:pPr>
        <w:pStyle w:val="paragraph"/>
        <w:spacing w:before="0" w:beforeAutospacing="0" w:after="0" w:afterAutospacing="0"/>
        <w:jc w:val="both"/>
        <w:textAlignment w:val="baseline"/>
        <w:rPr>
          <w:noProof/>
          <w:color w:val="000000" w:themeColor="text1"/>
        </w:rPr>
      </w:pPr>
    </w:p>
    <w:p w14:paraId="1E0168B6" w14:textId="3988A4D4" w:rsidR="003A3D51" w:rsidRDefault="0002775A">
      <w:pPr>
        <w:pStyle w:val="P68B1DB1-paragraph55"/>
        <w:spacing w:before="0" w:beforeAutospacing="0" w:after="0" w:afterAutospacing="0"/>
        <w:ind w:left="720"/>
        <w:jc w:val="both"/>
        <w:textAlignment w:val="baseline"/>
        <w:rPr>
          <w:noProof/>
          <w:color w:val="000000" w:themeColor="text1"/>
        </w:rPr>
      </w:pPr>
      <w:r>
        <w:rPr>
          <w:noProof/>
          <w:color w:val="000000" w:themeColor="text1"/>
        </w:rPr>
        <w:t xml:space="preserve">Investering C7.1 I1 – </w:t>
      </w:r>
      <w:r>
        <w:rPr>
          <w:noProof/>
        </w:rPr>
        <w:t>utökad åtgärd</w:t>
      </w:r>
      <w:r>
        <w:rPr>
          <w:noProof/>
          <w:color w:val="000000" w:themeColor="text1"/>
        </w:rPr>
        <w:t>: Upphandling av fordon som drivs med alternativa bränslen för allmän linjetrafik i städer och förorter</w:t>
      </w:r>
    </w:p>
    <w:p w14:paraId="371AD034" w14:textId="77777777" w:rsidR="003A3D51" w:rsidRDefault="003A3D51">
      <w:pPr>
        <w:pStyle w:val="paragraph"/>
        <w:spacing w:before="0" w:beforeAutospacing="0" w:after="0" w:afterAutospacing="0"/>
        <w:jc w:val="both"/>
        <w:textAlignment w:val="baseline"/>
        <w:rPr>
          <w:noProof/>
          <w:color w:val="000000" w:themeColor="text1"/>
        </w:rPr>
      </w:pPr>
    </w:p>
    <w:p w14:paraId="1AB23CAD" w14:textId="60863A2F" w:rsidR="003A3D51" w:rsidRDefault="0002775A">
      <w:pPr>
        <w:pStyle w:val="NormalWeb"/>
        <w:spacing w:before="120" w:after="120" w:line="240" w:lineRule="auto"/>
        <w:jc w:val="both"/>
        <w:rPr>
          <w:rFonts w:eastAsia="Times New Roman"/>
          <w:noProof/>
        </w:rPr>
      </w:pPr>
      <w:r>
        <w:rPr>
          <w:noProof/>
        </w:rPr>
        <w:t>Syftet med denna åtgärd är att öka investeringarna C1.4 R4 – I1: Upphandling av fordon som drivs med alternativa bränslen för kollektivtrafik i städer och förorter inom del 1.4 (Utveckling av ett konkurrenskraftigt, energihållbart och effektivt transportsystem). Den utökade delen av åtgärden ska öka antalet upphandlade alternativbränsledrivna bussar (el- och vätgasdrivna) senast 103. Den utökade delen av åtgärden ska också omfatta färdigställande av en vätgasenergienhet för drift av elektriska lok i en separat vagn (HERMES).</w:t>
      </w:r>
    </w:p>
    <w:p w14:paraId="42CE6DE6"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30 juni 2026.</w:t>
      </w:r>
    </w:p>
    <w:p w14:paraId="045ADB1D" w14:textId="77777777" w:rsidR="003A3D51" w:rsidRDefault="003A3D51">
      <w:pPr>
        <w:pStyle w:val="paragraph"/>
        <w:spacing w:before="0" w:beforeAutospacing="0" w:after="0" w:afterAutospacing="0"/>
        <w:jc w:val="both"/>
        <w:textAlignment w:val="baseline"/>
        <w:rPr>
          <w:noProof/>
          <w:color w:val="000000" w:themeColor="text1"/>
        </w:rPr>
      </w:pPr>
    </w:p>
    <w:p w14:paraId="2C9490BF" w14:textId="021FD9A6" w:rsidR="003A3D51" w:rsidRDefault="0002775A">
      <w:pPr>
        <w:pStyle w:val="P68B1DB1-paragraph55"/>
        <w:spacing w:before="0" w:beforeAutospacing="0" w:after="0" w:afterAutospacing="0"/>
        <w:ind w:left="720"/>
        <w:jc w:val="both"/>
        <w:textAlignment w:val="baseline"/>
        <w:rPr>
          <w:noProof/>
          <w:color w:val="000000" w:themeColor="text1"/>
        </w:rPr>
      </w:pPr>
      <w:r>
        <w:rPr>
          <w:noProof/>
          <w:color w:val="000000" w:themeColor="text1"/>
        </w:rPr>
        <w:t xml:space="preserve">Investering C7.1 I2 – </w:t>
      </w:r>
      <w:r>
        <w:rPr>
          <w:noProof/>
        </w:rPr>
        <w:t>utökad åtgärd</w:t>
      </w:r>
      <w:r>
        <w:rPr>
          <w:noProof/>
          <w:color w:val="000000" w:themeColor="text1"/>
        </w:rPr>
        <w:t>: Samfinansieringsprogram för inköp av nya fordon som drivs med alternativa bränslen och utveckling av infrastruktur för alternativa bränslen inom vägtransporter</w:t>
      </w:r>
    </w:p>
    <w:p w14:paraId="5A81C57A" w14:textId="77777777" w:rsidR="003A3D51" w:rsidRDefault="003A3D51">
      <w:pPr>
        <w:pStyle w:val="paragraph"/>
        <w:spacing w:before="0" w:beforeAutospacing="0" w:after="0" w:afterAutospacing="0"/>
        <w:jc w:val="both"/>
        <w:textAlignment w:val="baseline"/>
        <w:rPr>
          <w:noProof/>
          <w:color w:val="000000" w:themeColor="text1"/>
        </w:rPr>
      </w:pPr>
    </w:p>
    <w:p w14:paraId="3F81CE35" w14:textId="1BDA6CD9" w:rsidR="003A3D51" w:rsidRDefault="0002775A">
      <w:pPr>
        <w:pStyle w:val="NormalWeb"/>
        <w:spacing w:before="120" w:after="120" w:line="240" w:lineRule="auto"/>
        <w:jc w:val="both"/>
        <w:rPr>
          <w:rFonts w:eastAsia="Times New Roman"/>
          <w:noProof/>
        </w:rPr>
      </w:pPr>
      <w:r>
        <w:rPr>
          <w:noProof/>
        </w:rPr>
        <w:t xml:space="preserve">Syftet med denna åtgärd är att öka investeringarna C1.4 R5 – I3: Samfinansieringsprogram för inköp av nya fordon som drivs med alternativa bränslen och utveckling av infrastruktur för alternativa bränslen för vägtransporter inom ramen för del 1.4 (Utveckling av ett konkurrenskraftigt, energihållbart och effektivt transportsystem). Den utökade delen av åtgärden ska bestå i att bygga ett nätverk av elektriska laddningspunkter för fordon som drivs med alternativa bränslen. Den utökade delen av åtgärden ska också öka laddningskapaciteten för alla 1300 planerade laddningsstationer från minst 20 kW till minst 50 kW. </w:t>
      </w:r>
    </w:p>
    <w:p w14:paraId="71D0AEE1"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30 juni 2026.</w:t>
      </w:r>
    </w:p>
    <w:p w14:paraId="6DD1CF98" w14:textId="77777777" w:rsidR="003A3D51" w:rsidRDefault="003A3D51">
      <w:pPr>
        <w:pStyle w:val="paragraph"/>
        <w:spacing w:before="0" w:beforeAutospacing="0" w:after="0" w:afterAutospacing="0"/>
        <w:jc w:val="both"/>
        <w:textAlignment w:val="baseline"/>
        <w:rPr>
          <w:noProof/>
          <w:color w:val="000000" w:themeColor="text1"/>
        </w:rPr>
      </w:pPr>
    </w:p>
    <w:p w14:paraId="2515DCC0"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52C28632" w14:textId="77777777" w:rsidR="003A3D51" w:rsidRDefault="003A3D51">
      <w:pPr>
        <w:pStyle w:val="paragraph"/>
        <w:spacing w:before="0" w:beforeAutospacing="0" w:after="0" w:afterAutospacing="0"/>
        <w:jc w:val="both"/>
        <w:textAlignment w:val="baseline"/>
        <w:rPr>
          <w:rStyle w:val="normaltextrun"/>
          <w:b/>
          <w:noProof/>
          <w:highlight w:val="yellow"/>
          <w:u w:val="single"/>
        </w:rPr>
        <w:sectPr w:rsidR="003A3D51">
          <w:headerReference w:type="even" r:id="rId402"/>
          <w:headerReference w:type="default" r:id="rId403"/>
          <w:footerReference w:type="even" r:id="rId404"/>
          <w:footerReference w:type="default" r:id="rId405"/>
          <w:headerReference w:type="first" r:id="rId406"/>
          <w:footerReference w:type="first" r:id="rId407"/>
          <w:pgSz w:w="12240" w:h="15840"/>
          <w:pgMar w:top="1440" w:right="1440" w:bottom="1440" w:left="1440" w:header="708" w:footer="708" w:gutter="0"/>
          <w:cols w:space="708"/>
          <w:docGrid w:linePitch="360"/>
        </w:sectPr>
      </w:pPr>
    </w:p>
    <w:p w14:paraId="0BA2FAD8" w14:textId="77777777" w:rsidR="003A3D51" w:rsidRDefault="0002775A">
      <w:pPr>
        <w:pStyle w:val="P68B1DB1-Normal52"/>
        <w:keepNext/>
        <w:tabs>
          <w:tab w:val="num" w:pos="284"/>
        </w:tabs>
        <w:spacing w:before="40" w:after="0"/>
        <w:jc w:val="both"/>
        <w:outlineLvl w:val="1"/>
        <w:rPr>
          <w:noProof/>
          <w:u w:val="single"/>
        </w:rPr>
      </w:pPr>
      <w:r>
        <w:rPr>
          <w:noProof/>
        </w:rPr>
        <w:t>W.2. Delmål, mål, indikatorer och tidsplan för övervakning och genomförande avseende icke återbetalningspliktigt ekonomiskt stöd</w:t>
      </w:r>
      <w:r>
        <w:rPr>
          <w:noProof/>
          <w:u w:val="single"/>
        </w:rPr>
        <w:t xml:space="preserve"> </w:t>
      </w:r>
    </w:p>
    <w:p w14:paraId="25065EF4" w14:textId="77777777" w:rsidR="003A3D51" w:rsidRDefault="003A3D51">
      <w:pPr>
        <w:pStyle w:val="paragraph"/>
        <w:spacing w:before="0" w:beforeAutospacing="0" w:after="0" w:afterAutospacing="0"/>
        <w:jc w:val="both"/>
        <w:textAlignment w:val="baseline"/>
        <w:rPr>
          <w:rFonts w:ascii="Segoe UI" w:hAnsi="Segoe UI" w:cs="Segoe UI"/>
          <w:noProof/>
          <w:sz w:val="18"/>
        </w:rPr>
      </w:pPr>
    </w:p>
    <w:tbl>
      <w:tblPr>
        <w:tblW w:w="14961" w:type="dxa"/>
        <w:jc w:val="center"/>
        <w:tblCellMar>
          <w:top w:w="28" w:type="dxa"/>
          <w:left w:w="28" w:type="dxa"/>
          <w:bottom w:w="28" w:type="dxa"/>
          <w:right w:w="28" w:type="dxa"/>
        </w:tblCellMar>
        <w:tblLook w:val="04A0" w:firstRow="1" w:lastRow="0" w:firstColumn="1" w:lastColumn="0" w:noHBand="0" w:noVBand="1"/>
      </w:tblPr>
      <w:tblGrid>
        <w:gridCol w:w="859"/>
        <w:gridCol w:w="993"/>
        <w:gridCol w:w="946"/>
        <w:gridCol w:w="2410"/>
        <w:gridCol w:w="2193"/>
        <w:gridCol w:w="917"/>
        <w:gridCol w:w="851"/>
        <w:gridCol w:w="709"/>
        <w:gridCol w:w="795"/>
        <w:gridCol w:w="850"/>
        <w:gridCol w:w="3754"/>
      </w:tblGrid>
      <w:tr w:rsidR="003A3D51" w14:paraId="062E8E3F" w14:textId="77777777">
        <w:trPr>
          <w:tblHeader/>
          <w:jc w:val="center"/>
        </w:trPr>
        <w:tc>
          <w:tcPr>
            <w:tcW w:w="8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757369" w14:textId="535AF006" w:rsidR="003A3D51" w:rsidRDefault="0002775A">
            <w:pPr>
              <w:pStyle w:val="P68B1DB1-Normal6"/>
              <w:spacing w:after="0" w:line="276" w:lineRule="auto"/>
              <w:jc w:val="center"/>
              <w:rPr>
                <w:noProof/>
              </w:rPr>
            </w:pPr>
            <w:r>
              <w:rPr>
                <w:noProof/>
              </w:rPr>
              <w:t>Antal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D94289" w14:textId="77777777" w:rsidR="003A3D51" w:rsidRDefault="0002775A">
            <w:pPr>
              <w:pStyle w:val="P68B1DB1-Normal6"/>
              <w:spacing w:after="0" w:line="276" w:lineRule="auto"/>
              <w:jc w:val="center"/>
              <w:rPr>
                <w:noProof/>
              </w:rPr>
            </w:pPr>
            <w:r>
              <w:rPr>
                <w:noProof/>
              </w:rPr>
              <w:t>Åtgärd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DDA4EE0" w14:textId="77777777" w:rsidR="003A3D51" w:rsidRDefault="0002775A">
            <w:pPr>
              <w:pStyle w:val="P68B1DB1-Normal6"/>
              <w:spacing w:after="0" w:line="276" w:lineRule="auto"/>
              <w:jc w:val="center"/>
              <w:rPr>
                <w:noProof/>
              </w:rPr>
            </w:pPr>
            <w:r>
              <w:rPr>
                <w:noProof/>
              </w:rPr>
              <w:t>Delmål/mål</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10A2D6" w14:textId="77777777" w:rsidR="003A3D51" w:rsidRDefault="0002775A">
            <w:pPr>
              <w:pStyle w:val="P68B1DB1-Normal6"/>
              <w:spacing w:after="0" w:line="276" w:lineRule="auto"/>
              <w:jc w:val="center"/>
              <w:rPr>
                <w:noProof/>
              </w:rPr>
            </w:pPr>
            <w:r>
              <w:rPr>
                <w:noProof/>
              </w:rPr>
              <w:t>Namn</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BDD7EE"/>
            <w:hideMark/>
          </w:tcPr>
          <w:p w14:paraId="18439119"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2477"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73222164"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1425" w:type="dxa"/>
            <w:gridSpan w:val="2"/>
            <w:tcBorders>
              <w:top w:val="single" w:sz="4" w:space="0" w:color="auto"/>
              <w:left w:val="nil"/>
              <w:bottom w:val="single" w:sz="4" w:space="0" w:color="auto"/>
              <w:right w:val="single" w:sz="4" w:space="0" w:color="auto"/>
            </w:tcBorders>
            <w:shd w:val="clear" w:color="auto" w:fill="BDD7EE"/>
            <w:hideMark/>
          </w:tcPr>
          <w:p w14:paraId="7F67EF73" w14:textId="77777777" w:rsidR="003A3D51" w:rsidRDefault="0002775A">
            <w:pPr>
              <w:pStyle w:val="P68B1DB1-Normal6"/>
              <w:spacing w:after="0" w:line="276" w:lineRule="auto"/>
              <w:jc w:val="center"/>
              <w:rPr>
                <w:noProof/>
              </w:rPr>
            </w:pPr>
            <w:r>
              <w:rPr>
                <w:noProof/>
              </w:rPr>
              <w:t>Tid</w:t>
            </w:r>
          </w:p>
        </w:tc>
        <w:tc>
          <w:tcPr>
            <w:tcW w:w="375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15A0996" w14:textId="77777777" w:rsidR="003A3D51" w:rsidRDefault="0002775A">
            <w:pPr>
              <w:pStyle w:val="P68B1DB1-Normal6"/>
              <w:spacing w:after="0" w:line="276" w:lineRule="auto"/>
              <w:jc w:val="center"/>
              <w:rPr>
                <w:noProof/>
              </w:rPr>
            </w:pPr>
            <w:r>
              <w:rPr>
                <w:noProof/>
              </w:rPr>
              <w:t>Beskrivning av varje delmål och mål</w:t>
            </w:r>
          </w:p>
        </w:tc>
      </w:tr>
      <w:tr w:rsidR="003A3D51" w14:paraId="48C5093F" w14:textId="77777777">
        <w:trPr>
          <w:tblHeader/>
          <w:jc w:val="center"/>
        </w:trPr>
        <w:tc>
          <w:tcPr>
            <w:tcW w:w="859" w:type="dxa"/>
            <w:vMerge/>
            <w:tcBorders>
              <w:top w:val="single" w:sz="4" w:space="0" w:color="auto"/>
              <w:left w:val="single" w:sz="4" w:space="0" w:color="auto"/>
              <w:bottom w:val="single" w:sz="4" w:space="0" w:color="auto"/>
              <w:right w:val="single" w:sz="4" w:space="0" w:color="auto"/>
            </w:tcBorders>
            <w:hideMark/>
          </w:tcPr>
          <w:p w14:paraId="4313B6B1" w14:textId="77777777" w:rsidR="003A3D51" w:rsidRDefault="003A3D51">
            <w:pPr>
              <w:spacing w:after="0" w:line="276" w:lineRule="auto"/>
              <w:jc w:val="center"/>
              <w:rPr>
                <w:rFonts w:ascii="Times New Roman" w:eastAsia="Times New Roman" w:hAnsi="Times New Roman" w:cs="Times New Roman"/>
                <w:b/>
                <w:noProof/>
              </w:rPr>
            </w:pPr>
          </w:p>
        </w:tc>
        <w:tc>
          <w:tcPr>
            <w:tcW w:w="993" w:type="dxa"/>
            <w:vMerge/>
            <w:tcBorders>
              <w:top w:val="single" w:sz="4" w:space="0" w:color="auto"/>
              <w:left w:val="single" w:sz="4" w:space="0" w:color="auto"/>
              <w:bottom w:val="single" w:sz="4" w:space="0" w:color="auto"/>
              <w:right w:val="single" w:sz="4" w:space="0" w:color="auto"/>
            </w:tcBorders>
            <w:hideMark/>
          </w:tcPr>
          <w:p w14:paraId="665479CB" w14:textId="77777777" w:rsidR="003A3D51" w:rsidRDefault="003A3D51">
            <w:pPr>
              <w:spacing w:after="0" w:line="276" w:lineRule="auto"/>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auto"/>
              <w:right w:val="single" w:sz="4" w:space="0" w:color="auto"/>
            </w:tcBorders>
            <w:hideMark/>
          </w:tcPr>
          <w:p w14:paraId="51D14440" w14:textId="77777777" w:rsidR="003A3D51" w:rsidRDefault="003A3D51">
            <w:pPr>
              <w:spacing w:after="0" w:line="276" w:lineRule="auto"/>
              <w:jc w:val="center"/>
              <w:rPr>
                <w:rFonts w:ascii="Times New Roman" w:eastAsia="Times New Roman" w:hAnsi="Times New Roman" w:cs="Times New Roman"/>
                <w:b/>
                <w:noProof/>
              </w:rPr>
            </w:pPr>
          </w:p>
        </w:tc>
        <w:tc>
          <w:tcPr>
            <w:tcW w:w="2410" w:type="dxa"/>
            <w:vMerge/>
            <w:tcBorders>
              <w:top w:val="single" w:sz="4" w:space="0" w:color="auto"/>
              <w:left w:val="single" w:sz="4" w:space="0" w:color="auto"/>
              <w:bottom w:val="single" w:sz="4" w:space="0" w:color="auto"/>
              <w:right w:val="single" w:sz="4" w:space="0" w:color="auto"/>
            </w:tcBorders>
            <w:hideMark/>
          </w:tcPr>
          <w:p w14:paraId="64342D7B" w14:textId="77777777" w:rsidR="003A3D51" w:rsidRDefault="003A3D51">
            <w:pPr>
              <w:spacing w:after="0" w:line="276" w:lineRule="auto"/>
              <w:rPr>
                <w:rFonts w:ascii="Times New Roman" w:eastAsia="Times New Roman" w:hAnsi="Times New Roman" w:cs="Times New Roman"/>
                <w:b/>
                <w:noProof/>
              </w:rPr>
            </w:pPr>
          </w:p>
        </w:tc>
        <w:tc>
          <w:tcPr>
            <w:tcW w:w="2193" w:type="dxa"/>
            <w:vMerge/>
            <w:tcBorders>
              <w:top w:val="single" w:sz="4" w:space="0" w:color="auto"/>
              <w:left w:val="single" w:sz="4" w:space="0" w:color="auto"/>
              <w:bottom w:val="single" w:sz="4" w:space="0" w:color="auto"/>
              <w:right w:val="single" w:sz="4" w:space="0" w:color="auto"/>
            </w:tcBorders>
            <w:hideMark/>
          </w:tcPr>
          <w:p w14:paraId="40C1A68B" w14:textId="77777777" w:rsidR="003A3D51" w:rsidRDefault="003A3D51">
            <w:pPr>
              <w:spacing w:after="0" w:line="276" w:lineRule="auto"/>
              <w:rPr>
                <w:rFonts w:ascii="Times New Roman" w:eastAsia="Times New Roman" w:hAnsi="Times New Roman" w:cs="Times New Roman"/>
                <w:b/>
                <w:noProof/>
              </w:rPr>
            </w:pPr>
          </w:p>
        </w:tc>
        <w:tc>
          <w:tcPr>
            <w:tcW w:w="917" w:type="dxa"/>
            <w:tcBorders>
              <w:top w:val="nil"/>
              <w:left w:val="single" w:sz="4" w:space="0" w:color="auto"/>
              <w:bottom w:val="single" w:sz="4" w:space="0" w:color="auto"/>
              <w:right w:val="single" w:sz="4" w:space="0" w:color="auto"/>
            </w:tcBorders>
            <w:shd w:val="clear" w:color="auto" w:fill="BDD7EE"/>
            <w:hideMark/>
          </w:tcPr>
          <w:p w14:paraId="601EFAAF" w14:textId="77777777" w:rsidR="003A3D51" w:rsidRDefault="0002775A">
            <w:pPr>
              <w:pStyle w:val="P68B1DB1-Normal6"/>
              <w:spacing w:after="0" w:line="276" w:lineRule="auto"/>
              <w:jc w:val="center"/>
              <w:rPr>
                <w:noProof/>
              </w:rPr>
            </w:pPr>
            <w:r>
              <w:rPr>
                <w:noProof/>
              </w:rPr>
              <w:t>Enhet</w:t>
            </w:r>
          </w:p>
        </w:tc>
        <w:tc>
          <w:tcPr>
            <w:tcW w:w="851" w:type="dxa"/>
            <w:tcBorders>
              <w:top w:val="nil"/>
              <w:left w:val="nil"/>
              <w:bottom w:val="single" w:sz="4" w:space="0" w:color="auto"/>
              <w:right w:val="single" w:sz="4" w:space="0" w:color="auto"/>
            </w:tcBorders>
            <w:shd w:val="clear" w:color="auto" w:fill="BDD7EE"/>
            <w:hideMark/>
          </w:tcPr>
          <w:p w14:paraId="1F8403C3" w14:textId="77777777" w:rsidR="003A3D51" w:rsidRDefault="0002775A">
            <w:pPr>
              <w:pStyle w:val="P68B1DB1-Normal6"/>
              <w:spacing w:after="0" w:line="276" w:lineRule="auto"/>
              <w:jc w:val="center"/>
              <w:rPr>
                <w:noProof/>
              </w:rPr>
            </w:pPr>
            <w:r>
              <w:rPr>
                <w:noProof/>
              </w:rPr>
              <w:t>Baslinjen</w:t>
            </w:r>
          </w:p>
        </w:tc>
        <w:tc>
          <w:tcPr>
            <w:tcW w:w="709" w:type="dxa"/>
            <w:tcBorders>
              <w:top w:val="nil"/>
              <w:left w:val="nil"/>
              <w:bottom w:val="single" w:sz="4" w:space="0" w:color="auto"/>
              <w:right w:val="single" w:sz="4" w:space="0" w:color="auto"/>
            </w:tcBorders>
            <w:shd w:val="clear" w:color="auto" w:fill="BDD7EE"/>
            <w:hideMark/>
          </w:tcPr>
          <w:p w14:paraId="269110CE" w14:textId="77777777" w:rsidR="003A3D51" w:rsidRDefault="0002775A">
            <w:pPr>
              <w:pStyle w:val="P68B1DB1-Normal6"/>
              <w:spacing w:after="0" w:line="276" w:lineRule="auto"/>
              <w:jc w:val="center"/>
              <w:rPr>
                <w:noProof/>
              </w:rPr>
            </w:pPr>
            <w:r>
              <w:rPr>
                <w:noProof/>
              </w:rPr>
              <w:t>Mål</w:t>
            </w:r>
          </w:p>
        </w:tc>
        <w:tc>
          <w:tcPr>
            <w:tcW w:w="575" w:type="dxa"/>
            <w:tcBorders>
              <w:top w:val="nil"/>
              <w:left w:val="nil"/>
              <w:bottom w:val="single" w:sz="4" w:space="0" w:color="auto"/>
              <w:right w:val="single" w:sz="4" w:space="0" w:color="auto"/>
            </w:tcBorders>
            <w:shd w:val="clear" w:color="auto" w:fill="BDD7EE"/>
            <w:hideMark/>
          </w:tcPr>
          <w:p w14:paraId="263E74D2" w14:textId="77777777" w:rsidR="003A3D51" w:rsidRDefault="0002775A">
            <w:pPr>
              <w:pStyle w:val="P68B1DB1-Normal6"/>
              <w:spacing w:after="0" w:line="276" w:lineRule="auto"/>
              <w:jc w:val="center"/>
              <w:rPr>
                <w:noProof/>
              </w:rPr>
            </w:pPr>
            <w:r>
              <w:rPr>
                <w:noProof/>
              </w:rPr>
              <w:t>Q</w:t>
            </w:r>
          </w:p>
        </w:tc>
        <w:tc>
          <w:tcPr>
            <w:tcW w:w="850" w:type="dxa"/>
            <w:tcBorders>
              <w:top w:val="nil"/>
              <w:left w:val="nil"/>
              <w:bottom w:val="single" w:sz="4" w:space="0" w:color="auto"/>
              <w:right w:val="single" w:sz="4" w:space="0" w:color="auto"/>
            </w:tcBorders>
            <w:shd w:val="clear" w:color="auto" w:fill="BDD7EE"/>
            <w:hideMark/>
          </w:tcPr>
          <w:p w14:paraId="451468CA" w14:textId="77777777" w:rsidR="003A3D51" w:rsidRDefault="0002775A">
            <w:pPr>
              <w:pStyle w:val="P68B1DB1-Normal6"/>
              <w:spacing w:after="0" w:line="276" w:lineRule="auto"/>
              <w:jc w:val="center"/>
              <w:rPr>
                <w:noProof/>
              </w:rPr>
            </w:pPr>
            <w:r>
              <w:rPr>
                <w:noProof/>
              </w:rPr>
              <w:t>Året</w:t>
            </w:r>
          </w:p>
        </w:tc>
        <w:tc>
          <w:tcPr>
            <w:tcW w:w="3754" w:type="dxa"/>
            <w:vMerge/>
            <w:tcBorders>
              <w:top w:val="single" w:sz="4" w:space="0" w:color="auto"/>
              <w:bottom w:val="single" w:sz="4" w:space="0" w:color="auto"/>
              <w:right w:val="single" w:sz="4" w:space="0" w:color="auto"/>
            </w:tcBorders>
            <w:hideMark/>
          </w:tcPr>
          <w:p w14:paraId="3B04F8AE" w14:textId="77777777" w:rsidR="003A3D51" w:rsidRDefault="003A3D51">
            <w:pPr>
              <w:spacing w:after="0" w:line="276" w:lineRule="auto"/>
              <w:rPr>
                <w:rFonts w:ascii="Times New Roman" w:eastAsia="Times New Roman" w:hAnsi="Times New Roman" w:cs="Times New Roman"/>
                <w:b/>
                <w:noProof/>
              </w:rPr>
            </w:pPr>
          </w:p>
        </w:tc>
      </w:tr>
      <w:tr w:rsidR="003A3D51" w14:paraId="68CC1E7A"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4A008E27" w14:textId="5D1A7EB4" w:rsidR="003A3D51" w:rsidRDefault="0002775A">
            <w:pPr>
              <w:pStyle w:val="P68B1DB1-Normal25"/>
              <w:spacing w:after="0" w:line="276" w:lineRule="auto"/>
              <w:jc w:val="center"/>
              <w:rPr>
                <w:rFonts w:eastAsia="Calibri"/>
                <w:noProof/>
              </w:rPr>
            </w:pPr>
            <w:r>
              <w:rPr>
                <w:noProof/>
              </w:rPr>
              <w:t>406</w:t>
            </w:r>
          </w:p>
        </w:tc>
        <w:tc>
          <w:tcPr>
            <w:tcW w:w="993" w:type="dxa"/>
            <w:tcBorders>
              <w:top w:val="single" w:sz="4" w:space="0" w:color="auto"/>
              <w:left w:val="nil"/>
              <w:bottom w:val="single" w:sz="4" w:space="0" w:color="auto"/>
              <w:right w:val="single" w:sz="4" w:space="0" w:color="auto"/>
            </w:tcBorders>
            <w:shd w:val="clear" w:color="auto" w:fill="C6EFCE"/>
            <w:noWrap/>
          </w:tcPr>
          <w:p w14:paraId="125A46F6" w14:textId="1C317CC7" w:rsidR="003A3D51" w:rsidRDefault="0002775A">
            <w:pPr>
              <w:pStyle w:val="P68B1DB1-Normal58"/>
              <w:spacing w:after="200" w:line="276" w:lineRule="auto"/>
              <w:jc w:val="center"/>
              <w:rPr>
                <w:rFonts w:eastAsia="Calibri"/>
                <w:noProof/>
              </w:rPr>
            </w:pPr>
            <w:r>
              <w:rPr>
                <w:noProof/>
              </w:rPr>
              <w:t>C7.1 R1</w:t>
            </w:r>
          </w:p>
        </w:tc>
        <w:tc>
          <w:tcPr>
            <w:tcW w:w="850" w:type="dxa"/>
            <w:tcBorders>
              <w:top w:val="single" w:sz="4" w:space="0" w:color="auto"/>
              <w:left w:val="nil"/>
              <w:bottom w:val="single" w:sz="4" w:space="0" w:color="auto"/>
              <w:right w:val="single" w:sz="4" w:space="0" w:color="auto"/>
            </w:tcBorders>
            <w:shd w:val="clear" w:color="auto" w:fill="C6EFCE"/>
            <w:noWrap/>
          </w:tcPr>
          <w:p w14:paraId="2C610836" w14:textId="77777777" w:rsidR="003A3D51" w:rsidRDefault="0002775A">
            <w:pPr>
              <w:pStyle w:val="P68B1DB1-Normal17"/>
              <w:spacing w:after="200" w:line="276" w:lineRule="auto"/>
              <w:jc w:val="center"/>
              <w:rPr>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2184C5FA" w14:textId="6A4A7B91" w:rsidR="003A3D51" w:rsidRDefault="0002775A">
            <w:pPr>
              <w:pStyle w:val="P68B1DB1-Normal17"/>
              <w:spacing w:after="200" w:line="276" w:lineRule="auto"/>
              <w:rPr>
                <w:noProof/>
              </w:rPr>
            </w:pPr>
            <w:r>
              <w:rPr>
                <w:noProof/>
              </w:rPr>
              <w:t>Ikraftträdande av lagstiftning om inrättande av det nya systemet för egenförbrukning</w:t>
            </w:r>
          </w:p>
        </w:tc>
        <w:tc>
          <w:tcPr>
            <w:tcW w:w="2193" w:type="dxa"/>
            <w:tcBorders>
              <w:top w:val="single" w:sz="4" w:space="0" w:color="auto"/>
              <w:left w:val="nil"/>
              <w:bottom w:val="single" w:sz="4" w:space="0" w:color="auto"/>
              <w:right w:val="single" w:sz="4" w:space="0" w:color="auto"/>
            </w:tcBorders>
            <w:shd w:val="clear" w:color="auto" w:fill="C6EFCE"/>
            <w:noWrap/>
          </w:tcPr>
          <w:p w14:paraId="7DABD0CC" w14:textId="5D98A2E1" w:rsidR="003A3D51" w:rsidRDefault="0002775A">
            <w:pPr>
              <w:pStyle w:val="P68B1DB1-Normal16"/>
              <w:rPr>
                <w:noProof/>
              </w:rPr>
            </w:pPr>
            <w:r>
              <w:rPr>
                <w:noProof/>
              </w:rPr>
              <w:t>Bestämmelse i en rättsakt om inrättande av det nya systemet för egenförbrukning, med angivande av dess ikraftträdande</w:t>
            </w:r>
          </w:p>
        </w:tc>
        <w:tc>
          <w:tcPr>
            <w:tcW w:w="917" w:type="dxa"/>
            <w:tcBorders>
              <w:top w:val="single" w:sz="4" w:space="0" w:color="auto"/>
              <w:left w:val="nil"/>
              <w:bottom w:val="single" w:sz="4" w:space="0" w:color="auto"/>
              <w:right w:val="single" w:sz="4" w:space="0" w:color="auto"/>
            </w:tcBorders>
            <w:shd w:val="clear" w:color="auto" w:fill="C6EFCE"/>
            <w:noWrap/>
          </w:tcPr>
          <w:p w14:paraId="43761F2A" w14:textId="77777777" w:rsidR="003A3D51" w:rsidRDefault="003A3D51">
            <w:pPr>
              <w:spacing w:after="200" w:line="276" w:lineRule="auto"/>
              <w:jc w:val="center"/>
              <w:rPr>
                <w:rFonts w:eastAsia="Calibri" w:cstheme="minorHAnsi"/>
                <w:noProof/>
                <w:sz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25966E3E" w14:textId="77777777" w:rsidR="003A3D51" w:rsidRDefault="003A3D51">
            <w:pPr>
              <w:spacing w:after="200" w:line="276" w:lineRule="auto"/>
              <w:jc w:val="center"/>
              <w:rPr>
                <w:rFonts w:eastAsia="Calibri" w:cstheme="minorHAnsi"/>
                <w:noProof/>
                <w:sz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17100E27" w14:textId="77777777" w:rsidR="003A3D51" w:rsidRDefault="003A3D51">
            <w:pPr>
              <w:spacing w:after="200" w:line="276" w:lineRule="auto"/>
              <w:jc w:val="center"/>
              <w:rPr>
                <w:rFonts w:eastAsia="Calibri" w:cstheme="minorHAnsi"/>
                <w:noProof/>
                <w:sz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5DFBA889" w14:textId="77777777" w:rsidR="003A3D51" w:rsidRDefault="0002775A">
            <w:pPr>
              <w:pStyle w:val="P68B1DB1-Normal17"/>
              <w:spacing w:after="200" w:line="276" w:lineRule="auto"/>
              <w:jc w:val="center"/>
              <w:rPr>
                <w:noProof/>
              </w:rPr>
            </w:pPr>
            <w:r>
              <w:rPr>
                <w:noProof/>
              </w:rPr>
              <w:t>KVARTAL 1</w:t>
            </w:r>
          </w:p>
        </w:tc>
        <w:tc>
          <w:tcPr>
            <w:tcW w:w="850" w:type="dxa"/>
            <w:tcBorders>
              <w:top w:val="single" w:sz="4" w:space="0" w:color="auto"/>
              <w:left w:val="nil"/>
              <w:bottom w:val="single" w:sz="4" w:space="0" w:color="auto"/>
              <w:right w:val="single" w:sz="4" w:space="0" w:color="auto"/>
            </w:tcBorders>
            <w:shd w:val="clear" w:color="auto" w:fill="C6EFCE"/>
            <w:noWrap/>
          </w:tcPr>
          <w:p w14:paraId="1A7D7CB8" w14:textId="77777777" w:rsidR="003A3D51" w:rsidRDefault="0002775A">
            <w:pPr>
              <w:pStyle w:val="P68B1DB1-Normal17"/>
              <w:spacing w:after="200" w:line="276" w:lineRule="auto"/>
              <w:jc w:val="center"/>
              <w:rPr>
                <w:noProof/>
              </w:rPr>
            </w:pPr>
            <w:r>
              <w:rPr>
                <w:noProof/>
              </w:rPr>
              <w:t>2025</w:t>
            </w:r>
          </w:p>
        </w:tc>
        <w:tc>
          <w:tcPr>
            <w:tcW w:w="3754" w:type="dxa"/>
            <w:tcBorders>
              <w:top w:val="single" w:sz="4" w:space="0" w:color="auto"/>
              <w:left w:val="nil"/>
              <w:bottom w:val="single" w:sz="4" w:space="0" w:color="auto"/>
              <w:right w:val="single" w:sz="4" w:space="0" w:color="auto"/>
            </w:tcBorders>
            <w:shd w:val="clear" w:color="auto" w:fill="C6EFCE"/>
            <w:noWrap/>
          </w:tcPr>
          <w:p w14:paraId="5B26565D" w14:textId="3A64C294" w:rsidR="003A3D51" w:rsidRDefault="0002775A">
            <w:pPr>
              <w:pStyle w:val="P68B1DB1-Normal13"/>
              <w:spacing w:after="200" w:line="276" w:lineRule="auto"/>
              <w:rPr>
                <w:rFonts w:eastAsia="Calibri" w:cstheme="minorHAnsi"/>
                <w:noProof/>
              </w:rPr>
            </w:pPr>
            <w:r>
              <w:rPr>
                <w:rFonts w:eastAsia="Calibri" w:cstheme="minorHAnsi"/>
                <w:noProof/>
              </w:rPr>
              <w:t xml:space="preserve">Det nya systemet för egenförbrukning för </w:t>
            </w:r>
            <w:r>
              <w:rPr>
                <w:noProof/>
                <w:color w:val="000000" w:themeColor="text1"/>
              </w:rPr>
              <w:t>självförsörjande energiproduktionsanläggningar</w:t>
            </w:r>
            <w:r>
              <w:rPr>
                <w:rFonts w:eastAsia="Calibri" w:cstheme="minorHAnsi"/>
                <w:noProof/>
              </w:rPr>
              <w:t xml:space="preserve"> ska inrättas och tillämpas från och med den 1 januari 2026. Det nya systemet för egenförbrukning ska säkerställa likabehandling av alla kunder när det gäller tillträde till distributionsnätet och nätavgifter. Det nya systemet ska omforma sättet att beräkna ersättningen för egenproducerad el som matas in i nätet. alla avgifter, inklusive nättariffer, måste återspegla kostnaderna, vara proportionella och icke-diskriminerande. Samtidigt ska det nya systemet skapa incitament för konsumenterna att bli egenförbrukare och för egenförbrukning. Pålagor och avgifter får inte tas ut på egenproducerad el som finns kvar hos egenförbrukaren.</w:t>
            </w:r>
          </w:p>
        </w:tc>
      </w:tr>
      <w:tr w:rsidR="003A3D51" w14:paraId="4147E6B6"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9BA0F59" w14:textId="06BB24EE" w:rsidR="003A3D51" w:rsidRDefault="0002775A">
            <w:pPr>
              <w:pStyle w:val="P68B1DB1-Normal25"/>
              <w:spacing w:after="0" w:line="276" w:lineRule="auto"/>
              <w:jc w:val="center"/>
              <w:rPr>
                <w:rFonts w:eastAsia="Calibri"/>
                <w:noProof/>
              </w:rPr>
            </w:pPr>
            <w:r>
              <w:rPr>
                <w:noProof/>
              </w:rPr>
              <w:t>51</w:t>
            </w:r>
          </w:p>
        </w:tc>
        <w:tc>
          <w:tcPr>
            <w:tcW w:w="993" w:type="dxa"/>
            <w:tcBorders>
              <w:top w:val="single" w:sz="4" w:space="0" w:color="auto"/>
              <w:left w:val="nil"/>
              <w:bottom w:val="single" w:sz="4" w:space="0" w:color="auto"/>
              <w:right w:val="single" w:sz="4" w:space="0" w:color="auto"/>
            </w:tcBorders>
            <w:shd w:val="clear" w:color="auto" w:fill="C6EFCE"/>
            <w:noWrap/>
          </w:tcPr>
          <w:p w14:paraId="71EBD226" w14:textId="5C0BBC76" w:rsidR="003A3D51" w:rsidRDefault="0002775A">
            <w:pPr>
              <w:pStyle w:val="P68B1DB1-Normal58"/>
              <w:spacing w:after="200" w:line="276" w:lineRule="auto"/>
              <w:jc w:val="center"/>
              <w:rPr>
                <w:rFonts w:eastAsia="Calibri"/>
                <w:noProof/>
              </w:rPr>
            </w:pPr>
            <w:r>
              <w:rPr>
                <w:noProof/>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7EE9EFB7" w14:textId="77777777" w:rsidR="003A3D51" w:rsidRDefault="0002775A">
            <w:pPr>
              <w:pStyle w:val="P68B1DB1-Normal7"/>
              <w:spacing w:after="200" w:line="276" w:lineRule="auto"/>
              <w:jc w:val="center"/>
              <w:rPr>
                <w:rFonts w:cstheme="minorHAnsi"/>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6F9E3FAE" w14:textId="77777777" w:rsidR="003A3D51" w:rsidRDefault="0002775A">
            <w:pPr>
              <w:pStyle w:val="P68B1DB1-Normal7"/>
              <w:spacing w:after="200" w:line="276" w:lineRule="auto"/>
              <w:rPr>
                <w:rFonts w:cstheme="minorHAnsi"/>
                <w:noProof/>
              </w:rPr>
            </w:pPr>
            <w:r>
              <w:rPr>
                <w:noProof/>
              </w:rPr>
              <w:t>Ny produktionskapacitet för vätgas installerad</w:t>
            </w:r>
          </w:p>
        </w:tc>
        <w:tc>
          <w:tcPr>
            <w:tcW w:w="2193" w:type="dxa"/>
            <w:tcBorders>
              <w:top w:val="single" w:sz="4" w:space="0" w:color="auto"/>
              <w:left w:val="nil"/>
              <w:bottom w:val="single" w:sz="4" w:space="0" w:color="auto"/>
              <w:right w:val="single" w:sz="4" w:space="0" w:color="auto"/>
            </w:tcBorders>
            <w:shd w:val="clear" w:color="auto" w:fill="C6EFCE"/>
            <w:noWrap/>
          </w:tcPr>
          <w:p w14:paraId="24FDEE53" w14:textId="77777777" w:rsidR="003A3D51" w:rsidRDefault="0002775A">
            <w:pPr>
              <w:pStyle w:val="P68B1DB1-Normal7"/>
              <w:spacing w:after="200" w:line="276" w:lineRule="auto"/>
              <w:rPr>
                <w:rFonts w:cstheme="minorHAnsi"/>
                <w:noProof/>
              </w:rPr>
            </w:pPr>
            <w:r>
              <w:rPr>
                <w:noProof/>
              </w:rPr>
              <w:t xml:space="preserve"> </w:t>
            </w:r>
          </w:p>
        </w:tc>
        <w:tc>
          <w:tcPr>
            <w:tcW w:w="917" w:type="dxa"/>
            <w:tcBorders>
              <w:top w:val="single" w:sz="4" w:space="0" w:color="auto"/>
              <w:left w:val="nil"/>
              <w:bottom w:val="single" w:sz="4" w:space="0" w:color="auto"/>
              <w:right w:val="single" w:sz="4" w:space="0" w:color="auto"/>
            </w:tcBorders>
            <w:shd w:val="clear" w:color="auto" w:fill="C6EFCE"/>
            <w:noWrap/>
          </w:tcPr>
          <w:p w14:paraId="3CACA039" w14:textId="77777777" w:rsidR="003A3D51" w:rsidRDefault="0002775A">
            <w:pPr>
              <w:pStyle w:val="P68B1DB1-Normal7"/>
              <w:spacing w:after="200" w:line="276" w:lineRule="auto"/>
              <w:jc w:val="center"/>
              <w:rPr>
                <w:rFonts w:cstheme="minorHAnsi"/>
                <w:noProof/>
              </w:rPr>
            </w:pPr>
            <w:r>
              <w:rPr>
                <w:noProof/>
              </w:rPr>
              <w:t>MW</w:t>
            </w:r>
          </w:p>
        </w:tc>
        <w:tc>
          <w:tcPr>
            <w:tcW w:w="851" w:type="dxa"/>
            <w:tcBorders>
              <w:top w:val="single" w:sz="4" w:space="0" w:color="auto"/>
              <w:left w:val="nil"/>
              <w:bottom w:val="single" w:sz="4" w:space="0" w:color="auto"/>
              <w:right w:val="single" w:sz="4" w:space="0" w:color="auto"/>
            </w:tcBorders>
            <w:shd w:val="clear" w:color="auto" w:fill="C6EFCE"/>
            <w:noWrap/>
          </w:tcPr>
          <w:p w14:paraId="458B7BC8" w14:textId="77777777" w:rsidR="003A3D51" w:rsidRDefault="0002775A">
            <w:pPr>
              <w:pStyle w:val="P68B1DB1-Normal7"/>
              <w:spacing w:after="200" w:line="276" w:lineRule="auto"/>
              <w:jc w:val="center"/>
              <w:rPr>
                <w:rFonts w:cstheme="minorHAnsi"/>
                <w:noProof/>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13186FAA" w14:textId="77777777" w:rsidR="003A3D51" w:rsidRDefault="0002775A">
            <w:pPr>
              <w:pStyle w:val="P68B1DB1-Normal7"/>
              <w:spacing w:after="200" w:line="276" w:lineRule="auto"/>
              <w:jc w:val="center"/>
              <w:rPr>
                <w:rFonts w:cstheme="minorHAnsi"/>
                <w:noProof/>
              </w:rPr>
            </w:pPr>
            <w:r>
              <w:rPr>
                <w:noProof/>
              </w:rPr>
              <w:t>10</w:t>
            </w:r>
          </w:p>
        </w:tc>
        <w:tc>
          <w:tcPr>
            <w:tcW w:w="575" w:type="dxa"/>
            <w:tcBorders>
              <w:top w:val="single" w:sz="4" w:space="0" w:color="auto"/>
              <w:left w:val="nil"/>
              <w:bottom w:val="single" w:sz="4" w:space="0" w:color="auto"/>
              <w:right w:val="single" w:sz="4" w:space="0" w:color="auto"/>
            </w:tcBorders>
            <w:shd w:val="clear" w:color="auto" w:fill="C6EFCE"/>
            <w:noWrap/>
          </w:tcPr>
          <w:p w14:paraId="2B809597" w14:textId="77777777" w:rsidR="003A3D51" w:rsidRDefault="0002775A">
            <w:pPr>
              <w:pStyle w:val="P68B1DB1-Normal7"/>
              <w:spacing w:after="200" w:line="276" w:lineRule="auto"/>
              <w:jc w:val="center"/>
              <w:rPr>
                <w:rFonts w:cstheme="minorHAnsi"/>
                <w:noProof/>
              </w:rPr>
            </w:pPr>
            <w:r>
              <w:rPr>
                <w:noProof/>
              </w:rPr>
              <w:t>KVARTAL 4</w:t>
            </w:r>
          </w:p>
        </w:tc>
        <w:tc>
          <w:tcPr>
            <w:tcW w:w="850" w:type="dxa"/>
            <w:tcBorders>
              <w:top w:val="single" w:sz="4" w:space="0" w:color="auto"/>
              <w:left w:val="nil"/>
              <w:bottom w:val="single" w:sz="4" w:space="0" w:color="auto"/>
              <w:right w:val="single" w:sz="4" w:space="0" w:color="auto"/>
            </w:tcBorders>
            <w:shd w:val="clear" w:color="auto" w:fill="C6EFCE"/>
            <w:noWrap/>
          </w:tcPr>
          <w:p w14:paraId="7EF78A9B" w14:textId="77777777" w:rsidR="003A3D51" w:rsidRDefault="0002775A">
            <w:pPr>
              <w:pStyle w:val="P68B1DB1-Normal7"/>
              <w:spacing w:after="200" w:line="276" w:lineRule="auto"/>
              <w:jc w:val="center"/>
              <w:rPr>
                <w:rFonts w:cstheme="minorHAnsi"/>
                <w:noProof/>
              </w:rPr>
            </w:pPr>
            <w:r>
              <w:rPr>
                <w:noProof/>
              </w:rPr>
              <w:t>2025</w:t>
            </w:r>
          </w:p>
        </w:tc>
        <w:tc>
          <w:tcPr>
            <w:tcW w:w="3754" w:type="dxa"/>
            <w:tcBorders>
              <w:top w:val="single" w:sz="4" w:space="0" w:color="auto"/>
              <w:left w:val="nil"/>
              <w:bottom w:val="single" w:sz="4" w:space="0" w:color="auto"/>
              <w:right w:val="single" w:sz="4" w:space="0" w:color="auto"/>
            </w:tcBorders>
            <w:shd w:val="clear" w:color="auto" w:fill="C6EFCE"/>
            <w:noWrap/>
          </w:tcPr>
          <w:p w14:paraId="798D6AD2" w14:textId="4AEA2630" w:rsidR="003A3D51" w:rsidRDefault="0002775A">
            <w:pPr>
              <w:pStyle w:val="P68B1DB1-Normal7"/>
              <w:spacing w:after="200" w:line="276" w:lineRule="auto"/>
              <w:rPr>
                <w:noProof/>
              </w:rPr>
            </w:pPr>
            <w:r>
              <w:rPr>
                <w:noProof/>
              </w:rPr>
              <w:t xml:space="preserve">Ny anläggning som byggs och tas i drift, med en produktionskapacitet på 10 MW förnybar vätgas, genom elektrolys. </w:t>
            </w:r>
            <w:r>
              <w:rPr>
                <w:noProof/>
              </w:rPr>
              <w:br/>
              <w:t>Projektet ska uppfylla villkoren i direktiv (EU) 2018/2001 om förnybar energi och de relevanta delegerade akterna (EU) 2023/1185 och (EU) 2023/1184.</w:t>
            </w:r>
            <w:r>
              <w:rPr>
                <w:noProof/>
              </w:rPr>
              <w:br/>
              <w:t xml:space="preserve">I synnerhet ska byggandet av en elektrolysanläggning för vätgas med transportnät möjliggöra produktion och överföring av 100 % ren förnybar vätgas.  </w:t>
            </w:r>
            <w:r>
              <w:rPr>
                <w:noProof/>
              </w:rPr>
              <w:br/>
              <w:t>Investeringen ska vara i linje med sektorsspecifika regler för produktion av förnybar vätgas med el från nätet, för att säkerställa att produktionen av förnybar vätgas inte ökar växthusgasutsläppen.</w:t>
            </w:r>
          </w:p>
        </w:tc>
      </w:tr>
      <w:tr w:rsidR="003A3D51" w14:paraId="21A4D34F"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E6AA7A9" w14:textId="37B14997" w:rsidR="003A3D51" w:rsidRDefault="0002775A">
            <w:pPr>
              <w:pStyle w:val="P68B1DB1-Normal25"/>
              <w:spacing w:after="0" w:line="276" w:lineRule="auto"/>
              <w:jc w:val="center"/>
              <w:rPr>
                <w:noProof/>
              </w:rPr>
            </w:pPr>
            <w:r>
              <w:rPr>
                <w:noProof/>
              </w:rPr>
              <w:t>52</w:t>
            </w:r>
          </w:p>
        </w:tc>
        <w:tc>
          <w:tcPr>
            <w:tcW w:w="993" w:type="dxa"/>
            <w:tcBorders>
              <w:top w:val="single" w:sz="4" w:space="0" w:color="auto"/>
              <w:left w:val="nil"/>
              <w:bottom w:val="single" w:sz="4" w:space="0" w:color="auto"/>
              <w:right w:val="single" w:sz="4" w:space="0" w:color="auto"/>
            </w:tcBorders>
            <w:shd w:val="clear" w:color="auto" w:fill="C6EFCE"/>
            <w:noWrap/>
          </w:tcPr>
          <w:p w14:paraId="5CAEEC8A" w14:textId="31B9A6AF" w:rsidR="003A3D51" w:rsidRDefault="0002775A">
            <w:pPr>
              <w:pStyle w:val="P68B1DB1-Normal58"/>
              <w:spacing w:after="200" w:line="276" w:lineRule="auto"/>
              <w:jc w:val="center"/>
              <w:rPr>
                <w:rFonts w:eastAsia="Calibri"/>
                <w:noProof/>
              </w:rPr>
            </w:pPr>
            <w:r>
              <w:rPr>
                <w:noProof/>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3DB54492" w14:textId="77777777" w:rsidR="003A3D51" w:rsidRDefault="0002775A">
            <w:pPr>
              <w:pStyle w:val="P68B1DB1-Normal7"/>
              <w:spacing w:after="200" w:line="276" w:lineRule="auto"/>
              <w:jc w:val="center"/>
              <w:rPr>
                <w:rFonts w:cstheme="minorHAnsi"/>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6E147817" w14:textId="77777777" w:rsidR="003A3D51" w:rsidRDefault="0002775A">
            <w:pPr>
              <w:pStyle w:val="P68B1DB1-Normal7"/>
              <w:spacing w:after="200" w:line="276" w:lineRule="auto"/>
              <w:rPr>
                <w:rFonts w:cstheme="minorHAnsi"/>
                <w:noProof/>
              </w:rPr>
            </w:pPr>
            <w:r>
              <w:rPr>
                <w:noProof/>
              </w:rPr>
              <w:t xml:space="preserve">Offentlig upphandling av ytterligare vätgaskapacitet </w:t>
            </w:r>
          </w:p>
        </w:tc>
        <w:tc>
          <w:tcPr>
            <w:tcW w:w="2193" w:type="dxa"/>
            <w:tcBorders>
              <w:top w:val="single" w:sz="4" w:space="0" w:color="auto"/>
              <w:left w:val="nil"/>
              <w:bottom w:val="single" w:sz="4" w:space="0" w:color="auto"/>
              <w:right w:val="single" w:sz="4" w:space="0" w:color="auto"/>
            </w:tcBorders>
            <w:shd w:val="clear" w:color="auto" w:fill="C6EFCE"/>
            <w:noWrap/>
          </w:tcPr>
          <w:p w14:paraId="22500F81" w14:textId="77777777" w:rsidR="003A3D51" w:rsidRDefault="0002775A">
            <w:pPr>
              <w:pStyle w:val="P68B1DB1-Normal7"/>
              <w:spacing w:after="200" w:line="276" w:lineRule="auto"/>
              <w:rPr>
                <w:rFonts w:cstheme="minorHAnsi"/>
                <w:noProof/>
              </w:rPr>
            </w:pPr>
            <w:r>
              <w:rPr>
                <w:noProof/>
              </w:rPr>
              <w:t> </w:t>
            </w:r>
          </w:p>
        </w:tc>
        <w:tc>
          <w:tcPr>
            <w:tcW w:w="917" w:type="dxa"/>
            <w:tcBorders>
              <w:top w:val="single" w:sz="4" w:space="0" w:color="auto"/>
              <w:left w:val="nil"/>
              <w:bottom w:val="single" w:sz="4" w:space="0" w:color="auto"/>
              <w:right w:val="single" w:sz="4" w:space="0" w:color="auto"/>
            </w:tcBorders>
            <w:shd w:val="clear" w:color="auto" w:fill="C6EFCE"/>
            <w:noWrap/>
          </w:tcPr>
          <w:p w14:paraId="746F9928" w14:textId="77777777" w:rsidR="003A3D51" w:rsidRDefault="0002775A">
            <w:pPr>
              <w:pStyle w:val="P68B1DB1-Normal7"/>
              <w:spacing w:after="200" w:line="276" w:lineRule="auto"/>
              <w:jc w:val="center"/>
              <w:rPr>
                <w:rFonts w:cstheme="minorHAnsi"/>
                <w:noProof/>
              </w:rPr>
            </w:pPr>
            <w:r>
              <w:rPr>
                <w:noProof/>
              </w:rPr>
              <w:t> </w:t>
            </w:r>
          </w:p>
        </w:tc>
        <w:tc>
          <w:tcPr>
            <w:tcW w:w="851" w:type="dxa"/>
            <w:tcBorders>
              <w:top w:val="single" w:sz="4" w:space="0" w:color="auto"/>
              <w:left w:val="nil"/>
              <w:bottom w:val="single" w:sz="4" w:space="0" w:color="auto"/>
              <w:right w:val="single" w:sz="4" w:space="0" w:color="auto"/>
            </w:tcBorders>
            <w:shd w:val="clear" w:color="auto" w:fill="C6EFCE"/>
            <w:noWrap/>
          </w:tcPr>
          <w:p w14:paraId="785396CD" w14:textId="77777777" w:rsidR="003A3D51" w:rsidRDefault="0002775A">
            <w:pPr>
              <w:pStyle w:val="P68B1DB1-Normal7"/>
              <w:spacing w:after="200" w:line="276" w:lineRule="auto"/>
              <w:jc w:val="center"/>
              <w:rPr>
                <w:rFonts w:cstheme="minorHAnsi"/>
                <w:noProof/>
              </w:rPr>
            </w:pPr>
            <w:r>
              <w:rPr>
                <w:noProof/>
              </w:rPr>
              <w:t> </w:t>
            </w:r>
          </w:p>
        </w:tc>
        <w:tc>
          <w:tcPr>
            <w:tcW w:w="709" w:type="dxa"/>
            <w:tcBorders>
              <w:top w:val="single" w:sz="4" w:space="0" w:color="auto"/>
              <w:left w:val="nil"/>
              <w:bottom w:val="single" w:sz="4" w:space="0" w:color="auto"/>
              <w:right w:val="single" w:sz="4" w:space="0" w:color="auto"/>
            </w:tcBorders>
            <w:shd w:val="clear" w:color="auto" w:fill="C6EFCE"/>
            <w:noWrap/>
          </w:tcPr>
          <w:p w14:paraId="39CD3FAB" w14:textId="13C7D47C" w:rsidR="003A3D51" w:rsidRDefault="003A3D51">
            <w:pPr>
              <w:spacing w:after="200" w:line="276" w:lineRule="auto"/>
              <w:jc w:val="center"/>
              <w:rPr>
                <w:rFonts w:eastAsia="Calibri" w:cstheme="minorHAnsi"/>
                <w:noProof/>
                <w:sz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12104D14" w14:textId="77777777" w:rsidR="003A3D51" w:rsidRDefault="0002775A">
            <w:pPr>
              <w:pStyle w:val="P68B1DB1-Normal7"/>
              <w:spacing w:after="200" w:line="276" w:lineRule="auto"/>
              <w:jc w:val="center"/>
              <w:rPr>
                <w:rFonts w:cstheme="minorHAnsi"/>
                <w:noProof/>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1669B675" w14:textId="77777777" w:rsidR="003A3D51" w:rsidRDefault="0002775A">
            <w:pPr>
              <w:pStyle w:val="P68B1DB1-Normal7"/>
              <w:spacing w:after="200" w:line="276" w:lineRule="auto"/>
              <w:jc w:val="center"/>
              <w:rPr>
                <w:rFonts w:cstheme="minorHAnsi"/>
                <w:noProof/>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70897733" w14:textId="742F52BD" w:rsidR="003A3D51" w:rsidRDefault="0002775A">
            <w:pPr>
              <w:pStyle w:val="P68B1DB1-Normal7"/>
              <w:spacing w:after="200" w:line="276" w:lineRule="auto"/>
              <w:rPr>
                <w:noProof/>
              </w:rPr>
            </w:pPr>
            <w:r>
              <w:rPr>
                <w:noProof/>
              </w:rPr>
              <w:t>Offentlig upphandling inleds för uppförande av en anläggning som ska installera en produktionskapacitet på 20 MW förnybar vätgas genom elektrolys.</w:t>
            </w:r>
          </w:p>
          <w:p w14:paraId="64AED16B" w14:textId="77777777" w:rsidR="003A3D51" w:rsidRDefault="0002775A">
            <w:pPr>
              <w:pStyle w:val="P68B1DB1-Normal7"/>
              <w:spacing w:after="200" w:line="276" w:lineRule="auto"/>
              <w:rPr>
                <w:rFonts w:cstheme="minorHAnsi"/>
                <w:noProof/>
              </w:rPr>
            </w:pPr>
            <w:r>
              <w:rPr>
                <w:noProof/>
              </w:rPr>
              <w:t>Den offentliga upphandlingen ska uppfylla villkoren i direktiv (EU) 2018/2001 om förnybar energi och de relevanta delegerade akterna (EU) 2023/1185 och (EU) 2023/1184.</w:t>
            </w:r>
          </w:p>
        </w:tc>
      </w:tr>
      <w:tr w:rsidR="003A3D51" w14:paraId="378C0B12"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4B4B4495" w14:textId="3B655C88" w:rsidR="003A3D51" w:rsidRDefault="0002775A">
            <w:pPr>
              <w:pStyle w:val="P68B1DB1-Normal25"/>
              <w:spacing w:after="0" w:line="276" w:lineRule="auto"/>
              <w:jc w:val="center"/>
              <w:rPr>
                <w:noProof/>
              </w:rPr>
            </w:pPr>
            <w:r>
              <w:rPr>
                <w:noProof/>
              </w:rPr>
              <w:t>53</w:t>
            </w:r>
          </w:p>
        </w:tc>
        <w:tc>
          <w:tcPr>
            <w:tcW w:w="993" w:type="dxa"/>
            <w:tcBorders>
              <w:top w:val="single" w:sz="4" w:space="0" w:color="auto"/>
              <w:left w:val="nil"/>
              <w:bottom w:val="single" w:sz="4" w:space="0" w:color="auto"/>
              <w:right w:val="single" w:sz="4" w:space="0" w:color="auto"/>
            </w:tcBorders>
            <w:shd w:val="clear" w:color="auto" w:fill="C6EFCE"/>
            <w:noWrap/>
          </w:tcPr>
          <w:p w14:paraId="2192DB87" w14:textId="37F68240" w:rsidR="003A3D51" w:rsidRDefault="0002775A">
            <w:pPr>
              <w:pStyle w:val="P68B1DB1-Normal58"/>
              <w:spacing w:after="200" w:line="276" w:lineRule="auto"/>
              <w:jc w:val="center"/>
              <w:rPr>
                <w:noProof/>
              </w:rPr>
            </w:pPr>
            <w:r>
              <w:rPr>
                <w:noProof/>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19FC83E4" w14:textId="77777777" w:rsidR="003A3D51" w:rsidRDefault="0002775A">
            <w:pPr>
              <w:pStyle w:val="P68B1DB1-Normal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075C7E00" w14:textId="77777777" w:rsidR="003A3D51" w:rsidRDefault="0002775A">
            <w:pPr>
              <w:pStyle w:val="P68B1DB1-Normal7"/>
              <w:spacing w:after="200" w:line="276" w:lineRule="auto"/>
              <w:rPr>
                <w:noProof/>
              </w:rPr>
            </w:pPr>
            <w:r>
              <w:rPr>
                <w:noProof/>
              </w:rPr>
              <w:t>Minst 6 laddningsstationer för vätgas för bilar, bussar och tunga fordon har byggts</w:t>
            </w:r>
          </w:p>
        </w:tc>
        <w:tc>
          <w:tcPr>
            <w:tcW w:w="2193" w:type="dxa"/>
            <w:tcBorders>
              <w:top w:val="single" w:sz="4" w:space="0" w:color="auto"/>
              <w:left w:val="nil"/>
              <w:bottom w:val="single" w:sz="4" w:space="0" w:color="auto"/>
              <w:right w:val="single" w:sz="4" w:space="0" w:color="auto"/>
            </w:tcBorders>
            <w:shd w:val="clear" w:color="auto" w:fill="C6EFCE"/>
            <w:noWrap/>
          </w:tcPr>
          <w:p w14:paraId="025A7403" w14:textId="77777777" w:rsidR="003A3D51" w:rsidRDefault="0002775A">
            <w:pPr>
              <w:pStyle w:val="P68B1DB1-Normal7"/>
              <w:spacing w:after="200" w:line="276" w:lineRule="auto"/>
              <w:rPr>
                <w:noProof/>
              </w:rPr>
            </w:pPr>
            <w:r>
              <w:rPr>
                <w:noProof/>
              </w:rPr>
              <w:t xml:space="preserve"> </w:t>
            </w:r>
          </w:p>
        </w:tc>
        <w:tc>
          <w:tcPr>
            <w:tcW w:w="917" w:type="dxa"/>
            <w:tcBorders>
              <w:top w:val="single" w:sz="4" w:space="0" w:color="auto"/>
              <w:left w:val="nil"/>
              <w:bottom w:val="single" w:sz="4" w:space="0" w:color="auto"/>
              <w:right w:val="single" w:sz="4" w:space="0" w:color="auto"/>
            </w:tcBorders>
            <w:shd w:val="clear" w:color="auto" w:fill="C6EFCE"/>
            <w:noWrap/>
          </w:tcPr>
          <w:p w14:paraId="6321386E" w14:textId="77777777" w:rsidR="003A3D51" w:rsidRDefault="0002775A">
            <w:pPr>
              <w:pStyle w:val="P68B1DB1-Normal7"/>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0C7ECDA6" w14:textId="77777777" w:rsidR="003A3D51" w:rsidRDefault="0002775A">
            <w:pPr>
              <w:pStyle w:val="P68B1DB1-Normal7"/>
              <w:spacing w:after="200" w:line="276" w:lineRule="auto"/>
              <w:jc w:val="center"/>
              <w:rPr>
                <w:noProof/>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77A4232E" w14:textId="77777777" w:rsidR="003A3D51" w:rsidRDefault="0002775A">
            <w:pPr>
              <w:pStyle w:val="P68B1DB1-Normal7"/>
              <w:spacing w:after="200" w:line="276" w:lineRule="auto"/>
              <w:jc w:val="center"/>
              <w:rPr>
                <w:noProof/>
              </w:rPr>
            </w:pPr>
            <w:r>
              <w:rPr>
                <w:noProof/>
              </w:rPr>
              <w:t>6</w:t>
            </w:r>
          </w:p>
        </w:tc>
        <w:tc>
          <w:tcPr>
            <w:tcW w:w="575" w:type="dxa"/>
            <w:tcBorders>
              <w:top w:val="single" w:sz="4" w:space="0" w:color="auto"/>
              <w:left w:val="nil"/>
              <w:bottom w:val="single" w:sz="4" w:space="0" w:color="auto"/>
              <w:right w:val="single" w:sz="4" w:space="0" w:color="auto"/>
            </w:tcBorders>
            <w:shd w:val="clear" w:color="auto" w:fill="C6EFCE"/>
            <w:noWrap/>
          </w:tcPr>
          <w:p w14:paraId="6EE69FA8" w14:textId="77777777" w:rsidR="003A3D51" w:rsidRDefault="0002775A">
            <w:pPr>
              <w:pStyle w:val="P68B1DB1-Normal7"/>
              <w:spacing w:after="200" w:line="276" w:lineRule="auto"/>
              <w:jc w:val="center"/>
              <w:rPr>
                <w:noProof/>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2087EB4A" w14:textId="77777777" w:rsidR="003A3D51" w:rsidRDefault="0002775A">
            <w:pPr>
              <w:pStyle w:val="P68B1DB1-Normal7"/>
              <w:spacing w:after="200" w:line="276" w:lineRule="auto"/>
              <w:jc w:val="center"/>
              <w:rPr>
                <w:noProof/>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195A4815" w14:textId="7AE7EF9C" w:rsidR="003A3D51" w:rsidRDefault="0002775A">
            <w:pPr>
              <w:pStyle w:val="P68B1DB1-Normal7"/>
              <w:spacing w:after="200" w:line="276" w:lineRule="auto"/>
              <w:rPr>
                <w:noProof/>
              </w:rPr>
            </w:pPr>
            <w:r>
              <w:rPr>
                <w:noProof/>
              </w:rPr>
              <w:t>Fram till Q2/2026: minst 6 laddningsstationer för vätgas byggda för bilar, bussar och tunga fordon. Tappningsföretagen ska vara baserade på minst 100 kg vätgas, med potential att vid behov öka kapaciteten.</w:t>
            </w:r>
          </w:p>
        </w:tc>
      </w:tr>
      <w:tr w:rsidR="003A3D51" w14:paraId="66056C7C"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12918948" w14:textId="2079029F" w:rsidR="003A3D51" w:rsidRDefault="0002775A">
            <w:pPr>
              <w:pStyle w:val="P68B1DB1-Normal25"/>
              <w:spacing w:after="0" w:line="276" w:lineRule="auto"/>
              <w:jc w:val="center"/>
              <w:rPr>
                <w:noProof/>
              </w:rPr>
            </w:pPr>
            <w:r>
              <w:rPr>
                <w:noProof/>
              </w:rPr>
              <w:t>54</w:t>
            </w:r>
          </w:p>
        </w:tc>
        <w:tc>
          <w:tcPr>
            <w:tcW w:w="993" w:type="dxa"/>
            <w:tcBorders>
              <w:top w:val="single" w:sz="4" w:space="0" w:color="auto"/>
              <w:left w:val="nil"/>
              <w:bottom w:val="single" w:sz="4" w:space="0" w:color="auto"/>
              <w:right w:val="single" w:sz="4" w:space="0" w:color="auto"/>
            </w:tcBorders>
            <w:shd w:val="clear" w:color="auto" w:fill="C6EFCE"/>
            <w:noWrap/>
          </w:tcPr>
          <w:p w14:paraId="744C5D87" w14:textId="347A97E8" w:rsidR="003A3D51" w:rsidRDefault="0002775A">
            <w:pPr>
              <w:pStyle w:val="P68B1DB1-Normal58"/>
              <w:spacing w:after="200" w:line="276" w:lineRule="auto"/>
              <w:jc w:val="center"/>
              <w:rPr>
                <w:noProof/>
              </w:rPr>
            </w:pPr>
            <w:r>
              <w:rPr>
                <w:noProof/>
              </w:rPr>
              <w:t>C7.1 R1-I1</w:t>
            </w:r>
          </w:p>
        </w:tc>
        <w:tc>
          <w:tcPr>
            <w:tcW w:w="850" w:type="dxa"/>
            <w:tcBorders>
              <w:top w:val="single" w:sz="4" w:space="0" w:color="auto"/>
              <w:left w:val="nil"/>
              <w:bottom w:val="single" w:sz="4" w:space="0" w:color="auto"/>
              <w:right w:val="single" w:sz="4" w:space="0" w:color="auto"/>
            </w:tcBorders>
            <w:shd w:val="clear" w:color="auto" w:fill="C6EFCE"/>
            <w:noWrap/>
          </w:tcPr>
          <w:p w14:paraId="30AD0419" w14:textId="77777777" w:rsidR="003A3D51" w:rsidRDefault="0002775A">
            <w:pPr>
              <w:pStyle w:val="P68B1DB1-Normal7"/>
              <w:spacing w:after="200" w:line="276" w:lineRule="auto"/>
              <w:jc w:val="center"/>
              <w:rPr>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7882F6E4" w14:textId="7828620E" w:rsidR="003A3D51" w:rsidRDefault="0002775A">
            <w:pPr>
              <w:pStyle w:val="P68B1DB1-Normal7"/>
              <w:spacing w:after="200" w:line="276" w:lineRule="auto"/>
              <w:rPr>
                <w:noProof/>
              </w:rPr>
            </w:pPr>
            <w:r>
              <w:rPr>
                <w:noProof/>
              </w:rPr>
              <w:t>Studier om geologisk lagring av koldioxid</w:t>
            </w:r>
          </w:p>
        </w:tc>
        <w:tc>
          <w:tcPr>
            <w:tcW w:w="2193" w:type="dxa"/>
            <w:tcBorders>
              <w:top w:val="single" w:sz="4" w:space="0" w:color="auto"/>
              <w:left w:val="nil"/>
              <w:bottom w:val="single" w:sz="4" w:space="0" w:color="auto"/>
              <w:right w:val="single" w:sz="4" w:space="0" w:color="auto"/>
            </w:tcBorders>
            <w:shd w:val="clear" w:color="auto" w:fill="C6EFCE"/>
            <w:noWrap/>
          </w:tcPr>
          <w:p w14:paraId="5346716D" w14:textId="748F61A9" w:rsidR="003A3D51" w:rsidRDefault="0002775A">
            <w:pPr>
              <w:pStyle w:val="P68B1DB1-Normal7"/>
              <w:spacing w:after="200" w:line="276" w:lineRule="auto"/>
              <w:rPr>
                <w:noProof/>
              </w:rPr>
            </w:pPr>
            <w:r>
              <w:rPr>
                <w:noProof/>
              </w:rPr>
              <w:t>Offentliggörande av tekniska sammanfattningar av studierna om geologisk lagring av koldioxid av ministeriet för ekonomi och hållbar utveckling</w:t>
            </w:r>
          </w:p>
        </w:tc>
        <w:tc>
          <w:tcPr>
            <w:tcW w:w="917" w:type="dxa"/>
            <w:tcBorders>
              <w:top w:val="single" w:sz="4" w:space="0" w:color="auto"/>
              <w:left w:val="nil"/>
              <w:bottom w:val="single" w:sz="4" w:space="0" w:color="auto"/>
              <w:right w:val="single" w:sz="4" w:space="0" w:color="auto"/>
            </w:tcBorders>
            <w:shd w:val="clear" w:color="auto" w:fill="C6EFCE"/>
            <w:noWrap/>
          </w:tcPr>
          <w:p w14:paraId="507A5251" w14:textId="77777777" w:rsidR="003A3D51" w:rsidRDefault="003A3D51">
            <w:pPr>
              <w:spacing w:after="200" w:line="276" w:lineRule="auto"/>
              <w:jc w:val="center"/>
              <w:rPr>
                <w:rFonts w:ascii="Calibri" w:eastAsia="Calibri" w:hAnsi="Calibri" w:cs="Arial"/>
                <w:noProof/>
                <w:color w:val="000000"/>
                <w:sz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7FB4C098" w14:textId="77777777" w:rsidR="003A3D51" w:rsidRDefault="003A3D51">
            <w:pPr>
              <w:spacing w:after="200" w:line="276" w:lineRule="auto"/>
              <w:jc w:val="center"/>
              <w:rPr>
                <w:rFonts w:ascii="Calibri" w:eastAsia="Calibri" w:hAnsi="Calibri" w:cs="Arial"/>
                <w:noProof/>
                <w:color w:val="000000"/>
                <w:sz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544D78E2" w14:textId="77777777" w:rsidR="003A3D51" w:rsidRDefault="003A3D51">
            <w:pPr>
              <w:spacing w:after="200" w:line="276" w:lineRule="auto"/>
              <w:jc w:val="center"/>
              <w:rPr>
                <w:rFonts w:ascii="Calibri" w:eastAsia="Calibri" w:hAnsi="Calibri" w:cs="Arial"/>
                <w:noProof/>
                <w:color w:val="000000"/>
                <w:sz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3B236512" w14:textId="77777777" w:rsidR="003A3D51" w:rsidRDefault="0002775A">
            <w:pPr>
              <w:pStyle w:val="P68B1DB1-Normal7"/>
              <w:spacing w:after="200" w:line="276" w:lineRule="auto"/>
              <w:jc w:val="center"/>
              <w:rPr>
                <w:noProof/>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57E93DC0" w14:textId="77777777" w:rsidR="003A3D51" w:rsidRDefault="0002775A">
            <w:pPr>
              <w:pStyle w:val="P68B1DB1-Normal7"/>
              <w:spacing w:after="200" w:line="276" w:lineRule="auto"/>
              <w:jc w:val="center"/>
              <w:rPr>
                <w:noProof/>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29F2E344" w14:textId="3BA2800A" w:rsidR="003A3D51" w:rsidRDefault="0002775A">
            <w:pPr>
              <w:spacing w:after="200" w:line="276" w:lineRule="auto"/>
              <w:rPr>
                <w:rFonts w:ascii="Calibri" w:eastAsia="Calibri" w:hAnsi="Calibri" w:cs="Arial"/>
                <w:noProof/>
                <w:color w:val="000000"/>
                <w:sz w:val="20"/>
              </w:rPr>
            </w:pPr>
            <w:r>
              <w:rPr>
                <w:rFonts w:ascii="Calibri" w:eastAsia="Calibri" w:hAnsi="Calibri" w:cs="Arial"/>
                <w:noProof/>
                <w:color w:val="000000"/>
                <w:sz w:val="20"/>
              </w:rPr>
              <w:t>Offentliggörande av en uppsättning tekniska sammanfattningar av studierna som ska behandla potentialen för geologisk underjordisk lagring av CO2 i kroatiska (på land och till havs). Studierna ska omfatta</w:t>
            </w:r>
            <w:r>
              <w:rPr>
                <w:noProof/>
                <w:sz w:val="20"/>
              </w:rPr>
              <w:t xml:space="preserve"> strategiska</w:t>
            </w:r>
            <w:r>
              <w:rPr>
                <w:rFonts w:ascii="Calibri" w:eastAsia="Calibri" w:hAnsi="Calibri" w:cs="Arial"/>
                <w:noProof/>
                <w:color w:val="000000"/>
                <w:sz w:val="20"/>
              </w:rPr>
              <w:t xml:space="preserve"> miljöstudier</w:t>
            </w:r>
            <w:r>
              <w:rPr>
                <w:noProof/>
                <w:sz w:val="20"/>
              </w:rPr>
              <w:t xml:space="preserve"> </w:t>
            </w:r>
            <w:r>
              <w:rPr>
                <w:rFonts w:ascii="Calibri" w:eastAsia="Calibri" w:hAnsi="Calibri" w:cs="Arial"/>
                <w:noProof/>
                <w:color w:val="000000"/>
                <w:sz w:val="20"/>
              </w:rPr>
              <w:t xml:space="preserve">för utveckling av permanent koldioxidhantering i geologiska strukturer på land och i havet, undersökningar av fysisk planering, kartläggning av geologiska strukturer som lämpar sig för permanent bortskaffande av koldioxid samt en integrerad </w:t>
            </w:r>
            <w:r>
              <w:rPr>
                <w:noProof/>
                <w:sz w:val="20"/>
              </w:rPr>
              <w:t>genomförbarhetsstudie om permanent bortskaffande av koldioxid vid Bockovci.</w:t>
            </w:r>
          </w:p>
        </w:tc>
      </w:tr>
      <w:tr w:rsidR="003A3D51" w14:paraId="3684065B"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91FC781" w14:textId="4A99AE36" w:rsidR="003A3D51" w:rsidRDefault="0002775A">
            <w:pPr>
              <w:pStyle w:val="P68B1DB1-Normal25"/>
              <w:spacing w:after="0" w:line="276" w:lineRule="auto"/>
              <w:jc w:val="center"/>
              <w:rPr>
                <w:noProof/>
              </w:rPr>
            </w:pPr>
            <w:r>
              <w:rPr>
                <w:noProof/>
              </w:rPr>
              <w:t>407</w:t>
            </w:r>
          </w:p>
        </w:tc>
        <w:tc>
          <w:tcPr>
            <w:tcW w:w="993" w:type="dxa"/>
            <w:tcBorders>
              <w:top w:val="single" w:sz="4" w:space="0" w:color="auto"/>
              <w:left w:val="nil"/>
              <w:bottom w:val="single" w:sz="4" w:space="0" w:color="auto"/>
              <w:right w:val="single" w:sz="4" w:space="0" w:color="auto"/>
            </w:tcBorders>
            <w:shd w:val="clear" w:color="auto" w:fill="C6EFCE"/>
            <w:noWrap/>
          </w:tcPr>
          <w:p w14:paraId="5335A6BC" w14:textId="6A1D7C7C" w:rsidR="003A3D51" w:rsidRDefault="0002775A">
            <w:pPr>
              <w:pStyle w:val="P68B1DB1-Normal58"/>
              <w:spacing w:after="200" w:line="276" w:lineRule="auto"/>
              <w:jc w:val="center"/>
              <w:rPr>
                <w:noProof/>
              </w:rPr>
            </w:pPr>
            <w:r>
              <w:rPr>
                <w:noProof/>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4C4A5256" w14:textId="77777777" w:rsidR="003A3D51" w:rsidRDefault="0002775A">
            <w:pPr>
              <w:pStyle w:val="P68B1DB1-Normal17"/>
              <w:spacing w:after="200" w:line="276" w:lineRule="auto"/>
              <w:jc w:val="center"/>
              <w:rPr>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5A45977D" w14:textId="77777777" w:rsidR="003A3D51" w:rsidRDefault="0002775A">
            <w:pPr>
              <w:pStyle w:val="P68B1DB1-Normal17"/>
              <w:spacing w:after="200" w:line="276" w:lineRule="auto"/>
              <w:rPr>
                <w:noProof/>
              </w:rPr>
            </w:pPr>
            <w:r>
              <w:rPr>
                <w:noProof/>
              </w:rPr>
              <w:t>Samordningsorganet för vätgas</w:t>
            </w:r>
          </w:p>
        </w:tc>
        <w:tc>
          <w:tcPr>
            <w:tcW w:w="2193" w:type="dxa"/>
            <w:tcBorders>
              <w:top w:val="single" w:sz="4" w:space="0" w:color="auto"/>
              <w:left w:val="nil"/>
              <w:bottom w:val="single" w:sz="4" w:space="0" w:color="auto"/>
              <w:right w:val="single" w:sz="4" w:space="0" w:color="auto"/>
            </w:tcBorders>
            <w:shd w:val="clear" w:color="auto" w:fill="C6EFCE"/>
            <w:noWrap/>
          </w:tcPr>
          <w:p w14:paraId="3AD185FB" w14:textId="6416CBFC" w:rsidR="003A3D51" w:rsidRDefault="0002775A">
            <w:pPr>
              <w:pStyle w:val="P68B1DB1-Normal17"/>
              <w:spacing w:after="200" w:line="276" w:lineRule="auto"/>
              <w:rPr>
                <w:noProof/>
              </w:rPr>
            </w:pPr>
            <w:r>
              <w:rPr>
                <w:noProof/>
              </w:rPr>
              <w:t>Bestämmelse i en rättsakt som anger dess ikraftträdande</w:t>
            </w:r>
          </w:p>
        </w:tc>
        <w:tc>
          <w:tcPr>
            <w:tcW w:w="917" w:type="dxa"/>
            <w:tcBorders>
              <w:top w:val="single" w:sz="4" w:space="0" w:color="auto"/>
              <w:left w:val="nil"/>
              <w:bottom w:val="single" w:sz="4" w:space="0" w:color="auto"/>
              <w:right w:val="single" w:sz="4" w:space="0" w:color="auto"/>
            </w:tcBorders>
            <w:shd w:val="clear" w:color="auto" w:fill="C6EFCE"/>
            <w:noWrap/>
          </w:tcPr>
          <w:p w14:paraId="130DB36C" w14:textId="77777777" w:rsidR="003A3D51" w:rsidRDefault="003A3D51">
            <w:pPr>
              <w:spacing w:after="200" w:line="276" w:lineRule="auto"/>
              <w:jc w:val="center"/>
              <w:rPr>
                <w:rFonts w:ascii="Calibri" w:eastAsia="Calibri" w:hAnsi="Calibri" w:cs="Arial"/>
                <w:noProof/>
                <w:color w:val="000000"/>
                <w:sz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0FA8E36B" w14:textId="77777777" w:rsidR="003A3D51" w:rsidRDefault="003A3D51">
            <w:pPr>
              <w:spacing w:after="200" w:line="276" w:lineRule="auto"/>
              <w:jc w:val="center"/>
              <w:rPr>
                <w:rFonts w:ascii="Calibri" w:eastAsia="Calibri" w:hAnsi="Calibri" w:cs="Arial"/>
                <w:noProof/>
                <w:color w:val="000000"/>
                <w:sz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5D2947A7" w14:textId="77777777" w:rsidR="003A3D51" w:rsidRDefault="003A3D51">
            <w:pPr>
              <w:spacing w:after="200" w:line="276" w:lineRule="auto"/>
              <w:jc w:val="center"/>
              <w:rPr>
                <w:rFonts w:ascii="Calibri" w:eastAsia="Calibri" w:hAnsi="Calibri" w:cs="Arial"/>
                <w:noProof/>
                <w:color w:val="000000"/>
                <w:sz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13AEABF6" w14:textId="77777777" w:rsidR="003A3D51" w:rsidRDefault="0002775A">
            <w:pPr>
              <w:pStyle w:val="P68B1DB1-Normal17"/>
              <w:spacing w:after="200" w:line="276" w:lineRule="auto"/>
              <w:jc w:val="center"/>
              <w:rPr>
                <w:noProof/>
              </w:rPr>
            </w:pPr>
            <w:r>
              <w:rPr>
                <w:noProof/>
              </w:rPr>
              <w:t>KVARTAL 1</w:t>
            </w:r>
          </w:p>
        </w:tc>
        <w:tc>
          <w:tcPr>
            <w:tcW w:w="850" w:type="dxa"/>
            <w:tcBorders>
              <w:top w:val="single" w:sz="4" w:space="0" w:color="auto"/>
              <w:left w:val="nil"/>
              <w:bottom w:val="single" w:sz="4" w:space="0" w:color="auto"/>
              <w:right w:val="single" w:sz="4" w:space="0" w:color="auto"/>
            </w:tcBorders>
            <w:shd w:val="clear" w:color="auto" w:fill="C6EFCE"/>
            <w:noWrap/>
          </w:tcPr>
          <w:p w14:paraId="2F07AB20" w14:textId="77777777" w:rsidR="003A3D51" w:rsidRDefault="0002775A">
            <w:pPr>
              <w:pStyle w:val="P68B1DB1-Normal17"/>
              <w:spacing w:after="200" w:line="276" w:lineRule="auto"/>
              <w:jc w:val="center"/>
              <w:rPr>
                <w:noProof/>
              </w:rPr>
            </w:pPr>
            <w:r>
              <w:rPr>
                <w:noProof/>
              </w:rPr>
              <w:t>2024</w:t>
            </w:r>
          </w:p>
        </w:tc>
        <w:tc>
          <w:tcPr>
            <w:tcW w:w="3754" w:type="dxa"/>
            <w:tcBorders>
              <w:top w:val="single" w:sz="4" w:space="0" w:color="auto"/>
              <w:left w:val="nil"/>
              <w:bottom w:val="single" w:sz="4" w:space="0" w:color="auto"/>
              <w:right w:val="single" w:sz="4" w:space="0" w:color="auto"/>
            </w:tcBorders>
            <w:shd w:val="clear" w:color="auto" w:fill="C6EFCE"/>
            <w:noWrap/>
          </w:tcPr>
          <w:p w14:paraId="543CAB4A" w14:textId="5F182D8F" w:rsidR="003A3D51" w:rsidRDefault="0002775A">
            <w:pPr>
              <w:pStyle w:val="P68B1DB1-Normal17"/>
              <w:spacing w:after="200" w:line="276" w:lineRule="auto"/>
              <w:rPr>
                <w:noProof/>
              </w:rPr>
            </w:pPr>
            <w:r>
              <w:rPr>
                <w:noProof/>
              </w:rPr>
              <w:t>En rättsakt genom vilken den kroatiska byrån för kolväten utses till samordningsorgan för vätgas i Kroatien ska träda i kraft.</w:t>
            </w:r>
          </w:p>
        </w:tc>
      </w:tr>
      <w:tr w:rsidR="003A3D51" w14:paraId="1185A3DB"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1F4AE0C" w14:textId="608C91B8" w:rsidR="003A3D51" w:rsidRDefault="0002775A">
            <w:pPr>
              <w:pStyle w:val="P68B1DB1-Normal25"/>
              <w:spacing w:after="0" w:line="276" w:lineRule="auto"/>
              <w:jc w:val="center"/>
              <w:rPr>
                <w:noProof/>
                <w:color w:val="000000"/>
                <w:shd w:val="clear" w:color="auto" w:fill="FFFF00"/>
              </w:rPr>
            </w:pPr>
            <w:r>
              <w:rPr>
                <w:noProof/>
              </w:rPr>
              <w:t>408</w:t>
            </w:r>
          </w:p>
        </w:tc>
        <w:tc>
          <w:tcPr>
            <w:tcW w:w="993" w:type="dxa"/>
            <w:tcBorders>
              <w:top w:val="single" w:sz="4" w:space="0" w:color="auto"/>
              <w:left w:val="nil"/>
              <w:bottom w:val="single" w:sz="4" w:space="0" w:color="auto"/>
              <w:right w:val="single" w:sz="4" w:space="0" w:color="auto"/>
            </w:tcBorders>
            <w:shd w:val="clear" w:color="auto" w:fill="C6EFCE"/>
            <w:noWrap/>
          </w:tcPr>
          <w:p w14:paraId="22C5C5CC" w14:textId="2428FAC7" w:rsidR="003A3D51" w:rsidRDefault="0002775A">
            <w:pPr>
              <w:pStyle w:val="P68B1DB1-Normal41"/>
              <w:spacing w:after="200" w:line="276" w:lineRule="auto"/>
              <w:jc w:val="center"/>
              <w:rPr>
                <w:rFonts w:cstheme="minorHAnsi"/>
                <w:noProof/>
                <w:color w:val="000000" w:themeColor="text1"/>
              </w:rPr>
            </w:pPr>
            <w:r>
              <w:rPr>
                <w:noProof/>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1841E8DF" w14:textId="77777777" w:rsidR="003A3D51" w:rsidRDefault="0002775A">
            <w:pPr>
              <w:pStyle w:val="P68B1DB1-Normal41"/>
              <w:spacing w:after="200" w:line="276" w:lineRule="auto"/>
              <w:jc w:val="center"/>
              <w:rPr>
                <w:rFonts w:eastAsia="Calibri" w:cstheme="minorHAnsi"/>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338F819D" w14:textId="77777777" w:rsidR="003A3D51" w:rsidRDefault="0002775A">
            <w:pPr>
              <w:pStyle w:val="P68B1DB1-Normal41"/>
              <w:spacing w:after="200" w:line="276" w:lineRule="auto"/>
              <w:rPr>
                <w:rFonts w:eastAsia="Calibri" w:cstheme="minorHAnsi"/>
                <w:noProof/>
              </w:rPr>
            </w:pPr>
            <w:r>
              <w:rPr>
                <w:noProof/>
              </w:rPr>
              <w:t>Utvecklingsplan och program för vätgas</w:t>
            </w:r>
          </w:p>
        </w:tc>
        <w:tc>
          <w:tcPr>
            <w:tcW w:w="2193" w:type="dxa"/>
            <w:tcBorders>
              <w:top w:val="single" w:sz="4" w:space="0" w:color="auto"/>
              <w:left w:val="nil"/>
              <w:bottom w:val="single" w:sz="4" w:space="0" w:color="auto"/>
              <w:right w:val="single" w:sz="4" w:space="0" w:color="auto"/>
            </w:tcBorders>
            <w:shd w:val="clear" w:color="auto" w:fill="C6EFCE"/>
            <w:noWrap/>
          </w:tcPr>
          <w:p w14:paraId="236C2C45" w14:textId="77777777" w:rsidR="003A3D51" w:rsidRDefault="0002775A">
            <w:pPr>
              <w:pStyle w:val="P68B1DB1-Normal41"/>
              <w:spacing w:after="200" w:line="276" w:lineRule="auto"/>
              <w:rPr>
                <w:rFonts w:eastAsia="Calibri" w:cstheme="minorHAnsi"/>
                <w:noProof/>
              </w:rPr>
            </w:pPr>
            <w:r>
              <w:rPr>
                <w:noProof/>
              </w:rPr>
              <w:t>Utvecklingsplan och program för vätgas som antagits av den kroatiska myndigheten för kolväten</w:t>
            </w:r>
          </w:p>
        </w:tc>
        <w:tc>
          <w:tcPr>
            <w:tcW w:w="917" w:type="dxa"/>
            <w:tcBorders>
              <w:top w:val="single" w:sz="4" w:space="0" w:color="auto"/>
              <w:left w:val="nil"/>
              <w:bottom w:val="single" w:sz="4" w:space="0" w:color="auto"/>
              <w:right w:val="single" w:sz="4" w:space="0" w:color="auto"/>
            </w:tcBorders>
            <w:shd w:val="clear" w:color="auto" w:fill="C6EFCE"/>
            <w:noWrap/>
          </w:tcPr>
          <w:p w14:paraId="07EB0A71" w14:textId="77777777" w:rsidR="003A3D51" w:rsidRDefault="0002775A">
            <w:pPr>
              <w:pStyle w:val="P68B1DB1-Normal41"/>
              <w:spacing w:after="200" w:line="276" w:lineRule="auto"/>
              <w:jc w:val="center"/>
              <w:rPr>
                <w:rFonts w:ascii="Calibri" w:eastAsia="Calibri" w:hAnsi="Calibri" w:cs="Arial"/>
                <w:noProof/>
              </w:rPr>
            </w:pPr>
            <w:r>
              <w:rPr>
                <w:noProof/>
              </w:rPr>
              <w:t> </w:t>
            </w:r>
          </w:p>
        </w:tc>
        <w:tc>
          <w:tcPr>
            <w:tcW w:w="851" w:type="dxa"/>
            <w:tcBorders>
              <w:top w:val="single" w:sz="4" w:space="0" w:color="auto"/>
              <w:left w:val="nil"/>
              <w:bottom w:val="single" w:sz="4" w:space="0" w:color="auto"/>
              <w:right w:val="single" w:sz="4" w:space="0" w:color="auto"/>
            </w:tcBorders>
            <w:shd w:val="clear" w:color="auto" w:fill="C6EFCE"/>
            <w:noWrap/>
          </w:tcPr>
          <w:p w14:paraId="5EFC4D71" w14:textId="77777777" w:rsidR="003A3D51" w:rsidRDefault="0002775A">
            <w:pPr>
              <w:pStyle w:val="P68B1DB1-Normal41"/>
              <w:spacing w:after="200" w:line="276" w:lineRule="auto"/>
              <w:jc w:val="center"/>
              <w:rPr>
                <w:rFonts w:ascii="Calibri" w:eastAsia="Calibri" w:hAnsi="Calibri" w:cs="Arial"/>
                <w:noProof/>
              </w:rPr>
            </w:pPr>
            <w:r>
              <w:rPr>
                <w:noProof/>
              </w:rPr>
              <w:t> </w:t>
            </w:r>
          </w:p>
        </w:tc>
        <w:tc>
          <w:tcPr>
            <w:tcW w:w="709" w:type="dxa"/>
            <w:tcBorders>
              <w:top w:val="single" w:sz="4" w:space="0" w:color="auto"/>
              <w:left w:val="nil"/>
              <w:bottom w:val="single" w:sz="4" w:space="0" w:color="auto"/>
              <w:right w:val="single" w:sz="4" w:space="0" w:color="auto"/>
            </w:tcBorders>
            <w:shd w:val="clear" w:color="auto" w:fill="C6EFCE"/>
            <w:noWrap/>
          </w:tcPr>
          <w:p w14:paraId="1033D154" w14:textId="77777777" w:rsidR="003A3D51" w:rsidRDefault="0002775A">
            <w:pPr>
              <w:pStyle w:val="P68B1DB1-Normal41"/>
              <w:spacing w:after="200" w:line="276" w:lineRule="auto"/>
              <w:jc w:val="center"/>
              <w:rPr>
                <w:rFonts w:ascii="Calibri" w:eastAsia="Calibri" w:hAnsi="Calibri" w:cs="Arial"/>
                <w:noProof/>
              </w:rPr>
            </w:pPr>
            <w:r>
              <w:rPr>
                <w:noProof/>
              </w:rPr>
              <w:t> </w:t>
            </w:r>
          </w:p>
        </w:tc>
        <w:tc>
          <w:tcPr>
            <w:tcW w:w="575" w:type="dxa"/>
            <w:tcBorders>
              <w:top w:val="single" w:sz="4" w:space="0" w:color="auto"/>
              <w:left w:val="nil"/>
              <w:bottom w:val="single" w:sz="4" w:space="0" w:color="auto"/>
              <w:right w:val="single" w:sz="4" w:space="0" w:color="auto"/>
            </w:tcBorders>
            <w:shd w:val="clear" w:color="auto" w:fill="C6EFCE"/>
            <w:noWrap/>
          </w:tcPr>
          <w:p w14:paraId="2EF23EDC" w14:textId="77777777" w:rsidR="003A3D51" w:rsidRDefault="0002775A">
            <w:pPr>
              <w:pStyle w:val="P68B1DB1-Normal41"/>
              <w:spacing w:after="200" w:line="276" w:lineRule="auto"/>
              <w:jc w:val="center"/>
              <w:rPr>
                <w:rFonts w:eastAsia="Calibri" w:cstheme="minorHAnsi"/>
                <w:noProof/>
              </w:rPr>
            </w:pPr>
            <w:r>
              <w:rPr>
                <w:noProof/>
              </w:rPr>
              <w:t>KVARTAL 1</w:t>
            </w:r>
          </w:p>
        </w:tc>
        <w:tc>
          <w:tcPr>
            <w:tcW w:w="850" w:type="dxa"/>
            <w:tcBorders>
              <w:top w:val="single" w:sz="4" w:space="0" w:color="auto"/>
              <w:left w:val="nil"/>
              <w:bottom w:val="single" w:sz="4" w:space="0" w:color="auto"/>
              <w:right w:val="single" w:sz="4" w:space="0" w:color="auto"/>
            </w:tcBorders>
            <w:shd w:val="clear" w:color="auto" w:fill="C6EFCE"/>
            <w:noWrap/>
          </w:tcPr>
          <w:p w14:paraId="1E62525E" w14:textId="77777777" w:rsidR="003A3D51" w:rsidRDefault="0002775A">
            <w:pPr>
              <w:pStyle w:val="P68B1DB1-Normal41"/>
              <w:spacing w:after="200" w:line="276" w:lineRule="auto"/>
              <w:jc w:val="center"/>
              <w:rPr>
                <w:rFonts w:eastAsia="Calibri" w:cstheme="minorHAnsi"/>
                <w:noProof/>
              </w:rPr>
            </w:pPr>
            <w:r>
              <w:rPr>
                <w:noProof/>
              </w:rPr>
              <w:t>2025</w:t>
            </w:r>
          </w:p>
        </w:tc>
        <w:tc>
          <w:tcPr>
            <w:tcW w:w="3754" w:type="dxa"/>
            <w:tcBorders>
              <w:top w:val="single" w:sz="4" w:space="0" w:color="auto"/>
              <w:left w:val="nil"/>
              <w:bottom w:val="single" w:sz="4" w:space="0" w:color="auto"/>
              <w:right w:val="single" w:sz="4" w:space="0" w:color="auto"/>
            </w:tcBorders>
            <w:shd w:val="clear" w:color="auto" w:fill="C6EFCE"/>
            <w:noWrap/>
          </w:tcPr>
          <w:p w14:paraId="3CFEAED3" w14:textId="269FE3F2" w:rsidR="003A3D51" w:rsidRDefault="0002775A">
            <w:pPr>
              <w:pStyle w:val="P68B1DB1-Normal41"/>
              <w:spacing w:after="200" w:line="276" w:lineRule="auto"/>
              <w:rPr>
                <w:rFonts w:eastAsia="Calibri" w:cstheme="minorHAnsi"/>
                <w:noProof/>
              </w:rPr>
            </w:pPr>
            <w:r>
              <w:rPr>
                <w:noProof/>
              </w:rPr>
              <w:t>Planen och programmet för vätgasutveckling ska analysera den lämpligaste användningen av vätgas i utfasningen av fossila bränslen i den kroatiska ekonomin, med fokus på användning av vätgas för utfasning av fossila bränslen i sektorer som är svåra att elektrifiera, såsom industrin (högtemperaturprocesser), tunga fordon, sjö- och järnvägstransporter, innan man överväger andra sektorer, utan att störa den inre marknadens funktion. Planen och programmet för vätgasutveckling ska utgöra grunden för all framtida lagstiftning om transport och lagring av vätgas.</w:t>
            </w:r>
          </w:p>
        </w:tc>
      </w:tr>
      <w:tr w:rsidR="003A3D51" w14:paraId="10420476"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55191C23" w14:textId="3D4E6E09" w:rsidR="003A3D51" w:rsidRDefault="0002775A">
            <w:pPr>
              <w:pStyle w:val="P68B1DB1-Normal25"/>
              <w:spacing w:after="0" w:line="276" w:lineRule="auto"/>
              <w:jc w:val="center"/>
              <w:rPr>
                <w:noProof/>
              </w:rPr>
            </w:pPr>
            <w:r>
              <w:rPr>
                <w:noProof/>
              </w:rPr>
              <w:t>409</w:t>
            </w:r>
          </w:p>
        </w:tc>
        <w:tc>
          <w:tcPr>
            <w:tcW w:w="993" w:type="dxa"/>
            <w:tcBorders>
              <w:top w:val="single" w:sz="4" w:space="0" w:color="auto"/>
              <w:left w:val="nil"/>
              <w:bottom w:val="single" w:sz="4" w:space="0" w:color="auto"/>
              <w:right w:val="single" w:sz="4" w:space="0" w:color="auto"/>
            </w:tcBorders>
            <w:shd w:val="clear" w:color="auto" w:fill="C6EFCE"/>
            <w:noWrap/>
          </w:tcPr>
          <w:p w14:paraId="3F5949F3" w14:textId="7654F880" w:rsidR="003A3D51" w:rsidRDefault="0002775A">
            <w:pPr>
              <w:pStyle w:val="P68B1DB1-Normal58"/>
              <w:spacing w:after="200" w:line="276" w:lineRule="auto"/>
              <w:jc w:val="center"/>
              <w:rPr>
                <w:noProof/>
              </w:rPr>
            </w:pPr>
            <w:r>
              <w:rPr>
                <w:noProof/>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5F76C3F2" w14:textId="77777777" w:rsidR="003A3D51" w:rsidRDefault="0002775A">
            <w:pPr>
              <w:pStyle w:val="P68B1DB1-Normal1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6A47FE7E" w14:textId="77777777" w:rsidR="003A3D51" w:rsidRDefault="0002775A">
            <w:pPr>
              <w:pStyle w:val="P68B1DB1-Normal17"/>
              <w:spacing w:after="200" w:line="276" w:lineRule="auto"/>
              <w:rPr>
                <w:rFonts w:ascii="Calibri" w:hAnsi="Calibri" w:cs="Arial"/>
                <w:noProof/>
                <w:color w:val="000000"/>
              </w:rPr>
            </w:pPr>
            <w:r>
              <w:rPr>
                <w:noProof/>
              </w:rPr>
              <w:t>Samfinansiering av projekt för förnybar vätgas inom ramen för den norra adriatiska vätgasdalen</w:t>
            </w:r>
          </w:p>
        </w:tc>
        <w:tc>
          <w:tcPr>
            <w:tcW w:w="2193" w:type="dxa"/>
            <w:tcBorders>
              <w:top w:val="single" w:sz="4" w:space="0" w:color="auto"/>
              <w:left w:val="nil"/>
              <w:bottom w:val="single" w:sz="4" w:space="0" w:color="auto"/>
              <w:right w:val="single" w:sz="4" w:space="0" w:color="auto"/>
            </w:tcBorders>
            <w:shd w:val="clear" w:color="auto" w:fill="C6EFCE"/>
            <w:noWrap/>
          </w:tcPr>
          <w:p w14:paraId="66FB10F9" w14:textId="77777777" w:rsidR="003A3D51" w:rsidRDefault="003A3D51">
            <w:pPr>
              <w:spacing w:after="200" w:line="276" w:lineRule="auto"/>
              <w:rPr>
                <w:rFonts w:ascii="Calibri" w:eastAsia="Calibri" w:hAnsi="Calibri" w:cs="Arial"/>
                <w:noProof/>
                <w:color w:val="000000"/>
                <w:sz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48C6FB32" w14:textId="77777777" w:rsidR="003A3D51" w:rsidRDefault="0002775A">
            <w:pPr>
              <w:pStyle w:val="P68B1DB1-Normal17"/>
              <w:spacing w:after="200" w:line="276" w:lineRule="auto"/>
              <w:jc w:val="center"/>
              <w:rPr>
                <w:rFonts w:ascii="Calibri" w:hAnsi="Calibri" w:cs="Arial"/>
                <w:noProof/>
                <w:color w:val="000000"/>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149F85BB" w14:textId="77777777" w:rsidR="003A3D51" w:rsidRDefault="0002775A">
            <w:pPr>
              <w:pStyle w:val="P68B1DB1-Normal17"/>
              <w:spacing w:after="200" w:line="276" w:lineRule="auto"/>
              <w:jc w:val="center"/>
              <w:rPr>
                <w:rFonts w:ascii="Calibri" w:hAnsi="Calibri" w:cs="Arial"/>
                <w:noProof/>
                <w:color w:val="000000"/>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46DA253C" w14:textId="77777777" w:rsidR="003A3D51" w:rsidRDefault="0002775A">
            <w:pPr>
              <w:pStyle w:val="P68B1DB1-Normal17"/>
              <w:spacing w:after="200" w:line="276" w:lineRule="auto"/>
              <w:jc w:val="center"/>
              <w:rPr>
                <w:rFonts w:ascii="Calibri" w:hAnsi="Calibri" w:cs="Arial"/>
                <w:noProof/>
                <w:color w:val="000000"/>
              </w:rPr>
            </w:pPr>
            <w:r>
              <w:rPr>
                <w:noProof/>
              </w:rPr>
              <w:t>1</w:t>
            </w:r>
          </w:p>
        </w:tc>
        <w:tc>
          <w:tcPr>
            <w:tcW w:w="575" w:type="dxa"/>
            <w:tcBorders>
              <w:top w:val="single" w:sz="4" w:space="0" w:color="auto"/>
              <w:left w:val="nil"/>
              <w:bottom w:val="single" w:sz="4" w:space="0" w:color="auto"/>
              <w:right w:val="single" w:sz="4" w:space="0" w:color="auto"/>
            </w:tcBorders>
            <w:shd w:val="clear" w:color="auto" w:fill="C6EFCE"/>
            <w:noWrap/>
          </w:tcPr>
          <w:p w14:paraId="39D34185" w14:textId="77777777" w:rsidR="003A3D51" w:rsidRDefault="0002775A">
            <w:pPr>
              <w:pStyle w:val="P68B1DB1-Normal17"/>
              <w:spacing w:after="200" w:line="276" w:lineRule="auto"/>
              <w:jc w:val="center"/>
              <w:rPr>
                <w:rFonts w:ascii="Calibri" w:hAnsi="Calibri" w:cs="Arial"/>
                <w:noProof/>
                <w:color w:val="000000"/>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7885532B" w14:textId="77777777" w:rsidR="003A3D51" w:rsidRDefault="0002775A">
            <w:pPr>
              <w:pStyle w:val="P68B1DB1-Normal17"/>
              <w:spacing w:after="200" w:line="276" w:lineRule="auto"/>
              <w:jc w:val="center"/>
              <w:rPr>
                <w:rFonts w:ascii="Calibri" w:hAnsi="Calibri" w:cs="Arial"/>
                <w:noProof/>
                <w:color w:val="000000"/>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2DD4A03E" w14:textId="3D989E77" w:rsidR="003A3D51" w:rsidRDefault="0002775A">
            <w:pPr>
              <w:pStyle w:val="P68B1DB1-Normal17"/>
              <w:spacing w:after="200" w:line="276" w:lineRule="auto"/>
              <w:rPr>
                <w:noProof/>
              </w:rPr>
            </w:pPr>
            <w:r>
              <w:rPr>
                <w:noProof/>
              </w:rPr>
              <w:t>Efter den offentliga ansökningsomgången för finansiering av projekt för förnybar vätgas i Republiken Kroatien inom ramen för den norra adriatiska vätgasdalen med ett belopp på 13 500 000 EUR ska minst ett projekt slutföras.</w:t>
            </w:r>
          </w:p>
          <w:p w14:paraId="51143BAC" w14:textId="77777777" w:rsidR="003A3D51" w:rsidRDefault="0002775A">
            <w:pPr>
              <w:pStyle w:val="P68B1DB1-Normal7"/>
              <w:spacing w:after="200" w:line="276" w:lineRule="auto"/>
              <w:rPr>
                <w:noProof/>
              </w:rPr>
            </w:pPr>
            <w:r>
              <w:rPr>
                <w:noProof/>
              </w:rPr>
              <w:t>Projektet/projekten ska uppfylla villkoren i direktiv (EU) 2018/2001 om förnybar energi och de relevanta delegerade akterna (EU) 2023/1185 och (EU) 2023/1184.</w:t>
            </w:r>
          </w:p>
        </w:tc>
      </w:tr>
      <w:tr w:rsidR="003A3D51" w14:paraId="16DEFE92"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4FB1E793" w14:textId="3DFB8E21" w:rsidR="003A3D51" w:rsidRDefault="0002775A">
            <w:pPr>
              <w:pStyle w:val="P68B1DB1-Normal25"/>
              <w:spacing w:after="0" w:line="276" w:lineRule="auto"/>
              <w:jc w:val="center"/>
              <w:rPr>
                <w:noProof/>
              </w:rPr>
            </w:pPr>
            <w:r>
              <w:rPr>
                <w:noProof/>
              </w:rPr>
              <w:t>410</w:t>
            </w:r>
          </w:p>
        </w:tc>
        <w:tc>
          <w:tcPr>
            <w:tcW w:w="993" w:type="dxa"/>
            <w:tcBorders>
              <w:top w:val="single" w:sz="4" w:space="0" w:color="auto"/>
              <w:left w:val="nil"/>
              <w:bottom w:val="single" w:sz="4" w:space="0" w:color="auto"/>
              <w:right w:val="single" w:sz="4" w:space="0" w:color="auto"/>
            </w:tcBorders>
            <w:shd w:val="clear" w:color="auto" w:fill="C6EFCE"/>
            <w:noWrap/>
          </w:tcPr>
          <w:p w14:paraId="770DE1E5" w14:textId="663F32CC" w:rsidR="003A3D51" w:rsidRDefault="0002775A">
            <w:pPr>
              <w:pStyle w:val="P68B1DB1-Normal58"/>
              <w:spacing w:after="200" w:line="276" w:lineRule="auto"/>
              <w:jc w:val="center"/>
              <w:rPr>
                <w:noProof/>
              </w:rPr>
            </w:pPr>
            <w:r>
              <w:rPr>
                <w:noProof/>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6A9FF2D1" w14:textId="77777777" w:rsidR="003A3D51" w:rsidRDefault="0002775A">
            <w:pPr>
              <w:pStyle w:val="P68B1DB1-Normal1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15333A08" w14:textId="77777777" w:rsidR="003A3D51" w:rsidRDefault="0002775A">
            <w:pPr>
              <w:pStyle w:val="P68B1DB1-Normal17"/>
              <w:spacing w:after="200" w:line="276" w:lineRule="auto"/>
              <w:rPr>
                <w:rFonts w:ascii="Calibri" w:hAnsi="Calibri" w:cs="Arial"/>
                <w:noProof/>
                <w:color w:val="000000"/>
              </w:rPr>
            </w:pPr>
            <w:r>
              <w:rPr>
                <w:noProof/>
              </w:rPr>
              <w:t>Eftermontering av diesellok på vätgas</w:t>
            </w:r>
          </w:p>
        </w:tc>
        <w:tc>
          <w:tcPr>
            <w:tcW w:w="2193" w:type="dxa"/>
            <w:tcBorders>
              <w:top w:val="single" w:sz="4" w:space="0" w:color="auto"/>
              <w:left w:val="nil"/>
              <w:bottom w:val="single" w:sz="4" w:space="0" w:color="auto"/>
              <w:right w:val="single" w:sz="4" w:space="0" w:color="auto"/>
            </w:tcBorders>
            <w:shd w:val="clear" w:color="auto" w:fill="C6EFCE"/>
            <w:noWrap/>
          </w:tcPr>
          <w:p w14:paraId="69461347" w14:textId="77777777" w:rsidR="003A3D51" w:rsidRDefault="003A3D51">
            <w:pPr>
              <w:spacing w:after="200" w:line="276" w:lineRule="auto"/>
              <w:rPr>
                <w:rFonts w:ascii="Calibri" w:eastAsia="Calibri" w:hAnsi="Calibri" w:cs="Arial"/>
                <w:noProof/>
                <w:color w:val="000000"/>
                <w:sz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405E8AD9" w14:textId="77777777" w:rsidR="003A3D51" w:rsidRDefault="0002775A">
            <w:pPr>
              <w:pStyle w:val="P68B1DB1-Normal7"/>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06016A92" w14:textId="77777777" w:rsidR="003A3D51" w:rsidRDefault="0002775A">
            <w:pPr>
              <w:pStyle w:val="P68B1DB1-Normal17"/>
              <w:spacing w:after="200" w:line="276" w:lineRule="auto"/>
              <w:jc w:val="center"/>
              <w:rPr>
                <w:rFonts w:ascii="Calibri" w:hAnsi="Calibri" w:cs="Arial"/>
                <w:noProof/>
                <w:color w:val="000000"/>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7F621E4E" w14:textId="77777777" w:rsidR="003A3D51" w:rsidRDefault="0002775A">
            <w:pPr>
              <w:pStyle w:val="P68B1DB1-Normal17"/>
              <w:spacing w:after="200" w:line="276" w:lineRule="auto"/>
              <w:jc w:val="center"/>
              <w:rPr>
                <w:rFonts w:ascii="Calibri" w:hAnsi="Calibri" w:cs="Arial"/>
                <w:noProof/>
                <w:color w:val="000000"/>
              </w:rPr>
            </w:pPr>
            <w:r>
              <w:rPr>
                <w:noProof/>
              </w:rPr>
              <w:t>5</w:t>
            </w:r>
          </w:p>
        </w:tc>
        <w:tc>
          <w:tcPr>
            <w:tcW w:w="575" w:type="dxa"/>
            <w:tcBorders>
              <w:top w:val="single" w:sz="4" w:space="0" w:color="auto"/>
              <w:left w:val="nil"/>
              <w:bottom w:val="single" w:sz="4" w:space="0" w:color="auto"/>
              <w:right w:val="single" w:sz="4" w:space="0" w:color="auto"/>
            </w:tcBorders>
            <w:shd w:val="clear" w:color="auto" w:fill="C6EFCE"/>
            <w:noWrap/>
          </w:tcPr>
          <w:p w14:paraId="72318A2C" w14:textId="77777777" w:rsidR="003A3D51" w:rsidRDefault="0002775A">
            <w:pPr>
              <w:pStyle w:val="P68B1DB1-Normal17"/>
              <w:spacing w:after="200" w:line="276" w:lineRule="auto"/>
              <w:jc w:val="center"/>
              <w:rPr>
                <w:rFonts w:ascii="Calibri" w:hAnsi="Calibri" w:cs="Arial"/>
                <w:noProof/>
                <w:color w:val="000000"/>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718EB34A" w14:textId="77777777" w:rsidR="003A3D51" w:rsidRDefault="0002775A">
            <w:pPr>
              <w:pStyle w:val="P68B1DB1-Normal17"/>
              <w:spacing w:after="200" w:line="276" w:lineRule="auto"/>
              <w:jc w:val="center"/>
              <w:rPr>
                <w:rFonts w:ascii="Calibri" w:hAnsi="Calibri" w:cs="Arial"/>
                <w:noProof/>
                <w:color w:val="000000"/>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0A812116" w14:textId="7366C53F" w:rsidR="003A3D51" w:rsidRDefault="0002775A">
            <w:pPr>
              <w:pStyle w:val="P68B1DB1-Normal17"/>
              <w:spacing w:after="200" w:line="276" w:lineRule="auto"/>
              <w:rPr>
                <w:rFonts w:ascii="Calibri" w:hAnsi="Calibri" w:cs="Arial"/>
                <w:noProof/>
                <w:color w:val="000000"/>
              </w:rPr>
            </w:pPr>
            <w:r>
              <w:rPr>
                <w:noProof/>
              </w:rPr>
              <w:t xml:space="preserve">Minst fem diesellok ska eftermonteras på vätgas. </w:t>
            </w:r>
          </w:p>
        </w:tc>
      </w:tr>
      <w:tr w:rsidR="003A3D51" w14:paraId="6874E296"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3D8D5A6" w14:textId="67355B6F" w:rsidR="003A3D51" w:rsidRDefault="0002775A">
            <w:pPr>
              <w:pStyle w:val="P68B1DB1-Normal25"/>
              <w:spacing w:after="0" w:line="276" w:lineRule="auto"/>
              <w:jc w:val="center"/>
              <w:rPr>
                <w:noProof/>
              </w:rPr>
            </w:pPr>
            <w:r>
              <w:rPr>
                <w:noProof/>
              </w:rPr>
              <w:t>411</w:t>
            </w:r>
          </w:p>
        </w:tc>
        <w:tc>
          <w:tcPr>
            <w:tcW w:w="993" w:type="dxa"/>
            <w:tcBorders>
              <w:top w:val="single" w:sz="4" w:space="0" w:color="auto"/>
              <w:left w:val="nil"/>
              <w:bottom w:val="single" w:sz="4" w:space="0" w:color="auto"/>
              <w:right w:val="single" w:sz="4" w:space="0" w:color="auto"/>
            </w:tcBorders>
            <w:shd w:val="clear" w:color="auto" w:fill="C6EFCE"/>
            <w:noWrap/>
          </w:tcPr>
          <w:p w14:paraId="3088F408" w14:textId="2B7AE4C4" w:rsidR="003A3D51" w:rsidRDefault="0002775A">
            <w:pPr>
              <w:pStyle w:val="P68B1DB1-Normal58"/>
              <w:spacing w:after="200" w:line="276" w:lineRule="auto"/>
              <w:jc w:val="center"/>
              <w:rPr>
                <w:noProof/>
              </w:rPr>
            </w:pPr>
            <w:r>
              <w:rPr>
                <w:noProof/>
              </w:rPr>
              <w:t>C7.1 R1-I2</w:t>
            </w:r>
          </w:p>
        </w:tc>
        <w:tc>
          <w:tcPr>
            <w:tcW w:w="850" w:type="dxa"/>
            <w:tcBorders>
              <w:top w:val="single" w:sz="4" w:space="0" w:color="auto"/>
              <w:left w:val="nil"/>
              <w:bottom w:val="single" w:sz="4" w:space="0" w:color="auto"/>
              <w:right w:val="single" w:sz="4" w:space="0" w:color="auto"/>
            </w:tcBorders>
            <w:shd w:val="clear" w:color="auto" w:fill="C6EFCE"/>
            <w:noWrap/>
          </w:tcPr>
          <w:p w14:paraId="1106AFA0" w14:textId="77777777" w:rsidR="003A3D51" w:rsidRDefault="0002775A">
            <w:pPr>
              <w:pStyle w:val="P68B1DB1-Normal1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488C4300" w14:textId="77777777" w:rsidR="003A3D51" w:rsidRDefault="0002775A">
            <w:pPr>
              <w:pStyle w:val="P68B1DB1-Normal17"/>
              <w:spacing w:after="200" w:line="276" w:lineRule="auto"/>
              <w:rPr>
                <w:rFonts w:ascii="Calibri" w:hAnsi="Calibri" w:cs="Arial"/>
                <w:noProof/>
                <w:color w:val="000000"/>
              </w:rPr>
            </w:pPr>
            <w:r>
              <w:rPr>
                <w:noProof/>
              </w:rPr>
              <w:t>Laddningsstationer för vätgas</w:t>
            </w:r>
          </w:p>
        </w:tc>
        <w:tc>
          <w:tcPr>
            <w:tcW w:w="2193" w:type="dxa"/>
            <w:tcBorders>
              <w:top w:val="single" w:sz="4" w:space="0" w:color="auto"/>
              <w:left w:val="nil"/>
              <w:bottom w:val="single" w:sz="4" w:space="0" w:color="auto"/>
              <w:right w:val="single" w:sz="4" w:space="0" w:color="auto"/>
            </w:tcBorders>
            <w:shd w:val="clear" w:color="auto" w:fill="C6EFCE"/>
            <w:noWrap/>
          </w:tcPr>
          <w:p w14:paraId="47F3217B" w14:textId="77777777" w:rsidR="003A3D51" w:rsidRDefault="003A3D51">
            <w:pPr>
              <w:spacing w:after="200" w:line="276" w:lineRule="auto"/>
              <w:rPr>
                <w:rFonts w:ascii="Calibri" w:eastAsia="Calibri" w:hAnsi="Calibri" w:cs="Arial"/>
                <w:noProof/>
                <w:color w:val="000000"/>
                <w:sz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5558344A" w14:textId="77777777" w:rsidR="003A3D51" w:rsidRDefault="0002775A">
            <w:pPr>
              <w:pStyle w:val="P68B1DB1-Normal7"/>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33DAD519" w14:textId="77777777" w:rsidR="003A3D51" w:rsidRDefault="0002775A">
            <w:pPr>
              <w:pStyle w:val="P68B1DB1-Normal17"/>
              <w:spacing w:after="200" w:line="276" w:lineRule="auto"/>
              <w:jc w:val="center"/>
              <w:rPr>
                <w:rFonts w:ascii="Calibri" w:hAnsi="Calibri" w:cs="Arial"/>
                <w:noProof/>
                <w:color w:val="000000"/>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6D2DEE3B" w14:textId="77777777" w:rsidR="003A3D51" w:rsidRDefault="0002775A">
            <w:pPr>
              <w:pStyle w:val="P68B1DB1-Normal7"/>
              <w:spacing w:after="200" w:line="276" w:lineRule="auto"/>
              <w:jc w:val="center"/>
              <w:rPr>
                <w:noProof/>
              </w:rPr>
            </w:pPr>
            <w:r>
              <w:rPr>
                <w:noProof/>
              </w:rPr>
              <w:t>5</w:t>
            </w:r>
          </w:p>
        </w:tc>
        <w:tc>
          <w:tcPr>
            <w:tcW w:w="575" w:type="dxa"/>
            <w:tcBorders>
              <w:top w:val="single" w:sz="4" w:space="0" w:color="auto"/>
              <w:left w:val="nil"/>
              <w:bottom w:val="single" w:sz="4" w:space="0" w:color="auto"/>
              <w:right w:val="single" w:sz="4" w:space="0" w:color="auto"/>
            </w:tcBorders>
            <w:shd w:val="clear" w:color="auto" w:fill="C6EFCE"/>
            <w:noWrap/>
          </w:tcPr>
          <w:p w14:paraId="16193895" w14:textId="77777777" w:rsidR="003A3D51" w:rsidRDefault="0002775A">
            <w:pPr>
              <w:pStyle w:val="P68B1DB1-Normal17"/>
              <w:spacing w:after="200" w:line="276" w:lineRule="auto"/>
              <w:jc w:val="center"/>
              <w:rPr>
                <w:rFonts w:ascii="Calibri" w:hAnsi="Calibri" w:cs="Arial"/>
                <w:noProof/>
                <w:color w:val="000000"/>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609C7C60" w14:textId="77777777" w:rsidR="003A3D51" w:rsidRDefault="0002775A">
            <w:pPr>
              <w:pStyle w:val="P68B1DB1-Normal17"/>
              <w:spacing w:after="200" w:line="276" w:lineRule="auto"/>
              <w:jc w:val="center"/>
              <w:rPr>
                <w:rFonts w:ascii="Calibri" w:hAnsi="Calibri" w:cs="Arial"/>
                <w:noProof/>
                <w:color w:val="000000"/>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6E5C5D51" w14:textId="77777777" w:rsidR="003A3D51" w:rsidRDefault="0002775A">
            <w:pPr>
              <w:pStyle w:val="P68B1DB1-Normal7"/>
              <w:spacing w:after="200" w:line="276" w:lineRule="auto"/>
              <w:rPr>
                <w:noProof/>
              </w:rPr>
            </w:pPr>
            <w:r>
              <w:rPr>
                <w:noProof/>
              </w:rPr>
              <w:t>Minst fem laddningsstationer för vätgas ska byggas för bussar, tåg och/eller sjötransporter.</w:t>
            </w:r>
          </w:p>
        </w:tc>
      </w:tr>
      <w:tr w:rsidR="003A3D51" w14:paraId="037D71C5"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67257F90" w14:textId="67618D5C" w:rsidR="003A3D51" w:rsidRDefault="0002775A">
            <w:pPr>
              <w:pStyle w:val="P68B1DB1-Normal25"/>
              <w:spacing w:after="0" w:line="276" w:lineRule="auto"/>
              <w:jc w:val="center"/>
              <w:rPr>
                <w:noProof/>
              </w:rPr>
            </w:pPr>
            <w:r>
              <w:rPr>
                <w:noProof/>
              </w:rPr>
              <w:t>412</w:t>
            </w:r>
          </w:p>
        </w:tc>
        <w:tc>
          <w:tcPr>
            <w:tcW w:w="993" w:type="dxa"/>
            <w:tcBorders>
              <w:top w:val="single" w:sz="4" w:space="0" w:color="auto"/>
              <w:left w:val="nil"/>
              <w:bottom w:val="single" w:sz="4" w:space="0" w:color="auto"/>
              <w:right w:val="single" w:sz="4" w:space="0" w:color="auto"/>
            </w:tcBorders>
            <w:shd w:val="clear" w:color="auto" w:fill="C6EFCE"/>
            <w:noWrap/>
          </w:tcPr>
          <w:p w14:paraId="249BA6CF" w14:textId="37199744" w:rsidR="003A3D51" w:rsidRDefault="0002775A">
            <w:pPr>
              <w:pStyle w:val="P68B1DB1-Normal58"/>
              <w:spacing w:after="200" w:line="276" w:lineRule="auto"/>
              <w:jc w:val="center"/>
              <w:rPr>
                <w:noProof/>
              </w:rPr>
            </w:pPr>
            <w:r>
              <w:rPr>
                <w:noProof/>
              </w:rPr>
              <w:t>C7.1 R1-I3</w:t>
            </w:r>
          </w:p>
        </w:tc>
        <w:tc>
          <w:tcPr>
            <w:tcW w:w="850" w:type="dxa"/>
            <w:tcBorders>
              <w:top w:val="single" w:sz="4" w:space="0" w:color="auto"/>
              <w:left w:val="nil"/>
              <w:bottom w:val="single" w:sz="4" w:space="0" w:color="auto"/>
              <w:right w:val="single" w:sz="4" w:space="0" w:color="auto"/>
            </w:tcBorders>
            <w:shd w:val="clear" w:color="auto" w:fill="C6EFCE"/>
            <w:noWrap/>
          </w:tcPr>
          <w:p w14:paraId="025B1178" w14:textId="77777777" w:rsidR="003A3D51" w:rsidRDefault="0002775A">
            <w:pPr>
              <w:pStyle w:val="P68B1DB1-Normal17"/>
              <w:spacing w:after="200" w:line="276" w:lineRule="auto"/>
              <w:jc w:val="center"/>
              <w:rPr>
                <w:rFonts w:ascii="Times New Roman" w:hAnsi="Times New Roman" w:cs="Times New Roman"/>
                <w:noProof/>
              </w:rPr>
            </w:pPr>
            <w:r>
              <w:rPr>
                <w:noProof/>
              </w:rPr>
              <w:t>M</w:t>
            </w:r>
          </w:p>
        </w:tc>
        <w:tc>
          <w:tcPr>
            <w:tcW w:w="2410" w:type="dxa"/>
            <w:tcBorders>
              <w:top w:val="single" w:sz="4" w:space="0" w:color="auto"/>
              <w:left w:val="nil"/>
              <w:bottom w:val="single" w:sz="4" w:space="0" w:color="auto"/>
              <w:right w:val="single" w:sz="4" w:space="0" w:color="auto"/>
            </w:tcBorders>
            <w:shd w:val="clear" w:color="auto" w:fill="C6EFCE"/>
            <w:noWrap/>
          </w:tcPr>
          <w:p w14:paraId="7AB9D9E5" w14:textId="77777777" w:rsidR="003A3D51" w:rsidRDefault="0002775A">
            <w:pPr>
              <w:pStyle w:val="P68B1DB1-Normal17"/>
              <w:spacing w:after="200" w:line="276" w:lineRule="auto"/>
              <w:rPr>
                <w:rFonts w:ascii="Calibri" w:hAnsi="Calibri" w:cs="Arial"/>
                <w:noProof/>
                <w:color w:val="000000"/>
              </w:rPr>
            </w:pPr>
            <w:r>
              <w:rPr>
                <w:noProof/>
              </w:rPr>
              <w:t>Utvecklingsplan för geotermisk potential</w:t>
            </w:r>
          </w:p>
        </w:tc>
        <w:tc>
          <w:tcPr>
            <w:tcW w:w="2193" w:type="dxa"/>
            <w:tcBorders>
              <w:top w:val="single" w:sz="4" w:space="0" w:color="auto"/>
              <w:left w:val="nil"/>
              <w:bottom w:val="single" w:sz="4" w:space="0" w:color="auto"/>
              <w:right w:val="single" w:sz="4" w:space="0" w:color="auto"/>
            </w:tcBorders>
            <w:shd w:val="clear" w:color="auto" w:fill="C6EFCE"/>
            <w:noWrap/>
          </w:tcPr>
          <w:p w14:paraId="46E913F7" w14:textId="77777777" w:rsidR="003A3D51" w:rsidRDefault="0002775A">
            <w:pPr>
              <w:pStyle w:val="P68B1DB1-Normal17"/>
              <w:spacing w:after="200" w:line="276" w:lineRule="auto"/>
              <w:rPr>
                <w:rFonts w:ascii="Calibri" w:hAnsi="Calibri" w:cs="Arial"/>
                <w:noProof/>
                <w:color w:val="000000"/>
              </w:rPr>
            </w:pPr>
            <w:r>
              <w:rPr>
                <w:noProof/>
              </w:rPr>
              <w:t>Antagande och offentliggörande av utvecklingsplanen för geotermisk potential av ministeriet för ekonomi och hållbar utveckling</w:t>
            </w:r>
          </w:p>
        </w:tc>
        <w:tc>
          <w:tcPr>
            <w:tcW w:w="917" w:type="dxa"/>
            <w:tcBorders>
              <w:top w:val="single" w:sz="4" w:space="0" w:color="auto"/>
              <w:left w:val="nil"/>
              <w:bottom w:val="single" w:sz="4" w:space="0" w:color="auto"/>
              <w:right w:val="single" w:sz="4" w:space="0" w:color="auto"/>
            </w:tcBorders>
            <w:shd w:val="clear" w:color="auto" w:fill="C6EFCE"/>
            <w:noWrap/>
          </w:tcPr>
          <w:p w14:paraId="76AFB92D" w14:textId="77777777" w:rsidR="003A3D51" w:rsidRDefault="003A3D51">
            <w:pPr>
              <w:spacing w:after="200" w:line="276" w:lineRule="auto"/>
              <w:jc w:val="center"/>
              <w:rPr>
                <w:rFonts w:ascii="Calibri" w:eastAsia="Calibri" w:hAnsi="Calibri" w:cs="Arial"/>
                <w:noProof/>
                <w:color w:val="000000"/>
                <w:sz w:val="20"/>
              </w:rPr>
            </w:pPr>
          </w:p>
        </w:tc>
        <w:tc>
          <w:tcPr>
            <w:tcW w:w="851" w:type="dxa"/>
            <w:tcBorders>
              <w:top w:val="single" w:sz="4" w:space="0" w:color="auto"/>
              <w:left w:val="nil"/>
              <w:bottom w:val="single" w:sz="4" w:space="0" w:color="auto"/>
              <w:right w:val="single" w:sz="4" w:space="0" w:color="auto"/>
            </w:tcBorders>
            <w:shd w:val="clear" w:color="auto" w:fill="C6EFCE"/>
            <w:noWrap/>
          </w:tcPr>
          <w:p w14:paraId="4E5FFA5E" w14:textId="77777777" w:rsidR="003A3D51" w:rsidRDefault="003A3D51">
            <w:pPr>
              <w:spacing w:after="200" w:line="276" w:lineRule="auto"/>
              <w:jc w:val="center"/>
              <w:rPr>
                <w:rFonts w:ascii="Calibri" w:eastAsia="Calibri" w:hAnsi="Calibri" w:cs="Arial"/>
                <w:noProof/>
                <w:color w:val="000000"/>
                <w:sz w:val="20"/>
              </w:rPr>
            </w:pPr>
          </w:p>
        </w:tc>
        <w:tc>
          <w:tcPr>
            <w:tcW w:w="709" w:type="dxa"/>
            <w:tcBorders>
              <w:top w:val="single" w:sz="4" w:space="0" w:color="auto"/>
              <w:left w:val="nil"/>
              <w:bottom w:val="single" w:sz="4" w:space="0" w:color="auto"/>
              <w:right w:val="single" w:sz="4" w:space="0" w:color="auto"/>
            </w:tcBorders>
            <w:shd w:val="clear" w:color="auto" w:fill="C6EFCE"/>
            <w:noWrap/>
          </w:tcPr>
          <w:p w14:paraId="5314CE46" w14:textId="77777777" w:rsidR="003A3D51" w:rsidRDefault="003A3D51">
            <w:pPr>
              <w:spacing w:after="200" w:line="276" w:lineRule="auto"/>
              <w:jc w:val="center"/>
              <w:rPr>
                <w:rFonts w:ascii="Calibri" w:eastAsia="Calibri" w:hAnsi="Calibri" w:cs="Arial"/>
                <w:noProof/>
                <w:color w:val="000000"/>
                <w:sz w:val="20"/>
              </w:rPr>
            </w:pPr>
          </w:p>
        </w:tc>
        <w:tc>
          <w:tcPr>
            <w:tcW w:w="575" w:type="dxa"/>
            <w:tcBorders>
              <w:top w:val="single" w:sz="4" w:space="0" w:color="auto"/>
              <w:left w:val="nil"/>
              <w:bottom w:val="single" w:sz="4" w:space="0" w:color="auto"/>
              <w:right w:val="single" w:sz="4" w:space="0" w:color="auto"/>
            </w:tcBorders>
            <w:shd w:val="clear" w:color="auto" w:fill="C6EFCE"/>
            <w:noWrap/>
          </w:tcPr>
          <w:p w14:paraId="603A435F" w14:textId="77777777" w:rsidR="003A3D51" w:rsidRDefault="0002775A">
            <w:pPr>
              <w:pStyle w:val="P68B1DB1-Normal17"/>
              <w:spacing w:after="200" w:line="276" w:lineRule="auto"/>
              <w:jc w:val="center"/>
              <w:rPr>
                <w:rFonts w:ascii="Calibri" w:hAnsi="Calibri" w:cs="Arial"/>
                <w:noProof/>
                <w:color w:val="000000"/>
              </w:rPr>
            </w:pPr>
            <w:r>
              <w:rPr>
                <w:noProof/>
              </w:rPr>
              <w:t>KVARTAL 1</w:t>
            </w:r>
          </w:p>
        </w:tc>
        <w:tc>
          <w:tcPr>
            <w:tcW w:w="850" w:type="dxa"/>
            <w:tcBorders>
              <w:top w:val="single" w:sz="4" w:space="0" w:color="auto"/>
              <w:left w:val="nil"/>
              <w:bottom w:val="single" w:sz="4" w:space="0" w:color="auto"/>
              <w:right w:val="single" w:sz="4" w:space="0" w:color="auto"/>
            </w:tcBorders>
            <w:shd w:val="clear" w:color="auto" w:fill="C6EFCE"/>
            <w:noWrap/>
          </w:tcPr>
          <w:p w14:paraId="36377B97" w14:textId="77777777" w:rsidR="003A3D51" w:rsidRDefault="0002775A">
            <w:pPr>
              <w:pStyle w:val="P68B1DB1-Normal17"/>
              <w:spacing w:after="200" w:line="276" w:lineRule="auto"/>
              <w:jc w:val="center"/>
              <w:rPr>
                <w:rFonts w:ascii="Calibri" w:hAnsi="Calibri" w:cs="Arial"/>
                <w:noProof/>
                <w:color w:val="000000"/>
              </w:rPr>
            </w:pPr>
            <w:r>
              <w:rPr>
                <w:noProof/>
              </w:rPr>
              <w:t>2024</w:t>
            </w:r>
          </w:p>
        </w:tc>
        <w:tc>
          <w:tcPr>
            <w:tcW w:w="3754" w:type="dxa"/>
            <w:tcBorders>
              <w:top w:val="single" w:sz="4" w:space="0" w:color="auto"/>
              <w:left w:val="nil"/>
              <w:bottom w:val="single" w:sz="4" w:space="0" w:color="auto"/>
              <w:right w:val="single" w:sz="4" w:space="0" w:color="auto"/>
            </w:tcBorders>
            <w:shd w:val="clear" w:color="auto" w:fill="C6EFCE"/>
            <w:noWrap/>
          </w:tcPr>
          <w:p w14:paraId="098D0ECD" w14:textId="745D2CEC" w:rsidR="003A3D51" w:rsidRDefault="0002775A">
            <w:pPr>
              <w:pStyle w:val="P68B1DB1-Normal17"/>
              <w:spacing w:after="200" w:line="276" w:lineRule="auto"/>
              <w:rPr>
                <w:rFonts w:ascii="Calibri" w:hAnsi="Calibri" w:cs="Arial"/>
                <w:noProof/>
                <w:color w:val="000000"/>
              </w:rPr>
            </w:pPr>
            <w:r>
              <w:rPr>
                <w:noProof/>
              </w:rPr>
              <w:t>Utvecklingsplanen för den geotermiska potentialen ska antas och offentliggöras. Planen ska fastställa områden i Republiken Kroatien där geotermisk potential planeras utforskas, utvecklas och utnyttjas.</w:t>
            </w:r>
          </w:p>
        </w:tc>
      </w:tr>
      <w:tr w:rsidR="003A3D51" w14:paraId="3D5B4149"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E8234E1" w14:textId="0691F409" w:rsidR="003A3D51" w:rsidRDefault="0002775A">
            <w:pPr>
              <w:pStyle w:val="P68B1DB1-Normal25"/>
              <w:spacing w:after="0" w:line="276" w:lineRule="auto"/>
              <w:jc w:val="center"/>
              <w:rPr>
                <w:noProof/>
              </w:rPr>
            </w:pPr>
            <w:r>
              <w:rPr>
                <w:noProof/>
              </w:rPr>
              <w:t>413</w:t>
            </w:r>
          </w:p>
        </w:tc>
        <w:tc>
          <w:tcPr>
            <w:tcW w:w="993" w:type="dxa"/>
            <w:tcBorders>
              <w:top w:val="single" w:sz="4" w:space="0" w:color="auto"/>
              <w:left w:val="nil"/>
              <w:bottom w:val="single" w:sz="4" w:space="0" w:color="auto"/>
              <w:right w:val="single" w:sz="4" w:space="0" w:color="auto"/>
            </w:tcBorders>
            <w:shd w:val="clear" w:color="auto" w:fill="C6EFCE"/>
            <w:noWrap/>
          </w:tcPr>
          <w:p w14:paraId="6433A348" w14:textId="2B7E1A7A" w:rsidR="003A3D51" w:rsidRDefault="0002775A">
            <w:pPr>
              <w:pStyle w:val="P68B1DB1-Normal58"/>
              <w:spacing w:after="200" w:line="276" w:lineRule="auto"/>
              <w:jc w:val="center"/>
              <w:rPr>
                <w:noProof/>
              </w:rPr>
            </w:pPr>
            <w:r>
              <w:rPr>
                <w:noProof/>
              </w:rPr>
              <w:t>C7.1 R1-I3</w:t>
            </w:r>
          </w:p>
        </w:tc>
        <w:tc>
          <w:tcPr>
            <w:tcW w:w="850" w:type="dxa"/>
            <w:tcBorders>
              <w:top w:val="single" w:sz="4" w:space="0" w:color="auto"/>
              <w:left w:val="nil"/>
              <w:bottom w:val="single" w:sz="4" w:space="0" w:color="auto"/>
              <w:right w:val="single" w:sz="4" w:space="0" w:color="auto"/>
            </w:tcBorders>
            <w:shd w:val="clear" w:color="auto" w:fill="C6EFCE"/>
            <w:noWrap/>
          </w:tcPr>
          <w:p w14:paraId="2C0BF1A0" w14:textId="77777777" w:rsidR="003A3D51" w:rsidRDefault="0002775A">
            <w:pPr>
              <w:pStyle w:val="P68B1DB1-Normal17"/>
              <w:spacing w:after="200" w:line="276" w:lineRule="auto"/>
              <w:jc w:val="center"/>
              <w:rPr>
                <w:rFonts w:ascii="Times New Roman" w:hAnsi="Times New Roman" w:cs="Times New Roman"/>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61415340" w14:textId="77777777" w:rsidR="003A3D51" w:rsidRDefault="0002775A">
            <w:pPr>
              <w:pStyle w:val="P68B1DB1-Normal7"/>
              <w:spacing w:after="200" w:line="276" w:lineRule="auto"/>
              <w:rPr>
                <w:noProof/>
              </w:rPr>
            </w:pPr>
            <w:r>
              <w:rPr>
                <w:noProof/>
              </w:rPr>
              <w:t>Geotermiska borrningsarbeten som utförs</w:t>
            </w:r>
          </w:p>
        </w:tc>
        <w:tc>
          <w:tcPr>
            <w:tcW w:w="2193" w:type="dxa"/>
            <w:tcBorders>
              <w:top w:val="single" w:sz="4" w:space="0" w:color="auto"/>
              <w:left w:val="nil"/>
              <w:bottom w:val="single" w:sz="4" w:space="0" w:color="auto"/>
              <w:right w:val="single" w:sz="4" w:space="0" w:color="auto"/>
            </w:tcBorders>
            <w:shd w:val="clear" w:color="auto" w:fill="C6EFCE"/>
            <w:noWrap/>
          </w:tcPr>
          <w:p w14:paraId="2223AD12" w14:textId="77777777" w:rsidR="003A3D51" w:rsidRDefault="003A3D51">
            <w:pPr>
              <w:spacing w:after="200" w:line="276" w:lineRule="auto"/>
              <w:rPr>
                <w:rFonts w:ascii="Calibri" w:eastAsia="Calibri" w:hAnsi="Calibri" w:cs="Arial"/>
                <w:noProof/>
                <w:color w:val="000000"/>
                <w:sz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4DB357D1" w14:textId="77777777" w:rsidR="003A3D51" w:rsidRDefault="0002775A">
            <w:pPr>
              <w:pStyle w:val="P68B1DB1-Normal7"/>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743CC351" w14:textId="77777777" w:rsidR="003A3D51" w:rsidRDefault="0002775A">
            <w:pPr>
              <w:pStyle w:val="P68B1DB1-Normal17"/>
              <w:spacing w:after="200" w:line="276" w:lineRule="auto"/>
              <w:jc w:val="center"/>
              <w:rPr>
                <w:rFonts w:ascii="Calibri" w:hAnsi="Calibri" w:cs="Arial"/>
                <w:noProof/>
                <w:color w:val="000000"/>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5A1DE4D3" w14:textId="77777777" w:rsidR="003A3D51" w:rsidRDefault="0002775A">
            <w:pPr>
              <w:pStyle w:val="P68B1DB1-Normal17"/>
              <w:spacing w:after="200" w:line="276" w:lineRule="auto"/>
              <w:jc w:val="center"/>
              <w:rPr>
                <w:rFonts w:ascii="Calibri" w:hAnsi="Calibri" w:cs="Arial"/>
                <w:noProof/>
                <w:color w:val="000000"/>
              </w:rPr>
            </w:pPr>
            <w:r>
              <w:rPr>
                <w:noProof/>
              </w:rPr>
              <w:t>2</w:t>
            </w:r>
          </w:p>
        </w:tc>
        <w:tc>
          <w:tcPr>
            <w:tcW w:w="575" w:type="dxa"/>
            <w:tcBorders>
              <w:top w:val="single" w:sz="4" w:space="0" w:color="auto"/>
              <w:left w:val="nil"/>
              <w:bottom w:val="single" w:sz="4" w:space="0" w:color="auto"/>
              <w:right w:val="single" w:sz="4" w:space="0" w:color="auto"/>
            </w:tcBorders>
            <w:shd w:val="clear" w:color="auto" w:fill="C6EFCE"/>
            <w:noWrap/>
          </w:tcPr>
          <w:p w14:paraId="47E049CB" w14:textId="77777777" w:rsidR="003A3D51" w:rsidRDefault="0002775A">
            <w:pPr>
              <w:pStyle w:val="P68B1DB1-Normal17"/>
              <w:spacing w:after="200" w:line="276" w:lineRule="auto"/>
              <w:jc w:val="center"/>
              <w:rPr>
                <w:rFonts w:ascii="Calibri" w:hAnsi="Calibri" w:cs="Arial"/>
                <w:noProof/>
                <w:color w:val="000000"/>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027BD41B" w14:textId="77777777" w:rsidR="003A3D51" w:rsidRDefault="0002775A">
            <w:pPr>
              <w:pStyle w:val="P68B1DB1-Normal17"/>
              <w:spacing w:after="200" w:line="276" w:lineRule="auto"/>
              <w:jc w:val="center"/>
              <w:rPr>
                <w:rFonts w:ascii="Calibri" w:hAnsi="Calibri" w:cs="Arial"/>
                <w:noProof/>
                <w:color w:val="000000"/>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6384BDBD" w14:textId="35915392" w:rsidR="003A3D51" w:rsidRDefault="0002775A">
            <w:pPr>
              <w:pStyle w:val="P68B1DB1-Normal7"/>
              <w:spacing w:after="200" w:line="276" w:lineRule="auto"/>
              <w:rPr>
                <w:noProof/>
              </w:rPr>
            </w:pPr>
            <w:r>
              <w:rPr>
                <w:noProof/>
              </w:rPr>
              <w:t xml:space="preserve">Borrning av två geotermiska brunnar för prospektering på vald plats ska genomföras. </w:t>
            </w:r>
          </w:p>
          <w:p w14:paraId="766FE2C3" w14:textId="68F03665" w:rsidR="003A3D51" w:rsidRDefault="0002775A">
            <w:pPr>
              <w:pStyle w:val="P68B1DB1-Normal7"/>
              <w:spacing w:after="200" w:line="276" w:lineRule="auto"/>
              <w:rPr>
                <w:noProof/>
              </w:rPr>
            </w:pPr>
            <w:r>
              <w:rPr>
                <w:noProof/>
              </w:rPr>
              <w:t xml:space="preserve">All verksamhet ska uppfylla kraven i EU:s vattenlagstiftning såsom den införlivats i kroatisk lagstiftning. </w:t>
            </w:r>
            <w:r>
              <w:rPr>
                <w:noProof/>
              </w:rPr>
              <w:br/>
              <w:t xml:space="preserve">Borrningen ska inte omfatta någon prospektering eller utvinning av olja eller gas. Det får inte finnas någon utrustning som köps in eller används för sådana ändamål. </w:t>
            </w:r>
            <w:r>
              <w:rPr>
                <w:noProof/>
              </w:rPr>
              <w:br/>
              <w:t xml:space="preserve">Det ska säkerställas att metanutsläppen minimeras och ligger långt under tröskelvärdet på 20,000 ton CO2eq/år (för detta ändamål ska projektet genomgå screening och detaljerad analys för att begränsa klimatförändringarna, i enlighet med kommissionens tekniska vägledning om klimatsäkring av infrastruktur för perioden 2021–2027 (2021/C 373/01). Det ska också säkerställas att geotermisk borrning inte har någon skadlig inverkan på vattenbristen och vattenkvaliteten. </w:t>
            </w:r>
            <w:r>
              <w:rPr>
                <w:noProof/>
              </w:rPr>
              <w:br/>
              <w:t>Denna åtgärd ska inte stödja fjärrvärmesystem som använder fossila energikällor eller investeringar i anläggningar som omfattas av EU:s utsläppshandelssystem.</w:t>
            </w:r>
          </w:p>
        </w:tc>
      </w:tr>
      <w:tr w:rsidR="003A3D51" w14:paraId="6FC55A16"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70E45D77" w14:textId="15877F8B" w:rsidR="003A3D51" w:rsidRDefault="0002775A">
            <w:pPr>
              <w:pStyle w:val="P68B1DB1-Normal13"/>
              <w:spacing w:after="0" w:line="276" w:lineRule="auto"/>
              <w:jc w:val="center"/>
              <w:rPr>
                <w:noProof/>
              </w:rPr>
            </w:pPr>
            <w:r>
              <w:rPr>
                <w:noProof/>
              </w:rPr>
              <w:t>414</w:t>
            </w:r>
          </w:p>
        </w:tc>
        <w:tc>
          <w:tcPr>
            <w:tcW w:w="993" w:type="dxa"/>
            <w:tcBorders>
              <w:top w:val="single" w:sz="4" w:space="0" w:color="auto"/>
              <w:left w:val="nil"/>
              <w:bottom w:val="single" w:sz="4" w:space="0" w:color="auto"/>
              <w:right w:val="single" w:sz="4" w:space="0" w:color="auto"/>
            </w:tcBorders>
            <w:shd w:val="clear" w:color="auto" w:fill="C6EFCE"/>
            <w:noWrap/>
          </w:tcPr>
          <w:p w14:paraId="03E2972B" w14:textId="16C03CB2" w:rsidR="003A3D51" w:rsidRDefault="0002775A">
            <w:pPr>
              <w:pStyle w:val="P68B1DB1-Normal59"/>
              <w:spacing w:after="200" w:line="276" w:lineRule="auto"/>
              <w:jc w:val="center"/>
              <w:rPr>
                <w:rFonts w:ascii="Times New Roman" w:eastAsia="Calibri" w:hAnsi="Times New Roman" w:cs="Times New Roman"/>
                <w:noProof/>
                <w:sz w:val="20"/>
              </w:rPr>
            </w:pPr>
            <w:r>
              <w:rPr>
                <w:noProof/>
              </w:rPr>
              <w:t>C7.1 I1</w:t>
            </w:r>
          </w:p>
        </w:tc>
        <w:tc>
          <w:tcPr>
            <w:tcW w:w="850" w:type="dxa"/>
            <w:tcBorders>
              <w:top w:val="single" w:sz="4" w:space="0" w:color="auto"/>
              <w:left w:val="nil"/>
              <w:bottom w:val="single" w:sz="4" w:space="0" w:color="auto"/>
              <w:right w:val="single" w:sz="4" w:space="0" w:color="auto"/>
            </w:tcBorders>
            <w:shd w:val="clear" w:color="auto" w:fill="C6EFCE"/>
            <w:noWrap/>
          </w:tcPr>
          <w:p w14:paraId="26CE06B1" w14:textId="77777777" w:rsidR="003A3D51" w:rsidRDefault="0002775A">
            <w:pPr>
              <w:pStyle w:val="P68B1DB1-Normal60"/>
              <w:spacing w:after="200" w:line="276" w:lineRule="auto"/>
              <w:jc w:val="center"/>
              <w:rPr>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48E3855F" w14:textId="77777777" w:rsidR="003A3D51" w:rsidRDefault="0002775A">
            <w:pPr>
              <w:pStyle w:val="P68B1DB1-Normal7"/>
              <w:spacing w:after="200" w:line="276" w:lineRule="auto"/>
              <w:rPr>
                <w:rFonts w:ascii="Times New Roman" w:hAnsi="Times New Roman" w:cs="Times New Roman"/>
                <w:noProof/>
              </w:rPr>
            </w:pPr>
            <w:r>
              <w:rPr>
                <w:noProof/>
              </w:rPr>
              <w:t xml:space="preserve">103 alternativbränsledrivna bussar (el- och vätgasdrivna) upphandlas och tas i bruk </w:t>
            </w:r>
          </w:p>
        </w:tc>
        <w:tc>
          <w:tcPr>
            <w:tcW w:w="2193" w:type="dxa"/>
            <w:tcBorders>
              <w:top w:val="single" w:sz="4" w:space="0" w:color="auto"/>
              <w:left w:val="nil"/>
              <w:bottom w:val="single" w:sz="4" w:space="0" w:color="auto"/>
              <w:right w:val="single" w:sz="4" w:space="0" w:color="auto"/>
            </w:tcBorders>
            <w:shd w:val="clear" w:color="auto" w:fill="C6EFCE"/>
            <w:noWrap/>
          </w:tcPr>
          <w:p w14:paraId="5B807BE1" w14:textId="77777777" w:rsidR="003A3D51" w:rsidRDefault="0002775A">
            <w:pPr>
              <w:pStyle w:val="P68B1DB1-Normal7"/>
              <w:spacing w:after="200" w:line="276" w:lineRule="auto"/>
              <w:rPr>
                <w:rFonts w:ascii="Times New Roman" w:hAnsi="Times New Roman" w:cs="Times New Roman"/>
                <w:noProof/>
              </w:rPr>
            </w:pPr>
            <w:r>
              <w:rPr>
                <w:noProof/>
              </w:rPr>
              <w:t xml:space="preserve"> </w:t>
            </w:r>
          </w:p>
        </w:tc>
        <w:tc>
          <w:tcPr>
            <w:tcW w:w="917" w:type="dxa"/>
            <w:tcBorders>
              <w:top w:val="single" w:sz="4" w:space="0" w:color="auto"/>
              <w:left w:val="nil"/>
              <w:bottom w:val="single" w:sz="4" w:space="0" w:color="auto"/>
              <w:right w:val="single" w:sz="4" w:space="0" w:color="auto"/>
            </w:tcBorders>
            <w:shd w:val="clear" w:color="auto" w:fill="C6EFCE"/>
            <w:noWrap/>
          </w:tcPr>
          <w:p w14:paraId="6B1D55EE"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5F767A94"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5F4967FD" w14:textId="77777777" w:rsidR="003A3D51" w:rsidRDefault="0002775A">
            <w:pPr>
              <w:pStyle w:val="P68B1DB1-Normal7"/>
              <w:spacing w:after="200" w:line="276" w:lineRule="auto"/>
              <w:jc w:val="center"/>
              <w:rPr>
                <w:rFonts w:ascii="Times New Roman" w:hAnsi="Times New Roman" w:cs="Times New Roman"/>
                <w:noProof/>
              </w:rPr>
            </w:pPr>
            <w:r>
              <w:rPr>
                <w:noProof/>
              </w:rPr>
              <w:t>103</w:t>
            </w:r>
          </w:p>
        </w:tc>
        <w:tc>
          <w:tcPr>
            <w:tcW w:w="575" w:type="dxa"/>
            <w:tcBorders>
              <w:top w:val="single" w:sz="4" w:space="0" w:color="auto"/>
              <w:left w:val="nil"/>
              <w:bottom w:val="single" w:sz="4" w:space="0" w:color="auto"/>
              <w:right w:val="single" w:sz="4" w:space="0" w:color="auto"/>
            </w:tcBorders>
            <w:shd w:val="clear" w:color="auto" w:fill="C6EFCE"/>
            <w:noWrap/>
          </w:tcPr>
          <w:p w14:paraId="1E274827"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6407C194"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189A3A90" w14:textId="77777777" w:rsidR="003A3D51" w:rsidRDefault="0002775A">
            <w:pPr>
              <w:pStyle w:val="P68B1DB1-Normal7"/>
              <w:spacing w:after="200" w:line="276" w:lineRule="auto"/>
              <w:rPr>
                <w:rFonts w:ascii="Times New Roman" w:hAnsi="Times New Roman" w:cs="Times New Roman"/>
                <w:noProof/>
              </w:rPr>
            </w:pPr>
            <w:r>
              <w:rPr>
                <w:noProof/>
              </w:rPr>
              <w:t xml:space="preserve">Investeringen ska modernisera bussflottan i syfte att förbättra kvaliteten på tillhandahållandet av kollektivtrafiktjänster genom förvärv och ibruktagande av ytterligare 103 nya fordon (el- eller vätgasdrivna) för att främja användningen av utsläppsfria fordon och minska CO2-utsläppen från befintliga fordonsparker. </w:t>
            </w:r>
          </w:p>
        </w:tc>
      </w:tr>
      <w:tr w:rsidR="003A3D51" w14:paraId="5055BD74"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11DEB8B" w14:textId="53C4C35B" w:rsidR="003A3D51" w:rsidRDefault="0002775A">
            <w:pPr>
              <w:pStyle w:val="P68B1DB1-Normal13"/>
              <w:spacing w:after="0" w:line="276" w:lineRule="auto"/>
              <w:jc w:val="center"/>
              <w:rPr>
                <w:noProof/>
              </w:rPr>
            </w:pPr>
            <w:r>
              <w:rPr>
                <w:noProof/>
              </w:rPr>
              <w:t>415</w:t>
            </w:r>
          </w:p>
        </w:tc>
        <w:tc>
          <w:tcPr>
            <w:tcW w:w="993" w:type="dxa"/>
            <w:tcBorders>
              <w:top w:val="single" w:sz="4" w:space="0" w:color="auto"/>
              <w:left w:val="nil"/>
              <w:bottom w:val="single" w:sz="4" w:space="0" w:color="auto"/>
              <w:right w:val="single" w:sz="4" w:space="0" w:color="auto"/>
            </w:tcBorders>
            <w:shd w:val="clear" w:color="auto" w:fill="C6EFCE"/>
            <w:noWrap/>
          </w:tcPr>
          <w:p w14:paraId="73E1D62F" w14:textId="48F6BD2B" w:rsidR="003A3D51" w:rsidRDefault="0002775A">
            <w:pPr>
              <w:pStyle w:val="P68B1DB1-Normal59"/>
              <w:spacing w:after="200" w:line="276" w:lineRule="auto"/>
              <w:jc w:val="center"/>
              <w:rPr>
                <w:noProof/>
              </w:rPr>
            </w:pPr>
            <w:r>
              <w:rPr>
                <w:noProof/>
              </w:rPr>
              <w:t>C7.1 I1</w:t>
            </w:r>
          </w:p>
        </w:tc>
        <w:tc>
          <w:tcPr>
            <w:tcW w:w="850" w:type="dxa"/>
            <w:tcBorders>
              <w:top w:val="single" w:sz="4" w:space="0" w:color="auto"/>
              <w:left w:val="nil"/>
              <w:bottom w:val="single" w:sz="4" w:space="0" w:color="auto"/>
              <w:right w:val="single" w:sz="4" w:space="0" w:color="auto"/>
            </w:tcBorders>
            <w:shd w:val="clear" w:color="auto" w:fill="C6EFCE"/>
            <w:noWrap/>
          </w:tcPr>
          <w:p w14:paraId="39E2CD1A" w14:textId="77777777" w:rsidR="003A3D51" w:rsidRDefault="0002775A">
            <w:pPr>
              <w:pStyle w:val="P68B1DB1-Normal60"/>
              <w:spacing w:after="200" w:line="276" w:lineRule="auto"/>
              <w:jc w:val="center"/>
              <w:rPr>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4CE31F68" w14:textId="77777777" w:rsidR="003A3D51" w:rsidRDefault="0002775A">
            <w:pPr>
              <w:pStyle w:val="P68B1DB1-Normal17"/>
              <w:spacing w:after="200" w:line="276" w:lineRule="auto"/>
              <w:rPr>
                <w:noProof/>
              </w:rPr>
            </w:pPr>
            <w:r>
              <w:rPr>
                <w:noProof/>
              </w:rPr>
              <w:t>En vätgasenergienhet för drift av elektriska lok i en separat vagn (HERMES)</w:t>
            </w:r>
          </w:p>
        </w:tc>
        <w:tc>
          <w:tcPr>
            <w:tcW w:w="2193" w:type="dxa"/>
            <w:tcBorders>
              <w:top w:val="single" w:sz="4" w:space="0" w:color="auto"/>
              <w:left w:val="nil"/>
              <w:bottom w:val="single" w:sz="4" w:space="0" w:color="auto"/>
              <w:right w:val="single" w:sz="4" w:space="0" w:color="auto"/>
            </w:tcBorders>
            <w:shd w:val="clear" w:color="auto" w:fill="C6EFCE"/>
            <w:noWrap/>
          </w:tcPr>
          <w:p w14:paraId="4038C521" w14:textId="77777777" w:rsidR="003A3D51" w:rsidRDefault="003A3D51">
            <w:pPr>
              <w:spacing w:after="200" w:line="276" w:lineRule="auto"/>
              <w:rPr>
                <w:rFonts w:eastAsia="Calibri" w:cstheme="minorHAnsi"/>
                <w:noProof/>
                <w:sz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5CEF4F7D" w14:textId="77777777" w:rsidR="003A3D51" w:rsidRDefault="0002775A">
            <w:pPr>
              <w:pStyle w:val="P68B1DB1-Normal16"/>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63C959B5" w14:textId="77777777" w:rsidR="003A3D51" w:rsidRDefault="0002775A">
            <w:pPr>
              <w:pStyle w:val="P68B1DB1-Normal16"/>
              <w:spacing w:after="200" w:line="276" w:lineRule="auto"/>
              <w:jc w:val="center"/>
              <w:rPr>
                <w:noProof/>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3E8352CA" w14:textId="77777777" w:rsidR="003A3D51" w:rsidRDefault="0002775A">
            <w:pPr>
              <w:pStyle w:val="P68B1DB1-Normal16"/>
              <w:spacing w:after="200" w:line="276" w:lineRule="auto"/>
              <w:jc w:val="center"/>
              <w:rPr>
                <w:noProof/>
              </w:rPr>
            </w:pPr>
            <w:r>
              <w:rPr>
                <w:noProof/>
              </w:rPr>
              <w:t>1</w:t>
            </w:r>
          </w:p>
        </w:tc>
        <w:tc>
          <w:tcPr>
            <w:tcW w:w="575" w:type="dxa"/>
            <w:tcBorders>
              <w:top w:val="single" w:sz="4" w:space="0" w:color="auto"/>
              <w:left w:val="nil"/>
              <w:bottom w:val="single" w:sz="4" w:space="0" w:color="auto"/>
              <w:right w:val="single" w:sz="4" w:space="0" w:color="auto"/>
            </w:tcBorders>
            <w:shd w:val="clear" w:color="auto" w:fill="C6EFCE"/>
            <w:noWrap/>
          </w:tcPr>
          <w:p w14:paraId="4F0BE7A6" w14:textId="77777777" w:rsidR="003A3D51" w:rsidRDefault="0002775A">
            <w:pPr>
              <w:pStyle w:val="P68B1DB1-Normal16"/>
              <w:spacing w:after="200" w:line="276" w:lineRule="auto"/>
              <w:jc w:val="center"/>
              <w:rPr>
                <w:noProof/>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16C2A419" w14:textId="77777777" w:rsidR="003A3D51" w:rsidRDefault="0002775A">
            <w:pPr>
              <w:pStyle w:val="P68B1DB1-Normal16"/>
              <w:spacing w:after="200" w:line="276" w:lineRule="auto"/>
              <w:jc w:val="center"/>
              <w:rPr>
                <w:noProof/>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441E0FED" w14:textId="400122FA" w:rsidR="003A3D51" w:rsidRDefault="0002775A">
            <w:pPr>
              <w:pStyle w:val="P68B1DB1-Normal17"/>
              <w:spacing w:after="200" w:line="276" w:lineRule="auto"/>
              <w:rPr>
                <w:noProof/>
              </w:rPr>
            </w:pPr>
            <w:r>
              <w:rPr>
                <w:noProof/>
              </w:rPr>
              <w:t>En vätgasenergienhet för drift av elektriska lok i en separat godsvagn (HERMES) ska färdigställas. Hermes ska vara ett fristående system för elproduktion till den rullande järnvägsmaterielen och det ska ersätta den el som normalt försörjs av luftledningar över järnvägsinfrastrukturen.</w:t>
            </w:r>
          </w:p>
        </w:tc>
      </w:tr>
      <w:tr w:rsidR="003A3D51" w14:paraId="69EBC6AF" w14:textId="77777777">
        <w:trPr>
          <w:jc w:val="center"/>
        </w:trPr>
        <w:tc>
          <w:tcPr>
            <w:tcW w:w="859" w:type="dxa"/>
            <w:tcBorders>
              <w:top w:val="single" w:sz="4" w:space="0" w:color="auto"/>
              <w:left w:val="single" w:sz="4" w:space="0" w:color="auto"/>
              <w:bottom w:val="single" w:sz="4" w:space="0" w:color="auto"/>
              <w:right w:val="single" w:sz="4" w:space="0" w:color="auto"/>
            </w:tcBorders>
            <w:shd w:val="clear" w:color="auto" w:fill="C6EFCE"/>
            <w:noWrap/>
          </w:tcPr>
          <w:p w14:paraId="0451FA7D" w14:textId="1C66F6B6" w:rsidR="003A3D51" w:rsidRDefault="0002775A">
            <w:pPr>
              <w:pStyle w:val="P68B1DB1-Normal13"/>
              <w:spacing w:after="0" w:line="276" w:lineRule="auto"/>
              <w:jc w:val="center"/>
              <w:rPr>
                <w:noProof/>
              </w:rPr>
            </w:pPr>
            <w:r>
              <w:rPr>
                <w:noProof/>
              </w:rPr>
              <w:t>125</w:t>
            </w:r>
          </w:p>
        </w:tc>
        <w:tc>
          <w:tcPr>
            <w:tcW w:w="993" w:type="dxa"/>
            <w:tcBorders>
              <w:top w:val="single" w:sz="4" w:space="0" w:color="auto"/>
              <w:left w:val="nil"/>
              <w:bottom w:val="single" w:sz="4" w:space="0" w:color="auto"/>
              <w:right w:val="single" w:sz="4" w:space="0" w:color="auto"/>
            </w:tcBorders>
            <w:shd w:val="clear" w:color="auto" w:fill="C6EFCE"/>
            <w:noWrap/>
          </w:tcPr>
          <w:p w14:paraId="58033DBD" w14:textId="410F192B" w:rsidR="003A3D51" w:rsidRDefault="0002775A">
            <w:pPr>
              <w:pStyle w:val="P68B1DB1-Normal59"/>
              <w:spacing w:after="200" w:line="276" w:lineRule="auto"/>
              <w:jc w:val="center"/>
              <w:rPr>
                <w:noProof/>
              </w:rPr>
            </w:pPr>
            <w:r>
              <w:rPr>
                <w:noProof/>
              </w:rPr>
              <w:t>C7.1 I2</w:t>
            </w:r>
          </w:p>
        </w:tc>
        <w:tc>
          <w:tcPr>
            <w:tcW w:w="850" w:type="dxa"/>
            <w:tcBorders>
              <w:top w:val="single" w:sz="4" w:space="0" w:color="auto"/>
              <w:left w:val="nil"/>
              <w:bottom w:val="single" w:sz="4" w:space="0" w:color="auto"/>
              <w:right w:val="single" w:sz="4" w:space="0" w:color="auto"/>
            </w:tcBorders>
            <w:shd w:val="clear" w:color="auto" w:fill="C6EFCE"/>
            <w:noWrap/>
          </w:tcPr>
          <w:p w14:paraId="0F645B92" w14:textId="77777777" w:rsidR="003A3D51" w:rsidRDefault="0002775A">
            <w:pPr>
              <w:pStyle w:val="P68B1DB1-Normal60"/>
              <w:spacing w:after="200" w:line="276" w:lineRule="auto"/>
              <w:jc w:val="center"/>
              <w:rPr>
                <w:noProof/>
              </w:rPr>
            </w:pPr>
            <w:r>
              <w:rPr>
                <w:noProof/>
              </w:rPr>
              <w:t>T</w:t>
            </w:r>
          </w:p>
        </w:tc>
        <w:tc>
          <w:tcPr>
            <w:tcW w:w="2410" w:type="dxa"/>
            <w:tcBorders>
              <w:top w:val="single" w:sz="4" w:space="0" w:color="auto"/>
              <w:left w:val="nil"/>
              <w:bottom w:val="single" w:sz="4" w:space="0" w:color="auto"/>
              <w:right w:val="single" w:sz="4" w:space="0" w:color="auto"/>
            </w:tcBorders>
            <w:shd w:val="clear" w:color="auto" w:fill="C6EFCE"/>
            <w:noWrap/>
          </w:tcPr>
          <w:p w14:paraId="1819B6B3" w14:textId="77777777" w:rsidR="003A3D51" w:rsidRDefault="0002775A">
            <w:pPr>
              <w:pStyle w:val="P68B1DB1-Normal7"/>
              <w:spacing w:after="200" w:line="276" w:lineRule="auto"/>
              <w:rPr>
                <w:rFonts w:ascii="Times New Roman" w:hAnsi="Times New Roman" w:cs="Times New Roman"/>
                <w:noProof/>
              </w:rPr>
            </w:pPr>
            <w:r>
              <w:rPr>
                <w:noProof/>
              </w:rPr>
              <w:t>Samfinansierat byggande av 1 300 snabbladdningsstationer</w:t>
            </w:r>
          </w:p>
        </w:tc>
        <w:tc>
          <w:tcPr>
            <w:tcW w:w="2193" w:type="dxa"/>
            <w:tcBorders>
              <w:top w:val="single" w:sz="4" w:space="0" w:color="auto"/>
              <w:left w:val="nil"/>
              <w:bottom w:val="single" w:sz="4" w:space="0" w:color="auto"/>
              <w:right w:val="single" w:sz="4" w:space="0" w:color="auto"/>
            </w:tcBorders>
            <w:shd w:val="clear" w:color="auto" w:fill="C6EFCE"/>
            <w:noWrap/>
          </w:tcPr>
          <w:p w14:paraId="2D82AF85" w14:textId="77777777" w:rsidR="003A3D51" w:rsidRDefault="003A3D51">
            <w:pPr>
              <w:spacing w:after="200" w:line="276" w:lineRule="auto"/>
              <w:rPr>
                <w:rFonts w:ascii="Times New Roman" w:eastAsia="Calibri" w:hAnsi="Times New Roman" w:cs="Times New Roman"/>
                <w:noProof/>
                <w:sz w:val="20"/>
              </w:rPr>
            </w:pPr>
          </w:p>
        </w:tc>
        <w:tc>
          <w:tcPr>
            <w:tcW w:w="917" w:type="dxa"/>
            <w:tcBorders>
              <w:top w:val="single" w:sz="4" w:space="0" w:color="auto"/>
              <w:left w:val="nil"/>
              <w:bottom w:val="single" w:sz="4" w:space="0" w:color="auto"/>
              <w:right w:val="single" w:sz="4" w:space="0" w:color="auto"/>
            </w:tcBorders>
            <w:shd w:val="clear" w:color="auto" w:fill="C6EFCE"/>
            <w:noWrap/>
          </w:tcPr>
          <w:p w14:paraId="09944787" w14:textId="77777777" w:rsidR="003A3D51" w:rsidRDefault="0002775A">
            <w:pPr>
              <w:pStyle w:val="P68B1DB1-Normal7"/>
              <w:spacing w:after="200" w:line="276" w:lineRule="auto"/>
              <w:jc w:val="center"/>
              <w:rPr>
                <w:rFonts w:ascii="Times New Roman" w:hAnsi="Times New Roman" w:cs="Times New Roman"/>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1888C117" w14:textId="77777777" w:rsidR="003A3D51" w:rsidRDefault="0002775A">
            <w:pPr>
              <w:pStyle w:val="P68B1DB1-Normal7"/>
              <w:spacing w:after="200" w:line="276" w:lineRule="auto"/>
              <w:jc w:val="center"/>
              <w:rPr>
                <w:rFonts w:ascii="Times New Roman" w:hAnsi="Times New Roman" w:cs="Times New Roman"/>
                <w:noProof/>
              </w:rPr>
            </w:pPr>
            <w:r>
              <w:rPr>
                <w:noProof/>
              </w:rPr>
              <w:t>0</w:t>
            </w:r>
          </w:p>
        </w:tc>
        <w:tc>
          <w:tcPr>
            <w:tcW w:w="709" w:type="dxa"/>
            <w:tcBorders>
              <w:top w:val="single" w:sz="4" w:space="0" w:color="auto"/>
              <w:left w:val="nil"/>
              <w:bottom w:val="single" w:sz="4" w:space="0" w:color="auto"/>
              <w:right w:val="single" w:sz="4" w:space="0" w:color="auto"/>
            </w:tcBorders>
            <w:shd w:val="clear" w:color="auto" w:fill="C6EFCE"/>
            <w:noWrap/>
          </w:tcPr>
          <w:p w14:paraId="516447ED" w14:textId="77777777" w:rsidR="003A3D51" w:rsidRDefault="0002775A">
            <w:pPr>
              <w:pStyle w:val="P68B1DB1-Normal7"/>
              <w:spacing w:after="200" w:line="276" w:lineRule="auto"/>
              <w:jc w:val="center"/>
              <w:rPr>
                <w:rFonts w:ascii="Times New Roman" w:hAnsi="Times New Roman" w:cs="Times New Roman"/>
                <w:noProof/>
              </w:rPr>
            </w:pPr>
            <w:r>
              <w:rPr>
                <w:noProof/>
              </w:rPr>
              <w:t>1 300</w:t>
            </w:r>
          </w:p>
        </w:tc>
        <w:tc>
          <w:tcPr>
            <w:tcW w:w="575" w:type="dxa"/>
            <w:tcBorders>
              <w:top w:val="single" w:sz="4" w:space="0" w:color="auto"/>
              <w:left w:val="nil"/>
              <w:bottom w:val="single" w:sz="4" w:space="0" w:color="auto"/>
              <w:right w:val="single" w:sz="4" w:space="0" w:color="auto"/>
            </w:tcBorders>
            <w:shd w:val="clear" w:color="auto" w:fill="C6EFCE"/>
            <w:noWrap/>
          </w:tcPr>
          <w:p w14:paraId="0F282E43" w14:textId="77777777" w:rsidR="003A3D51" w:rsidRDefault="0002775A">
            <w:pPr>
              <w:pStyle w:val="P68B1DB1-Normal7"/>
              <w:spacing w:after="200" w:line="276" w:lineRule="auto"/>
              <w:jc w:val="center"/>
              <w:rPr>
                <w:rFonts w:ascii="Times New Roman" w:hAnsi="Times New Roman" w:cs="Times New Roman"/>
                <w:noProof/>
              </w:rPr>
            </w:pPr>
            <w:r>
              <w:rPr>
                <w:noProof/>
              </w:rPr>
              <w:t>KVARTAL 2</w:t>
            </w:r>
          </w:p>
        </w:tc>
        <w:tc>
          <w:tcPr>
            <w:tcW w:w="850" w:type="dxa"/>
            <w:tcBorders>
              <w:top w:val="single" w:sz="4" w:space="0" w:color="auto"/>
              <w:left w:val="nil"/>
              <w:bottom w:val="single" w:sz="4" w:space="0" w:color="auto"/>
              <w:right w:val="single" w:sz="4" w:space="0" w:color="auto"/>
            </w:tcBorders>
            <w:shd w:val="clear" w:color="auto" w:fill="C6EFCE"/>
            <w:noWrap/>
          </w:tcPr>
          <w:p w14:paraId="138367AE" w14:textId="77777777" w:rsidR="003A3D51" w:rsidRDefault="0002775A">
            <w:pPr>
              <w:pStyle w:val="P68B1DB1-Normal7"/>
              <w:spacing w:after="200" w:line="276" w:lineRule="auto"/>
              <w:jc w:val="center"/>
              <w:rPr>
                <w:rFonts w:ascii="Times New Roman" w:hAnsi="Times New Roman" w:cs="Times New Roman"/>
                <w:noProof/>
              </w:rPr>
            </w:pPr>
            <w:r>
              <w:rPr>
                <w:noProof/>
              </w:rPr>
              <w:t>2026</w:t>
            </w:r>
          </w:p>
        </w:tc>
        <w:tc>
          <w:tcPr>
            <w:tcW w:w="3754" w:type="dxa"/>
            <w:tcBorders>
              <w:top w:val="single" w:sz="4" w:space="0" w:color="auto"/>
              <w:left w:val="nil"/>
              <w:bottom w:val="single" w:sz="4" w:space="0" w:color="auto"/>
              <w:right w:val="single" w:sz="4" w:space="0" w:color="auto"/>
            </w:tcBorders>
            <w:shd w:val="clear" w:color="auto" w:fill="C6EFCE"/>
            <w:noWrap/>
          </w:tcPr>
          <w:p w14:paraId="332D3F8D" w14:textId="77777777" w:rsidR="003A3D51" w:rsidRDefault="0002775A">
            <w:pPr>
              <w:pStyle w:val="P68B1DB1-Normal7"/>
              <w:spacing w:after="200" w:line="276" w:lineRule="auto"/>
              <w:rPr>
                <w:rFonts w:ascii="Times New Roman" w:hAnsi="Times New Roman" w:cs="Times New Roman"/>
                <w:noProof/>
              </w:rPr>
            </w:pPr>
            <w:r>
              <w:rPr>
                <w:noProof/>
              </w:rPr>
              <w:t>Efter offentliggörandet och genomförandet av tilldelningsbeslutet ska 1 300 laddningsstationer med en minsta laddningskapacitet på 50 kW samfinansieras och byggas.</w:t>
            </w:r>
          </w:p>
        </w:tc>
      </w:tr>
    </w:tbl>
    <w:p w14:paraId="153205D6"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3B16A98D" w14:textId="77777777" w:rsidR="003A3D51" w:rsidRDefault="003A3D51">
      <w:pPr>
        <w:rPr>
          <w:noProof/>
        </w:rPr>
        <w:sectPr w:rsidR="003A3D51" w:rsidSect="0001477B">
          <w:headerReference w:type="even" r:id="rId408"/>
          <w:headerReference w:type="default" r:id="rId409"/>
          <w:footerReference w:type="even" r:id="rId410"/>
          <w:footerReference w:type="default" r:id="rId411"/>
          <w:headerReference w:type="first" r:id="rId412"/>
          <w:footerReference w:type="first" r:id="rId413"/>
          <w:pgSz w:w="15840" w:h="12240" w:orient="landscape"/>
          <w:pgMar w:top="1440" w:right="1440" w:bottom="1440" w:left="1440" w:header="708" w:footer="708" w:gutter="0"/>
          <w:cols w:space="708"/>
          <w:docGrid w:linePitch="360"/>
        </w:sectPr>
      </w:pPr>
    </w:p>
    <w:p w14:paraId="36368EA2" w14:textId="38CFB8F3" w:rsidR="003A3D51" w:rsidRDefault="0002775A">
      <w:pPr>
        <w:pStyle w:val="paragraph"/>
        <w:spacing w:before="0" w:beforeAutospacing="0" w:after="0" w:afterAutospacing="0"/>
        <w:ind w:firstLine="851"/>
        <w:jc w:val="both"/>
        <w:textAlignment w:val="baseline"/>
        <w:rPr>
          <w:rFonts w:ascii="Segoe UI" w:hAnsi="Segoe UI" w:cs="Segoe UI"/>
          <w:noProof/>
          <w:sz w:val="18"/>
        </w:rPr>
      </w:pPr>
      <w:r>
        <w:rPr>
          <w:rStyle w:val="normaltextrun"/>
          <w:b/>
          <w:noProof/>
        </w:rPr>
        <w:t xml:space="preserve">W.3. </w:t>
      </w:r>
      <w:r>
        <w:rPr>
          <w:rStyle w:val="tabchar"/>
          <w:rFonts w:ascii="Calibri" w:hAnsi="Calibri" w:cs="Calibri"/>
          <w:noProof/>
        </w:rPr>
        <w:tab/>
      </w:r>
      <w:r>
        <w:rPr>
          <w:rStyle w:val="normaltextrun"/>
          <w:b/>
          <w:noProof/>
        </w:rPr>
        <w:t xml:space="preserve">Beskrivning av reformerna och investeringarna för lånet </w:t>
      </w:r>
      <w:r>
        <w:rPr>
          <w:rStyle w:val="eop"/>
          <w:noProof/>
        </w:rPr>
        <w:t> </w:t>
      </w:r>
    </w:p>
    <w:p w14:paraId="502C9D72" w14:textId="77777777" w:rsidR="003A3D51" w:rsidRDefault="003A3D51">
      <w:pPr>
        <w:pStyle w:val="paragraph"/>
        <w:spacing w:before="0" w:beforeAutospacing="0" w:after="0" w:afterAutospacing="0"/>
        <w:jc w:val="both"/>
        <w:textAlignment w:val="baseline"/>
        <w:rPr>
          <w:noProof/>
          <w:color w:val="000000" w:themeColor="text1"/>
        </w:rPr>
      </w:pPr>
    </w:p>
    <w:p w14:paraId="5AA0EDFD" w14:textId="77777777" w:rsidR="003A3D51" w:rsidRDefault="0002775A">
      <w:pPr>
        <w:pStyle w:val="P68B1DB1-paragraph55"/>
        <w:spacing w:before="0" w:beforeAutospacing="0" w:after="0" w:afterAutospacing="0"/>
        <w:ind w:left="720"/>
        <w:jc w:val="both"/>
        <w:textAlignment w:val="baseline"/>
        <w:rPr>
          <w:rStyle w:val="eop"/>
          <w:noProof/>
        </w:rPr>
      </w:pPr>
      <w:r>
        <w:rPr>
          <w:noProof/>
          <w:color w:val="000000" w:themeColor="text1"/>
        </w:rPr>
        <w:t>Investering C7.1 R1-I4</w:t>
      </w:r>
      <w:r>
        <w:rPr>
          <w:noProof/>
        </w:rPr>
        <w:t xml:space="preserve"> – </w:t>
      </w:r>
      <w:r>
        <w:rPr>
          <w:noProof/>
          <w:color w:val="000000" w:themeColor="text1"/>
        </w:rPr>
        <w:t>Stärka användningen av förnybara energikällor inom transport och uppvärmning</w:t>
      </w:r>
    </w:p>
    <w:p w14:paraId="6AD6D900" w14:textId="77777777" w:rsidR="003A3D51" w:rsidRDefault="003A3D51">
      <w:pPr>
        <w:pStyle w:val="paragraph"/>
        <w:spacing w:before="0" w:beforeAutospacing="0" w:after="0" w:afterAutospacing="0"/>
        <w:jc w:val="both"/>
        <w:textAlignment w:val="baseline"/>
        <w:rPr>
          <w:rStyle w:val="eop"/>
          <w:noProof/>
        </w:rPr>
      </w:pPr>
    </w:p>
    <w:p w14:paraId="4F4FC9E3" w14:textId="77777777" w:rsidR="003A3D51" w:rsidRDefault="0002775A">
      <w:pPr>
        <w:pStyle w:val="paragraph"/>
        <w:spacing w:before="0" w:beforeAutospacing="0" w:after="0" w:afterAutospacing="0"/>
        <w:jc w:val="both"/>
        <w:textAlignment w:val="baseline"/>
        <w:rPr>
          <w:rStyle w:val="eop"/>
          <w:noProof/>
        </w:rPr>
      </w:pPr>
      <w:r>
        <w:rPr>
          <w:noProof/>
        </w:rPr>
        <w:t>Syftet med investeringen är att öka användningen av biometan, genom produktion av hållbar biometan, samt genom att inrätta en rättslig ram för biogasproduktion. Investeringen ska också bidra till att stödja utsläppsfria transporter genom att bygga ny laddningsinfrastruktur för elbussar.</w:t>
      </w:r>
    </w:p>
    <w:p w14:paraId="4300F117" w14:textId="77777777" w:rsidR="003A3D51" w:rsidRDefault="003A3D51">
      <w:pPr>
        <w:pStyle w:val="paragraph"/>
        <w:spacing w:before="0" w:beforeAutospacing="0" w:after="0" w:afterAutospacing="0"/>
        <w:jc w:val="both"/>
        <w:textAlignment w:val="baseline"/>
        <w:rPr>
          <w:rStyle w:val="eop"/>
          <w:noProof/>
        </w:rPr>
      </w:pPr>
    </w:p>
    <w:p w14:paraId="162DE137" w14:textId="77777777" w:rsidR="003A3D51" w:rsidRDefault="0002775A">
      <w:pPr>
        <w:pStyle w:val="paragraph"/>
        <w:spacing w:before="0" w:beforeAutospacing="0" w:after="0" w:afterAutospacing="0"/>
        <w:jc w:val="both"/>
        <w:textAlignment w:val="baseline"/>
        <w:rPr>
          <w:noProof/>
          <w:color w:val="000000" w:themeColor="text1"/>
        </w:rPr>
      </w:pPr>
      <w:r>
        <w:rPr>
          <w:noProof/>
          <w:color w:val="000000" w:themeColor="text1"/>
        </w:rPr>
        <w:t xml:space="preserve">Denna åtgärd förväntas inte orsaka betydande skada för miljömål i den mening som avses i artikel 17 i förordning (EU) 2020/852, med beaktande av beskrivningen av åtgärden och de </w:t>
      </w:r>
      <w:r>
        <w:rPr>
          <w:rFonts w:eastAsia="Calibri"/>
          <w:noProof/>
        </w:rPr>
        <w:t>riskreducerande åtgärder som anges i återhämtnings- och resiliensplanen i enlighet med den</w:t>
      </w:r>
      <w:r>
        <w:rPr>
          <w:noProof/>
          <w:color w:val="000000" w:themeColor="text1"/>
        </w:rPr>
        <w:t xml:space="preserve"> tekniska vägledningen om att inte orsaka betydande skada (</w:t>
      </w:r>
      <w:r>
        <w:rPr>
          <w:rFonts w:eastAsia="Calibri"/>
          <w:noProof/>
        </w:rPr>
        <w:t>C (2023) 6454 final</w:t>
      </w:r>
      <w:r>
        <w:rPr>
          <w:noProof/>
          <w:color w:val="000000" w:themeColor="text1"/>
        </w:rPr>
        <w:t>).</w:t>
      </w:r>
    </w:p>
    <w:p w14:paraId="7925B6FF" w14:textId="77777777" w:rsidR="003A3D51" w:rsidRDefault="003A3D51">
      <w:pPr>
        <w:pStyle w:val="paragraph"/>
        <w:spacing w:before="0" w:beforeAutospacing="0" w:after="0" w:afterAutospacing="0"/>
        <w:jc w:val="both"/>
        <w:textAlignment w:val="baseline"/>
        <w:rPr>
          <w:rStyle w:val="eop"/>
          <w:noProof/>
        </w:rPr>
      </w:pPr>
    </w:p>
    <w:p w14:paraId="36EA416F"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31 augusti 2026.</w:t>
      </w:r>
    </w:p>
    <w:p w14:paraId="0B6DE4B9" w14:textId="77777777" w:rsidR="003A3D51" w:rsidRDefault="003A3D51">
      <w:pPr>
        <w:pStyle w:val="paragraph"/>
        <w:spacing w:before="0" w:beforeAutospacing="0" w:after="0" w:afterAutospacing="0"/>
        <w:ind w:left="720"/>
        <w:jc w:val="both"/>
        <w:textAlignment w:val="baseline"/>
        <w:rPr>
          <w:noProof/>
          <w:color w:val="000000" w:themeColor="text1"/>
          <w:u w:val="single"/>
        </w:rPr>
      </w:pPr>
    </w:p>
    <w:p w14:paraId="198F2C11" w14:textId="18A1E94E" w:rsidR="003A3D51" w:rsidRDefault="0002775A">
      <w:pPr>
        <w:pStyle w:val="P68B1DB1-paragraph55"/>
        <w:spacing w:before="0" w:beforeAutospacing="0" w:after="0" w:afterAutospacing="0"/>
        <w:ind w:left="720"/>
        <w:jc w:val="both"/>
        <w:textAlignment w:val="baseline"/>
        <w:rPr>
          <w:rStyle w:val="eop"/>
          <w:noProof/>
        </w:rPr>
      </w:pPr>
      <w:r>
        <w:rPr>
          <w:noProof/>
          <w:color w:val="000000" w:themeColor="text1"/>
        </w:rPr>
        <w:t xml:space="preserve">Investering C7.1 R1-I5 – Biorefinerier för produktion av avancerade biobränslen Sisak (investering  C1.2.R1-I4 överförd från rådets redan </w:t>
      </w:r>
      <w:r>
        <w:rPr>
          <w:noProof/>
        </w:rPr>
        <w:t>antagna genomförandebeslut)</w:t>
      </w:r>
    </w:p>
    <w:p w14:paraId="249A3EA7" w14:textId="77777777" w:rsidR="003A3D51" w:rsidRDefault="003A3D51">
      <w:pPr>
        <w:pStyle w:val="paragraph"/>
        <w:spacing w:before="0" w:beforeAutospacing="0" w:after="0" w:afterAutospacing="0"/>
        <w:jc w:val="both"/>
        <w:textAlignment w:val="baseline"/>
        <w:rPr>
          <w:rStyle w:val="eop"/>
          <w:noProof/>
        </w:rPr>
      </w:pPr>
    </w:p>
    <w:p w14:paraId="4C62422B" w14:textId="37263A7E" w:rsidR="003A3D51" w:rsidRDefault="0002775A">
      <w:pPr>
        <w:pStyle w:val="P68B1DB1-Normal3"/>
        <w:spacing w:before="120" w:after="120" w:line="240" w:lineRule="auto"/>
        <w:jc w:val="both"/>
        <w:rPr>
          <w:noProof/>
        </w:rPr>
      </w:pPr>
      <w:r>
        <w:rPr>
          <w:noProof/>
        </w:rPr>
        <w:t>Syftet med denna investering är att öka andelen förnybar energi inom transportsektorn och att stödja utfasningen av fossila bränslen i transportsektorn genom att skapa produktionskapacitet för avancerad bioetanol.</w:t>
      </w:r>
    </w:p>
    <w:p w14:paraId="7091399E" w14:textId="5B57973B" w:rsidR="003A3D51" w:rsidRDefault="0002775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Investeringen, som genomförs av oljebolaget INA d.d., ska bestå i uppförande och idrifttagande av en bioraffinaderianläggning med en årlig produktionskapacitet på 55 000 ton avancerad bioetanol.</w:t>
      </w:r>
      <w:r>
        <w:rPr>
          <w:rStyle w:val="FootnoteReference"/>
          <w:rFonts w:ascii="Times New Roman" w:eastAsia="Calibri" w:hAnsi="Times New Roman" w:cs="Times New Roman"/>
          <w:noProof/>
          <w:sz w:val="24"/>
        </w:rPr>
        <w:footnoteReference w:id="32"/>
      </w:r>
      <w:r>
        <w:rPr>
          <w:rFonts w:ascii="Times New Roman" w:eastAsia="Calibri" w:hAnsi="Times New Roman" w:cs="Times New Roman"/>
          <w:noProof/>
          <w:sz w:val="24"/>
        </w:rPr>
        <w:t xml:space="preserve"> </w:t>
      </w:r>
    </w:p>
    <w:p w14:paraId="0E5C65FA" w14:textId="58365732" w:rsidR="003A3D51" w:rsidRDefault="0002775A">
      <w:pPr>
        <w:pStyle w:val="P68B1DB1-Normal3"/>
        <w:spacing w:before="120" w:after="120" w:line="240" w:lineRule="auto"/>
        <w:jc w:val="both"/>
        <w:rPr>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(C (2023) 6454 final).</w:t>
      </w:r>
    </w:p>
    <w:p w14:paraId="09C0D9CD"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30 juni 2026.</w:t>
      </w:r>
    </w:p>
    <w:p w14:paraId="467046DE" w14:textId="77777777" w:rsidR="003A3D51" w:rsidRDefault="003A3D51">
      <w:pPr>
        <w:pStyle w:val="paragraph"/>
        <w:spacing w:before="0" w:beforeAutospacing="0" w:after="0" w:afterAutospacing="0"/>
        <w:jc w:val="both"/>
        <w:textAlignment w:val="baseline"/>
        <w:rPr>
          <w:rStyle w:val="eop"/>
          <w:noProof/>
        </w:rPr>
      </w:pPr>
    </w:p>
    <w:p w14:paraId="5C5B91BB" w14:textId="034A679A" w:rsidR="003A3D51" w:rsidRDefault="0002775A">
      <w:pPr>
        <w:pStyle w:val="P68B1DB1-paragraph55"/>
        <w:spacing w:before="0" w:beforeAutospacing="0" w:after="0" w:afterAutospacing="0"/>
        <w:ind w:left="720"/>
        <w:jc w:val="both"/>
        <w:textAlignment w:val="baseline"/>
        <w:rPr>
          <w:noProof/>
          <w:color w:val="000000" w:themeColor="text1"/>
        </w:rPr>
      </w:pPr>
      <w:r>
        <w:rPr>
          <w:noProof/>
          <w:color w:val="000000" w:themeColor="text1"/>
        </w:rPr>
        <w:t>Investering C7.1</w:t>
      </w:r>
      <w:r>
        <w:rPr>
          <w:noProof/>
        </w:rPr>
        <w:t xml:space="preserve"> R1-I6 – </w:t>
      </w:r>
      <w:r>
        <w:rPr>
          <w:noProof/>
          <w:color w:val="000000" w:themeColor="text1"/>
        </w:rPr>
        <w:t>Stärka överförings- och distributionskapaciteten i elnätet</w:t>
      </w:r>
    </w:p>
    <w:p w14:paraId="3FF2A008" w14:textId="77777777" w:rsidR="003A3D51" w:rsidRDefault="003A3D51">
      <w:pPr>
        <w:pStyle w:val="paragraph"/>
        <w:spacing w:before="0" w:beforeAutospacing="0" w:after="0" w:afterAutospacing="0"/>
        <w:jc w:val="both"/>
        <w:textAlignment w:val="baseline"/>
        <w:rPr>
          <w:noProof/>
          <w:color w:val="000000" w:themeColor="text1"/>
        </w:rPr>
      </w:pPr>
    </w:p>
    <w:p w14:paraId="59F2185D" w14:textId="382B77A2" w:rsidR="003A3D51" w:rsidRDefault="0002775A">
      <w:pPr>
        <w:pStyle w:val="P68B1DB1-paragraph23"/>
        <w:spacing w:before="0" w:beforeAutospacing="0" w:after="0" w:afterAutospacing="0"/>
        <w:jc w:val="both"/>
        <w:textAlignment w:val="baseline"/>
        <w:rPr>
          <w:noProof/>
        </w:rPr>
      </w:pPr>
      <w:r>
        <w:rPr>
          <w:noProof/>
        </w:rPr>
        <w:t>Syftet med denna investering är att stödja elektrifiering och utfasning av fossila bränslen i energisektorn genom att uppgradera det kroatiska elnätet, med fokus på att säkerställa bättre anslutning av det sydliga och nordliga nätet. Detta syftar till att säkerställa att el som produceras från förnybara energikällor i södra Kroatien, som har störst potential för förnybara energikällor, kan överföras till andra delar av landet. Investeringen ska omfatta följande verksamheter:</w:t>
      </w:r>
    </w:p>
    <w:p w14:paraId="379D903C" w14:textId="72515EA3" w:rsidR="003A3D51" w:rsidRDefault="0002775A">
      <w:pPr>
        <w:pStyle w:val="P68B1DB1-paragraph23"/>
        <w:numPr>
          <w:ilvl w:val="0"/>
          <w:numId w:val="9"/>
        </w:numPr>
        <w:spacing w:before="0" w:beforeAutospacing="0" w:after="0" w:afterAutospacing="0"/>
        <w:jc w:val="both"/>
        <w:textAlignment w:val="baseline"/>
        <w:rPr>
          <w:noProof/>
        </w:rPr>
      </w:pPr>
      <w:r>
        <w:rPr>
          <w:noProof/>
        </w:rPr>
        <w:t>Ersättning av gamla eltransformatorer med nya.</w:t>
      </w:r>
    </w:p>
    <w:p w14:paraId="32B32F94" w14:textId="77777777" w:rsidR="003A3D51" w:rsidRDefault="0002775A">
      <w:pPr>
        <w:pStyle w:val="P68B1DB1-paragraph23"/>
        <w:numPr>
          <w:ilvl w:val="0"/>
          <w:numId w:val="9"/>
        </w:numPr>
        <w:spacing w:before="0" w:beforeAutospacing="0" w:after="0" w:afterAutospacing="0"/>
        <w:jc w:val="both"/>
        <w:textAlignment w:val="baseline"/>
        <w:rPr>
          <w:noProof/>
        </w:rPr>
      </w:pPr>
      <w:r>
        <w:rPr>
          <w:noProof/>
        </w:rPr>
        <w:t>Ombyggnad av elektriska understationer.</w:t>
      </w:r>
    </w:p>
    <w:p w14:paraId="1F351C2E" w14:textId="77777777" w:rsidR="003A3D51" w:rsidRDefault="003A3D51">
      <w:pPr>
        <w:pStyle w:val="paragraph"/>
        <w:spacing w:before="0" w:beforeAutospacing="0" w:after="0" w:afterAutospacing="0"/>
        <w:jc w:val="both"/>
        <w:textAlignment w:val="baseline"/>
        <w:rPr>
          <w:rFonts w:eastAsia="Calibri"/>
          <w:noProof/>
        </w:rPr>
      </w:pPr>
    </w:p>
    <w:p w14:paraId="5386DB44" w14:textId="7A26D8E5" w:rsidR="003A3D51" w:rsidRDefault="0002775A">
      <w:pPr>
        <w:pStyle w:val="P68B1DB1-paragraph56"/>
        <w:spacing w:before="0" w:beforeAutospacing="0" w:after="0" w:afterAutospacing="0"/>
        <w:jc w:val="both"/>
        <w:textAlignment w:val="baseline"/>
        <w:rPr>
          <w:noProof/>
        </w:rPr>
      </w:pPr>
      <w:r>
        <w:rPr>
          <w:noProof/>
        </w:rPr>
        <w:t>Investeringen ska vara genomförd senast den 31 augusti 2026.</w:t>
      </w:r>
    </w:p>
    <w:p w14:paraId="04B34E8D" w14:textId="77777777" w:rsidR="003A3D51" w:rsidRDefault="003A3D51">
      <w:pPr>
        <w:pStyle w:val="paragraph"/>
        <w:spacing w:before="0" w:beforeAutospacing="0" w:after="0" w:afterAutospacing="0"/>
        <w:jc w:val="both"/>
        <w:textAlignment w:val="baseline"/>
        <w:rPr>
          <w:noProof/>
          <w:color w:val="000000" w:themeColor="text1"/>
        </w:rPr>
      </w:pPr>
    </w:p>
    <w:p w14:paraId="66036CE2" w14:textId="59A93C34" w:rsidR="003A3D51" w:rsidRDefault="0002775A">
      <w:pPr>
        <w:pStyle w:val="P68B1DB1-paragraph57"/>
        <w:spacing w:before="0" w:beforeAutospacing="0" w:after="0" w:afterAutospacing="0"/>
        <w:ind w:left="720"/>
        <w:jc w:val="both"/>
        <w:textAlignment w:val="baseline"/>
        <w:rPr>
          <w:rStyle w:val="eop"/>
          <w:noProof/>
        </w:rPr>
      </w:pPr>
      <w:r>
        <w:rPr>
          <w:noProof/>
        </w:rPr>
        <w:t>Investering C7.1 I3 – Öka kapaciteten vid LNG-terminalen på ön Krk och stärka gasinfrastrukturen</w:t>
      </w:r>
    </w:p>
    <w:p w14:paraId="2C750F11" w14:textId="77777777" w:rsidR="003A3D51" w:rsidRDefault="003A3D51">
      <w:pPr>
        <w:pStyle w:val="paragraph"/>
        <w:spacing w:before="0" w:beforeAutospacing="0" w:after="0" w:afterAutospacing="0"/>
        <w:jc w:val="both"/>
        <w:textAlignment w:val="baseline"/>
        <w:rPr>
          <w:rStyle w:val="eop"/>
          <w:noProof/>
        </w:rPr>
      </w:pPr>
    </w:p>
    <w:p w14:paraId="21CFC769" w14:textId="616A9711" w:rsidR="003A3D51" w:rsidRDefault="0002775A">
      <w:pPr>
        <w:pStyle w:val="paragraph"/>
        <w:spacing w:before="0" w:beforeAutospacing="0" w:after="0" w:afterAutospacing="0"/>
        <w:jc w:val="both"/>
        <w:textAlignment w:val="baseline"/>
        <w:rPr>
          <w:rFonts w:cstheme="minorHAnsi"/>
          <w:noProof/>
          <w:color w:val="000000"/>
        </w:rPr>
      </w:pPr>
      <w:r>
        <w:rPr>
          <w:noProof/>
          <w:color w:val="000000" w:themeColor="text1"/>
        </w:rPr>
        <w:t xml:space="preserve">Syftet med investeringen är att förbättra diversifieringen av unionens gasförsörjning och öka försörjningstryggheten för gas till Kroatiens grannländer genom att öka kapaciteten vid LNG-terminalen på ön Krk till </w:t>
      </w:r>
      <w:r>
        <w:rPr>
          <w:noProof/>
        </w:rPr>
        <w:t xml:space="preserve">700 000 m³ per timme (m³/h). Investeringen ska också omfatta en utbyggnad av </w:t>
      </w:r>
      <w:r>
        <w:rPr>
          <w:rFonts w:cstheme="minorHAnsi"/>
          <w:noProof/>
          <w:color w:val="000000"/>
        </w:rPr>
        <w:t xml:space="preserve">rörledningen Zlobin-Bosiljevo, </w:t>
      </w:r>
      <w:r>
        <w:rPr>
          <w:noProof/>
        </w:rPr>
        <w:t xml:space="preserve">utbyggnad av rörledningen </w:t>
      </w:r>
      <w:r>
        <w:rPr>
          <w:rFonts w:cstheme="minorHAnsi"/>
          <w:noProof/>
          <w:color w:val="000000"/>
        </w:rPr>
        <w:t xml:space="preserve">Bosiljevo-Sisak-Kozarac, som syftar till att </w:t>
      </w:r>
      <w:r>
        <w:rPr>
          <w:noProof/>
        </w:rPr>
        <w:t>öka gastransportkapaciteten till Ungern till 400 000 m³/h</w:t>
      </w:r>
      <w:r>
        <w:rPr>
          <w:rFonts w:cstheme="minorHAnsi"/>
          <w:noProof/>
          <w:color w:val="000000"/>
        </w:rPr>
        <w:t xml:space="preserve">, samt en utvidgning av sträckan Lučko-Zabok i sammanlänkningen Kroatien-Slovenien, som syftar till att </w:t>
      </w:r>
      <w:r>
        <w:rPr>
          <w:noProof/>
        </w:rPr>
        <w:t>öka gastransportkapaciteten till Slovenien till 170 000 m³/h.</w:t>
      </w:r>
      <w:r>
        <w:rPr>
          <w:rFonts w:cstheme="minorHAnsi"/>
          <w:noProof/>
          <w:color w:val="000000"/>
        </w:rPr>
        <w:t xml:space="preserve"> </w:t>
      </w:r>
    </w:p>
    <w:p w14:paraId="3B21BE84" w14:textId="77777777" w:rsidR="003A3D51" w:rsidRDefault="003A3D51">
      <w:pPr>
        <w:pStyle w:val="paragraph"/>
        <w:spacing w:before="0" w:beforeAutospacing="0" w:after="0" w:afterAutospacing="0"/>
        <w:jc w:val="both"/>
        <w:textAlignment w:val="baseline"/>
        <w:rPr>
          <w:noProof/>
          <w:color w:val="000000" w:themeColor="text1"/>
        </w:rPr>
      </w:pPr>
    </w:p>
    <w:p w14:paraId="482F6340"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31 augusti 2026.</w:t>
      </w:r>
    </w:p>
    <w:p w14:paraId="5CFF62B1" w14:textId="77777777" w:rsidR="003A3D51" w:rsidRDefault="003A3D51">
      <w:pPr>
        <w:pStyle w:val="paragraph"/>
        <w:spacing w:before="0" w:beforeAutospacing="0" w:after="0" w:afterAutospacing="0"/>
        <w:jc w:val="both"/>
        <w:textAlignment w:val="baseline"/>
        <w:rPr>
          <w:rStyle w:val="eop"/>
          <w:noProof/>
        </w:rPr>
      </w:pPr>
    </w:p>
    <w:p w14:paraId="4C7A1557"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029179CF" w14:textId="77777777" w:rsidR="003A3D51" w:rsidRDefault="003A3D51">
      <w:pPr>
        <w:pStyle w:val="paragraph"/>
        <w:spacing w:before="0" w:beforeAutospacing="0" w:after="0" w:afterAutospacing="0"/>
        <w:jc w:val="both"/>
        <w:textAlignment w:val="baseline"/>
        <w:rPr>
          <w:rStyle w:val="normaltextrun"/>
          <w:b/>
          <w:noProof/>
        </w:rPr>
        <w:sectPr w:rsidR="003A3D51" w:rsidSect="0001477B">
          <w:headerReference w:type="even" r:id="rId414"/>
          <w:headerReference w:type="default" r:id="rId415"/>
          <w:footerReference w:type="even" r:id="rId416"/>
          <w:footerReference w:type="default" r:id="rId417"/>
          <w:headerReference w:type="first" r:id="rId418"/>
          <w:footerReference w:type="first" r:id="rId419"/>
          <w:pgSz w:w="12240" w:h="15840"/>
          <w:pgMar w:top="1440" w:right="1440" w:bottom="1440" w:left="1440" w:header="708" w:footer="708" w:gutter="0"/>
          <w:cols w:space="708"/>
          <w:docGrid w:linePitch="360"/>
        </w:sectPr>
      </w:pPr>
    </w:p>
    <w:p w14:paraId="21FAAD74" w14:textId="07B416F5" w:rsidR="003A3D51" w:rsidRDefault="0002775A">
      <w:pPr>
        <w:pStyle w:val="paragraph"/>
        <w:spacing w:before="0" w:beforeAutospacing="0" w:after="0" w:afterAutospacing="0"/>
        <w:jc w:val="both"/>
        <w:textAlignment w:val="baseline"/>
        <w:rPr>
          <w:rFonts w:ascii="Segoe UI" w:hAnsi="Segoe UI" w:cs="Segoe UI"/>
          <w:noProof/>
          <w:sz w:val="18"/>
        </w:rPr>
      </w:pPr>
      <w:r>
        <w:rPr>
          <w:rStyle w:val="normaltextrun"/>
          <w:b/>
          <w:noProof/>
        </w:rPr>
        <w:t xml:space="preserve">W.4.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401F7C0A" w14:textId="77777777" w:rsidR="003A3D51" w:rsidRDefault="003A3D51">
      <w:pPr>
        <w:pStyle w:val="paragraph"/>
        <w:spacing w:before="0" w:beforeAutospacing="0" w:after="0" w:afterAutospacing="0"/>
        <w:jc w:val="both"/>
        <w:textAlignment w:val="baseline"/>
        <w:rPr>
          <w:rStyle w:val="eop"/>
          <w:noProof/>
          <w:color w:val="4F81BD"/>
        </w:rPr>
      </w:pPr>
    </w:p>
    <w:tbl>
      <w:tblPr>
        <w:tblW w:w="15060" w:type="dxa"/>
        <w:jc w:val="center"/>
        <w:tblCellMar>
          <w:top w:w="28" w:type="dxa"/>
          <w:left w:w="28" w:type="dxa"/>
          <w:bottom w:w="28" w:type="dxa"/>
          <w:right w:w="28" w:type="dxa"/>
        </w:tblCellMar>
        <w:tblLook w:val="04A0" w:firstRow="1" w:lastRow="0" w:firstColumn="1" w:lastColumn="0" w:noHBand="0" w:noVBand="1"/>
      </w:tblPr>
      <w:tblGrid>
        <w:gridCol w:w="711"/>
        <w:gridCol w:w="852"/>
        <w:gridCol w:w="946"/>
        <w:gridCol w:w="2552"/>
        <w:gridCol w:w="1952"/>
        <w:gridCol w:w="1131"/>
        <w:gridCol w:w="868"/>
        <w:gridCol w:w="850"/>
        <w:gridCol w:w="795"/>
        <w:gridCol w:w="567"/>
        <w:gridCol w:w="4160"/>
      </w:tblGrid>
      <w:tr w:rsidR="003A3D51" w14:paraId="79AA2D97" w14:textId="77777777">
        <w:trPr>
          <w:tblHeader/>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E64FAC" w14:textId="77777777" w:rsidR="003A3D51" w:rsidRDefault="0002775A">
            <w:pPr>
              <w:pStyle w:val="P68B1DB1-Normal6"/>
              <w:spacing w:after="0" w:line="276" w:lineRule="auto"/>
              <w:jc w:val="center"/>
              <w:rPr>
                <w:noProof/>
              </w:rPr>
            </w:pPr>
            <w:r>
              <w:rPr>
                <w:noProof/>
              </w:rPr>
              <w:t>Antal</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8B2A44" w14:textId="77777777" w:rsidR="003A3D51" w:rsidRDefault="0002775A">
            <w:pPr>
              <w:pStyle w:val="P68B1DB1-Normal6"/>
              <w:spacing w:after="0" w:line="276" w:lineRule="auto"/>
              <w:jc w:val="center"/>
              <w:rPr>
                <w:noProof/>
              </w:rPr>
            </w:pPr>
            <w:r>
              <w:rPr>
                <w:noProof/>
              </w:rPr>
              <w:t>Åtgärd</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DE12FB1" w14:textId="77777777" w:rsidR="003A3D51" w:rsidRDefault="0002775A">
            <w:pPr>
              <w:pStyle w:val="P68B1DB1-Normal6"/>
              <w:spacing w:after="0" w:line="276" w:lineRule="auto"/>
              <w:jc w:val="center"/>
              <w:rPr>
                <w:noProof/>
              </w:rPr>
            </w:pPr>
            <w:r>
              <w:rPr>
                <w:noProof/>
              </w:rPr>
              <w:t>Delmål/mål</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EF93F5" w14:textId="77777777" w:rsidR="003A3D51" w:rsidRDefault="0002775A">
            <w:pPr>
              <w:pStyle w:val="P68B1DB1-Normal6"/>
              <w:spacing w:after="0" w:line="276" w:lineRule="auto"/>
              <w:jc w:val="center"/>
              <w:rPr>
                <w:noProof/>
              </w:rPr>
            </w:pPr>
            <w:r>
              <w:rPr>
                <w:noProof/>
              </w:rPr>
              <w:t>Namn</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0C052D"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2849"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742F941E"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1134" w:type="dxa"/>
            <w:gridSpan w:val="2"/>
            <w:tcBorders>
              <w:top w:val="single" w:sz="4" w:space="0" w:color="auto"/>
              <w:left w:val="nil"/>
              <w:bottom w:val="single" w:sz="4" w:space="0" w:color="auto"/>
              <w:right w:val="single" w:sz="4" w:space="0" w:color="auto"/>
            </w:tcBorders>
            <w:shd w:val="clear" w:color="auto" w:fill="BDD7EE"/>
            <w:hideMark/>
          </w:tcPr>
          <w:p w14:paraId="60523E01" w14:textId="77777777" w:rsidR="003A3D51" w:rsidRDefault="0002775A">
            <w:pPr>
              <w:pStyle w:val="P68B1DB1-Normal6"/>
              <w:spacing w:after="0" w:line="276" w:lineRule="auto"/>
              <w:jc w:val="center"/>
              <w:rPr>
                <w:noProof/>
              </w:rPr>
            </w:pPr>
            <w:r>
              <w:rPr>
                <w:noProof/>
              </w:rPr>
              <w:t>Tid</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2196FC" w14:textId="77777777" w:rsidR="003A3D51" w:rsidRDefault="0002775A">
            <w:pPr>
              <w:pStyle w:val="P68B1DB1-Normal6"/>
              <w:spacing w:after="0" w:line="276" w:lineRule="auto"/>
              <w:jc w:val="center"/>
              <w:rPr>
                <w:noProof/>
              </w:rPr>
            </w:pPr>
            <w:r>
              <w:rPr>
                <w:noProof/>
              </w:rPr>
              <w:t>Beskrivning av varje delmål och mål</w:t>
            </w:r>
          </w:p>
        </w:tc>
      </w:tr>
      <w:tr w:rsidR="003A3D51" w14:paraId="54E99864" w14:textId="77777777">
        <w:trPr>
          <w:tblHeader/>
          <w:jc w:val="center"/>
        </w:trPr>
        <w:tc>
          <w:tcPr>
            <w:tcW w:w="711" w:type="dxa"/>
            <w:vMerge/>
            <w:tcBorders>
              <w:top w:val="single" w:sz="4" w:space="0" w:color="auto"/>
              <w:left w:val="single" w:sz="4" w:space="0" w:color="auto"/>
              <w:bottom w:val="single" w:sz="4" w:space="0" w:color="auto"/>
              <w:right w:val="single" w:sz="4" w:space="0" w:color="auto"/>
            </w:tcBorders>
            <w:hideMark/>
          </w:tcPr>
          <w:p w14:paraId="10A3F737" w14:textId="77777777" w:rsidR="003A3D51" w:rsidRDefault="003A3D51">
            <w:pPr>
              <w:spacing w:after="0" w:line="276" w:lineRule="auto"/>
              <w:jc w:val="center"/>
              <w:rPr>
                <w:rFonts w:ascii="Times New Roman" w:eastAsia="Times New Roman" w:hAnsi="Times New Roman" w:cs="Times New Roman"/>
                <w:b/>
                <w:noProof/>
              </w:rPr>
            </w:pPr>
          </w:p>
        </w:tc>
        <w:tc>
          <w:tcPr>
            <w:tcW w:w="852" w:type="dxa"/>
            <w:vMerge/>
            <w:tcBorders>
              <w:top w:val="single" w:sz="4" w:space="0" w:color="auto"/>
              <w:left w:val="single" w:sz="4" w:space="0" w:color="auto"/>
              <w:bottom w:val="single" w:sz="4" w:space="0" w:color="auto"/>
              <w:right w:val="single" w:sz="4" w:space="0" w:color="auto"/>
            </w:tcBorders>
            <w:hideMark/>
          </w:tcPr>
          <w:p w14:paraId="7D4FA81B" w14:textId="77777777" w:rsidR="003A3D51" w:rsidRDefault="003A3D51">
            <w:pPr>
              <w:spacing w:after="0" w:line="276" w:lineRule="auto"/>
              <w:jc w:val="center"/>
              <w:rPr>
                <w:rFonts w:ascii="Times New Roman" w:eastAsia="Times New Roman" w:hAnsi="Times New Roman" w:cs="Times New Roman"/>
                <w:b/>
                <w:noProof/>
              </w:rPr>
            </w:pPr>
          </w:p>
        </w:tc>
        <w:tc>
          <w:tcPr>
            <w:tcW w:w="850" w:type="dxa"/>
            <w:vMerge/>
            <w:tcBorders>
              <w:top w:val="single" w:sz="4" w:space="0" w:color="auto"/>
              <w:left w:val="single" w:sz="4" w:space="0" w:color="auto"/>
              <w:bottom w:val="single" w:sz="4" w:space="0" w:color="auto"/>
              <w:right w:val="single" w:sz="4" w:space="0" w:color="auto"/>
            </w:tcBorders>
            <w:hideMark/>
          </w:tcPr>
          <w:p w14:paraId="73F11DAC" w14:textId="77777777" w:rsidR="003A3D51" w:rsidRDefault="003A3D51">
            <w:pPr>
              <w:spacing w:after="0" w:line="276" w:lineRule="auto"/>
              <w:jc w:val="center"/>
              <w:rPr>
                <w:rFonts w:ascii="Times New Roman" w:eastAsia="Times New Roman" w:hAnsi="Times New Roman" w:cs="Times New Roman"/>
                <w:b/>
                <w:noProof/>
              </w:rPr>
            </w:pPr>
          </w:p>
        </w:tc>
        <w:tc>
          <w:tcPr>
            <w:tcW w:w="2552" w:type="dxa"/>
            <w:vMerge/>
            <w:tcBorders>
              <w:top w:val="single" w:sz="4" w:space="0" w:color="auto"/>
              <w:left w:val="single" w:sz="4" w:space="0" w:color="auto"/>
              <w:bottom w:val="single" w:sz="4" w:space="0" w:color="auto"/>
              <w:right w:val="single" w:sz="4" w:space="0" w:color="auto"/>
            </w:tcBorders>
            <w:hideMark/>
          </w:tcPr>
          <w:p w14:paraId="040C5815" w14:textId="77777777" w:rsidR="003A3D51" w:rsidRDefault="003A3D51">
            <w:pPr>
              <w:spacing w:after="0" w:line="276" w:lineRule="auto"/>
              <w:rPr>
                <w:rFonts w:ascii="Times New Roman" w:eastAsia="Times New Roman" w:hAnsi="Times New Roman" w:cs="Times New Roman"/>
                <w:b/>
                <w:noProof/>
              </w:rPr>
            </w:pPr>
          </w:p>
        </w:tc>
        <w:tc>
          <w:tcPr>
            <w:tcW w:w="1952" w:type="dxa"/>
            <w:vMerge/>
            <w:tcBorders>
              <w:top w:val="single" w:sz="4" w:space="0" w:color="auto"/>
              <w:left w:val="single" w:sz="4" w:space="0" w:color="auto"/>
              <w:bottom w:val="single" w:sz="4" w:space="0" w:color="auto"/>
              <w:right w:val="single" w:sz="4" w:space="0" w:color="auto"/>
            </w:tcBorders>
            <w:hideMark/>
          </w:tcPr>
          <w:p w14:paraId="689BD633" w14:textId="77777777" w:rsidR="003A3D51" w:rsidRDefault="003A3D51">
            <w:pPr>
              <w:spacing w:after="0" w:line="276" w:lineRule="auto"/>
              <w:rPr>
                <w:rFonts w:ascii="Times New Roman" w:eastAsia="Times New Roman" w:hAnsi="Times New Roman" w:cs="Times New Roman"/>
                <w:b/>
                <w:noProof/>
              </w:rPr>
            </w:pPr>
          </w:p>
        </w:tc>
        <w:tc>
          <w:tcPr>
            <w:tcW w:w="1131" w:type="dxa"/>
            <w:tcBorders>
              <w:top w:val="nil"/>
              <w:left w:val="single" w:sz="4" w:space="0" w:color="auto"/>
              <w:bottom w:val="single" w:sz="4" w:space="0" w:color="auto"/>
              <w:right w:val="single" w:sz="4" w:space="0" w:color="auto"/>
            </w:tcBorders>
            <w:shd w:val="clear" w:color="auto" w:fill="BDD7EE"/>
            <w:hideMark/>
          </w:tcPr>
          <w:p w14:paraId="3D7541B0" w14:textId="77777777" w:rsidR="003A3D51" w:rsidRDefault="0002775A">
            <w:pPr>
              <w:pStyle w:val="P68B1DB1-Normal6"/>
              <w:spacing w:after="0" w:line="276" w:lineRule="auto"/>
              <w:jc w:val="center"/>
              <w:rPr>
                <w:noProof/>
              </w:rPr>
            </w:pPr>
            <w:r>
              <w:rPr>
                <w:noProof/>
              </w:rPr>
              <w:t>Enhet</w:t>
            </w:r>
          </w:p>
        </w:tc>
        <w:tc>
          <w:tcPr>
            <w:tcW w:w="868" w:type="dxa"/>
            <w:tcBorders>
              <w:top w:val="nil"/>
              <w:left w:val="nil"/>
              <w:bottom w:val="single" w:sz="4" w:space="0" w:color="auto"/>
              <w:right w:val="single" w:sz="4" w:space="0" w:color="auto"/>
            </w:tcBorders>
            <w:shd w:val="clear" w:color="auto" w:fill="BDD7EE"/>
            <w:hideMark/>
          </w:tcPr>
          <w:p w14:paraId="5665CAA3" w14:textId="77777777" w:rsidR="003A3D51" w:rsidRDefault="0002775A">
            <w:pPr>
              <w:pStyle w:val="P68B1DB1-Normal6"/>
              <w:spacing w:after="0" w:line="276" w:lineRule="auto"/>
              <w:jc w:val="center"/>
              <w:rPr>
                <w:noProof/>
              </w:rPr>
            </w:pPr>
            <w:r>
              <w:rPr>
                <w:noProof/>
              </w:rPr>
              <w:t>Baslinjen</w:t>
            </w:r>
          </w:p>
        </w:tc>
        <w:tc>
          <w:tcPr>
            <w:tcW w:w="850" w:type="dxa"/>
            <w:tcBorders>
              <w:top w:val="nil"/>
              <w:left w:val="nil"/>
              <w:bottom w:val="single" w:sz="4" w:space="0" w:color="auto"/>
              <w:right w:val="single" w:sz="4" w:space="0" w:color="auto"/>
            </w:tcBorders>
            <w:shd w:val="clear" w:color="auto" w:fill="BDD7EE"/>
            <w:hideMark/>
          </w:tcPr>
          <w:p w14:paraId="1A1BB6EB" w14:textId="77777777" w:rsidR="003A3D51" w:rsidRDefault="0002775A">
            <w:pPr>
              <w:pStyle w:val="P68B1DB1-Normal6"/>
              <w:spacing w:after="0" w:line="276" w:lineRule="auto"/>
              <w:jc w:val="center"/>
              <w:rPr>
                <w:noProof/>
              </w:rPr>
            </w:pPr>
            <w:r>
              <w:rPr>
                <w:noProof/>
              </w:rPr>
              <w:t>Mål</w:t>
            </w:r>
          </w:p>
        </w:tc>
        <w:tc>
          <w:tcPr>
            <w:tcW w:w="567" w:type="dxa"/>
            <w:tcBorders>
              <w:top w:val="nil"/>
              <w:left w:val="nil"/>
              <w:bottom w:val="single" w:sz="4" w:space="0" w:color="auto"/>
              <w:right w:val="single" w:sz="4" w:space="0" w:color="auto"/>
            </w:tcBorders>
            <w:shd w:val="clear" w:color="auto" w:fill="BDD7EE"/>
            <w:hideMark/>
          </w:tcPr>
          <w:p w14:paraId="344517D5" w14:textId="77777777" w:rsidR="003A3D51" w:rsidRDefault="0002775A">
            <w:pPr>
              <w:pStyle w:val="P68B1DB1-Normal6"/>
              <w:spacing w:after="0" w:line="276" w:lineRule="auto"/>
              <w:jc w:val="center"/>
              <w:rPr>
                <w:noProof/>
              </w:rPr>
            </w:pPr>
            <w:r>
              <w:rPr>
                <w:noProof/>
              </w:rPr>
              <w:t>Q</w:t>
            </w:r>
          </w:p>
        </w:tc>
        <w:tc>
          <w:tcPr>
            <w:tcW w:w="567" w:type="dxa"/>
            <w:tcBorders>
              <w:top w:val="nil"/>
              <w:left w:val="nil"/>
              <w:bottom w:val="single" w:sz="4" w:space="0" w:color="auto"/>
              <w:right w:val="single" w:sz="4" w:space="0" w:color="auto"/>
            </w:tcBorders>
            <w:shd w:val="clear" w:color="auto" w:fill="BDD7EE"/>
            <w:hideMark/>
          </w:tcPr>
          <w:p w14:paraId="59B024A3" w14:textId="77777777" w:rsidR="003A3D51" w:rsidRDefault="0002775A">
            <w:pPr>
              <w:pStyle w:val="P68B1DB1-Normal6"/>
              <w:spacing w:after="0" w:line="276" w:lineRule="auto"/>
              <w:jc w:val="center"/>
              <w:rPr>
                <w:noProof/>
              </w:rPr>
            </w:pPr>
            <w:r>
              <w:rPr>
                <w:noProof/>
              </w:rPr>
              <w:t>Året</w:t>
            </w:r>
          </w:p>
        </w:tc>
        <w:tc>
          <w:tcPr>
            <w:tcW w:w="4160" w:type="dxa"/>
            <w:vMerge/>
            <w:tcBorders>
              <w:top w:val="single" w:sz="4" w:space="0" w:color="auto"/>
              <w:bottom w:val="single" w:sz="4" w:space="0" w:color="auto"/>
              <w:right w:val="single" w:sz="4" w:space="0" w:color="auto"/>
            </w:tcBorders>
            <w:hideMark/>
          </w:tcPr>
          <w:p w14:paraId="557A6E62" w14:textId="77777777" w:rsidR="003A3D51" w:rsidRDefault="003A3D51">
            <w:pPr>
              <w:spacing w:after="0" w:line="276" w:lineRule="auto"/>
              <w:rPr>
                <w:rFonts w:ascii="Times New Roman" w:eastAsia="Times New Roman" w:hAnsi="Times New Roman" w:cs="Times New Roman"/>
                <w:b/>
                <w:noProof/>
              </w:rPr>
            </w:pPr>
          </w:p>
        </w:tc>
      </w:tr>
      <w:tr w:rsidR="003A3D51" w14:paraId="3A16A397"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4BBDCB4" w14:textId="63B58AAA" w:rsidR="003A3D51" w:rsidRDefault="0002775A">
            <w:pPr>
              <w:pStyle w:val="P68B1DB1-Normal25"/>
              <w:spacing w:after="0" w:line="276" w:lineRule="auto"/>
              <w:jc w:val="center"/>
              <w:rPr>
                <w:noProof/>
              </w:rPr>
            </w:pPr>
            <w:r>
              <w:rPr>
                <w:noProof/>
              </w:rPr>
              <w:t>416</w:t>
            </w:r>
          </w:p>
        </w:tc>
        <w:tc>
          <w:tcPr>
            <w:tcW w:w="852" w:type="dxa"/>
            <w:tcBorders>
              <w:top w:val="single" w:sz="4" w:space="0" w:color="auto"/>
              <w:left w:val="nil"/>
              <w:bottom w:val="single" w:sz="4" w:space="0" w:color="auto"/>
              <w:right w:val="single" w:sz="4" w:space="0" w:color="auto"/>
            </w:tcBorders>
            <w:shd w:val="clear" w:color="auto" w:fill="C6EFCE"/>
            <w:noWrap/>
          </w:tcPr>
          <w:p w14:paraId="260EA48F" w14:textId="282B8FAD" w:rsidR="003A3D51" w:rsidRDefault="0002775A">
            <w:pPr>
              <w:pStyle w:val="P68B1DB1-Normal58"/>
              <w:spacing w:after="200" w:line="276" w:lineRule="auto"/>
              <w:jc w:val="center"/>
              <w:rPr>
                <w:noProof/>
              </w:rPr>
            </w:pPr>
            <w:r>
              <w:rPr>
                <w:noProof/>
              </w:rPr>
              <w:t>C7.1 R1-I4</w:t>
            </w:r>
          </w:p>
        </w:tc>
        <w:tc>
          <w:tcPr>
            <w:tcW w:w="850" w:type="dxa"/>
            <w:tcBorders>
              <w:top w:val="single" w:sz="4" w:space="0" w:color="auto"/>
              <w:left w:val="nil"/>
              <w:bottom w:val="single" w:sz="4" w:space="0" w:color="auto"/>
              <w:right w:val="single" w:sz="4" w:space="0" w:color="auto"/>
            </w:tcBorders>
            <w:shd w:val="clear" w:color="auto" w:fill="C6EFCE"/>
            <w:noWrap/>
          </w:tcPr>
          <w:p w14:paraId="1ACBBA26" w14:textId="7123CCFF" w:rsidR="003A3D51" w:rsidRDefault="0002775A">
            <w:pPr>
              <w:pStyle w:val="P68B1DB1-Normal17"/>
              <w:spacing w:after="200" w:line="276" w:lineRule="auto"/>
              <w:jc w:val="center"/>
              <w:rPr>
                <w:rFonts w:ascii="Calibri" w:hAnsi="Calibri" w:cs="Arial"/>
                <w:noProof/>
                <w:color w:val="000000"/>
              </w:rPr>
            </w:pPr>
            <w:r>
              <w:rPr>
                <w:noProof/>
              </w:rPr>
              <w:t>M</w:t>
            </w:r>
          </w:p>
        </w:tc>
        <w:tc>
          <w:tcPr>
            <w:tcW w:w="2552" w:type="dxa"/>
            <w:tcBorders>
              <w:top w:val="single" w:sz="4" w:space="0" w:color="auto"/>
              <w:left w:val="nil"/>
              <w:bottom w:val="single" w:sz="4" w:space="0" w:color="auto"/>
              <w:right w:val="single" w:sz="4" w:space="0" w:color="auto"/>
            </w:tcBorders>
            <w:shd w:val="clear" w:color="auto" w:fill="C6EFCE"/>
            <w:noWrap/>
          </w:tcPr>
          <w:p w14:paraId="14B10020" w14:textId="057C559E" w:rsidR="003A3D51" w:rsidRDefault="0002775A">
            <w:pPr>
              <w:pStyle w:val="P68B1DB1-Normal17"/>
              <w:spacing w:after="200" w:line="276" w:lineRule="auto"/>
              <w:rPr>
                <w:rFonts w:ascii="Calibri" w:hAnsi="Calibri" w:cs="Arial"/>
                <w:noProof/>
                <w:color w:val="000000"/>
              </w:rPr>
            </w:pPr>
            <w:r>
              <w:rPr>
                <w:noProof/>
              </w:rPr>
              <w:t>Rättslig ram för biogasproduktion</w:t>
            </w:r>
          </w:p>
        </w:tc>
        <w:tc>
          <w:tcPr>
            <w:tcW w:w="1952" w:type="dxa"/>
            <w:tcBorders>
              <w:top w:val="single" w:sz="4" w:space="0" w:color="auto"/>
              <w:left w:val="nil"/>
              <w:bottom w:val="single" w:sz="4" w:space="0" w:color="auto"/>
              <w:right w:val="single" w:sz="4" w:space="0" w:color="auto"/>
            </w:tcBorders>
            <w:shd w:val="clear" w:color="auto" w:fill="C6EFCE"/>
            <w:noWrap/>
          </w:tcPr>
          <w:p w14:paraId="655E8791" w14:textId="0DED2EFF" w:rsidR="003A3D51" w:rsidRDefault="0002775A">
            <w:pPr>
              <w:pStyle w:val="P68B1DB1-Normal17"/>
              <w:spacing w:after="200" w:line="276" w:lineRule="auto"/>
              <w:rPr>
                <w:rFonts w:ascii="Calibri" w:hAnsi="Calibri" w:cs="Arial"/>
                <w:noProof/>
                <w:color w:val="000000"/>
              </w:rPr>
            </w:pPr>
            <w:r>
              <w:rPr>
                <w:noProof/>
                <w:color w:val="000000"/>
              </w:rPr>
              <w:t>Bestämmelse i en rättsakt om inrättande av en rättslig ram för biogasproduktion, med angivande av dess ikraftträdande</w:t>
            </w:r>
            <w:r>
              <w:rPr>
                <w:noProof/>
              </w:rPr>
              <w:t xml:space="preserve"> </w:t>
            </w:r>
          </w:p>
        </w:tc>
        <w:tc>
          <w:tcPr>
            <w:tcW w:w="1131" w:type="dxa"/>
            <w:tcBorders>
              <w:top w:val="single" w:sz="4" w:space="0" w:color="auto"/>
              <w:left w:val="nil"/>
              <w:bottom w:val="single" w:sz="4" w:space="0" w:color="auto"/>
              <w:right w:val="single" w:sz="4" w:space="0" w:color="auto"/>
            </w:tcBorders>
            <w:shd w:val="clear" w:color="auto" w:fill="C6EFCE"/>
            <w:noWrap/>
          </w:tcPr>
          <w:p w14:paraId="7683AB80" w14:textId="77777777" w:rsidR="003A3D51" w:rsidRDefault="003A3D51">
            <w:pPr>
              <w:spacing w:after="200" w:line="276" w:lineRule="auto"/>
              <w:jc w:val="center"/>
              <w:rPr>
                <w:rFonts w:ascii="Calibri" w:eastAsia="Calibri" w:hAnsi="Calibri" w:cs="Arial"/>
                <w:noProof/>
                <w:color w:val="000000"/>
                <w:sz w:val="20"/>
              </w:rPr>
            </w:pPr>
          </w:p>
        </w:tc>
        <w:tc>
          <w:tcPr>
            <w:tcW w:w="868" w:type="dxa"/>
            <w:tcBorders>
              <w:top w:val="single" w:sz="4" w:space="0" w:color="auto"/>
              <w:left w:val="nil"/>
              <w:bottom w:val="single" w:sz="4" w:space="0" w:color="auto"/>
              <w:right w:val="single" w:sz="4" w:space="0" w:color="auto"/>
            </w:tcBorders>
            <w:shd w:val="clear" w:color="auto" w:fill="C6EFCE"/>
            <w:noWrap/>
          </w:tcPr>
          <w:p w14:paraId="345747EF" w14:textId="77777777" w:rsidR="003A3D51" w:rsidRDefault="003A3D51">
            <w:pPr>
              <w:spacing w:after="200" w:line="276" w:lineRule="auto"/>
              <w:jc w:val="center"/>
              <w:rPr>
                <w:rFonts w:ascii="Calibri" w:eastAsia="Calibri" w:hAnsi="Calibri" w:cs="Arial"/>
                <w:noProof/>
                <w:color w:val="000000"/>
                <w:sz w:val="20"/>
              </w:rPr>
            </w:pPr>
          </w:p>
        </w:tc>
        <w:tc>
          <w:tcPr>
            <w:tcW w:w="850" w:type="dxa"/>
            <w:tcBorders>
              <w:top w:val="single" w:sz="4" w:space="0" w:color="auto"/>
              <w:left w:val="nil"/>
              <w:bottom w:val="single" w:sz="4" w:space="0" w:color="auto"/>
              <w:right w:val="single" w:sz="4" w:space="0" w:color="auto"/>
            </w:tcBorders>
            <w:shd w:val="clear" w:color="auto" w:fill="C6EFCE"/>
            <w:noWrap/>
          </w:tcPr>
          <w:p w14:paraId="136F6E2C" w14:textId="77777777" w:rsidR="003A3D51" w:rsidRDefault="003A3D51">
            <w:pPr>
              <w:spacing w:after="200" w:line="276" w:lineRule="auto"/>
              <w:jc w:val="center"/>
              <w:rPr>
                <w:rFonts w:ascii="Calibri" w:eastAsia="Calibri" w:hAnsi="Calibri" w:cs="Arial"/>
                <w:noProof/>
                <w:color w:val="000000"/>
                <w:sz w:val="20"/>
              </w:rPr>
            </w:pPr>
          </w:p>
        </w:tc>
        <w:tc>
          <w:tcPr>
            <w:tcW w:w="567" w:type="dxa"/>
            <w:tcBorders>
              <w:top w:val="single" w:sz="4" w:space="0" w:color="auto"/>
              <w:left w:val="nil"/>
              <w:bottom w:val="single" w:sz="4" w:space="0" w:color="auto"/>
              <w:right w:val="single" w:sz="4" w:space="0" w:color="auto"/>
            </w:tcBorders>
            <w:shd w:val="clear" w:color="auto" w:fill="C6EFCE"/>
            <w:noWrap/>
          </w:tcPr>
          <w:p w14:paraId="34E2595D" w14:textId="5F30A0A3" w:rsidR="003A3D51" w:rsidRDefault="0002775A">
            <w:pPr>
              <w:pStyle w:val="P68B1DB1-Normal17"/>
              <w:spacing w:after="200" w:line="276" w:lineRule="auto"/>
              <w:jc w:val="center"/>
              <w:rPr>
                <w:rFonts w:ascii="Calibri" w:hAnsi="Calibri" w:cs="Arial"/>
                <w:noProof/>
                <w:color w:val="000000"/>
              </w:rPr>
            </w:pPr>
            <w:r>
              <w:rPr>
                <w:noProof/>
              </w:rPr>
              <w:t>KVARTAL 4</w:t>
            </w:r>
          </w:p>
        </w:tc>
        <w:tc>
          <w:tcPr>
            <w:tcW w:w="567" w:type="dxa"/>
            <w:tcBorders>
              <w:top w:val="single" w:sz="4" w:space="0" w:color="auto"/>
              <w:left w:val="nil"/>
              <w:bottom w:val="single" w:sz="4" w:space="0" w:color="auto"/>
              <w:right w:val="single" w:sz="4" w:space="0" w:color="auto"/>
            </w:tcBorders>
            <w:shd w:val="clear" w:color="auto" w:fill="C6EFCE"/>
            <w:noWrap/>
          </w:tcPr>
          <w:p w14:paraId="6A8B1448" w14:textId="678F694D" w:rsidR="003A3D51" w:rsidRDefault="0002775A">
            <w:pPr>
              <w:pStyle w:val="P68B1DB1-Normal17"/>
              <w:spacing w:after="200" w:line="276" w:lineRule="auto"/>
              <w:jc w:val="center"/>
              <w:rPr>
                <w:rFonts w:ascii="Calibri" w:hAnsi="Calibri" w:cs="Arial"/>
                <w:noProof/>
                <w:color w:val="000000"/>
              </w:rPr>
            </w:pPr>
            <w:r>
              <w:rPr>
                <w:noProof/>
              </w:rPr>
              <w:t>2025</w:t>
            </w:r>
          </w:p>
        </w:tc>
        <w:tc>
          <w:tcPr>
            <w:tcW w:w="4160" w:type="dxa"/>
            <w:tcBorders>
              <w:top w:val="single" w:sz="4" w:space="0" w:color="auto"/>
              <w:left w:val="nil"/>
              <w:bottom w:val="single" w:sz="4" w:space="0" w:color="auto"/>
              <w:right w:val="single" w:sz="4" w:space="0" w:color="auto"/>
            </w:tcBorders>
            <w:shd w:val="clear" w:color="auto" w:fill="C6EFCE"/>
            <w:noWrap/>
          </w:tcPr>
          <w:p w14:paraId="749603A4" w14:textId="03C791E2" w:rsidR="003A3D51" w:rsidRDefault="0002775A">
            <w:pPr>
              <w:pStyle w:val="P68B1DB1-Normal17"/>
              <w:spacing w:after="200" w:line="276" w:lineRule="auto"/>
              <w:rPr>
                <w:rFonts w:ascii="Calibri" w:hAnsi="Calibri" w:cs="Arial"/>
                <w:noProof/>
                <w:color w:val="000000"/>
              </w:rPr>
            </w:pPr>
            <w:r>
              <w:rPr>
                <w:noProof/>
              </w:rPr>
              <w:t>Den rättsliga ramen för bedrivande av energiverksamhet inom biogasproduktion ska fastställas genom ändring i förordningen om tillstånd för utförande av energiverksamhet. I den ändrade förordningen fastställs villkoren för utförandet av energiverksamheten vid biogasproduktion.</w:t>
            </w:r>
          </w:p>
        </w:tc>
      </w:tr>
      <w:tr w:rsidR="003A3D51" w14:paraId="05765055"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BDFBD9C" w14:textId="0F640CC4" w:rsidR="003A3D51" w:rsidRDefault="0002775A">
            <w:pPr>
              <w:pStyle w:val="P68B1DB1-Normal25"/>
              <w:spacing w:after="0" w:line="276" w:lineRule="auto"/>
              <w:jc w:val="center"/>
              <w:rPr>
                <w:noProof/>
              </w:rPr>
            </w:pPr>
            <w:r>
              <w:rPr>
                <w:noProof/>
              </w:rPr>
              <w:t>417</w:t>
            </w:r>
          </w:p>
        </w:tc>
        <w:tc>
          <w:tcPr>
            <w:tcW w:w="852" w:type="dxa"/>
            <w:tcBorders>
              <w:top w:val="single" w:sz="4" w:space="0" w:color="auto"/>
              <w:left w:val="nil"/>
              <w:bottom w:val="single" w:sz="4" w:space="0" w:color="auto"/>
              <w:right w:val="single" w:sz="4" w:space="0" w:color="auto"/>
            </w:tcBorders>
            <w:shd w:val="clear" w:color="auto" w:fill="C6EFCE"/>
            <w:noWrap/>
          </w:tcPr>
          <w:p w14:paraId="2179D101" w14:textId="4665EC70" w:rsidR="003A3D51" w:rsidRDefault="0002775A">
            <w:pPr>
              <w:pStyle w:val="P68B1DB1-Normal58"/>
              <w:spacing w:after="200" w:line="276" w:lineRule="auto"/>
              <w:jc w:val="center"/>
              <w:rPr>
                <w:noProof/>
              </w:rPr>
            </w:pPr>
            <w:r>
              <w:rPr>
                <w:noProof/>
              </w:rPr>
              <w:t>C7.1 R1-I4</w:t>
            </w:r>
          </w:p>
        </w:tc>
        <w:tc>
          <w:tcPr>
            <w:tcW w:w="850" w:type="dxa"/>
            <w:tcBorders>
              <w:top w:val="single" w:sz="4" w:space="0" w:color="auto"/>
              <w:left w:val="nil"/>
              <w:bottom w:val="single" w:sz="4" w:space="0" w:color="auto"/>
              <w:right w:val="single" w:sz="4" w:space="0" w:color="auto"/>
            </w:tcBorders>
            <w:shd w:val="clear" w:color="auto" w:fill="C6EFCE"/>
            <w:noWrap/>
          </w:tcPr>
          <w:p w14:paraId="5953EA34" w14:textId="5E775032" w:rsidR="003A3D51" w:rsidRDefault="0002775A">
            <w:pPr>
              <w:pStyle w:val="P68B1DB1-Normal17"/>
              <w:spacing w:after="200" w:line="276" w:lineRule="auto"/>
              <w:jc w:val="center"/>
              <w:rPr>
                <w:rFonts w:ascii="Calibri" w:hAnsi="Calibri" w:cs="Arial"/>
                <w:noProof/>
                <w:color w:val="000000"/>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034CBABD" w14:textId="224C7C29" w:rsidR="003A3D51" w:rsidRDefault="0002775A">
            <w:pPr>
              <w:pStyle w:val="P68B1DB1-Normal17"/>
              <w:spacing w:after="200" w:line="276" w:lineRule="auto"/>
              <w:rPr>
                <w:rFonts w:ascii="Calibri" w:hAnsi="Calibri" w:cs="Arial"/>
                <w:noProof/>
                <w:color w:val="000000"/>
              </w:rPr>
            </w:pPr>
            <w:r>
              <w:rPr>
                <w:noProof/>
              </w:rPr>
              <w:t xml:space="preserve">Produktionsanläggning för biometan </w:t>
            </w:r>
          </w:p>
        </w:tc>
        <w:tc>
          <w:tcPr>
            <w:tcW w:w="1952" w:type="dxa"/>
            <w:tcBorders>
              <w:top w:val="single" w:sz="4" w:space="0" w:color="auto"/>
              <w:left w:val="nil"/>
              <w:bottom w:val="single" w:sz="4" w:space="0" w:color="auto"/>
              <w:right w:val="single" w:sz="4" w:space="0" w:color="auto"/>
            </w:tcBorders>
            <w:shd w:val="clear" w:color="auto" w:fill="C6EFCE"/>
            <w:noWrap/>
          </w:tcPr>
          <w:p w14:paraId="31A4A314" w14:textId="77777777" w:rsidR="003A3D51" w:rsidRDefault="003A3D51">
            <w:pPr>
              <w:spacing w:after="200" w:line="276" w:lineRule="auto"/>
              <w:rPr>
                <w:rFonts w:ascii="Calibri" w:eastAsia="Calibri" w:hAnsi="Calibri" w:cs="Arial"/>
                <w:noProof/>
                <w:color w:val="000000"/>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1410F583" w14:textId="6B43FD3F" w:rsidR="003A3D51" w:rsidRDefault="0002775A">
            <w:pPr>
              <w:pStyle w:val="P68B1DB1-Normal17"/>
              <w:spacing w:after="200" w:line="276" w:lineRule="auto"/>
              <w:jc w:val="center"/>
              <w:rPr>
                <w:rFonts w:ascii="Calibri" w:hAnsi="Calibri" w:cs="Arial"/>
                <w:noProof/>
                <w:color w:val="000000"/>
              </w:rPr>
            </w:pPr>
            <w:r>
              <w:rPr>
                <w:noProof/>
              </w:rPr>
              <w:t>Antal</w:t>
            </w:r>
          </w:p>
        </w:tc>
        <w:tc>
          <w:tcPr>
            <w:tcW w:w="868" w:type="dxa"/>
            <w:tcBorders>
              <w:top w:val="single" w:sz="4" w:space="0" w:color="auto"/>
              <w:left w:val="nil"/>
              <w:bottom w:val="single" w:sz="4" w:space="0" w:color="auto"/>
              <w:right w:val="single" w:sz="4" w:space="0" w:color="auto"/>
            </w:tcBorders>
            <w:shd w:val="clear" w:color="auto" w:fill="C6EFCE"/>
            <w:noWrap/>
          </w:tcPr>
          <w:p w14:paraId="69A75264" w14:textId="2A573740" w:rsidR="003A3D51" w:rsidRDefault="0002775A">
            <w:pPr>
              <w:pStyle w:val="P68B1DB1-Normal17"/>
              <w:spacing w:after="200" w:line="276" w:lineRule="auto"/>
              <w:jc w:val="center"/>
              <w:rPr>
                <w:rFonts w:ascii="Calibri" w:hAnsi="Calibri" w:cs="Arial"/>
                <w:noProof/>
                <w:color w:val="000000"/>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5310C22F" w14:textId="6EEF5250" w:rsidR="003A3D51" w:rsidRDefault="0002775A">
            <w:pPr>
              <w:pStyle w:val="P68B1DB1-Normal17"/>
              <w:spacing w:after="200" w:line="276" w:lineRule="auto"/>
              <w:jc w:val="center"/>
              <w:rPr>
                <w:rFonts w:ascii="Calibri" w:hAnsi="Calibri" w:cs="Arial"/>
                <w:noProof/>
                <w:color w:val="000000"/>
              </w:rPr>
            </w:pPr>
            <w:r>
              <w:rPr>
                <w:noProof/>
              </w:rPr>
              <w:t>1</w:t>
            </w:r>
          </w:p>
        </w:tc>
        <w:tc>
          <w:tcPr>
            <w:tcW w:w="567" w:type="dxa"/>
            <w:tcBorders>
              <w:top w:val="single" w:sz="4" w:space="0" w:color="auto"/>
              <w:left w:val="nil"/>
              <w:bottom w:val="single" w:sz="4" w:space="0" w:color="auto"/>
              <w:right w:val="single" w:sz="4" w:space="0" w:color="auto"/>
            </w:tcBorders>
            <w:shd w:val="clear" w:color="auto" w:fill="C6EFCE"/>
            <w:noWrap/>
          </w:tcPr>
          <w:p w14:paraId="44F66894" w14:textId="6E35AC83" w:rsidR="003A3D51" w:rsidRDefault="0002775A">
            <w:pPr>
              <w:pStyle w:val="P68B1DB1-Normal17"/>
              <w:spacing w:after="200" w:line="276" w:lineRule="auto"/>
              <w:jc w:val="center"/>
              <w:rPr>
                <w:rFonts w:ascii="Calibri" w:hAnsi="Calibri" w:cs="Arial"/>
                <w:noProof/>
                <w:color w:val="000000"/>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3C16D7FF" w14:textId="1C281BB2" w:rsidR="003A3D51" w:rsidRDefault="0002775A">
            <w:pPr>
              <w:pStyle w:val="P68B1DB1-Normal17"/>
              <w:spacing w:after="200" w:line="276" w:lineRule="auto"/>
              <w:jc w:val="center"/>
              <w:rPr>
                <w:rFonts w:ascii="Calibri" w:hAnsi="Calibri" w:cs="Arial"/>
                <w:noProof/>
                <w:color w:val="000000"/>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49BB4A1D" w14:textId="77777777" w:rsidR="003A3D51" w:rsidRDefault="0002775A">
            <w:pPr>
              <w:pStyle w:val="P68B1DB1-Normal13"/>
              <w:spacing w:after="200" w:line="276" w:lineRule="auto"/>
              <w:rPr>
                <w:rFonts w:eastAsia="Calibri" w:cstheme="minorHAnsi"/>
                <w:noProof/>
              </w:rPr>
            </w:pPr>
            <w:r>
              <w:rPr>
                <w:rFonts w:eastAsia="Calibri" w:cstheme="minorHAnsi"/>
                <w:noProof/>
              </w:rPr>
              <w:t xml:space="preserve">Produktionsanläggningen för biometan ska vara färdigbyggd och i drift med en årlig kapacitet på minst 4 000 000 m³ hållbar biometan som produceras i enlighet med direktiv (EU) 2018/2001 </w:t>
            </w:r>
            <w:r>
              <w:rPr>
                <w:noProof/>
              </w:rPr>
              <w:t>om förnybar energi.</w:t>
            </w:r>
            <w:r>
              <w:rPr>
                <w:rFonts w:eastAsia="Calibri" w:cstheme="minorHAnsi"/>
                <w:noProof/>
              </w:rPr>
              <w:t xml:space="preserve"> </w:t>
            </w:r>
          </w:p>
          <w:p w14:paraId="5369307F" w14:textId="31171B32" w:rsidR="003A3D51" w:rsidRDefault="0002775A">
            <w:pPr>
              <w:pStyle w:val="P68B1DB1-Normal16"/>
              <w:spacing w:after="200" w:line="276" w:lineRule="auto"/>
              <w:rPr>
                <w:rFonts w:ascii="Calibri" w:hAnsi="Calibri" w:cs="Arial"/>
                <w:noProof/>
              </w:rPr>
            </w:pPr>
            <w:r>
              <w:rPr>
                <w:noProof/>
              </w:rPr>
              <w:t>Bevis ska tillhandahållas för att produktionen inte leder till en minskning av kolsänkor.</w:t>
            </w:r>
          </w:p>
        </w:tc>
      </w:tr>
      <w:tr w:rsidR="003A3D51" w14:paraId="1155FB8F"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4DC50ED7" w14:textId="654E823E" w:rsidR="003A3D51" w:rsidRDefault="0002775A">
            <w:pPr>
              <w:pStyle w:val="P68B1DB1-Normal25"/>
              <w:spacing w:after="0" w:line="276" w:lineRule="auto"/>
              <w:jc w:val="center"/>
              <w:rPr>
                <w:noProof/>
              </w:rPr>
            </w:pPr>
            <w:r>
              <w:rPr>
                <w:noProof/>
              </w:rPr>
              <w:t>418</w:t>
            </w:r>
          </w:p>
        </w:tc>
        <w:tc>
          <w:tcPr>
            <w:tcW w:w="852" w:type="dxa"/>
            <w:tcBorders>
              <w:top w:val="single" w:sz="4" w:space="0" w:color="auto"/>
              <w:left w:val="nil"/>
              <w:bottom w:val="single" w:sz="4" w:space="0" w:color="auto"/>
              <w:right w:val="single" w:sz="4" w:space="0" w:color="auto"/>
            </w:tcBorders>
            <w:shd w:val="clear" w:color="auto" w:fill="C6EFCE"/>
            <w:noWrap/>
          </w:tcPr>
          <w:p w14:paraId="1BD73CB4" w14:textId="0356C50C" w:rsidR="003A3D51" w:rsidRDefault="0002775A">
            <w:pPr>
              <w:pStyle w:val="P68B1DB1-Normal58"/>
              <w:spacing w:after="200" w:line="276" w:lineRule="auto"/>
              <w:jc w:val="center"/>
              <w:rPr>
                <w:noProof/>
              </w:rPr>
            </w:pPr>
            <w:r>
              <w:rPr>
                <w:noProof/>
              </w:rPr>
              <w:t>C7.1 R1-I4</w:t>
            </w:r>
          </w:p>
        </w:tc>
        <w:tc>
          <w:tcPr>
            <w:tcW w:w="850" w:type="dxa"/>
            <w:tcBorders>
              <w:top w:val="single" w:sz="4" w:space="0" w:color="auto"/>
              <w:left w:val="nil"/>
              <w:bottom w:val="single" w:sz="4" w:space="0" w:color="auto"/>
              <w:right w:val="single" w:sz="4" w:space="0" w:color="auto"/>
            </w:tcBorders>
            <w:shd w:val="clear" w:color="auto" w:fill="C6EFCE"/>
            <w:noWrap/>
          </w:tcPr>
          <w:p w14:paraId="2B407CC4" w14:textId="4ACC23ED" w:rsidR="003A3D51" w:rsidRDefault="0002775A">
            <w:pPr>
              <w:pStyle w:val="P68B1DB1-Normal17"/>
              <w:spacing w:after="200" w:line="276" w:lineRule="auto"/>
              <w:jc w:val="center"/>
              <w:rPr>
                <w:rFonts w:ascii="Calibri" w:hAnsi="Calibri" w:cs="Arial"/>
                <w:noProof/>
                <w:color w:val="000000"/>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63FF2798" w14:textId="148B1FA8" w:rsidR="003A3D51" w:rsidRDefault="0002775A">
            <w:pPr>
              <w:pStyle w:val="P68B1DB1-Normal17"/>
              <w:spacing w:after="200" w:line="276" w:lineRule="auto"/>
              <w:rPr>
                <w:rFonts w:ascii="Calibri" w:hAnsi="Calibri" w:cs="Arial"/>
                <w:noProof/>
                <w:color w:val="000000"/>
              </w:rPr>
            </w:pPr>
            <w:r>
              <w:rPr>
                <w:noProof/>
              </w:rPr>
              <w:t>Laddningsinfrastruktur för elbussar</w:t>
            </w:r>
          </w:p>
        </w:tc>
        <w:tc>
          <w:tcPr>
            <w:tcW w:w="1952" w:type="dxa"/>
            <w:tcBorders>
              <w:top w:val="single" w:sz="4" w:space="0" w:color="auto"/>
              <w:left w:val="nil"/>
              <w:bottom w:val="single" w:sz="4" w:space="0" w:color="auto"/>
              <w:right w:val="single" w:sz="4" w:space="0" w:color="auto"/>
            </w:tcBorders>
            <w:shd w:val="clear" w:color="auto" w:fill="C6EFCE"/>
            <w:noWrap/>
          </w:tcPr>
          <w:p w14:paraId="4E9EDB7E" w14:textId="77777777" w:rsidR="003A3D51" w:rsidRDefault="003A3D51">
            <w:pPr>
              <w:spacing w:after="200" w:line="276" w:lineRule="auto"/>
              <w:rPr>
                <w:rFonts w:ascii="Calibri" w:eastAsia="Calibri" w:hAnsi="Calibri" w:cs="Arial"/>
                <w:noProof/>
                <w:color w:val="000000"/>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3F57527B" w14:textId="384A1A5E" w:rsidR="003A3D51" w:rsidRDefault="0002775A">
            <w:pPr>
              <w:pStyle w:val="P68B1DB1-Normal17"/>
              <w:spacing w:after="200" w:line="276" w:lineRule="auto"/>
              <w:jc w:val="center"/>
              <w:rPr>
                <w:rFonts w:ascii="Calibri" w:hAnsi="Calibri" w:cs="Arial"/>
                <w:noProof/>
                <w:color w:val="000000"/>
              </w:rPr>
            </w:pPr>
            <w:r>
              <w:rPr>
                <w:noProof/>
              </w:rPr>
              <w:t>Antal</w:t>
            </w:r>
          </w:p>
        </w:tc>
        <w:tc>
          <w:tcPr>
            <w:tcW w:w="868" w:type="dxa"/>
            <w:tcBorders>
              <w:top w:val="single" w:sz="4" w:space="0" w:color="auto"/>
              <w:left w:val="nil"/>
              <w:bottom w:val="single" w:sz="4" w:space="0" w:color="auto"/>
              <w:right w:val="single" w:sz="4" w:space="0" w:color="auto"/>
            </w:tcBorders>
            <w:shd w:val="clear" w:color="auto" w:fill="C6EFCE"/>
            <w:noWrap/>
          </w:tcPr>
          <w:p w14:paraId="14040D21" w14:textId="0DE253AE" w:rsidR="003A3D51" w:rsidRDefault="0002775A">
            <w:pPr>
              <w:pStyle w:val="P68B1DB1-Normal17"/>
              <w:spacing w:after="200" w:line="276" w:lineRule="auto"/>
              <w:jc w:val="center"/>
              <w:rPr>
                <w:rFonts w:ascii="Calibri" w:hAnsi="Calibri" w:cs="Arial"/>
                <w:noProof/>
                <w:color w:val="000000"/>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7A7879A9" w14:textId="3EB0F149" w:rsidR="003A3D51" w:rsidRDefault="0002775A">
            <w:pPr>
              <w:pStyle w:val="P68B1DB1-Normal17"/>
              <w:spacing w:after="200" w:line="276" w:lineRule="auto"/>
              <w:jc w:val="center"/>
              <w:rPr>
                <w:rFonts w:ascii="Calibri" w:hAnsi="Calibri" w:cs="Arial"/>
                <w:noProof/>
                <w:color w:val="000000"/>
              </w:rPr>
            </w:pPr>
            <w:r>
              <w:rPr>
                <w:noProof/>
              </w:rPr>
              <w:t>150</w:t>
            </w:r>
          </w:p>
        </w:tc>
        <w:tc>
          <w:tcPr>
            <w:tcW w:w="567" w:type="dxa"/>
            <w:tcBorders>
              <w:top w:val="single" w:sz="4" w:space="0" w:color="auto"/>
              <w:left w:val="nil"/>
              <w:bottom w:val="single" w:sz="4" w:space="0" w:color="auto"/>
              <w:right w:val="single" w:sz="4" w:space="0" w:color="auto"/>
            </w:tcBorders>
            <w:shd w:val="clear" w:color="auto" w:fill="C6EFCE"/>
            <w:noWrap/>
          </w:tcPr>
          <w:p w14:paraId="7AE03DF4" w14:textId="25254467" w:rsidR="003A3D51" w:rsidRDefault="0002775A">
            <w:pPr>
              <w:pStyle w:val="P68B1DB1-Normal17"/>
              <w:spacing w:after="200" w:line="276" w:lineRule="auto"/>
              <w:jc w:val="center"/>
              <w:rPr>
                <w:rFonts w:ascii="Calibri" w:hAnsi="Calibri" w:cs="Arial"/>
                <w:noProof/>
                <w:color w:val="000000"/>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07B5B9B2" w14:textId="21BDF6D1" w:rsidR="003A3D51" w:rsidRDefault="0002775A">
            <w:pPr>
              <w:pStyle w:val="P68B1DB1-Normal17"/>
              <w:spacing w:after="200" w:line="276" w:lineRule="auto"/>
              <w:jc w:val="center"/>
              <w:rPr>
                <w:rFonts w:ascii="Calibri" w:hAnsi="Calibri" w:cs="Arial"/>
                <w:noProof/>
                <w:color w:val="000000"/>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61A1A579" w14:textId="0FB269C6" w:rsidR="003A3D51" w:rsidRDefault="0002775A">
            <w:pPr>
              <w:pStyle w:val="P68B1DB1-Normal7"/>
              <w:spacing w:after="200" w:line="276" w:lineRule="auto"/>
              <w:rPr>
                <w:noProof/>
              </w:rPr>
            </w:pPr>
            <w:r>
              <w:rPr>
                <w:noProof/>
              </w:rPr>
              <w:t>Efter en offentlig ansökningsomgång för finansiering av utbyggnaden av laddningsinfrastruktur för elbussar till ett belopp av 50 000 000 EUR ska minst 150 laddningsstationer färdigställas.</w:t>
            </w:r>
          </w:p>
        </w:tc>
      </w:tr>
      <w:tr w:rsidR="003A3D51" w14:paraId="6147CF8C"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8309341" w14:textId="2A061909" w:rsidR="003A3D51" w:rsidRDefault="0002775A">
            <w:pPr>
              <w:pStyle w:val="P68B1DB1-Normal25"/>
              <w:spacing w:after="0" w:line="276" w:lineRule="auto"/>
              <w:jc w:val="center"/>
              <w:rPr>
                <w:noProof/>
              </w:rPr>
            </w:pPr>
            <w:r>
              <w:rPr>
                <w:noProof/>
              </w:rPr>
              <w:t>55</w:t>
            </w:r>
          </w:p>
        </w:tc>
        <w:tc>
          <w:tcPr>
            <w:tcW w:w="852" w:type="dxa"/>
            <w:tcBorders>
              <w:top w:val="single" w:sz="4" w:space="0" w:color="auto"/>
              <w:left w:val="nil"/>
              <w:bottom w:val="single" w:sz="4" w:space="0" w:color="auto"/>
              <w:right w:val="single" w:sz="4" w:space="0" w:color="auto"/>
            </w:tcBorders>
            <w:shd w:val="clear" w:color="auto" w:fill="C6EFCE"/>
            <w:noWrap/>
          </w:tcPr>
          <w:p w14:paraId="3A8E051F" w14:textId="381A75B1" w:rsidR="003A3D51" w:rsidRDefault="0002775A">
            <w:pPr>
              <w:pStyle w:val="P68B1DB1-Normal58"/>
              <w:spacing w:after="200" w:line="276" w:lineRule="auto"/>
              <w:jc w:val="center"/>
              <w:rPr>
                <w:noProof/>
              </w:rPr>
            </w:pPr>
            <w:r>
              <w:rPr>
                <w:noProof/>
              </w:rPr>
              <w:t>C7.1 R1-I5</w:t>
            </w:r>
          </w:p>
        </w:tc>
        <w:tc>
          <w:tcPr>
            <w:tcW w:w="850" w:type="dxa"/>
            <w:tcBorders>
              <w:top w:val="single" w:sz="4" w:space="0" w:color="auto"/>
              <w:left w:val="nil"/>
              <w:bottom w:val="single" w:sz="4" w:space="0" w:color="auto"/>
              <w:right w:val="single" w:sz="4" w:space="0" w:color="auto"/>
            </w:tcBorders>
            <w:shd w:val="clear" w:color="auto" w:fill="C6EFCE"/>
            <w:noWrap/>
          </w:tcPr>
          <w:p w14:paraId="75674E4D" w14:textId="77777777" w:rsidR="003A3D51" w:rsidRDefault="0002775A">
            <w:pPr>
              <w:pStyle w:val="P68B1DB1-Normal7"/>
              <w:spacing w:after="200" w:line="276" w:lineRule="auto"/>
              <w:jc w:val="center"/>
              <w:rPr>
                <w:rFonts w:cstheme="minorHAnsi"/>
                <w:noProof/>
              </w:rPr>
            </w:pPr>
            <w:r>
              <w:rPr>
                <w:noProof/>
              </w:rPr>
              <w:t>M</w:t>
            </w:r>
          </w:p>
        </w:tc>
        <w:tc>
          <w:tcPr>
            <w:tcW w:w="2552" w:type="dxa"/>
            <w:tcBorders>
              <w:top w:val="single" w:sz="4" w:space="0" w:color="auto"/>
              <w:left w:val="nil"/>
              <w:bottom w:val="single" w:sz="4" w:space="0" w:color="auto"/>
              <w:right w:val="single" w:sz="4" w:space="0" w:color="auto"/>
            </w:tcBorders>
            <w:shd w:val="clear" w:color="auto" w:fill="C6EFCE"/>
            <w:noWrap/>
          </w:tcPr>
          <w:p w14:paraId="1733CA39" w14:textId="77777777" w:rsidR="003A3D51" w:rsidRDefault="0002775A">
            <w:pPr>
              <w:pStyle w:val="P68B1DB1-Normal7"/>
              <w:spacing w:after="200" w:line="276" w:lineRule="auto"/>
              <w:rPr>
                <w:rFonts w:cstheme="minorHAnsi"/>
                <w:noProof/>
              </w:rPr>
            </w:pPr>
            <w:r>
              <w:rPr>
                <w:noProof/>
              </w:rPr>
              <w:t>Plan för produktion och användning av biodrivmedel inom transportsektorn antagen</w:t>
            </w:r>
          </w:p>
        </w:tc>
        <w:tc>
          <w:tcPr>
            <w:tcW w:w="1952" w:type="dxa"/>
            <w:tcBorders>
              <w:top w:val="single" w:sz="4" w:space="0" w:color="auto"/>
              <w:left w:val="nil"/>
              <w:bottom w:val="single" w:sz="4" w:space="0" w:color="auto"/>
              <w:right w:val="single" w:sz="4" w:space="0" w:color="auto"/>
            </w:tcBorders>
            <w:shd w:val="clear" w:color="auto" w:fill="C6EFCE"/>
            <w:noWrap/>
          </w:tcPr>
          <w:p w14:paraId="38E1B610" w14:textId="77777777" w:rsidR="003A3D51" w:rsidRDefault="0002775A">
            <w:pPr>
              <w:pStyle w:val="P68B1DB1-Normal7"/>
              <w:spacing w:after="200" w:line="276" w:lineRule="auto"/>
              <w:rPr>
                <w:rFonts w:cstheme="minorHAnsi"/>
                <w:noProof/>
              </w:rPr>
            </w:pPr>
            <w:r>
              <w:rPr>
                <w:noProof/>
              </w:rPr>
              <w:t>Ikraftträdande av planen och programmet för produktion och användning av biodrivmedel inom transportsektorn</w:t>
            </w:r>
          </w:p>
        </w:tc>
        <w:tc>
          <w:tcPr>
            <w:tcW w:w="1131" w:type="dxa"/>
            <w:tcBorders>
              <w:top w:val="single" w:sz="4" w:space="0" w:color="auto"/>
              <w:left w:val="nil"/>
              <w:bottom w:val="single" w:sz="4" w:space="0" w:color="auto"/>
              <w:right w:val="single" w:sz="4" w:space="0" w:color="auto"/>
            </w:tcBorders>
            <w:shd w:val="clear" w:color="auto" w:fill="C6EFCE"/>
            <w:noWrap/>
          </w:tcPr>
          <w:p w14:paraId="461256FC" w14:textId="77777777" w:rsidR="003A3D51" w:rsidRDefault="0002775A">
            <w:pPr>
              <w:pStyle w:val="P68B1DB1-Normal7"/>
              <w:spacing w:after="200" w:line="276" w:lineRule="auto"/>
              <w:jc w:val="center"/>
              <w:rPr>
                <w:rFonts w:cstheme="minorHAnsi"/>
                <w:noProof/>
              </w:rPr>
            </w:pPr>
            <w:r>
              <w:rPr>
                <w:noProof/>
              </w:rPr>
              <w:t> </w:t>
            </w:r>
          </w:p>
        </w:tc>
        <w:tc>
          <w:tcPr>
            <w:tcW w:w="868" w:type="dxa"/>
            <w:tcBorders>
              <w:top w:val="single" w:sz="4" w:space="0" w:color="auto"/>
              <w:left w:val="nil"/>
              <w:bottom w:val="single" w:sz="4" w:space="0" w:color="auto"/>
              <w:right w:val="single" w:sz="4" w:space="0" w:color="auto"/>
            </w:tcBorders>
            <w:shd w:val="clear" w:color="auto" w:fill="C6EFCE"/>
            <w:noWrap/>
          </w:tcPr>
          <w:p w14:paraId="489FCCDA" w14:textId="77777777" w:rsidR="003A3D51" w:rsidRDefault="0002775A">
            <w:pPr>
              <w:pStyle w:val="P68B1DB1-Normal7"/>
              <w:spacing w:after="200" w:line="276" w:lineRule="auto"/>
              <w:jc w:val="center"/>
              <w:rPr>
                <w:rFonts w:cstheme="minorHAnsi"/>
                <w:noProof/>
              </w:rPr>
            </w:pPr>
            <w:r>
              <w:rPr>
                <w:noProof/>
              </w:rPr>
              <w:t> </w:t>
            </w:r>
          </w:p>
        </w:tc>
        <w:tc>
          <w:tcPr>
            <w:tcW w:w="850" w:type="dxa"/>
            <w:tcBorders>
              <w:top w:val="single" w:sz="4" w:space="0" w:color="auto"/>
              <w:left w:val="nil"/>
              <w:bottom w:val="single" w:sz="4" w:space="0" w:color="auto"/>
              <w:right w:val="single" w:sz="4" w:space="0" w:color="auto"/>
            </w:tcBorders>
            <w:shd w:val="clear" w:color="auto" w:fill="C6EFCE"/>
            <w:noWrap/>
          </w:tcPr>
          <w:p w14:paraId="35828FBA" w14:textId="77777777" w:rsidR="003A3D51" w:rsidRDefault="0002775A">
            <w:pPr>
              <w:pStyle w:val="P68B1DB1-Normal7"/>
              <w:spacing w:after="200" w:line="276" w:lineRule="auto"/>
              <w:jc w:val="center"/>
              <w:rPr>
                <w:rFonts w:cstheme="minorHAnsi"/>
                <w:noProof/>
              </w:rPr>
            </w:pPr>
            <w:r>
              <w:rPr>
                <w:noProof/>
              </w:rPr>
              <w:t> </w:t>
            </w:r>
          </w:p>
        </w:tc>
        <w:tc>
          <w:tcPr>
            <w:tcW w:w="567" w:type="dxa"/>
            <w:tcBorders>
              <w:top w:val="single" w:sz="4" w:space="0" w:color="auto"/>
              <w:left w:val="nil"/>
              <w:bottom w:val="single" w:sz="4" w:space="0" w:color="auto"/>
              <w:right w:val="single" w:sz="4" w:space="0" w:color="auto"/>
            </w:tcBorders>
            <w:shd w:val="clear" w:color="auto" w:fill="C6EFCE"/>
            <w:noWrap/>
          </w:tcPr>
          <w:p w14:paraId="6CD0A5D0" w14:textId="77777777" w:rsidR="003A3D51" w:rsidRDefault="0002775A">
            <w:pPr>
              <w:pStyle w:val="P68B1DB1-Normal7"/>
              <w:spacing w:after="200" w:line="276" w:lineRule="auto"/>
              <w:jc w:val="center"/>
              <w:rPr>
                <w:rFonts w:cstheme="minorHAnsi"/>
                <w:noProof/>
              </w:rPr>
            </w:pPr>
            <w:r>
              <w:rPr>
                <w:noProof/>
              </w:rPr>
              <w:t>KVARTAL 4</w:t>
            </w:r>
          </w:p>
        </w:tc>
        <w:tc>
          <w:tcPr>
            <w:tcW w:w="567" w:type="dxa"/>
            <w:tcBorders>
              <w:top w:val="single" w:sz="4" w:space="0" w:color="auto"/>
              <w:left w:val="nil"/>
              <w:bottom w:val="single" w:sz="4" w:space="0" w:color="auto"/>
              <w:right w:val="single" w:sz="4" w:space="0" w:color="auto"/>
            </w:tcBorders>
            <w:shd w:val="clear" w:color="auto" w:fill="C6EFCE"/>
            <w:noWrap/>
          </w:tcPr>
          <w:p w14:paraId="1B761533" w14:textId="77777777" w:rsidR="003A3D51" w:rsidRDefault="0002775A">
            <w:pPr>
              <w:pStyle w:val="P68B1DB1-Normal7"/>
              <w:spacing w:after="200" w:line="276" w:lineRule="auto"/>
              <w:jc w:val="center"/>
              <w:rPr>
                <w:rFonts w:cstheme="minorHAnsi"/>
                <w:noProof/>
              </w:rPr>
            </w:pPr>
            <w:r>
              <w:rPr>
                <w:noProof/>
              </w:rPr>
              <w:t>2023</w:t>
            </w:r>
          </w:p>
        </w:tc>
        <w:tc>
          <w:tcPr>
            <w:tcW w:w="4160" w:type="dxa"/>
            <w:tcBorders>
              <w:top w:val="single" w:sz="4" w:space="0" w:color="auto"/>
              <w:left w:val="nil"/>
              <w:bottom w:val="single" w:sz="4" w:space="0" w:color="auto"/>
              <w:right w:val="single" w:sz="4" w:space="0" w:color="auto"/>
            </w:tcBorders>
            <w:shd w:val="clear" w:color="auto" w:fill="C6EFCE"/>
            <w:noWrap/>
          </w:tcPr>
          <w:p w14:paraId="1C180A17" w14:textId="77777777" w:rsidR="003A3D51" w:rsidRDefault="0002775A">
            <w:pPr>
              <w:pStyle w:val="P68B1DB1-Normal7"/>
              <w:spacing w:after="200" w:line="276" w:lineRule="auto"/>
              <w:rPr>
                <w:rFonts w:cstheme="minorHAnsi"/>
                <w:noProof/>
              </w:rPr>
            </w:pPr>
            <w:r>
              <w:rPr>
                <w:noProof/>
              </w:rPr>
              <w:t>Planen för produktion och användning av biodrivmedel inom transportsektorn ska träda i kraft. Planen ska innehålla en politik för att främja produktion och användning av avancerade biodrivmedel inom transportsektorn i Republiken Kroatien. Planen ska innehålla en fortlöpande översyn och bedömning av läget på marknaden för biodrivmedel, nya affärsmodeller, intressenter och åtgärder för att främja ökad produktion och användning av avancerade biodrivmedel inom transportsektorn.</w:t>
            </w:r>
          </w:p>
        </w:tc>
      </w:tr>
      <w:tr w:rsidR="003A3D51" w14:paraId="154E8085"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1AF21ABC" w14:textId="6988A271" w:rsidR="003A3D51" w:rsidRDefault="0002775A">
            <w:pPr>
              <w:pStyle w:val="P68B1DB1-Normal25"/>
              <w:spacing w:after="0" w:line="276" w:lineRule="auto"/>
              <w:jc w:val="center"/>
              <w:rPr>
                <w:rFonts w:eastAsia="Calibri"/>
                <w:noProof/>
              </w:rPr>
            </w:pPr>
            <w:r>
              <w:rPr>
                <w:noProof/>
              </w:rPr>
              <w:t>57</w:t>
            </w:r>
          </w:p>
        </w:tc>
        <w:tc>
          <w:tcPr>
            <w:tcW w:w="852" w:type="dxa"/>
            <w:tcBorders>
              <w:top w:val="single" w:sz="4" w:space="0" w:color="auto"/>
              <w:left w:val="nil"/>
              <w:bottom w:val="single" w:sz="4" w:space="0" w:color="auto"/>
              <w:right w:val="single" w:sz="4" w:space="0" w:color="auto"/>
            </w:tcBorders>
            <w:shd w:val="clear" w:color="auto" w:fill="C6EFCE"/>
            <w:noWrap/>
          </w:tcPr>
          <w:p w14:paraId="54F84ED9" w14:textId="416FBCEC" w:rsidR="003A3D51" w:rsidRDefault="0002775A">
            <w:pPr>
              <w:pStyle w:val="P68B1DB1-Normal58"/>
              <w:spacing w:after="200" w:line="276" w:lineRule="auto"/>
              <w:jc w:val="center"/>
              <w:rPr>
                <w:rFonts w:eastAsia="Calibri"/>
                <w:noProof/>
              </w:rPr>
            </w:pPr>
            <w:r>
              <w:rPr>
                <w:noProof/>
              </w:rPr>
              <w:t>C7.1 R1-I5</w:t>
            </w:r>
          </w:p>
        </w:tc>
        <w:tc>
          <w:tcPr>
            <w:tcW w:w="850" w:type="dxa"/>
            <w:tcBorders>
              <w:top w:val="single" w:sz="4" w:space="0" w:color="auto"/>
              <w:left w:val="nil"/>
              <w:bottom w:val="single" w:sz="4" w:space="0" w:color="auto"/>
              <w:right w:val="single" w:sz="4" w:space="0" w:color="auto"/>
            </w:tcBorders>
            <w:shd w:val="clear" w:color="auto" w:fill="C6EFCE"/>
            <w:noWrap/>
          </w:tcPr>
          <w:p w14:paraId="54F5CFA5" w14:textId="77777777" w:rsidR="003A3D51" w:rsidRDefault="0002775A">
            <w:pPr>
              <w:pStyle w:val="P68B1DB1-Normal17"/>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752BCD99" w14:textId="77777777" w:rsidR="003A3D51" w:rsidRDefault="0002775A">
            <w:pPr>
              <w:pStyle w:val="P68B1DB1-Normal16"/>
              <w:spacing w:after="200" w:line="276" w:lineRule="auto"/>
              <w:rPr>
                <w:noProof/>
              </w:rPr>
            </w:pPr>
            <w:r>
              <w:rPr>
                <w:noProof/>
              </w:rPr>
              <w:t>Bioraffinaderier byggda och i drift</w:t>
            </w:r>
          </w:p>
        </w:tc>
        <w:tc>
          <w:tcPr>
            <w:tcW w:w="1952" w:type="dxa"/>
            <w:tcBorders>
              <w:top w:val="single" w:sz="4" w:space="0" w:color="auto"/>
              <w:left w:val="nil"/>
              <w:bottom w:val="single" w:sz="4" w:space="0" w:color="auto"/>
              <w:right w:val="single" w:sz="4" w:space="0" w:color="auto"/>
            </w:tcBorders>
            <w:shd w:val="clear" w:color="auto" w:fill="C6EFCE"/>
            <w:noWrap/>
          </w:tcPr>
          <w:p w14:paraId="2C7B4C90"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1134EC09" w14:textId="77777777" w:rsidR="003A3D51" w:rsidRDefault="0002775A">
            <w:pPr>
              <w:pStyle w:val="P68B1DB1-Normal16"/>
              <w:spacing w:after="200" w:line="276" w:lineRule="auto"/>
              <w:jc w:val="center"/>
              <w:rPr>
                <w:noProof/>
              </w:rPr>
            </w:pPr>
            <w:r>
              <w:rPr>
                <w:noProof/>
              </w:rPr>
              <w:t>Antal</w:t>
            </w:r>
          </w:p>
        </w:tc>
        <w:tc>
          <w:tcPr>
            <w:tcW w:w="868" w:type="dxa"/>
            <w:tcBorders>
              <w:top w:val="single" w:sz="4" w:space="0" w:color="auto"/>
              <w:left w:val="nil"/>
              <w:bottom w:val="single" w:sz="4" w:space="0" w:color="auto"/>
              <w:right w:val="single" w:sz="4" w:space="0" w:color="auto"/>
            </w:tcBorders>
            <w:shd w:val="clear" w:color="auto" w:fill="C6EFCE"/>
            <w:noWrap/>
          </w:tcPr>
          <w:p w14:paraId="364FBFD4" w14:textId="77777777" w:rsidR="003A3D51" w:rsidRDefault="0002775A">
            <w:pPr>
              <w:pStyle w:val="P68B1DB1-Normal16"/>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2C7F0873" w14:textId="77777777" w:rsidR="003A3D51" w:rsidRDefault="0002775A">
            <w:pPr>
              <w:pStyle w:val="P68B1DB1-Normal16"/>
              <w:spacing w:after="200" w:line="276" w:lineRule="auto"/>
              <w:jc w:val="center"/>
              <w:rPr>
                <w:noProof/>
              </w:rPr>
            </w:pPr>
            <w:r>
              <w:rPr>
                <w:noProof/>
              </w:rPr>
              <w:t>1</w:t>
            </w:r>
          </w:p>
        </w:tc>
        <w:tc>
          <w:tcPr>
            <w:tcW w:w="567" w:type="dxa"/>
            <w:tcBorders>
              <w:top w:val="single" w:sz="4" w:space="0" w:color="auto"/>
              <w:left w:val="nil"/>
              <w:bottom w:val="single" w:sz="4" w:space="0" w:color="auto"/>
              <w:right w:val="single" w:sz="4" w:space="0" w:color="auto"/>
            </w:tcBorders>
            <w:shd w:val="clear" w:color="auto" w:fill="C6EFCE"/>
            <w:noWrap/>
          </w:tcPr>
          <w:p w14:paraId="2073F4DA" w14:textId="77777777" w:rsidR="003A3D51" w:rsidRDefault="0002775A">
            <w:pPr>
              <w:pStyle w:val="P68B1DB1-Normal16"/>
              <w:spacing w:after="200" w:line="276" w:lineRule="auto"/>
              <w:jc w:val="center"/>
              <w:rPr>
                <w:noProof/>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1B851734" w14:textId="77777777" w:rsidR="003A3D51" w:rsidRDefault="0002775A">
            <w:pPr>
              <w:pStyle w:val="P68B1DB1-Normal16"/>
              <w:spacing w:after="200" w:line="276" w:lineRule="auto"/>
              <w:jc w:val="center"/>
              <w:rPr>
                <w:noProof/>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5BD7EEB8" w14:textId="4CBCDE43" w:rsidR="003A3D51" w:rsidRDefault="0002775A">
            <w:pPr>
              <w:pStyle w:val="P68B1DB1-Normal16"/>
              <w:spacing w:after="200" w:line="276" w:lineRule="auto"/>
              <w:rPr>
                <w:noProof/>
              </w:rPr>
            </w:pPr>
            <w:r>
              <w:rPr>
                <w:noProof/>
              </w:rPr>
              <w:t>Ett bioraffinaderi ska byggas och drivas med en årlig produktionskapacitet på 55 000 ton avancerad bioetanol.</w:t>
            </w:r>
          </w:p>
          <w:p w14:paraId="05EDF7F7" w14:textId="04A79280" w:rsidR="003A3D51" w:rsidRDefault="0002775A">
            <w:pPr>
              <w:pStyle w:val="P68B1DB1-Normal16"/>
              <w:spacing w:after="200" w:line="276" w:lineRule="auto"/>
              <w:rPr>
                <w:noProof/>
              </w:rPr>
            </w:pPr>
            <w:r>
              <w:rPr>
                <w:noProof/>
              </w:rPr>
              <w:t>Det ska styrkas att projektet inte har någon betydande inverkan på luftföroreningar, markföroreningar och biologisk mångfald (på grund av den intensiva odlingen av Miscanthus).</w:t>
            </w:r>
          </w:p>
        </w:tc>
      </w:tr>
      <w:tr w:rsidR="003A3D51" w14:paraId="182AA08A"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7FA53439" w14:textId="6FA015F8" w:rsidR="003A3D51" w:rsidRDefault="0002775A">
            <w:pPr>
              <w:pStyle w:val="P68B1DB1-Normal25"/>
              <w:spacing w:after="0" w:line="276" w:lineRule="auto"/>
              <w:jc w:val="center"/>
              <w:rPr>
                <w:rFonts w:eastAsia="Calibri"/>
                <w:noProof/>
              </w:rPr>
            </w:pPr>
            <w:r>
              <w:rPr>
                <w:noProof/>
              </w:rPr>
              <w:t>419</w:t>
            </w:r>
          </w:p>
        </w:tc>
        <w:tc>
          <w:tcPr>
            <w:tcW w:w="852" w:type="dxa"/>
            <w:tcBorders>
              <w:top w:val="single" w:sz="4" w:space="0" w:color="auto"/>
              <w:left w:val="nil"/>
              <w:bottom w:val="single" w:sz="4" w:space="0" w:color="auto"/>
              <w:right w:val="single" w:sz="4" w:space="0" w:color="auto"/>
            </w:tcBorders>
            <w:shd w:val="clear" w:color="auto" w:fill="C6EFCE"/>
            <w:noWrap/>
          </w:tcPr>
          <w:p w14:paraId="7FD15A9A" w14:textId="5A010126" w:rsidR="003A3D51" w:rsidRDefault="0002775A">
            <w:pPr>
              <w:pStyle w:val="P68B1DB1-Normal58"/>
              <w:spacing w:after="200" w:line="276" w:lineRule="auto"/>
              <w:jc w:val="center"/>
              <w:rPr>
                <w:rFonts w:eastAsia="Calibri"/>
                <w:noProof/>
              </w:rPr>
            </w:pPr>
            <w:r>
              <w:rPr>
                <w:noProof/>
              </w:rPr>
              <w:t>C7.1 R1-I6</w:t>
            </w:r>
          </w:p>
        </w:tc>
        <w:tc>
          <w:tcPr>
            <w:tcW w:w="850" w:type="dxa"/>
            <w:tcBorders>
              <w:top w:val="single" w:sz="4" w:space="0" w:color="auto"/>
              <w:left w:val="nil"/>
              <w:bottom w:val="single" w:sz="4" w:space="0" w:color="auto"/>
              <w:right w:val="single" w:sz="4" w:space="0" w:color="auto"/>
            </w:tcBorders>
            <w:shd w:val="clear" w:color="auto" w:fill="C6EFCE"/>
            <w:noWrap/>
          </w:tcPr>
          <w:p w14:paraId="1D8DB55E" w14:textId="77777777" w:rsidR="003A3D51" w:rsidRDefault="0002775A">
            <w:pPr>
              <w:pStyle w:val="P68B1DB1-Normal17"/>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60738E85" w14:textId="2BABEA07" w:rsidR="003A3D51" w:rsidRDefault="0002775A">
            <w:pPr>
              <w:pStyle w:val="P68B1DB1-Normal17"/>
              <w:spacing w:after="200" w:line="276" w:lineRule="auto"/>
              <w:rPr>
                <w:noProof/>
              </w:rPr>
            </w:pPr>
            <w:r>
              <w:rPr>
                <w:noProof/>
              </w:rPr>
              <w:t>Ersättning av eltransformatorer</w:t>
            </w:r>
          </w:p>
        </w:tc>
        <w:tc>
          <w:tcPr>
            <w:tcW w:w="1952" w:type="dxa"/>
            <w:tcBorders>
              <w:top w:val="single" w:sz="4" w:space="0" w:color="auto"/>
              <w:left w:val="nil"/>
              <w:bottom w:val="single" w:sz="4" w:space="0" w:color="auto"/>
              <w:right w:val="single" w:sz="4" w:space="0" w:color="auto"/>
            </w:tcBorders>
            <w:shd w:val="clear" w:color="auto" w:fill="C6EFCE"/>
            <w:noWrap/>
          </w:tcPr>
          <w:p w14:paraId="4C2F6712"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519206D0" w14:textId="77777777" w:rsidR="003A3D51" w:rsidRDefault="0002775A">
            <w:pPr>
              <w:pStyle w:val="P68B1DB1-Normal16"/>
              <w:spacing w:after="200" w:line="276" w:lineRule="auto"/>
              <w:jc w:val="center"/>
              <w:rPr>
                <w:noProof/>
              </w:rPr>
            </w:pPr>
            <w:r>
              <w:rPr>
                <w:noProof/>
              </w:rPr>
              <w:t>Antal</w:t>
            </w:r>
          </w:p>
        </w:tc>
        <w:tc>
          <w:tcPr>
            <w:tcW w:w="868" w:type="dxa"/>
            <w:tcBorders>
              <w:top w:val="single" w:sz="4" w:space="0" w:color="auto"/>
              <w:left w:val="nil"/>
              <w:bottom w:val="single" w:sz="4" w:space="0" w:color="auto"/>
              <w:right w:val="single" w:sz="4" w:space="0" w:color="auto"/>
            </w:tcBorders>
            <w:shd w:val="clear" w:color="auto" w:fill="C6EFCE"/>
            <w:noWrap/>
          </w:tcPr>
          <w:p w14:paraId="6A1C3B44" w14:textId="77777777" w:rsidR="003A3D51" w:rsidRDefault="0002775A">
            <w:pPr>
              <w:pStyle w:val="P68B1DB1-Normal17"/>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581A9A82" w14:textId="77777777" w:rsidR="003A3D51" w:rsidRDefault="0002775A">
            <w:pPr>
              <w:pStyle w:val="P68B1DB1-Normal17"/>
              <w:spacing w:after="200" w:line="276" w:lineRule="auto"/>
              <w:jc w:val="center"/>
              <w:rPr>
                <w:noProof/>
              </w:rPr>
            </w:pPr>
            <w:r>
              <w:rPr>
                <w:noProof/>
              </w:rPr>
              <w:t>8</w:t>
            </w:r>
          </w:p>
        </w:tc>
        <w:tc>
          <w:tcPr>
            <w:tcW w:w="567" w:type="dxa"/>
            <w:tcBorders>
              <w:top w:val="single" w:sz="4" w:space="0" w:color="auto"/>
              <w:left w:val="nil"/>
              <w:bottom w:val="single" w:sz="4" w:space="0" w:color="auto"/>
              <w:right w:val="single" w:sz="4" w:space="0" w:color="auto"/>
            </w:tcBorders>
            <w:shd w:val="clear" w:color="auto" w:fill="C6EFCE"/>
            <w:noWrap/>
          </w:tcPr>
          <w:p w14:paraId="0FA66245" w14:textId="77777777" w:rsidR="003A3D51" w:rsidRDefault="0002775A">
            <w:pPr>
              <w:pStyle w:val="P68B1DB1-Normal17"/>
              <w:spacing w:after="200" w:line="276" w:lineRule="auto"/>
              <w:jc w:val="center"/>
              <w:rPr>
                <w:noProof/>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7D1499E6" w14:textId="77777777" w:rsidR="003A3D51" w:rsidRDefault="0002775A">
            <w:pPr>
              <w:pStyle w:val="P68B1DB1-Normal17"/>
              <w:spacing w:after="200" w:line="276" w:lineRule="auto"/>
              <w:jc w:val="center"/>
              <w:rPr>
                <w:noProof/>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1A610C89" w14:textId="338E8C14" w:rsidR="003A3D51" w:rsidRDefault="0002775A">
            <w:pPr>
              <w:pStyle w:val="P68B1DB1-Normal17"/>
              <w:spacing w:after="200" w:line="276" w:lineRule="auto"/>
              <w:rPr>
                <w:noProof/>
              </w:rPr>
            </w:pPr>
            <w:r>
              <w:rPr>
                <w:noProof/>
              </w:rPr>
              <w:t>Minst åtta gamla eltransformatorer i högspänningssystem (110kv/220kv/400kv) ska ersättas med nya eltransformatorer.</w:t>
            </w:r>
          </w:p>
        </w:tc>
      </w:tr>
      <w:tr w:rsidR="003A3D51" w14:paraId="65E598A3"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65D8D86" w14:textId="5B196CD2" w:rsidR="003A3D51" w:rsidRDefault="0002775A">
            <w:pPr>
              <w:pStyle w:val="P68B1DB1-Normal25"/>
              <w:spacing w:after="0" w:line="276" w:lineRule="auto"/>
              <w:jc w:val="center"/>
              <w:rPr>
                <w:noProof/>
                <w:highlight w:val="yellow"/>
              </w:rPr>
            </w:pPr>
            <w:r>
              <w:rPr>
                <w:noProof/>
              </w:rPr>
              <w:t>420</w:t>
            </w:r>
          </w:p>
        </w:tc>
        <w:tc>
          <w:tcPr>
            <w:tcW w:w="852" w:type="dxa"/>
            <w:tcBorders>
              <w:top w:val="single" w:sz="4" w:space="0" w:color="auto"/>
              <w:left w:val="nil"/>
              <w:bottom w:val="single" w:sz="4" w:space="0" w:color="auto"/>
              <w:right w:val="single" w:sz="4" w:space="0" w:color="auto"/>
            </w:tcBorders>
            <w:shd w:val="clear" w:color="auto" w:fill="C6EFCE"/>
            <w:noWrap/>
          </w:tcPr>
          <w:p w14:paraId="3E0B1AC8" w14:textId="2229A82C" w:rsidR="003A3D51" w:rsidRDefault="0002775A">
            <w:pPr>
              <w:pStyle w:val="P68B1DB1-Normal58"/>
              <w:spacing w:after="200" w:line="276" w:lineRule="auto"/>
              <w:jc w:val="center"/>
              <w:rPr>
                <w:noProof/>
              </w:rPr>
            </w:pPr>
            <w:r>
              <w:rPr>
                <w:noProof/>
              </w:rPr>
              <w:t>C7.1 R1-I6</w:t>
            </w:r>
          </w:p>
        </w:tc>
        <w:tc>
          <w:tcPr>
            <w:tcW w:w="850" w:type="dxa"/>
            <w:tcBorders>
              <w:top w:val="single" w:sz="4" w:space="0" w:color="auto"/>
              <w:left w:val="nil"/>
              <w:bottom w:val="single" w:sz="4" w:space="0" w:color="auto"/>
              <w:right w:val="single" w:sz="4" w:space="0" w:color="auto"/>
            </w:tcBorders>
            <w:shd w:val="clear" w:color="auto" w:fill="C6EFCE"/>
            <w:noWrap/>
          </w:tcPr>
          <w:p w14:paraId="4B0F40F9" w14:textId="1430AF88" w:rsidR="003A3D51" w:rsidRDefault="0002775A">
            <w:pPr>
              <w:pStyle w:val="P68B1DB1-Normal29"/>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233C73E4" w14:textId="77777777" w:rsidR="003A3D51" w:rsidRDefault="0002775A">
            <w:pPr>
              <w:pStyle w:val="P68B1DB1-Normal17"/>
              <w:spacing w:after="200" w:line="276" w:lineRule="auto"/>
              <w:rPr>
                <w:noProof/>
              </w:rPr>
            </w:pPr>
            <w:r>
              <w:rPr>
                <w:noProof/>
              </w:rPr>
              <w:t xml:space="preserve">Ombyggnad av elektriska understationer </w:t>
            </w:r>
          </w:p>
        </w:tc>
        <w:tc>
          <w:tcPr>
            <w:tcW w:w="1952" w:type="dxa"/>
            <w:tcBorders>
              <w:top w:val="single" w:sz="4" w:space="0" w:color="auto"/>
              <w:left w:val="nil"/>
              <w:bottom w:val="single" w:sz="4" w:space="0" w:color="auto"/>
              <w:right w:val="single" w:sz="4" w:space="0" w:color="auto"/>
            </w:tcBorders>
            <w:shd w:val="clear" w:color="auto" w:fill="C6EFCE"/>
            <w:noWrap/>
          </w:tcPr>
          <w:p w14:paraId="6136A6BA"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08A7108E" w14:textId="77777777" w:rsidR="003A3D51" w:rsidRDefault="0002775A">
            <w:pPr>
              <w:pStyle w:val="P68B1DB1-Normal16"/>
              <w:spacing w:after="200" w:line="276" w:lineRule="auto"/>
              <w:jc w:val="center"/>
              <w:rPr>
                <w:noProof/>
              </w:rPr>
            </w:pPr>
            <w:r>
              <w:rPr>
                <w:noProof/>
              </w:rPr>
              <w:t>Antal</w:t>
            </w:r>
          </w:p>
        </w:tc>
        <w:tc>
          <w:tcPr>
            <w:tcW w:w="868" w:type="dxa"/>
            <w:tcBorders>
              <w:top w:val="single" w:sz="4" w:space="0" w:color="auto"/>
              <w:left w:val="nil"/>
              <w:bottom w:val="single" w:sz="4" w:space="0" w:color="auto"/>
              <w:right w:val="single" w:sz="4" w:space="0" w:color="auto"/>
            </w:tcBorders>
            <w:shd w:val="clear" w:color="auto" w:fill="C6EFCE"/>
            <w:noWrap/>
          </w:tcPr>
          <w:p w14:paraId="0C32C90B" w14:textId="77777777" w:rsidR="003A3D51" w:rsidRDefault="0002775A">
            <w:pPr>
              <w:pStyle w:val="P68B1DB1-Normal17"/>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135759FB" w14:textId="77777777" w:rsidR="003A3D51" w:rsidRDefault="0002775A">
            <w:pPr>
              <w:pStyle w:val="P68B1DB1-Normal17"/>
              <w:spacing w:after="200" w:line="276" w:lineRule="auto"/>
              <w:jc w:val="center"/>
              <w:rPr>
                <w:noProof/>
                <w:highlight w:val="yellow"/>
              </w:rPr>
            </w:pPr>
            <w:r>
              <w:rPr>
                <w:noProof/>
              </w:rPr>
              <w:t>2</w:t>
            </w:r>
          </w:p>
        </w:tc>
        <w:tc>
          <w:tcPr>
            <w:tcW w:w="567" w:type="dxa"/>
            <w:tcBorders>
              <w:top w:val="single" w:sz="4" w:space="0" w:color="auto"/>
              <w:left w:val="nil"/>
              <w:bottom w:val="single" w:sz="4" w:space="0" w:color="auto"/>
              <w:right w:val="single" w:sz="4" w:space="0" w:color="auto"/>
            </w:tcBorders>
            <w:shd w:val="clear" w:color="auto" w:fill="C6EFCE"/>
            <w:noWrap/>
          </w:tcPr>
          <w:p w14:paraId="1923A164" w14:textId="77777777" w:rsidR="003A3D51" w:rsidRDefault="0002775A">
            <w:pPr>
              <w:pStyle w:val="P68B1DB1-Normal17"/>
              <w:spacing w:after="200" w:line="276" w:lineRule="auto"/>
              <w:jc w:val="center"/>
              <w:rPr>
                <w:noProof/>
                <w:highlight w:val="yellow"/>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06F33D71" w14:textId="77777777" w:rsidR="003A3D51" w:rsidRDefault="0002775A">
            <w:pPr>
              <w:pStyle w:val="P68B1DB1-Normal17"/>
              <w:spacing w:after="200" w:line="276" w:lineRule="auto"/>
              <w:jc w:val="center"/>
              <w:rPr>
                <w:noProof/>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6798A457" w14:textId="2680FD2D" w:rsidR="003A3D51" w:rsidRDefault="0002775A">
            <w:pPr>
              <w:pStyle w:val="P68B1DB1-Normal17"/>
              <w:spacing w:after="200" w:line="276" w:lineRule="auto"/>
              <w:rPr>
                <w:noProof/>
              </w:rPr>
            </w:pPr>
            <w:r>
              <w:rPr>
                <w:noProof/>
              </w:rPr>
              <w:t>Minst två elektriska omformarstationer i högspänningssystem (110kv/220kv/400kv) ska rekonstrueras.</w:t>
            </w:r>
          </w:p>
        </w:tc>
      </w:tr>
      <w:tr w:rsidR="003A3D51" w14:paraId="04BAC7D7"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41D88CC" w14:textId="630D9DE9" w:rsidR="003A3D51" w:rsidRDefault="0002775A">
            <w:pPr>
              <w:pStyle w:val="P68B1DB1-Normal25"/>
              <w:spacing w:after="0" w:line="276" w:lineRule="auto"/>
              <w:jc w:val="center"/>
              <w:rPr>
                <w:rFonts w:eastAsia="Calibri"/>
                <w:noProof/>
              </w:rPr>
            </w:pPr>
            <w:r>
              <w:rPr>
                <w:noProof/>
              </w:rPr>
              <w:t>421</w:t>
            </w:r>
          </w:p>
        </w:tc>
        <w:tc>
          <w:tcPr>
            <w:tcW w:w="852" w:type="dxa"/>
            <w:tcBorders>
              <w:top w:val="single" w:sz="4" w:space="0" w:color="auto"/>
              <w:left w:val="nil"/>
              <w:bottom w:val="single" w:sz="4" w:space="0" w:color="auto"/>
              <w:right w:val="single" w:sz="4" w:space="0" w:color="auto"/>
            </w:tcBorders>
            <w:shd w:val="clear" w:color="auto" w:fill="C6EFCE"/>
            <w:noWrap/>
          </w:tcPr>
          <w:p w14:paraId="6C15BCF1" w14:textId="0EB582AE" w:rsidR="003A3D51" w:rsidRDefault="0002775A">
            <w:pPr>
              <w:pStyle w:val="P68B1DB1-Normal58"/>
              <w:spacing w:after="200" w:line="276" w:lineRule="auto"/>
              <w:jc w:val="center"/>
              <w:rPr>
                <w:rFonts w:eastAsia="Calibri"/>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18FE6AA8" w14:textId="77777777" w:rsidR="003A3D51" w:rsidRDefault="0002775A">
            <w:pPr>
              <w:pStyle w:val="P68B1DB1-Normal17"/>
              <w:spacing w:after="200" w:line="276" w:lineRule="auto"/>
              <w:jc w:val="center"/>
              <w:rPr>
                <w:noProof/>
              </w:rPr>
            </w:pPr>
            <w:r>
              <w:rPr>
                <w:noProof/>
              </w:rPr>
              <w:t>M</w:t>
            </w:r>
          </w:p>
        </w:tc>
        <w:tc>
          <w:tcPr>
            <w:tcW w:w="2552" w:type="dxa"/>
            <w:tcBorders>
              <w:top w:val="single" w:sz="4" w:space="0" w:color="auto"/>
              <w:left w:val="nil"/>
              <w:bottom w:val="single" w:sz="4" w:space="0" w:color="auto"/>
              <w:right w:val="single" w:sz="4" w:space="0" w:color="auto"/>
            </w:tcBorders>
            <w:shd w:val="clear" w:color="auto" w:fill="C6EFCE"/>
            <w:noWrap/>
          </w:tcPr>
          <w:p w14:paraId="734E614E" w14:textId="77777777" w:rsidR="003A3D51" w:rsidRDefault="0002775A">
            <w:pPr>
              <w:pStyle w:val="P68B1DB1-Normal17"/>
              <w:spacing w:after="200" w:line="276" w:lineRule="auto"/>
              <w:rPr>
                <w:noProof/>
              </w:rPr>
            </w:pPr>
            <w:r>
              <w:rPr>
                <w:noProof/>
              </w:rPr>
              <w:t>Avtal om utrustning för utbyggnad av LNG-terminalen på ön Krk</w:t>
            </w:r>
          </w:p>
        </w:tc>
        <w:tc>
          <w:tcPr>
            <w:tcW w:w="1952" w:type="dxa"/>
            <w:tcBorders>
              <w:top w:val="single" w:sz="4" w:space="0" w:color="auto"/>
              <w:left w:val="nil"/>
              <w:bottom w:val="single" w:sz="4" w:space="0" w:color="auto"/>
              <w:right w:val="single" w:sz="4" w:space="0" w:color="auto"/>
            </w:tcBorders>
            <w:shd w:val="clear" w:color="auto" w:fill="C6EFCE"/>
            <w:noWrap/>
          </w:tcPr>
          <w:p w14:paraId="20F7E8F8" w14:textId="77777777" w:rsidR="003A3D51" w:rsidRDefault="0002775A">
            <w:pPr>
              <w:pStyle w:val="P68B1DB1-Normal17"/>
              <w:spacing w:after="200" w:line="276" w:lineRule="auto"/>
              <w:rPr>
                <w:noProof/>
              </w:rPr>
            </w:pPr>
            <w:r>
              <w:rPr>
                <w:noProof/>
              </w:rPr>
              <w:t>Avtal om utrustning undertecknat</w:t>
            </w:r>
          </w:p>
        </w:tc>
        <w:tc>
          <w:tcPr>
            <w:tcW w:w="1131" w:type="dxa"/>
            <w:tcBorders>
              <w:top w:val="single" w:sz="4" w:space="0" w:color="auto"/>
              <w:left w:val="nil"/>
              <w:bottom w:val="single" w:sz="4" w:space="0" w:color="auto"/>
              <w:right w:val="single" w:sz="4" w:space="0" w:color="auto"/>
            </w:tcBorders>
            <w:shd w:val="clear" w:color="auto" w:fill="C6EFCE"/>
            <w:noWrap/>
          </w:tcPr>
          <w:p w14:paraId="61B140D7" w14:textId="77777777" w:rsidR="003A3D51" w:rsidRDefault="003A3D51">
            <w:pPr>
              <w:spacing w:after="200" w:line="276" w:lineRule="auto"/>
              <w:jc w:val="center"/>
              <w:rPr>
                <w:rFonts w:eastAsia="Calibri" w:cstheme="minorHAnsi"/>
                <w:noProof/>
                <w:sz w:val="20"/>
              </w:rPr>
            </w:pPr>
          </w:p>
        </w:tc>
        <w:tc>
          <w:tcPr>
            <w:tcW w:w="868" w:type="dxa"/>
            <w:tcBorders>
              <w:top w:val="single" w:sz="4" w:space="0" w:color="auto"/>
              <w:left w:val="nil"/>
              <w:bottom w:val="single" w:sz="4" w:space="0" w:color="auto"/>
              <w:right w:val="single" w:sz="4" w:space="0" w:color="auto"/>
            </w:tcBorders>
            <w:shd w:val="clear" w:color="auto" w:fill="C6EFCE"/>
            <w:noWrap/>
          </w:tcPr>
          <w:p w14:paraId="681174A2" w14:textId="77777777" w:rsidR="003A3D51" w:rsidRDefault="003A3D51">
            <w:pPr>
              <w:spacing w:after="200" w:line="276" w:lineRule="auto"/>
              <w:jc w:val="center"/>
              <w:rPr>
                <w:rFonts w:eastAsia="Calibri" w:cstheme="minorHAnsi"/>
                <w:noProof/>
                <w:sz w:val="20"/>
              </w:rPr>
            </w:pPr>
          </w:p>
        </w:tc>
        <w:tc>
          <w:tcPr>
            <w:tcW w:w="850" w:type="dxa"/>
            <w:tcBorders>
              <w:top w:val="single" w:sz="4" w:space="0" w:color="auto"/>
              <w:left w:val="nil"/>
              <w:bottom w:val="single" w:sz="4" w:space="0" w:color="auto"/>
              <w:right w:val="single" w:sz="4" w:space="0" w:color="auto"/>
            </w:tcBorders>
            <w:shd w:val="clear" w:color="auto" w:fill="C6EFCE"/>
            <w:noWrap/>
          </w:tcPr>
          <w:p w14:paraId="00B466B6" w14:textId="77777777" w:rsidR="003A3D51" w:rsidRDefault="003A3D51">
            <w:pPr>
              <w:spacing w:after="200" w:line="276" w:lineRule="auto"/>
              <w:jc w:val="center"/>
              <w:rPr>
                <w:rFonts w:eastAsia="Calibri" w:cstheme="minorHAnsi"/>
                <w:noProof/>
                <w:sz w:val="20"/>
              </w:rPr>
            </w:pPr>
          </w:p>
        </w:tc>
        <w:tc>
          <w:tcPr>
            <w:tcW w:w="567" w:type="dxa"/>
            <w:tcBorders>
              <w:top w:val="single" w:sz="4" w:space="0" w:color="auto"/>
              <w:left w:val="nil"/>
              <w:bottom w:val="single" w:sz="4" w:space="0" w:color="auto"/>
              <w:right w:val="single" w:sz="4" w:space="0" w:color="auto"/>
            </w:tcBorders>
            <w:shd w:val="clear" w:color="auto" w:fill="C6EFCE"/>
            <w:noWrap/>
          </w:tcPr>
          <w:p w14:paraId="23D51143" w14:textId="77777777" w:rsidR="003A3D51" w:rsidRDefault="0002775A">
            <w:pPr>
              <w:pStyle w:val="P68B1DB1-Normal17"/>
              <w:spacing w:after="200" w:line="276" w:lineRule="auto"/>
              <w:jc w:val="center"/>
              <w:rPr>
                <w:noProof/>
              </w:rPr>
            </w:pPr>
            <w:r>
              <w:rPr>
                <w:noProof/>
              </w:rPr>
              <w:t>KVARTAL 4</w:t>
            </w:r>
          </w:p>
        </w:tc>
        <w:tc>
          <w:tcPr>
            <w:tcW w:w="567" w:type="dxa"/>
            <w:tcBorders>
              <w:top w:val="single" w:sz="4" w:space="0" w:color="auto"/>
              <w:left w:val="nil"/>
              <w:bottom w:val="single" w:sz="4" w:space="0" w:color="auto"/>
              <w:right w:val="single" w:sz="4" w:space="0" w:color="auto"/>
            </w:tcBorders>
            <w:shd w:val="clear" w:color="auto" w:fill="C6EFCE"/>
            <w:noWrap/>
          </w:tcPr>
          <w:p w14:paraId="4003F336" w14:textId="77777777" w:rsidR="003A3D51" w:rsidRDefault="0002775A">
            <w:pPr>
              <w:pStyle w:val="P68B1DB1-Normal17"/>
              <w:spacing w:after="200" w:line="276" w:lineRule="auto"/>
              <w:jc w:val="center"/>
              <w:rPr>
                <w:noProof/>
              </w:rPr>
            </w:pPr>
            <w:r>
              <w:rPr>
                <w:noProof/>
              </w:rPr>
              <w:t>2023</w:t>
            </w:r>
          </w:p>
        </w:tc>
        <w:tc>
          <w:tcPr>
            <w:tcW w:w="4160" w:type="dxa"/>
            <w:tcBorders>
              <w:top w:val="single" w:sz="4" w:space="0" w:color="auto"/>
              <w:left w:val="nil"/>
              <w:bottom w:val="single" w:sz="4" w:space="0" w:color="auto"/>
              <w:right w:val="single" w:sz="4" w:space="0" w:color="auto"/>
            </w:tcBorders>
            <w:shd w:val="clear" w:color="auto" w:fill="C6EFCE"/>
            <w:noWrap/>
          </w:tcPr>
          <w:p w14:paraId="7296229D" w14:textId="345A8600" w:rsidR="003A3D51" w:rsidRDefault="0002775A">
            <w:pPr>
              <w:pStyle w:val="P68B1DB1-Normal17"/>
              <w:spacing w:after="200" w:line="276" w:lineRule="auto"/>
              <w:rPr>
                <w:noProof/>
              </w:rPr>
            </w:pPr>
            <w:r>
              <w:rPr>
                <w:noProof/>
              </w:rPr>
              <w:t>Avtal om utrustning för utbyggnad av LNG-terminalen i Krk i syfte att öka kapaciteten till 700,000 m³ per timme (m³/h) ska undertecknas.</w:t>
            </w:r>
          </w:p>
        </w:tc>
      </w:tr>
      <w:tr w:rsidR="003A3D51" w14:paraId="032EC428"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C913EAD" w14:textId="3E974FE8" w:rsidR="003A3D51" w:rsidRDefault="0002775A">
            <w:pPr>
              <w:pStyle w:val="P68B1DB1-Normal25"/>
              <w:spacing w:after="0" w:line="276" w:lineRule="auto"/>
              <w:jc w:val="center"/>
              <w:rPr>
                <w:rFonts w:eastAsia="Calibri"/>
                <w:noProof/>
              </w:rPr>
            </w:pPr>
            <w:r>
              <w:rPr>
                <w:noProof/>
              </w:rPr>
              <w:t>422</w:t>
            </w:r>
          </w:p>
        </w:tc>
        <w:tc>
          <w:tcPr>
            <w:tcW w:w="852" w:type="dxa"/>
            <w:tcBorders>
              <w:top w:val="single" w:sz="4" w:space="0" w:color="auto"/>
              <w:left w:val="nil"/>
              <w:bottom w:val="single" w:sz="4" w:space="0" w:color="auto"/>
              <w:right w:val="single" w:sz="4" w:space="0" w:color="auto"/>
            </w:tcBorders>
            <w:shd w:val="clear" w:color="auto" w:fill="C6EFCE"/>
            <w:noWrap/>
          </w:tcPr>
          <w:p w14:paraId="3B1E35D6" w14:textId="4873EB33" w:rsidR="003A3D51" w:rsidRDefault="0002775A">
            <w:pPr>
              <w:pStyle w:val="P68B1DB1-Normal58"/>
              <w:spacing w:after="200" w:line="276" w:lineRule="auto"/>
              <w:jc w:val="center"/>
              <w:rPr>
                <w:rFonts w:eastAsia="Calibri"/>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1104150F" w14:textId="77777777" w:rsidR="003A3D51" w:rsidRDefault="0002775A">
            <w:pPr>
              <w:pStyle w:val="P68B1DB1-Normal17"/>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64A88A68" w14:textId="77777777" w:rsidR="003A3D51" w:rsidRDefault="0002775A">
            <w:pPr>
              <w:pStyle w:val="P68B1DB1-Normal17"/>
              <w:spacing w:after="200" w:line="276" w:lineRule="auto"/>
              <w:rPr>
                <w:noProof/>
              </w:rPr>
            </w:pPr>
            <w:r>
              <w:rPr>
                <w:noProof/>
              </w:rPr>
              <w:t>Utbyggnad av LNG-terminalen på ön Krk i drift</w:t>
            </w:r>
          </w:p>
        </w:tc>
        <w:tc>
          <w:tcPr>
            <w:tcW w:w="1952" w:type="dxa"/>
            <w:tcBorders>
              <w:top w:val="single" w:sz="4" w:space="0" w:color="auto"/>
              <w:left w:val="nil"/>
              <w:bottom w:val="single" w:sz="4" w:space="0" w:color="auto"/>
              <w:right w:val="single" w:sz="4" w:space="0" w:color="auto"/>
            </w:tcBorders>
            <w:shd w:val="clear" w:color="auto" w:fill="C6EFCE"/>
            <w:noWrap/>
          </w:tcPr>
          <w:p w14:paraId="30D2AD32"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1D4B22D8" w14:textId="4A1A8EB7" w:rsidR="003A3D51" w:rsidRDefault="0002775A">
            <w:pPr>
              <w:pStyle w:val="P68B1DB1-Normal17"/>
              <w:spacing w:after="200" w:line="276" w:lineRule="auto"/>
              <w:jc w:val="center"/>
              <w:rPr>
                <w:noProof/>
              </w:rPr>
            </w:pPr>
            <w:r>
              <w:rPr>
                <w:noProof/>
              </w:rPr>
              <w:t xml:space="preserve">m³ per timme </w:t>
            </w:r>
          </w:p>
        </w:tc>
        <w:tc>
          <w:tcPr>
            <w:tcW w:w="868" w:type="dxa"/>
            <w:tcBorders>
              <w:top w:val="single" w:sz="4" w:space="0" w:color="auto"/>
              <w:left w:val="nil"/>
              <w:bottom w:val="single" w:sz="4" w:space="0" w:color="auto"/>
              <w:right w:val="single" w:sz="4" w:space="0" w:color="auto"/>
            </w:tcBorders>
            <w:shd w:val="clear" w:color="auto" w:fill="C6EFCE"/>
            <w:noWrap/>
          </w:tcPr>
          <w:p w14:paraId="66847D7A" w14:textId="58FC2750" w:rsidR="003A3D51" w:rsidRDefault="0002775A">
            <w:pPr>
              <w:pStyle w:val="P68B1DB1-Normal17"/>
              <w:spacing w:after="200" w:line="276" w:lineRule="auto"/>
              <w:jc w:val="center"/>
              <w:rPr>
                <w:noProof/>
              </w:rPr>
            </w:pPr>
            <w:r>
              <w:rPr>
                <w:noProof/>
              </w:rPr>
              <w:t>250 000</w:t>
            </w:r>
          </w:p>
        </w:tc>
        <w:tc>
          <w:tcPr>
            <w:tcW w:w="850" w:type="dxa"/>
            <w:tcBorders>
              <w:top w:val="single" w:sz="4" w:space="0" w:color="auto"/>
              <w:left w:val="nil"/>
              <w:bottom w:val="single" w:sz="4" w:space="0" w:color="auto"/>
              <w:right w:val="single" w:sz="4" w:space="0" w:color="auto"/>
            </w:tcBorders>
            <w:shd w:val="clear" w:color="auto" w:fill="C6EFCE"/>
            <w:noWrap/>
          </w:tcPr>
          <w:p w14:paraId="03CE9654" w14:textId="11E9E0D8" w:rsidR="003A3D51" w:rsidRDefault="0002775A">
            <w:pPr>
              <w:pStyle w:val="P68B1DB1-Normal17"/>
              <w:spacing w:after="200" w:line="276" w:lineRule="auto"/>
              <w:jc w:val="center"/>
              <w:rPr>
                <w:noProof/>
              </w:rPr>
            </w:pPr>
            <w:r>
              <w:rPr>
                <w:noProof/>
              </w:rPr>
              <w:t>700 000</w:t>
            </w:r>
          </w:p>
        </w:tc>
        <w:tc>
          <w:tcPr>
            <w:tcW w:w="567" w:type="dxa"/>
            <w:tcBorders>
              <w:top w:val="single" w:sz="4" w:space="0" w:color="auto"/>
              <w:left w:val="nil"/>
              <w:bottom w:val="single" w:sz="4" w:space="0" w:color="auto"/>
              <w:right w:val="single" w:sz="4" w:space="0" w:color="auto"/>
            </w:tcBorders>
            <w:shd w:val="clear" w:color="auto" w:fill="C6EFCE"/>
            <w:noWrap/>
          </w:tcPr>
          <w:p w14:paraId="2769C24C" w14:textId="77777777" w:rsidR="003A3D51" w:rsidRDefault="0002775A">
            <w:pPr>
              <w:pStyle w:val="P68B1DB1-Normal17"/>
              <w:spacing w:after="200" w:line="276" w:lineRule="auto"/>
              <w:jc w:val="center"/>
              <w:rPr>
                <w:noProof/>
              </w:rPr>
            </w:pPr>
            <w:r>
              <w:rPr>
                <w:noProof/>
              </w:rPr>
              <w:t>KVARTAL 3</w:t>
            </w:r>
          </w:p>
        </w:tc>
        <w:tc>
          <w:tcPr>
            <w:tcW w:w="567" w:type="dxa"/>
            <w:tcBorders>
              <w:top w:val="single" w:sz="4" w:space="0" w:color="auto"/>
              <w:left w:val="nil"/>
              <w:bottom w:val="single" w:sz="4" w:space="0" w:color="auto"/>
              <w:right w:val="single" w:sz="4" w:space="0" w:color="auto"/>
            </w:tcBorders>
            <w:shd w:val="clear" w:color="auto" w:fill="C6EFCE"/>
            <w:noWrap/>
          </w:tcPr>
          <w:p w14:paraId="1F4FB6C7" w14:textId="77777777" w:rsidR="003A3D51" w:rsidRDefault="0002775A">
            <w:pPr>
              <w:pStyle w:val="P68B1DB1-Normal17"/>
              <w:spacing w:after="200" w:line="276" w:lineRule="auto"/>
              <w:jc w:val="center"/>
              <w:rPr>
                <w:noProof/>
              </w:rPr>
            </w:pPr>
            <w:r>
              <w:rPr>
                <w:noProof/>
              </w:rPr>
              <w:t>2025</w:t>
            </w:r>
          </w:p>
        </w:tc>
        <w:tc>
          <w:tcPr>
            <w:tcW w:w="4160" w:type="dxa"/>
            <w:tcBorders>
              <w:top w:val="single" w:sz="4" w:space="0" w:color="auto"/>
              <w:left w:val="nil"/>
              <w:bottom w:val="single" w:sz="4" w:space="0" w:color="auto"/>
              <w:right w:val="single" w:sz="4" w:space="0" w:color="auto"/>
            </w:tcBorders>
            <w:shd w:val="clear" w:color="auto" w:fill="C6EFCE"/>
            <w:noWrap/>
          </w:tcPr>
          <w:p w14:paraId="5023A99D" w14:textId="4D86905B" w:rsidR="003A3D51" w:rsidRDefault="0002775A">
            <w:pPr>
              <w:pStyle w:val="P68B1DB1-Normal17"/>
              <w:spacing w:after="200" w:line="276" w:lineRule="auto"/>
              <w:rPr>
                <w:noProof/>
              </w:rPr>
            </w:pPr>
            <w:r>
              <w:rPr>
                <w:noProof/>
              </w:rPr>
              <w:t xml:space="preserve">Utbyggnaden av LNG-terminalen på ön Krk ska vara i drift med en ökad förgasningskapacitet på 700,000 m³/h. LNG-terminalens kapacitet på ön Krk ska öka från nuvarande 250,000 m³/h till 700,000 m³/h. Utbyggnaden ska uppnås genom att ytterligare en återförgasningsenhet installeras på den befintliga flytande återförgasningsenheten. </w:t>
            </w:r>
          </w:p>
        </w:tc>
      </w:tr>
      <w:tr w:rsidR="003A3D51" w14:paraId="0A5E99EC"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3427D706" w14:textId="04F17DED" w:rsidR="003A3D51" w:rsidRDefault="0002775A">
            <w:pPr>
              <w:pStyle w:val="P68B1DB1-Normal25"/>
              <w:spacing w:after="0" w:line="276" w:lineRule="auto"/>
              <w:jc w:val="center"/>
              <w:rPr>
                <w:rFonts w:eastAsia="Calibri"/>
                <w:noProof/>
              </w:rPr>
            </w:pPr>
            <w:r>
              <w:rPr>
                <w:noProof/>
              </w:rPr>
              <w:t>423</w:t>
            </w:r>
          </w:p>
        </w:tc>
        <w:tc>
          <w:tcPr>
            <w:tcW w:w="852" w:type="dxa"/>
            <w:tcBorders>
              <w:top w:val="single" w:sz="4" w:space="0" w:color="auto"/>
              <w:left w:val="nil"/>
              <w:bottom w:val="single" w:sz="4" w:space="0" w:color="auto"/>
              <w:right w:val="single" w:sz="4" w:space="0" w:color="auto"/>
            </w:tcBorders>
            <w:shd w:val="clear" w:color="auto" w:fill="C6EFCE"/>
            <w:noWrap/>
          </w:tcPr>
          <w:p w14:paraId="7770C643" w14:textId="493ECB42" w:rsidR="003A3D51" w:rsidRDefault="0002775A">
            <w:pPr>
              <w:pStyle w:val="P68B1DB1-Normal58"/>
              <w:spacing w:after="200" w:line="276" w:lineRule="auto"/>
              <w:jc w:val="center"/>
              <w:rPr>
                <w:rFonts w:eastAsia="Calibri"/>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3C72FB51" w14:textId="77777777" w:rsidR="003A3D51" w:rsidRDefault="0002775A">
            <w:pPr>
              <w:pStyle w:val="P68B1DB1-Normal17"/>
              <w:spacing w:after="200" w:line="276" w:lineRule="auto"/>
              <w:jc w:val="center"/>
              <w:rPr>
                <w:noProof/>
              </w:rPr>
            </w:pPr>
            <w:r>
              <w:rPr>
                <w:noProof/>
              </w:rPr>
              <w:t>M</w:t>
            </w:r>
          </w:p>
        </w:tc>
        <w:tc>
          <w:tcPr>
            <w:tcW w:w="2552" w:type="dxa"/>
            <w:tcBorders>
              <w:top w:val="single" w:sz="4" w:space="0" w:color="auto"/>
              <w:left w:val="nil"/>
              <w:bottom w:val="single" w:sz="4" w:space="0" w:color="auto"/>
              <w:right w:val="single" w:sz="4" w:space="0" w:color="auto"/>
            </w:tcBorders>
            <w:shd w:val="clear" w:color="auto" w:fill="C6EFCE"/>
            <w:noWrap/>
          </w:tcPr>
          <w:p w14:paraId="22201963" w14:textId="77777777" w:rsidR="003A3D51" w:rsidRDefault="0002775A">
            <w:pPr>
              <w:pStyle w:val="P68B1DB1-Normal17"/>
              <w:spacing w:after="200" w:line="276" w:lineRule="auto"/>
              <w:rPr>
                <w:noProof/>
              </w:rPr>
            </w:pPr>
            <w:r>
              <w:rPr>
                <w:noProof/>
              </w:rPr>
              <w:t>Kontrakt avseende utbyggnad av gasledningen Zlobin-Bosiljevo</w:t>
            </w:r>
          </w:p>
        </w:tc>
        <w:tc>
          <w:tcPr>
            <w:tcW w:w="1952" w:type="dxa"/>
            <w:tcBorders>
              <w:top w:val="single" w:sz="4" w:space="0" w:color="auto"/>
              <w:left w:val="nil"/>
              <w:bottom w:val="single" w:sz="4" w:space="0" w:color="auto"/>
              <w:right w:val="single" w:sz="4" w:space="0" w:color="auto"/>
            </w:tcBorders>
            <w:shd w:val="clear" w:color="auto" w:fill="C6EFCE"/>
            <w:noWrap/>
          </w:tcPr>
          <w:p w14:paraId="447A9EF7" w14:textId="02F9812C" w:rsidR="003A3D51" w:rsidRDefault="0002775A">
            <w:pPr>
              <w:pStyle w:val="P68B1DB1-Normal17"/>
              <w:spacing w:after="200" w:line="276" w:lineRule="auto"/>
              <w:rPr>
                <w:noProof/>
              </w:rPr>
            </w:pPr>
            <w:r>
              <w:rPr>
                <w:noProof/>
              </w:rPr>
              <w:t>Kontrakt för bygg- och anläggningsarbeten har undertecknats</w:t>
            </w:r>
          </w:p>
        </w:tc>
        <w:tc>
          <w:tcPr>
            <w:tcW w:w="1131" w:type="dxa"/>
            <w:tcBorders>
              <w:top w:val="single" w:sz="4" w:space="0" w:color="auto"/>
              <w:left w:val="nil"/>
              <w:bottom w:val="single" w:sz="4" w:space="0" w:color="auto"/>
              <w:right w:val="single" w:sz="4" w:space="0" w:color="auto"/>
            </w:tcBorders>
            <w:shd w:val="clear" w:color="auto" w:fill="C6EFCE"/>
            <w:noWrap/>
          </w:tcPr>
          <w:p w14:paraId="2F3145D2" w14:textId="77777777" w:rsidR="003A3D51" w:rsidRDefault="003A3D51">
            <w:pPr>
              <w:spacing w:after="200" w:line="276" w:lineRule="auto"/>
              <w:jc w:val="center"/>
              <w:rPr>
                <w:rFonts w:eastAsia="Calibri" w:cstheme="minorHAnsi"/>
                <w:noProof/>
                <w:sz w:val="20"/>
              </w:rPr>
            </w:pPr>
          </w:p>
        </w:tc>
        <w:tc>
          <w:tcPr>
            <w:tcW w:w="868" w:type="dxa"/>
            <w:tcBorders>
              <w:top w:val="single" w:sz="4" w:space="0" w:color="auto"/>
              <w:left w:val="nil"/>
              <w:bottom w:val="single" w:sz="4" w:space="0" w:color="auto"/>
              <w:right w:val="single" w:sz="4" w:space="0" w:color="auto"/>
            </w:tcBorders>
            <w:shd w:val="clear" w:color="auto" w:fill="C6EFCE"/>
            <w:noWrap/>
          </w:tcPr>
          <w:p w14:paraId="105045D6" w14:textId="77777777" w:rsidR="003A3D51" w:rsidRDefault="003A3D51">
            <w:pPr>
              <w:spacing w:after="200" w:line="276" w:lineRule="auto"/>
              <w:jc w:val="center"/>
              <w:rPr>
                <w:rFonts w:eastAsia="Calibri" w:cstheme="minorHAnsi"/>
                <w:noProof/>
                <w:sz w:val="20"/>
              </w:rPr>
            </w:pPr>
          </w:p>
        </w:tc>
        <w:tc>
          <w:tcPr>
            <w:tcW w:w="850" w:type="dxa"/>
            <w:tcBorders>
              <w:top w:val="single" w:sz="4" w:space="0" w:color="auto"/>
              <w:left w:val="nil"/>
              <w:bottom w:val="single" w:sz="4" w:space="0" w:color="auto"/>
              <w:right w:val="single" w:sz="4" w:space="0" w:color="auto"/>
            </w:tcBorders>
            <w:shd w:val="clear" w:color="auto" w:fill="C6EFCE"/>
            <w:noWrap/>
          </w:tcPr>
          <w:p w14:paraId="7293CD39" w14:textId="77777777" w:rsidR="003A3D51" w:rsidRDefault="003A3D51">
            <w:pPr>
              <w:spacing w:after="200" w:line="276" w:lineRule="auto"/>
              <w:jc w:val="center"/>
              <w:rPr>
                <w:rFonts w:eastAsia="Calibri" w:cstheme="minorHAnsi"/>
                <w:noProof/>
                <w:sz w:val="20"/>
              </w:rPr>
            </w:pPr>
          </w:p>
        </w:tc>
        <w:tc>
          <w:tcPr>
            <w:tcW w:w="567" w:type="dxa"/>
            <w:tcBorders>
              <w:top w:val="single" w:sz="4" w:space="0" w:color="auto"/>
              <w:left w:val="nil"/>
              <w:bottom w:val="single" w:sz="4" w:space="0" w:color="auto"/>
              <w:right w:val="single" w:sz="4" w:space="0" w:color="auto"/>
            </w:tcBorders>
            <w:shd w:val="clear" w:color="auto" w:fill="C6EFCE"/>
            <w:noWrap/>
          </w:tcPr>
          <w:p w14:paraId="2B350389" w14:textId="77777777" w:rsidR="003A3D51" w:rsidRDefault="0002775A">
            <w:pPr>
              <w:pStyle w:val="P68B1DB1-Normal17"/>
              <w:spacing w:after="200" w:line="276" w:lineRule="auto"/>
              <w:jc w:val="center"/>
              <w:rPr>
                <w:noProof/>
              </w:rPr>
            </w:pPr>
            <w:r>
              <w:rPr>
                <w:noProof/>
              </w:rPr>
              <w:t>KVARTAL 3</w:t>
            </w:r>
          </w:p>
        </w:tc>
        <w:tc>
          <w:tcPr>
            <w:tcW w:w="567" w:type="dxa"/>
            <w:tcBorders>
              <w:top w:val="single" w:sz="4" w:space="0" w:color="auto"/>
              <w:left w:val="nil"/>
              <w:bottom w:val="single" w:sz="4" w:space="0" w:color="auto"/>
              <w:right w:val="single" w:sz="4" w:space="0" w:color="auto"/>
            </w:tcBorders>
            <w:shd w:val="clear" w:color="auto" w:fill="C6EFCE"/>
            <w:noWrap/>
          </w:tcPr>
          <w:p w14:paraId="2BD5741D" w14:textId="77777777" w:rsidR="003A3D51" w:rsidRDefault="0002775A">
            <w:pPr>
              <w:pStyle w:val="P68B1DB1-Normal17"/>
              <w:spacing w:after="200" w:line="276" w:lineRule="auto"/>
              <w:jc w:val="center"/>
              <w:rPr>
                <w:noProof/>
              </w:rPr>
            </w:pPr>
            <w:r>
              <w:rPr>
                <w:noProof/>
              </w:rPr>
              <w:t>2023</w:t>
            </w:r>
          </w:p>
        </w:tc>
        <w:tc>
          <w:tcPr>
            <w:tcW w:w="4160" w:type="dxa"/>
            <w:tcBorders>
              <w:top w:val="single" w:sz="4" w:space="0" w:color="auto"/>
              <w:left w:val="nil"/>
              <w:bottom w:val="single" w:sz="4" w:space="0" w:color="auto"/>
              <w:right w:val="single" w:sz="4" w:space="0" w:color="auto"/>
            </w:tcBorders>
            <w:shd w:val="clear" w:color="auto" w:fill="C6EFCE"/>
            <w:noWrap/>
          </w:tcPr>
          <w:p w14:paraId="36D4521B" w14:textId="004CE499" w:rsidR="003A3D51" w:rsidRDefault="0002775A">
            <w:pPr>
              <w:pStyle w:val="P68B1DB1-Normal17"/>
              <w:spacing w:after="200" w:line="276" w:lineRule="auto"/>
              <w:rPr>
                <w:noProof/>
              </w:rPr>
            </w:pPr>
            <w:r>
              <w:rPr>
                <w:noProof/>
              </w:rPr>
              <w:t>Byggentreprenadkontrakt ska undertecknas för utbyggnad av gasledningen Zlobin-Bosiljevo.</w:t>
            </w:r>
          </w:p>
        </w:tc>
      </w:tr>
      <w:tr w:rsidR="003A3D51" w14:paraId="6915D63D"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6A43AA7B" w14:textId="79EE77AF" w:rsidR="003A3D51" w:rsidRDefault="0002775A">
            <w:pPr>
              <w:pStyle w:val="P68B1DB1-Normal25"/>
              <w:spacing w:after="0" w:line="276" w:lineRule="auto"/>
              <w:jc w:val="center"/>
              <w:rPr>
                <w:rFonts w:eastAsia="Calibri"/>
                <w:noProof/>
              </w:rPr>
            </w:pPr>
            <w:r>
              <w:rPr>
                <w:noProof/>
              </w:rPr>
              <w:t>424</w:t>
            </w:r>
          </w:p>
        </w:tc>
        <w:tc>
          <w:tcPr>
            <w:tcW w:w="852" w:type="dxa"/>
            <w:tcBorders>
              <w:top w:val="single" w:sz="4" w:space="0" w:color="auto"/>
              <w:left w:val="nil"/>
              <w:bottom w:val="single" w:sz="4" w:space="0" w:color="auto"/>
              <w:right w:val="single" w:sz="4" w:space="0" w:color="auto"/>
            </w:tcBorders>
            <w:shd w:val="clear" w:color="auto" w:fill="C6EFCE"/>
            <w:noWrap/>
          </w:tcPr>
          <w:p w14:paraId="40F00FEB" w14:textId="27C87728" w:rsidR="003A3D51" w:rsidRDefault="0002775A">
            <w:pPr>
              <w:pStyle w:val="P68B1DB1-Normal58"/>
              <w:spacing w:after="200" w:line="276" w:lineRule="auto"/>
              <w:jc w:val="center"/>
              <w:rPr>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549F7F0A" w14:textId="77777777" w:rsidR="003A3D51" w:rsidRDefault="0002775A">
            <w:pPr>
              <w:pStyle w:val="P68B1DB1-Normal17"/>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05D98637" w14:textId="77777777" w:rsidR="003A3D51" w:rsidRDefault="0002775A">
            <w:pPr>
              <w:pStyle w:val="P68B1DB1-Normal17"/>
              <w:spacing w:after="200" w:line="276" w:lineRule="auto"/>
              <w:rPr>
                <w:noProof/>
              </w:rPr>
            </w:pPr>
            <w:r>
              <w:rPr>
                <w:noProof/>
              </w:rPr>
              <w:t xml:space="preserve">Anläggning av den utvidgade gasledningen Zlobin-Bosiljevo </w:t>
            </w:r>
          </w:p>
        </w:tc>
        <w:tc>
          <w:tcPr>
            <w:tcW w:w="1952" w:type="dxa"/>
            <w:tcBorders>
              <w:top w:val="single" w:sz="4" w:space="0" w:color="auto"/>
              <w:left w:val="nil"/>
              <w:bottom w:val="single" w:sz="4" w:space="0" w:color="auto"/>
              <w:right w:val="single" w:sz="4" w:space="0" w:color="auto"/>
            </w:tcBorders>
            <w:shd w:val="clear" w:color="auto" w:fill="C6EFCE"/>
            <w:noWrap/>
          </w:tcPr>
          <w:p w14:paraId="04FEAED2"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398562AA" w14:textId="77777777" w:rsidR="003A3D51" w:rsidRDefault="0002775A">
            <w:pPr>
              <w:pStyle w:val="P68B1DB1-Normal17"/>
              <w:spacing w:after="200" w:line="276" w:lineRule="auto"/>
              <w:jc w:val="center"/>
              <w:rPr>
                <w:noProof/>
              </w:rPr>
            </w:pPr>
            <w:r>
              <w:rPr>
                <w:noProof/>
              </w:rPr>
              <w:t>km</w:t>
            </w:r>
          </w:p>
        </w:tc>
        <w:tc>
          <w:tcPr>
            <w:tcW w:w="868" w:type="dxa"/>
            <w:tcBorders>
              <w:top w:val="single" w:sz="4" w:space="0" w:color="auto"/>
              <w:left w:val="nil"/>
              <w:bottom w:val="single" w:sz="4" w:space="0" w:color="auto"/>
              <w:right w:val="single" w:sz="4" w:space="0" w:color="auto"/>
            </w:tcBorders>
            <w:shd w:val="clear" w:color="auto" w:fill="C6EFCE"/>
            <w:noWrap/>
          </w:tcPr>
          <w:p w14:paraId="4D26EC53" w14:textId="77777777" w:rsidR="003A3D51" w:rsidRDefault="0002775A">
            <w:pPr>
              <w:pStyle w:val="P68B1DB1-Normal17"/>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6944FA73" w14:textId="77777777" w:rsidR="003A3D51" w:rsidRDefault="0002775A">
            <w:pPr>
              <w:pStyle w:val="P68B1DB1-Normal17"/>
              <w:spacing w:after="200" w:line="276" w:lineRule="auto"/>
              <w:jc w:val="center"/>
              <w:rPr>
                <w:noProof/>
              </w:rPr>
            </w:pPr>
            <w:r>
              <w:rPr>
                <w:noProof/>
              </w:rPr>
              <w:t>58</w:t>
            </w:r>
          </w:p>
        </w:tc>
        <w:tc>
          <w:tcPr>
            <w:tcW w:w="567" w:type="dxa"/>
            <w:tcBorders>
              <w:top w:val="single" w:sz="4" w:space="0" w:color="auto"/>
              <w:left w:val="nil"/>
              <w:bottom w:val="single" w:sz="4" w:space="0" w:color="auto"/>
              <w:right w:val="single" w:sz="4" w:space="0" w:color="auto"/>
            </w:tcBorders>
            <w:shd w:val="clear" w:color="auto" w:fill="C6EFCE"/>
            <w:noWrap/>
          </w:tcPr>
          <w:p w14:paraId="164906DD" w14:textId="6C400450" w:rsidR="003A3D51" w:rsidRDefault="0002775A">
            <w:pPr>
              <w:pStyle w:val="P68B1DB1-Normal17"/>
              <w:spacing w:after="200" w:line="276" w:lineRule="auto"/>
              <w:jc w:val="center"/>
              <w:rPr>
                <w:noProof/>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0A991425" w14:textId="77777777" w:rsidR="003A3D51" w:rsidRDefault="0002775A">
            <w:pPr>
              <w:pStyle w:val="P68B1DB1-Normal17"/>
              <w:spacing w:after="200" w:line="276" w:lineRule="auto"/>
              <w:jc w:val="center"/>
              <w:rPr>
                <w:noProof/>
              </w:rPr>
            </w:pPr>
            <w:r>
              <w:rPr>
                <w:noProof/>
              </w:rPr>
              <w:t>2025</w:t>
            </w:r>
          </w:p>
        </w:tc>
        <w:tc>
          <w:tcPr>
            <w:tcW w:w="4160" w:type="dxa"/>
            <w:tcBorders>
              <w:top w:val="single" w:sz="4" w:space="0" w:color="auto"/>
              <w:left w:val="nil"/>
              <w:bottom w:val="single" w:sz="4" w:space="0" w:color="auto"/>
              <w:right w:val="single" w:sz="4" w:space="0" w:color="auto"/>
            </w:tcBorders>
            <w:shd w:val="clear" w:color="auto" w:fill="C6EFCE"/>
            <w:noWrap/>
          </w:tcPr>
          <w:p w14:paraId="2DA68A56" w14:textId="592BEA54" w:rsidR="003A3D51" w:rsidRDefault="0002775A">
            <w:pPr>
              <w:pStyle w:val="P68B1DB1-Normal17"/>
              <w:spacing w:after="200" w:line="276" w:lineRule="auto"/>
              <w:rPr>
                <w:noProof/>
              </w:rPr>
            </w:pPr>
            <w:r>
              <w:rPr>
                <w:noProof/>
              </w:rPr>
              <w:t>Den utvidgade gasledningen Zlobin-Bosiljevo, med en längd på 58 km, ska byggas.</w:t>
            </w:r>
          </w:p>
        </w:tc>
      </w:tr>
      <w:tr w:rsidR="003A3D51" w14:paraId="142BDCFD"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5C8C991" w14:textId="3AD24B16" w:rsidR="003A3D51" w:rsidRDefault="0002775A">
            <w:pPr>
              <w:pStyle w:val="P68B1DB1-Normal25"/>
              <w:spacing w:after="0" w:line="276" w:lineRule="auto"/>
              <w:jc w:val="center"/>
              <w:rPr>
                <w:rFonts w:eastAsia="Calibri"/>
                <w:noProof/>
              </w:rPr>
            </w:pPr>
            <w:r>
              <w:rPr>
                <w:noProof/>
              </w:rPr>
              <w:t>425</w:t>
            </w:r>
          </w:p>
        </w:tc>
        <w:tc>
          <w:tcPr>
            <w:tcW w:w="852" w:type="dxa"/>
            <w:tcBorders>
              <w:top w:val="single" w:sz="4" w:space="0" w:color="auto"/>
              <w:left w:val="nil"/>
              <w:bottom w:val="single" w:sz="4" w:space="0" w:color="auto"/>
              <w:right w:val="single" w:sz="4" w:space="0" w:color="auto"/>
            </w:tcBorders>
            <w:shd w:val="clear" w:color="auto" w:fill="C6EFCE"/>
            <w:noWrap/>
          </w:tcPr>
          <w:p w14:paraId="02E96645" w14:textId="276C3F30" w:rsidR="003A3D51" w:rsidRDefault="0002775A">
            <w:pPr>
              <w:pStyle w:val="P68B1DB1-Normal58"/>
              <w:spacing w:after="200" w:line="276" w:lineRule="auto"/>
              <w:jc w:val="center"/>
              <w:rPr>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4F050715" w14:textId="77777777" w:rsidR="003A3D51" w:rsidRDefault="0002775A">
            <w:pPr>
              <w:pStyle w:val="P68B1DB1-Normal17"/>
              <w:spacing w:after="200" w:line="276" w:lineRule="auto"/>
              <w:jc w:val="center"/>
              <w:rPr>
                <w:noProof/>
              </w:rPr>
            </w:pPr>
            <w:r>
              <w:rPr>
                <w:noProof/>
              </w:rPr>
              <w:t>M</w:t>
            </w:r>
          </w:p>
        </w:tc>
        <w:tc>
          <w:tcPr>
            <w:tcW w:w="2552" w:type="dxa"/>
            <w:tcBorders>
              <w:top w:val="single" w:sz="4" w:space="0" w:color="auto"/>
              <w:left w:val="nil"/>
              <w:bottom w:val="single" w:sz="4" w:space="0" w:color="auto"/>
              <w:right w:val="single" w:sz="4" w:space="0" w:color="auto"/>
            </w:tcBorders>
            <w:shd w:val="clear" w:color="auto" w:fill="C6EFCE"/>
            <w:noWrap/>
          </w:tcPr>
          <w:p w14:paraId="0EED9C4E" w14:textId="77777777" w:rsidR="003A3D51" w:rsidRDefault="0002775A">
            <w:pPr>
              <w:pStyle w:val="P68B1DB1-Normal17"/>
              <w:spacing w:after="200" w:line="276" w:lineRule="auto"/>
              <w:rPr>
                <w:noProof/>
              </w:rPr>
            </w:pPr>
            <w:r>
              <w:rPr>
                <w:noProof/>
              </w:rPr>
              <w:t>Anbudsförfarande för upphandling av rör för utbyggnad av gasledningen Bosiljevo-Sisak-Kozarac</w:t>
            </w:r>
          </w:p>
        </w:tc>
        <w:tc>
          <w:tcPr>
            <w:tcW w:w="1952" w:type="dxa"/>
            <w:tcBorders>
              <w:top w:val="single" w:sz="4" w:space="0" w:color="auto"/>
              <w:left w:val="nil"/>
              <w:bottom w:val="single" w:sz="4" w:space="0" w:color="auto"/>
              <w:right w:val="single" w:sz="4" w:space="0" w:color="auto"/>
            </w:tcBorders>
            <w:shd w:val="clear" w:color="auto" w:fill="C6EFCE"/>
            <w:noWrap/>
          </w:tcPr>
          <w:p w14:paraId="4C92277D" w14:textId="77777777" w:rsidR="003A3D51" w:rsidRDefault="0002775A">
            <w:pPr>
              <w:pStyle w:val="P68B1DB1-Normal17"/>
              <w:spacing w:after="200" w:line="276" w:lineRule="auto"/>
              <w:rPr>
                <w:noProof/>
              </w:rPr>
            </w:pPr>
            <w:r>
              <w:rPr>
                <w:noProof/>
              </w:rPr>
              <w:t>Anbudsförfarande för upphandling av rör som lanserats</w:t>
            </w:r>
          </w:p>
        </w:tc>
        <w:tc>
          <w:tcPr>
            <w:tcW w:w="1131" w:type="dxa"/>
            <w:tcBorders>
              <w:top w:val="single" w:sz="4" w:space="0" w:color="auto"/>
              <w:left w:val="nil"/>
              <w:bottom w:val="single" w:sz="4" w:space="0" w:color="auto"/>
              <w:right w:val="single" w:sz="4" w:space="0" w:color="auto"/>
            </w:tcBorders>
            <w:shd w:val="clear" w:color="auto" w:fill="C6EFCE"/>
            <w:noWrap/>
          </w:tcPr>
          <w:p w14:paraId="1E01C75F" w14:textId="77777777" w:rsidR="003A3D51" w:rsidRDefault="003A3D51">
            <w:pPr>
              <w:spacing w:after="200" w:line="276" w:lineRule="auto"/>
              <w:jc w:val="center"/>
              <w:rPr>
                <w:rFonts w:eastAsia="Calibri" w:cstheme="minorHAnsi"/>
                <w:noProof/>
                <w:sz w:val="20"/>
              </w:rPr>
            </w:pPr>
          </w:p>
        </w:tc>
        <w:tc>
          <w:tcPr>
            <w:tcW w:w="868" w:type="dxa"/>
            <w:tcBorders>
              <w:top w:val="single" w:sz="4" w:space="0" w:color="auto"/>
              <w:left w:val="nil"/>
              <w:bottom w:val="single" w:sz="4" w:space="0" w:color="auto"/>
              <w:right w:val="single" w:sz="4" w:space="0" w:color="auto"/>
            </w:tcBorders>
            <w:shd w:val="clear" w:color="auto" w:fill="C6EFCE"/>
            <w:noWrap/>
          </w:tcPr>
          <w:p w14:paraId="454A3CA3" w14:textId="77777777" w:rsidR="003A3D51" w:rsidRDefault="003A3D51">
            <w:pPr>
              <w:spacing w:after="200" w:line="276" w:lineRule="auto"/>
              <w:jc w:val="center"/>
              <w:rPr>
                <w:rFonts w:eastAsia="Calibri" w:cstheme="minorHAnsi"/>
                <w:noProof/>
                <w:sz w:val="20"/>
              </w:rPr>
            </w:pPr>
          </w:p>
        </w:tc>
        <w:tc>
          <w:tcPr>
            <w:tcW w:w="850" w:type="dxa"/>
            <w:tcBorders>
              <w:top w:val="single" w:sz="4" w:space="0" w:color="auto"/>
              <w:left w:val="nil"/>
              <w:bottom w:val="single" w:sz="4" w:space="0" w:color="auto"/>
              <w:right w:val="single" w:sz="4" w:space="0" w:color="auto"/>
            </w:tcBorders>
            <w:shd w:val="clear" w:color="auto" w:fill="C6EFCE"/>
            <w:noWrap/>
          </w:tcPr>
          <w:p w14:paraId="4C050ABD" w14:textId="77777777" w:rsidR="003A3D51" w:rsidRDefault="003A3D51">
            <w:pPr>
              <w:spacing w:after="200" w:line="276" w:lineRule="auto"/>
              <w:jc w:val="center"/>
              <w:rPr>
                <w:rFonts w:eastAsia="Calibri" w:cstheme="minorHAnsi"/>
                <w:noProof/>
                <w:sz w:val="20"/>
              </w:rPr>
            </w:pPr>
          </w:p>
        </w:tc>
        <w:tc>
          <w:tcPr>
            <w:tcW w:w="567" w:type="dxa"/>
            <w:tcBorders>
              <w:top w:val="single" w:sz="4" w:space="0" w:color="auto"/>
              <w:left w:val="nil"/>
              <w:bottom w:val="single" w:sz="4" w:space="0" w:color="auto"/>
              <w:right w:val="single" w:sz="4" w:space="0" w:color="auto"/>
            </w:tcBorders>
            <w:shd w:val="clear" w:color="auto" w:fill="C6EFCE"/>
            <w:noWrap/>
          </w:tcPr>
          <w:p w14:paraId="7879C01C" w14:textId="77777777" w:rsidR="003A3D51" w:rsidRDefault="0002775A">
            <w:pPr>
              <w:pStyle w:val="P68B1DB1-Normal17"/>
              <w:spacing w:after="200" w:line="276" w:lineRule="auto"/>
              <w:jc w:val="center"/>
              <w:rPr>
                <w:noProof/>
              </w:rPr>
            </w:pPr>
            <w:r>
              <w:rPr>
                <w:noProof/>
              </w:rPr>
              <w:t>KVARTAL 1</w:t>
            </w:r>
          </w:p>
        </w:tc>
        <w:tc>
          <w:tcPr>
            <w:tcW w:w="567" w:type="dxa"/>
            <w:tcBorders>
              <w:top w:val="single" w:sz="4" w:space="0" w:color="auto"/>
              <w:left w:val="nil"/>
              <w:bottom w:val="single" w:sz="4" w:space="0" w:color="auto"/>
              <w:right w:val="single" w:sz="4" w:space="0" w:color="auto"/>
            </w:tcBorders>
            <w:shd w:val="clear" w:color="auto" w:fill="C6EFCE"/>
            <w:noWrap/>
          </w:tcPr>
          <w:p w14:paraId="71CBEF00" w14:textId="77777777" w:rsidR="003A3D51" w:rsidRDefault="0002775A">
            <w:pPr>
              <w:pStyle w:val="P68B1DB1-Normal17"/>
              <w:spacing w:after="200" w:line="276" w:lineRule="auto"/>
              <w:jc w:val="center"/>
              <w:rPr>
                <w:noProof/>
              </w:rPr>
            </w:pPr>
            <w:r>
              <w:rPr>
                <w:noProof/>
              </w:rPr>
              <w:t>2024</w:t>
            </w:r>
          </w:p>
        </w:tc>
        <w:tc>
          <w:tcPr>
            <w:tcW w:w="4160" w:type="dxa"/>
            <w:tcBorders>
              <w:top w:val="single" w:sz="4" w:space="0" w:color="auto"/>
              <w:left w:val="nil"/>
              <w:bottom w:val="single" w:sz="4" w:space="0" w:color="auto"/>
              <w:right w:val="single" w:sz="4" w:space="0" w:color="auto"/>
            </w:tcBorders>
            <w:shd w:val="clear" w:color="auto" w:fill="C6EFCE"/>
            <w:noWrap/>
          </w:tcPr>
          <w:p w14:paraId="379CC484" w14:textId="6CA60E9C" w:rsidR="003A3D51" w:rsidRDefault="0002775A">
            <w:pPr>
              <w:pStyle w:val="P68B1DB1-Normal17"/>
              <w:spacing w:after="200" w:line="276" w:lineRule="auto"/>
              <w:rPr>
                <w:noProof/>
              </w:rPr>
            </w:pPr>
            <w:r>
              <w:rPr>
                <w:noProof/>
              </w:rPr>
              <w:t>Upphandling av rör ska inledas för utbyggnad av gasledningen Bosiljevo-Sisak-Kozarac.</w:t>
            </w:r>
          </w:p>
        </w:tc>
      </w:tr>
      <w:tr w:rsidR="003A3D51" w14:paraId="10B85584"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71C99200" w14:textId="38A43B8D" w:rsidR="003A3D51" w:rsidRDefault="0002775A">
            <w:pPr>
              <w:pStyle w:val="P68B1DB1-Normal25"/>
              <w:spacing w:after="0" w:line="276" w:lineRule="auto"/>
              <w:jc w:val="center"/>
              <w:rPr>
                <w:rFonts w:eastAsia="Calibri"/>
                <w:noProof/>
              </w:rPr>
            </w:pPr>
            <w:r>
              <w:rPr>
                <w:noProof/>
              </w:rPr>
              <w:t>426</w:t>
            </w:r>
          </w:p>
        </w:tc>
        <w:tc>
          <w:tcPr>
            <w:tcW w:w="852" w:type="dxa"/>
            <w:tcBorders>
              <w:top w:val="single" w:sz="4" w:space="0" w:color="auto"/>
              <w:left w:val="nil"/>
              <w:bottom w:val="single" w:sz="4" w:space="0" w:color="auto"/>
              <w:right w:val="single" w:sz="4" w:space="0" w:color="auto"/>
            </w:tcBorders>
            <w:shd w:val="clear" w:color="auto" w:fill="C6EFCE"/>
            <w:noWrap/>
          </w:tcPr>
          <w:p w14:paraId="5CF2FDC3" w14:textId="1D0EB9A8" w:rsidR="003A3D51" w:rsidRDefault="0002775A">
            <w:pPr>
              <w:pStyle w:val="P68B1DB1-Normal58"/>
              <w:spacing w:after="200" w:line="276" w:lineRule="auto"/>
              <w:jc w:val="center"/>
              <w:rPr>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70FE141A" w14:textId="77777777" w:rsidR="003A3D51" w:rsidRDefault="0002775A">
            <w:pPr>
              <w:pStyle w:val="P68B1DB1-Normal17"/>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5E5629B9" w14:textId="77777777" w:rsidR="003A3D51" w:rsidRDefault="0002775A">
            <w:pPr>
              <w:pStyle w:val="P68B1DB1-Normal17"/>
              <w:spacing w:after="200" w:line="276" w:lineRule="auto"/>
              <w:rPr>
                <w:noProof/>
              </w:rPr>
            </w:pPr>
            <w:r>
              <w:rPr>
                <w:noProof/>
              </w:rPr>
              <w:t xml:space="preserve">Uppförande av den utvidgade gasledningen Bosiljevo-Sisak-Kozarac </w:t>
            </w:r>
          </w:p>
        </w:tc>
        <w:tc>
          <w:tcPr>
            <w:tcW w:w="1952" w:type="dxa"/>
            <w:tcBorders>
              <w:top w:val="single" w:sz="4" w:space="0" w:color="auto"/>
              <w:left w:val="nil"/>
              <w:bottom w:val="single" w:sz="4" w:space="0" w:color="auto"/>
              <w:right w:val="single" w:sz="4" w:space="0" w:color="auto"/>
            </w:tcBorders>
            <w:shd w:val="clear" w:color="auto" w:fill="C6EFCE"/>
            <w:noWrap/>
          </w:tcPr>
          <w:p w14:paraId="2A8B76D9"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435B381A" w14:textId="77777777" w:rsidR="003A3D51" w:rsidRDefault="0002775A">
            <w:pPr>
              <w:pStyle w:val="P68B1DB1-Normal17"/>
              <w:spacing w:after="200" w:line="276" w:lineRule="auto"/>
              <w:jc w:val="center"/>
              <w:rPr>
                <w:noProof/>
              </w:rPr>
            </w:pPr>
            <w:r>
              <w:rPr>
                <w:noProof/>
              </w:rPr>
              <w:t>km</w:t>
            </w:r>
          </w:p>
        </w:tc>
        <w:tc>
          <w:tcPr>
            <w:tcW w:w="868" w:type="dxa"/>
            <w:tcBorders>
              <w:top w:val="single" w:sz="4" w:space="0" w:color="auto"/>
              <w:left w:val="nil"/>
              <w:bottom w:val="single" w:sz="4" w:space="0" w:color="auto"/>
              <w:right w:val="single" w:sz="4" w:space="0" w:color="auto"/>
            </w:tcBorders>
            <w:shd w:val="clear" w:color="auto" w:fill="C6EFCE"/>
            <w:noWrap/>
          </w:tcPr>
          <w:p w14:paraId="1D840C0C" w14:textId="77777777" w:rsidR="003A3D51" w:rsidRDefault="0002775A">
            <w:pPr>
              <w:pStyle w:val="P68B1DB1-Normal17"/>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6DCEF096" w14:textId="77777777" w:rsidR="003A3D51" w:rsidRDefault="0002775A">
            <w:pPr>
              <w:pStyle w:val="P68B1DB1-Normal17"/>
              <w:spacing w:after="200" w:line="276" w:lineRule="auto"/>
              <w:jc w:val="center"/>
              <w:rPr>
                <w:noProof/>
              </w:rPr>
            </w:pPr>
            <w:r>
              <w:rPr>
                <w:noProof/>
              </w:rPr>
              <w:t>122</w:t>
            </w:r>
          </w:p>
        </w:tc>
        <w:tc>
          <w:tcPr>
            <w:tcW w:w="567" w:type="dxa"/>
            <w:tcBorders>
              <w:top w:val="single" w:sz="4" w:space="0" w:color="auto"/>
              <w:left w:val="nil"/>
              <w:bottom w:val="single" w:sz="4" w:space="0" w:color="auto"/>
              <w:right w:val="single" w:sz="4" w:space="0" w:color="auto"/>
            </w:tcBorders>
            <w:shd w:val="clear" w:color="auto" w:fill="C6EFCE"/>
            <w:noWrap/>
          </w:tcPr>
          <w:p w14:paraId="36F0AE97" w14:textId="77777777" w:rsidR="003A3D51" w:rsidRDefault="0002775A">
            <w:pPr>
              <w:pStyle w:val="P68B1DB1-Normal17"/>
              <w:spacing w:after="200" w:line="276" w:lineRule="auto"/>
              <w:jc w:val="center"/>
              <w:rPr>
                <w:noProof/>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4A66B9B0" w14:textId="77777777" w:rsidR="003A3D51" w:rsidRDefault="0002775A">
            <w:pPr>
              <w:pStyle w:val="P68B1DB1-Normal17"/>
              <w:spacing w:after="200" w:line="276" w:lineRule="auto"/>
              <w:jc w:val="center"/>
              <w:rPr>
                <w:noProof/>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61EE5ED1" w14:textId="7B760C98" w:rsidR="003A3D51" w:rsidRDefault="0002775A">
            <w:pPr>
              <w:pStyle w:val="P68B1DB1-Normal17"/>
              <w:spacing w:after="200" w:line="276" w:lineRule="auto"/>
              <w:rPr>
                <w:noProof/>
              </w:rPr>
            </w:pPr>
            <w:r>
              <w:rPr>
                <w:noProof/>
              </w:rPr>
              <w:t>Den utvidgade gasledningen Bosiljevo-Sisak-Kozarac, med en längd på 122 km, ska byggas.</w:t>
            </w:r>
          </w:p>
        </w:tc>
      </w:tr>
      <w:tr w:rsidR="003A3D51" w14:paraId="76457124"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0AB5576A" w14:textId="4582CCE0" w:rsidR="003A3D51" w:rsidRDefault="0002775A">
            <w:pPr>
              <w:pStyle w:val="P68B1DB1-Normal25"/>
              <w:spacing w:after="0" w:line="276" w:lineRule="auto"/>
              <w:jc w:val="center"/>
              <w:rPr>
                <w:rFonts w:eastAsia="Calibri"/>
                <w:noProof/>
              </w:rPr>
            </w:pPr>
            <w:r>
              <w:rPr>
                <w:noProof/>
              </w:rPr>
              <w:t>427</w:t>
            </w:r>
          </w:p>
        </w:tc>
        <w:tc>
          <w:tcPr>
            <w:tcW w:w="852" w:type="dxa"/>
            <w:tcBorders>
              <w:top w:val="single" w:sz="4" w:space="0" w:color="auto"/>
              <w:left w:val="nil"/>
              <w:bottom w:val="single" w:sz="4" w:space="0" w:color="auto"/>
              <w:right w:val="single" w:sz="4" w:space="0" w:color="auto"/>
            </w:tcBorders>
            <w:shd w:val="clear" w:color="auto" w:fill="C6EFCE"/>
            <w:noWrap/>
          </w:tcPr>
          <w:p w14:paraId="69E7224C" w14:textId="12C7E3C0" w:rsidR="003A3D51" w:rsidRDefault="0002775A">
            <w:pPr>
              <w:pStyle w:val="P68B1DB1-Normal58"/>
              <w:spacing w:after="200" w:line="276" w:lineRule="auto"/>
              <w:jc w:val="center"/>
              <w:rPr>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631B9E91" w14:textId="77777777" w:rsidR="003A3D51" w:rsidRDefault="0002775A">
            <w:pPr>
              <w:pStyle w:val="P68B1DB1-Normal17"/>
              <w:spacing w:after="200" w:line="276" w:lineRule="auto"/>
              <w:jc w:val="center"/>
              <w:rPr>
                <w:noProof/>
              </w:rPr>
            </w:pPr>
            <w:r>
              <w:rPr>
                <w:noProof/>
              </w:rPr>
              <w:t>M</w:t>
            </w:r>
          </w:p>
        </w:tc>
        <w:tc>
          <w:tcPr>
            <w:tcW w:w="2552" w:type="dxa"/>
            <w:tcBorders>
              <w:top w:val="single" w:sz="4" w:space="0" w:color="auto"/>
              <w:left w:val="nil"/>
              <w:bottom w:val="single" w:sz="4" w:space="0" w:color="auto"/>
              <w:right w:val="single" w:sz="4" w:space="0" w:color="auto"/>
            </w:tcBorders>
            <w:shd w:val="clear" w:color="auto" w:fill="C6EFCE"/>
            <w:noWrap/>
          </w:tcPr>
          <w:p w14:paraId="359EFC2A" w14:textId="77777777" w:rsidR="003A3D51" w:rsidRDefault="0002775A">
            <w:pPr>
              <w:pStyle w:val="P68B1DB1-Normal17"/>
              <w:spacing w:after="200" w:line="276" w:lineRule="auto"/>
              <w:rPr>
                <w:noProof/>
              </w:rPr>
            </w:pPr>
            <w:r>
              <w:rPr>
                <w:noProof/>
              </w:rPr>
              <w:t>Anbudsförfarande för upphandling av rör för utbyggnad av sträckan Lučko-Zabok i sammanlänkningen Kroatien-Slovenien</w:t>
            </w:r>
          </w:p>
        </w:tc>
        <w:tc>
          <w:tcPr>
            <w:tcW w:w="1952" w:type="dxa"/>
            <w:tcBorders>
              <w:top w:val="single" w:sz="4" w:space="0" w:color="auto"/>
              <w:left w:val="nil"/>
              <w:bottom w:val="single" w:sz="4" w:space="0" w:color="auto"/>
              <w:right w:val="single" w:sz="4" w:space="0" w:color="auto"/>
            </w:tcBorders>
            <w:shd w:val="clear" w:color="auto" w:fill="C6EFCE"/>
            <w:noWrap/>
          </w:tcPr>
          <w:p w14:paraId="2F3CA8C8" w14:textId="77777777" w:rsidR="003A3D51" w:rsidRDefault="0002775A">
            <w:pPr>
              <w:pStyle w:val="P68B1DB1-Normal17"/>
              <w:spacing w:after="200" w:line="276" w:lineRule="auto"/>
              <w:rPr>
                <w:noProof/>
              </w:rPr>
            </w:pPr>
            <w:r>
              <w:rPr>
                <w:noProof/>
              </w:rPr>
              <w:t>Anbudsförfarande för upphandling av rör som lanserats</w:t>
            </w:r>
          </w:p>
        </w:tc>
        <w:tc>
          <w:tcPr>
            <w:tcW w:w="1131" w:type="dxa"/>
            <w:tcBorders>
              <w:top w:val="single" w:sz="4" w:space="0" w:color="auto"/>
              <w:left w:val="nil"/>
              <w:bottom w:val="single" w:sz="4" w:space="0" w:color="auto"/>
              <w:right w:val="single" w:sz="4" w:space="0" w:color="auto"/>
            </w:tcBorders>
            <w:shd w:val="clear" w:color="auto" w:fill="C6EFCE"/>
            <w:noWrap/>
          </w:tcPr>
          <w:p w14:paraId="4523CC1C" w14:textId="77777777" w:rsidR="003A3D51" w:rsidRDefault="003A3D51">
            <w:pPr>
              <w:spacing w:after="200" w:line="276" w:lineRule="auto"/>
              <w:jc w:val="center"/>
              <w:rPr>
                <w:rFonts w:eastAsia="Calibri" w:cstheme="minorHAnsi"/>
                <w:noProof/>
                <w:sz w:val="20"/>
              </w:rPr>
            </w:pPr>
          </w:p>
        </w:tc>
        <w:tc>
          <w:tcPr>
            <w:tcW w:w="868" w:type="dxa"/>
            <w:tcBorders>
              <w:top w:val="single" w:sz="4" w:space="0" w:color="auto"/>
              <w:left w:val="nil"/>
              <w:bottom w:val="single" w:sz="4" w:space="0" w:color="auto"/>
              <w:right w:val="single" w:sz="4" w:space="0" w:color="auto"/>
            </w:tcBorders>
            <w:shd w:val="clear" w:color="auto" w:fill="C6EFCE"/>
            <w:noWrap/>
          </w:tcPr>
          <w:p w14:paraId="095A24A5" w14:textId="77777777" w:rsidR="003A3D51" w:rsidRDefault="003A3D51">
            <w:pPr>
              <w:spacing w:after="200" w:line="276" w:lineRule="auto"/>
              <w:jc w:val="center"/>
              <w:rPr>
                <w:rFonts w:eastAsia="Calibri" w:cstheme="minorHAnsi"/>
                <w:noProof/>
                <w:sz w:val="20"/>
              </w:rPr>
            </w:pPr>
          </w:p>
        </w:tc>
        <w:tc>
          <w:tcPr>
            <w:tcW w:w="850" w:type="dxa"/>
            <w:tcBorders>
              <w:top w:val="single" w:sz="4" w:space="0" w:color="auto"/>
              <w:left w:val="nil"/>
              <w:bottom w:val="single" w:sz="4" w:space="0" w:color="auto"/>
              <w:right w:val="single" w:sz="4" w:space="0" w:color="auto"/>
            </w:tcBorders>
            <w:shd w:val="clear" w:color="auto" w:fill="C6EFCE"/>
            <w:noWrap/>
          </w:tcPr>
          <w:p w14:paraId="623C7294" w14:textId="77777777" w:rsidR="003A3D51" w:rsidRDefault="003A3D51">
            <w:pPr>
              <w:spacing w:after="200" w:line="276" w:lineRule="auto"/>
              <w:jc w:val="center"/>
              <w:rPr>
                <w:rFonts w:eastAsia="Calibri" w:cstheme="minorHAnsi"/>
                <w:noProof/>
                <w:sz w:val="20"/>
              </w:rPr>
            </w:pPr>
          </w:p>
        </w:tc>
        <w:tc>
          <w:tcPr>
            <w:tcW w:w="567" w:type="dxa"/>
            <w:tcBorders>
              <w:top w:val="single" w:sz="4" w:space="0" w:color="auto"/>
              <w:left w:val="nil"/>
              <w:bottom w:val="single" w:sz="4" w:space="0" w:color="auto"/>
              <w:right w:val="single" w:sz="4" w:space="0" w:color="auto"/>
            </w:tcBorders>
            <w:shd w:val="clear" w:color="auto" w:fill="C6EFCE"/>
            <w:noWrap/>
          </w:tcPr>
          <w:p w14:paraId="44049126" w14:textId="77777777" w:rsidR="003A3D51" w:rsidRDefault="0002775A">
            <w:pPr>
              <w:pStyle w:val="P68B1DB1-Normal17"/>
              <w:spacing w:after="200" w:line="276" w:lineRule="auto"/>
              <w:jc w:val="center"/>
              <w:rPr>
                <w:noProof/>
              </w:rPr>
            </w:pPr>
            <w:r>
              <w:rPr>
                <w:noProof/>
              </w:rPr>
              <w:t>KVARTAL 1</w:t>
            </w:r>
          </w:p>
        </w:tc>
        <w:tc>
          <w:tcPr>
            <w:tcW w:w="567" w:type="dxa"/>
            <w:tcBorders>
              <w:top w:val="single" w:sz="4" w:space="0" w:color="auto"/>
              <w:left w:val="nil"/>
              <w:bottom w:val="single" w:sz="4" w:space="0" w:color="auto"/>
              <w:right w:val="single" w:sz="4" w:space="0" w:color="auto"/>
            </w:tcBorders>
            <w:shd w:val="clear" w:color="auto" w:fill="C6EFCE"/>
            <w:noWrap/>
          </w:tcPr>
          <w:p w14:paraId="7E414288" w14:textId="77777777" w:rsidR="003A3D51" w:rsidRDefault="0002775A">
            <w:pPr>
              <w:pStyle w:val="P68B1DB1-Normal17"/>
              <w:spacing w:after="200" w:line="276" w:lineRule="auto"/>
              <w:jc w:val="center"/>
              <w:rPr>
                <w:noProof/>
              </w:rPr>
            </w:pPr>
            <w:r>
              <w:rPr>
                <w:noProof/>
              </w:rPr>
              <w:t>2024</w:t>
            </w:r>
          </w:p>
        </w:tc>
        <w:tc>
          <w:tcPr>
            <w:tcW w:w="4160" w:type="dxa"/>
            <w:tcBorders>
              <w:top w:val="single" w:sz="4" w:space="0" w:color="auto"/>
              <w:left w:val="nil"/>
              <w:bottom w:val="single" w:sz="4" w:space="0" w:color="auto"/>
              <w:right w:val="single" w:sz="4" w:space="0" w:color="auto"/>
            </w:tcBorders>
            <w:shd w:val="clear" w:color="auto" w:fill="C6EFCE"/>
            <w:noWrap/>
          </w:tcPr>
          <w:p w14:paraId="28A2528B" w14:textId="173D0CEB" w:rsidR="003A3D51" w:rsidRDefault="0002775A">
            <w:pPr>
              <w:pStyle w:val="P68B1DB1-Normal17"/>
              <w:spacing w:after="200" w:line="276" w:lineRule="auto"/>
              <w:rPr>
                <w:noProof/>
              </w:rPr>
            </w:pPr>
            <w:r>
              <w:rPr>
                <w:noProof/>
              </w:rPr>
              <w:t>Anbudsförfarande för upphandling av rör ska inledas för utbyggnad av sträckan Lučko-Zabok i sammanlänkningen Kroatien-Slovenien.</w:t>
            </w:r>
          </w:p>
        </w:tc>
      </w:tr>
      <w:tr w:rsidR="003A3D51" w14:paraId="6874A754" w14:textId="77777777">
        <w:trPr>
          <w:jc w:val="center"/>
        </w:trPr>
        <w:tc>
          <w:tcPr>
            <w:tcW w:w="711" w:type="dxa"/>
            <w:tcBorders>
              <w:top w:val="single" w:sz="4" w:space="0" w:color="auto"/>
              <w:left w:val="single" w:sz="4" w:space="0" w:color="auto"/>
              <w:bottom w:val="single" w:sz="4" w:space="0" w:color="auto"/>
              <w:right w:val="single" w:sz="4" w:space="0" w:color="auto"/>
            </w:tcBorders>
            <w:shd w:val="clear" w:color="auto" w:fill="C6EFCE"/>
            <w:noWrap/>
          </w:tcPr>
          <w:p w14:paraId="61125954" w14:textId="0E48FF6D" w:rsidR="003A3D51" w:rsidRDefault="0002775A">
            <w:pPr>
              <w:pStyle w:val="P68B1DB1-Normal25"/>
              <w:spacing w:after="0" w:line="276" w:lineRule="auto"/>
              <w:jc w:val="center"/>
              <w:rPr>
                <w:rFonts w:eastAsia="Calibri"/>
                <w:noProof/>
              </w:rPr>
            </w:pPr>
            <w:r>
              <w:rPr>
                <w:noProof/>
              </w:rPr>
              <w:t>428</w:t>
            </w:r>
          </w:p>
        </w:tc>
        <w:tc>
          <w:tcPr>
            <w:tcW w:w="852" w:type="dxa"/>
            <w:tcBorders>
              <w:top w:val="single" w:sz="4" w:space="0" w:color="auto"/>
              <w:left w:val="nil"/>
              <w:bottom w:val="single" w:sz="4" w:space="0" w:color="auto"/>
              <w:right w:val="single" w:sz="4" w:space="0" w:color="auto"/>
            </w:tcBorders>
            <w:shd w:val="clear" w:color="auto" w:fill="C6EFCE"/>
            <w:noWrap/>
          </w:tcPr>
          <w:p w14:paraId="17F9D10C" w14:textId="2581BC40" w:rsidR="003A3D51" w:rsidRDefault="0002775A">
            <w:pPr>
              <w:pStyle w:val="P68B1DB1-Normal58"/>
              <w:spacing w:after="200" w:line="276" w:lineRule="auto"/>
              <w:jc w:val="center"/>
              <w:rPr>
                <w:noProof/>
              </w:rPr>
            </w:pPr>
            <w:r>
              <w:rPr>
                <w:noProof/>
              </w:rPr>
              <w:t>C7.1 I3</w:t>
            </w:r>
          </w:p>
        </w:tc>
        <w:tc>
          <w:tcPr>
            <w:tcW w:w="850" w:type="dxa"/>
            <w:tcBorders>
              <w:top w:val="single" w:sz="4" w:space="0" w:color="auto"/>
              <w:left w:val="nil"/>
              <w:bottom w:val="single" w:sz="4" w:space="0" w:color="auto"/>
              <w:right w:val="single" w:sz="4" w:space="0" w:color="auto"/>
            </w:tcBorders>
            <w:shd w:val="clear" w:color="auto" w:fill="C6EFCE"/>
            <w:noWrap/>
          </w:tcPr>
          <w:p w14:paraId="65D5718E" w14:textId="77777777" w:rsidR="003A3D51" w:rsidRDefault="0002775A">
            <w:pPr>
              <w:pStyle w:val="P68B1DB1-Normal17"/>
              <w:spacing w:after="200" w:line="276" w:lineRule="auto"/>
              <w:jc w:val="center"/>
              <w:rPr>
                <w:noProof/>
              </w:rPr>
            </w:pPr>
            <w:r>
              <w:rPr>
                <w:noProof/>
              </w:rPr>
              <w:t>T</w:t>
            </w:r>
          </w:p>
        </w:tc>
        <w:tc>
          <w:tcPr>
            <w:tcW w:w="2552" w:type="dxa"/>
            <w:tcBorders>
              <w:top w:val="single" w:sz="4" w:space="0" w:color="auto"/>
              <w:left w:val="nil"/>
              <w:bottom w:val="single" w:sz="4" w:space="0" w:color="auto"/>
              <w:right w:val="single" w:sz="4" w:space="0" w:color="auto"/>
            </w:tcBorders>
            <w:shd w:val="clear" w:color="auto" w:fill="C6EFCE"/>
            <w:noWrap/>
          </w:tcPr>
          <w:p w14:paraId="48723744" w14:textId="77777777" w:rsidR="003A3D51" w:rsidRDefault="0002775A">
            <w:pPr>
              <w:pStyle w:val="P68B1DB1-Normal17"/>
              <w:spacing w:after="200" w:line="276" w:lineRule="auto"/>
              <w:rPr>
                <w:noProof/>
              </w:rPr>
            </w:pPr>
            <w:r>
              <w:rPr>
                <w:noProof/>
              </w:rPr>
              <w:t>Uppförande av den utvidgade sträckan Lučko-Zabok i sammanlänkningen Kroatien-Slovenien</w:t>
            </w:r>
          </w:p>
        </w:tc>
        <w:tc>
          <w:tcPr>
            <w:tcW w:w="1952" w:type="dxa"/>
            <w:tcBorders>
              <w:top w:val="single" w:sz="4" w:space="0" w:color="auto"/>
              <w:left w:val="nil"/>
              <w:bottom w:val="single" w:sz="4" w:space="0" w:color="auto"/>
              <w:right w:val="single" w:sz="4" w:space="0" w:color="auto"/>
            </w:tcBorders>
            <w:shd w:val="clear" w:color="auto" w:fill="C6EFCE"/>
            <w:noWrap/>
          </w:tcPr>
          <w:p w14:paraId="60BF0E02" w14:textId="77777777" w:rsidR="003A3D51" w:rsidRDefault="003A3D51">
            <w:pPr>
              <w:spacing w:after="200" w:line="276" w:lineRule="auto"/>
              <w:rPr>
                <w:rFonts w:eastAsia="Calibri" w:cstheme="minorHAnsi"/>
                <w:noProof/>
                <w:sz w:val="20"/>
              </w:rPr>
            </w:pPr>
          </w:p>
        </w:tc>
        <w:tc>
          <w:tcPr>
            <w:tcW w:w="1131" w:type="dxa"/>
            <w:tcBorders>
              <w:top w:val="single" w:sz="4" w:space="0" w:color="auto"/>
              <w:left w:val="nil"/>
              <w:bottom w:val="single" w:sz="4" w:space="0" w:color="auto"/>
              <w:right w:val="single" w:sz="4" w:space="0" w:color="auto"/>
            </w:tcBorders>
            <w:shd w:val="clear" w:color="auto" w:fill="C6EFCE"/>
            <w:noWrap/>
          </w:tcPr>
          <w:p w14:paraId="1C89488E" w14:textId="77777777" w:rsidR="003A3D51" w:rsidRDefault="0002775A">
            <w:pPr>
              <w:pStyle w:val="P68B1DB1-Normal17"/>
              <w:spacing w:after="200" w:line="276" w:lineRule="auto"/>
              <w:jc w:val="center"/>
              <w:rPr>
                <w:noProof/>
              </w:rPr>
            </w:pPr>
            <w:r>
              <w:rPr>
                <w:noProof/>
              </w:rPr>
              <w:t>km</w:t>
            </w:r>
          </w:p>
        </w:tc>
        <w:tc>
          <w:tcPr>
            <w:tcW w:w="868" w:type="dxa"/>
            <w:tcBorders>
              <w:top w:val="single" w:sz="4" w:space="0" w:color="auto"/>
              <w:left w:val="nil"/>
              <w:bottom w:val="single" w:sz="4" w:space="0" w:color="auto"/>
              <w:right w:val="single" w:sz="4" w:space="0" w:color="auto"/>
            </w:tcBorders>
            <w:shd w:val="clear" w:color="auto" w:fill="C6EFCE"/>
            <w:noWrap/>
          </w:tcPr>
          <w:p w14:paraId="59B143A7" w14:textId="77777777" w:rsidR="003A3D51" w:rsidRDefault="0002775A">
            <w:pPr>
              <w:pStyle w:val="P68B1DB1-Normal17"/>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007D563B" w14:textId="77777777" w:rsidR="003A3D51" w:rsidRDefault="0002775A">
            <w:pPr>
              <w:pStyle w:val="P68B1DB1-Normal17"/>
              <w:spacing w:after="200" w:line="276" w:lineRule="auto"/>
              <w:jc w:val="center"/>
              <w:rPr>
                <w:noProof/>
              </w:rPr>
            </w:pPr>
            <w:r>
              <w:rPr>
                <w:noProof/>
              </w:rPr>
              <w:t>36</w:t>
            </w:r>
          </w:p>
        </w:tc>
        <w:tc>
          <w:tcPr>
            <w:tcW w:w="567" w:type="dxa"/>
            <w:tcBorders>
              <w:top w:val="single" w:sz="4" w:space="0" w:color="auto"/>
              <w:left w:val="nil"/>
              <w:bottom w:val="single" w:sz="4" w:space="0" w:color="auto"/>
              <w:right w:val="single" w:sz="4" w:space="0" w:color="auto"/>
            </w:tcBorders>
            <w:shd w:val="clear" w:color="auto" w:fill="C6EFCE"/>
            <w:noWrap/>
          </w:tcPr>
          <w:p w14:paraId="6361D2DF" w14:textId="77777777" w:rsidR="003A3D51" w:rsidRDefault="0002775A">
            <w:pPr>
              <w:pStyle w:val="P68B1DB1-Normal17"/>
              <w:spacing w:after="200" w:line="276" w:lineRule="auto"/>
              <w:jc w:val="center"/>
              <w:rPr>
                <w:noProof/>
              </w:rPr>
            </w:pPr>
            <w:r>
              <w:rPr>
                <w:noProof/>
              </w:rPr>
              <w:t>KVARTAL 2</w:t>
            </w:r>
          </w:p>
        </w:tc>
        <w:tc>
          <w:tcPr>
            <w:tcW w:w="567" w:type="dxa"/>
            <w:tcBorders>
              <w:top w:val="single" w:sz="4" w:space="0" w:color="auto"/>
              <w:left w:val="nil"/>
              <w:bottom w:val="single" w:sz="4" w:space="0" w:color="auto"/>
              <w:right w:val="single" w:sz="4" w:space="0" w:color="auto"/>
            </w:tcBorders>
            <w:shd w:val="clear" w:color="auto" w:fill="C6EFCE"/>
            <w:noWrap/>
          </w:tcPr>
          <w:p w14:paraId="3AE3B31E" w14:textId="77777777" w:rsidR="003A3D51" w:rsidRDefault="0002775A">
            <w:pPr>
              <w:pStyle w:val="P68B1DB1-Normal17"/>
              <w:spacing w:after="200" w:line="276" w:lineRule="auto"/>
              <w:jc w:val="center"/>
              <w:rPr>
                <w:noProof/>
              </w:rPr>
            </w:pPr>
            <w:r>
              <w:rPr>
                <w:noProof/>
              </w:rPr>
              <w:t>2026</w:t>
            </w:r>
          </w:p>
        </w:tc>
        <w:tc>
          <w:tcPr>
            <w:tcW w:w="4160" w:type="dxa"/>
            <w:tcBorders>
              <w:top w:val="single" w:sz="4" w:space="0" w:color="auto"/>
              <w:left w:val="nil"/>
              <w:bottom w:val="single" w:sz="4" w:space="0" w:color="auto"/>
              <w:right w:val="single" w:sz="4" w:space="0" w:color="auto"/>
            </w:tcBorders>
            <w:shd w:val="clear" w:color="auto" w:fill="C6EFCE"/>
            <w:noWrap/>
          </w:tcPr>
          <w:p w14:paraId="4C5B5FBD" w14:textId="24220BB6" w:rsidR="003A3D51" w:rsidRDefault="0002775A">
            <w:pPr>
              <w:pStyle w:val="P68B1DB1-Normal17"/>
              <w:spacing w:after="200" w:line="276" w:lineRule="auto"/>
              <w:rPr>
                <w:noProof/>
              </w:rPr>
            </w:pPr>
            <w:r>
              <w:rPr>
                <w:noProof/>
              </w:rPr>
              <w:t xml:space="preserve">Den utvidgade sträckan Lučko-Zabok i gassammanlänkningen Kroatien-Slovenien, med en längd på 36 km, ska byggas. </w:t>
            </w:r>
          </w:p>
        </w:tc>
      </w:tr>
    </w:tbl>
    <w:p w14:paraId="7B88C24A" w14:textId="77777777" w:rsidR="003A3D51" w:rsidRDefault="003A3D51">
      <w:pPr>
        <w:rPr>
          <w:rFonts w:ascii="Segoe UI" w:eastAsia="Times New Roman" w:hAnsi="Segoe UI" w:cs="Segoe UI"/>
          <w:noProof/>
          <w:sz w:val="18"/>
        </w:rPr>
      </w:pPr>
    </w:p>
    <w:p w14:paraId="1D31D5F8" w14:textId="77777777" w:rsidR="003A3D51" w:rsidRDefault="003A3D51">
      <w:pPr>
        <w:pStyle w:val="paragraph"/>
        <w:spacing w:before="0" w:beforeAutospacing="0" w:after="0" w:afterAutospacing="0"/>
        <w:jc w:val="both"/>
        <w:textAlignment w:val="baseline"/>
        <w:rPr>
          <w:rFonts w:ascii="Segoe UI" w:hAnsi="Segoe UI" w:cs="Segoe UI"/>
          <w:noProof/>
          <w:sz w:val="18"/>
        </w:rPr>
        <w:sectPr w:rsidR="003A3D51" w:rsidSect="00146C1C">
          <w:headerReference w:type="even" r:id="rId420"/>
          <w:headerReference w:type="default" r:id="rId421"/>
          <w:footerReference w:type="even" r:id="rId422"/>
          <w:footerReference w:type="default" r:id="rId423"/>
          <w:headerReference w:type="first" r:id="rId424"/>
          <w:footerReference w:type="first" r:id="rId425"/>
          <w:pgSz w:w="15840" w:h="12240" w:orient="landscape"/>
          <w:pgMar w:top="1440" w:right="1440" w:bottom="1440" w:left="1440" w:header="708" w:footer="708" w:gutter="0"/>
          <w:cols w:space="708"/>
          <w:docGrid w:linePitch="360"/>
        </w:sectPr>
      </w:pPr>
    </w:p>
    <w:p w14:paraId="334174F5" w14:textId="221DCD45" w:rsidR="003A3D51" w:rsidRDefault="0002775A">
      <w:pPr>
        <w:pStyle w:val="P68B1DB1-paragraph61"/>
        <w:spacing w:before="0" w:beforeAutospacing="0" w:after="240" w:afterAutospacing="0"/>
        <w:jc w:val="both"/>
        <w:textAlignment w:val="baseline"/>
        <w:rPr>
          <w:noProof/>
        </w:rPr>
      </w:pPr>
      <w:r>
        <w:rPr>
          <w:noProof/>
        </w:rPr>
        <w:t>X. KOMPONENT 7.2: Energi FÖR BUILDERINGAR (REPowerEU-KAPITEL)</w:t>
      </w:r>
    </w:p>
    <w:p w14:paraId="7130B1FE" w14:textId="4D5E8865" w:rsidR="003A3D51" w:rsidRDefault="0002775A">
      <w:pPr>
        <w:pStyle w:val="paragraph"/>
        <w:spacing w:before="0" w:beforeAutospacing="0" w:after="0" w:afterAutospacing="0"/>
        <w:jc w:val="both"/>
        <w:textAlignment w:val="baseline"/>
        <w:rPr>
          <w:noProof/>
        </w:rPr>
      </w:pPr>
      <w:r>
        <w:rPr>
          <w:noProof/>
        </w:rPr>
        <w:t>Huvudsyftet med denna komponent är att minska beroendet av fossila bränslen och påskynda den gröna omställningen i hela ekonomin.</w:t>
      </w:r>
      <w:r>
        <w:rPr>
          <w:noProof/>
          <w:color w:val="000000" w:themeColor="text1"/>
        </w:rPr>
        <w:t xml:space="preserve"> Detta ska enligt planerna uppnås genom åtgärder </w:t>
      </w:r>
      <w:r>
        <w:rPr>
          <w:noProof/>
        </w:rPr>
        <w:t xml:space="preserve">som rör renovering av byggnader, bekämpning av energifattigdom och förbättring av grön kompetens. De nämnda åtgärderna är avsedda att bidra till att öka energieffektiviteten i byggnader, minska beroendet av fossila bränslen, ta itu med energifattigdom, bidra till att öka energitryggheten och stödja omskolning av arbetskraften mot grön kompetens. </w:t>
      </w:r>
    </w:p>
    <w:p w14:paraId="7429590D" w14:textId="77777777" w:rsidR="003A3D51" w:rsidRDefault="003A3D51">
      <w:pPr>
        <w:pStyle w:val="paragraph"/>
        <w:spacing w:before="0" w:beforeAutospacing="0" w:after="0" w:afterAutospacing="0"/>
        <w:jc w:val="both"/>
        <w:textAlignment w:val="baseline"/>
        <w:rPr>
          <w:noProof/>
        </w:rPr>
      </w:pPr>
    </w:p>
    <w:p w14:paraId="5C3D845E" w14:textId="77777777" w:rsidR="003A3D51" w:rsidRDefault="0002775A">
      <w:pPr>
        <w:pStyle w:val="paragraph"/>
        <w:spacing w:after="0"/>
        <w:jc w:val="both"/>
        <w:textAlignment w:val="baseline"/>
        <w:rPr>
          <w:noProof/>
        </w:rPr>
      </w:pPr>
      <w:r>
        <w:rPr>
          <w:noProof/>
        </w:rPr>
        <w:t>Av de fem åtgärderna inom denna del har två en gränsöverskridande dimension eller en dimension som omfattar flera länder, nämligen investeringar i energirenovering av byggnader och renovering av byggnader som skadats vid jordbävningar med energirenovering.</w:t>
      </w:r>
    </w:p>
    <w:p w14:paraId="74FBCA5C" w14:textId="3F0BFF90" w:rsidR="003A3D51" w:rsidRDefault="0002775A">
      <w:pPr>
        <w:pStyle w:val="paragraph"/>
        <w:spacing w:before="0" w:beforeAutospacing="0" w:after="0" w:afterAutospacing="0"/>
        <w:jc w:val="both"/>
        <w:textAlignment w:val="baseline"/>
        <w:rPr>
          <w:noProof/>
        </w:rPr>
      </w:pPr>
      <w:r>
        <w:rPr>
          <w:noProof/>
        </w:rPr>
        <w:t>Investeringarna och reformerna ska bidra till att följa de landsspecifika rekommendationer som riktats till Kroatien om behovet av att minska energiefterfrågan genom att förbättra energieffektiviteten, främst i bostadshus (de landsspecifika rekommendationerna 2019.3.3, 2022.3.4, 2023.3.1 och 3.5), behovet av politiska insatser för att tillhandahålla och förvärva den kompetens som behövs för den gröna omställningen (rekommendation 2023.3.7) och öka användningen och användningen av förnybara energikällor (de landsspecifika rekommendationerna 2019.3.3, 2020.3.8, 2022.3.2, 2023.3.1 och 3.2).</w:t>
      </w:r>
    </w:p>
    <w:p w14:paraId="5E2D5C4A" w14:textId="77777777" w:rsidR="003A3D51" w:rsidRDefault="003A3D51">
      <w:pPr>
        <w:pStyle w:val="paragraph"/>
        <w:spacing w:before="0" w:beforeAutospacing="0" w:after="0" w:afterAutospacing="0"/>
        <w:jc w:val="both"/>
        <w:textAlignment w:val="baseline"/>
        <w:rPr>
          <w:noProof/>
          <w:color w:val="000000" w:themeColor="text1"/>
        </w:rPr>
      </w:pPr>
    </w:p>
    <w:p w14:paraId="0D3A65B7" w14:textId="7632E7F4" w:rsidR="003A3D51" w:rsidRDefault="0002775A">
      <w:pPr>
        <w:pStyle w:val="P68B1DB1-paragraph56"/>
        <w:spacing w:before="0" w:beforeAutospacing="0" w:after="0" w:afterAutospacing="0"/>
        <w:jc w:val="both"/>
        <w:textAlignment w:val="baseline"/>
        <w:rPr>
          <w:noProof/>
        </w:rPr>
      </w:pPr>
      <w:r>
        <w:rPr>
          <w:noProof/>
        </w:rPr>
        <w:t>Ingen åtgärd i denna komponent förväntas orsaka betydande skada för miljömål i den mening som avses i artikel 17 i förordning (EU) 2020/852, med beaktande av beskrivningen av åtgärderna och de riskreducerande stegen i återhämtnings- och resiliensplanen i enlighet med den tekniska vägledningen om att inte orsaka betydande skada (C (2023) 6454 final).</w:t>
      </w:r>
    </w:p>
    <w:p w14:paraId="145CE75D" w14:textId="77777777" w:rsidR="003A3D51" w:rsidRDefault="003A3D51">
      <w:pPr>
        <w:pStyle w:val="paragraph"/>
        <w:spacing w:before="0" w:beforeAutospacing="0" w:after="0" w:afterAutospacing="0"/>
        <w:jc w:val="both"/>
        <w:textAlignment w:val="baseline"/>
        <w:rPr>
          <w:noProof/>
        </w:rPr>
      </w:pPr>
    </w:p>
    <w:p w14:paraId="4B249202" w14:textId="4B6AB14B" w:rsidR="003A3D51" w:rsidRDefault="0002775A">
      <w:pPr>
        <w:pStyle w:val="paragraph"/>
        <w:spacing w:before="0" w:beforeAutospacing="0" w:after="0" w:afterAutospacing="0"/>
        <w:jc w:val="both"/>
        <w:textAlignment w:val="baseline"/>
        <w:rPr>
          <w:noProof/>
        </w:rPr>
      </w:pPr>
      <w:r>
        <w:rPr>
          <w:rStyle w:val="normaltextrun"/>
          <w:b/>
          <w:noProof/>
          <w:u w:val="single"/>
        </w:rPr>
        <w:t xml:space="preserve">X.1. </w:t>
      </w:r>
      <w:r>
        <w:rPr>
          <w:rStyle w:val="tabchar"/>
          <w:noProof/>
        </w:rPr>
        <w:tab/>
      </w:r>
      <w:r>
        <w:rPr>
          <w:rStyle w:val="normaltextrun"/>
          <w:b/>
          <w:noProof/>
          <w:u w:val="single"/>
        </w:rPr>
        <w:t>Beskrivning av reformer och investeringar avseende icke återbetalningspliktigt ekonomiskt stöd</w:t>
      </w:r>
      <w:r>
        <w:rPr>
          <w:rStyle w:val="eop"/>
          <w:noProof/>
        </w:rPr>
        <w:t xml:space="preserve"> </w:t>
      </w:r>
    </w:p>
    <w:p w14:paraId="6729050C" w14:textId="77777777" w:rsidR="003A3D51" w:rsidRDefault="003A3D51">
      <w:pPr>
        <w:pStyle w:val="paragraph"/>
        <w:spacing w:before="0" w:beforeAutospacing="0" w:after="0" w:afterAutospacing="0"/>
        <w:jc w:val="both"/>
        <w:textAlignment w:val="baseline"/>
        <w:rPr>
          <w:rStyle w:val="normaltextrun"/>
          <w:noProof/>
        </w:rPr>
      </w:pPr>
    </w:p>
    <w:p w14:paraId="2BB378D9" w14:textId="0899E497" w:rsidR="003A3D51" w:rsidRDefault="0002775A">
      <w:pPr>
        <w:pStyle w:val="P68B1DB1-paragraph55"/>
        <w:spacing w:before="0" w:beforeAutospacing="0" w:after="0" w:afterAutospacing="0"/>
        <w:ind w:left="720"/>
        <w:jc w:val="both"/>
        <w:rPr>
          <w:noProof/>
          <w:color w:val="000000" w:themeColor="text1"/>
        </w:rPr>
      </w:pPr>
      <w:r>
        <w:rPr>
          <w:noProof/>
          <w:color w:val="000000" w:themeColor="text1"/>
          <w:shd w:val="clear" w:color="auto" w:fill="FFFFFF" w:themeFill="background1"/>
        </w:rPr>
        <w:t>Utökad åtgärd</w:t>
      </w:r>
      <w:r>
        <w:rPr>
          <w:noProof/>
          <w:color w:val="000000" w:themeColor="text1"/>
        </w:rPr>
        <w:t xml:space="preserve"> </w:t>
      </w:r>
      <w:r>
        <w:rPr>
          <w:noProof/>
          <w:color w:val="000000" w:themeColor="text1"/>
          <w:shd w:val="clear" w:color="auto" w:fill="FFFFFF" w:themeFill="background1"/>
        </w:rPr>
        <w:t>C7.2 R1</w:t>
      </w:r>
      <w:r>
        <w:rPr>
          <w:noProof/>
          <w:color w:val="000000" w:themeColor="text1"/>
        </w:rPr>
        <w:t>: Öka effektiviteten, minska den administrativa bördan och digitalisera renoveringsprocessen</w:t>
      </w:r>
    </w:p>
    <w:p w14:paraId="1F2FEE5B" w14:textId="77777777" w:rsidR="003A3D51" w:rsidRDefault="003A3D51">
      <w:pPr>
        <w:pStyle w:val="paragraph"/>
        <w:spacing w:before="0" w:beforeAutospacing="0" w:after="0" w:afterAutospacing="0"/>
        <w:jc w:val="both"/>
        <w:textAlignment w:val="baseline"/>
        <w:rPr>
          <w:rStyle w:val="eop"/>
          <w:noProof/>
        </w:rPr>
      </w:pPr>
    </w:p>
    <w:p w14:paraId="0CD7E484" w14:textId="26FA0ECF" w:rsidR="003A3D51" w:rsidRDefault="0002775A">
      <w:pPr>
        <w:pStyle w:val="P68B1DB1-paragraph56"/>
        <w:spacing w:before="0" w:beforeAutospacing="0" w:after="0" w:afterAutospacing="0"/>
        <w:jc w:val="both"/>
        <w:rPr>
          <w:noProof/>
        </w:rPr>
      </w:pPr>
      <w:r>
        <w:rPr>
          <w:noProof/>
        </w:rPr>
        <w:t xml:space="preserve">Syftet med denna åtgärd är att utöka reformen C6.1.R3: Ökad effektivitet, minskning av den administrativa bördan och digitalisering av renoveringsprocessen inom ramen för initiativ 6.1: Renovering av byggnader. Den utökade delen av åtgärden ska omfatta följande: </w:t>
      </w:r>
    </w:p>
    <w:p w14:paraId="51664C0E" w14:textId="189B379B" w:rsidR="003A3D51" w:rsidRDefault="0002775A">
      <w:pPr>
        <w:pStyle w:val="P68B1DB1-paragraph56"/>
        <w:numPr>
          <w:ilvl w:val="0"/>
          <w:numId w:val="9"/>
        </w:numPr>
        <w:spacing w:before="0" w:beforeAutospacing="0" w:after="0" w:afterAutospacing="0"/>
        <w:jc w:val="both"/>
        <w:rPr>
          <w:noProof/>
        </w:rPr>
      </w:pPr>
      <w:r>
        <w:rPr>
          <w:noProof/>
        </w:rPr>
        <w:t xml:space="preserve">genomförande av minst sex deltagandebaserade workshoppar om utveckling av energirenovering, grön infrastruktur och gröna byggnadsprojekt i olika lokala självstyrande enheter. </w:t>
      </w:r>
    </w:p>
    <w:p w14:paraId="5C80A673" w14:textId="06F84E74" w:rsidR="003A3D51" w:rsidRDefault="0002775A">
      <w:pPr>
        <w:pStyle w:val="P68B1DB1-paragraph56"/>
        <w:numPr>
          <w:ilvl w:val="0"/>
          <w:numId w:val="9"/>
        </w:numPr>
        <w:spacing w:before="0" w:beforeAutospacing="0" w:after="0" w:afterAutospacing="0"/>
        <w:jc w:val="both"/>
        <w:rPr>
          <w:noProof/>
        </w:rPr>
      </w:pPr>
      <w:r>
        <w:rPr>
          <w:noProof/>
        </w:rPr>
        <w:t xml:space="preserve">utveckling av ett program och en handledning för genomförande av deltagarinriktade workshoppar för företrädare för lokala självstyrande enheter. </w:t>
      </w:r>
    </w:p>
    <w:p w14:paraId="667A9F9F" w14:textId="39AF324B" w:rsidR="003A3D51" w:rsidRDefault="0002775A">
      <w:pPr>
        <w:pStyle w:val="P68B1DB1-paragraph56"/>
        <w:numPr>
          <w:ilvl w:val="0"/>
          <w:numId w:val="9"/>
        </w:numPr>
        <w:spacing w:before="0" w:beforeAutospacing="0" w:after="240" w:afterAutospacing="0"/>
        <w:jc w:val="both"/>
        <w:rPr>
          <w:noProof/>
        </w:rPr>
      </w:pPr>
      <w:r>
        <w:rPr>
          <w:noProof/>
        </w:rPr>
        <w:t>utforma och publicera utbildningsmaterial om energirenovering, grön infrastruktur och gröna byggnader för att informera allmänheten. Detta material och slutsatserna från genomförda workshoppar ska göras tillgängliga för allmänheten åtminstone på portalen med en enda kontaktpunkt.</w:t>
      </w:r>
    </w:p>
    <w:p w14:paraId="094A8DE7" w14:textId="3906F635" w:rsidR="003A3D51" w:rsidRDefault="0002775A">
      <w:pPr>
        <w:pStyle w:val="P68B1DB1-paragraph56"/>
        <w:spacing w:before="0" w:beforeAutospacing="0" w:after="0" w:afterAutospacing="0"/>
        <w:jc w:val="both"/>
        <w:rPr>
          <w:noProof/>
        </w:rPr>
      </w:pPr>
      <w:r>
        <w:rPr>
          <w:noProof/>
        </w:rPr>
        <w:t>Investeringen ska vara genomförd senast den 30 september 2025.</w:t>
      </w:r>
    </w:p>
    <w:p w14:paraId="0C32830E" w14:textId="77777777" w:rsidR="003A3D51" w:rsidRDefault="003A3D51">
      <w:pPr>
        <w:pStyle w:val="paragraph"/>
        <w:spacing w:before="0" w:beforeAutospacing="0" w:after="0" w:afterAutospacing="0"/>
        <w:jc w:val="both"/>
        <w:textAlignment w:val="baseline"/>
        <w:rPr>
          <w:rStyle w:val="eop"/>
          <w:noProof/>
        </w:rPr>
      </w:pPr>
    </w:p>
    <w:p w14:paraId="08DA630A" w14:textId="3D9F0E04" w:rsidR="003A3D51" w:rsidRDefault="0002775A">
      <w:pPr>
        <w:pStyle w:val="P68B1DB1-paragraph57"/>
        <w:spacing w:before="0" w:beforeAutospacing="0" w:after="0" w:afterAutospacing="0"/>
        <w:ind w:left="720"/>
        <w:jc w:val="both"/>
        <w:rPr>
          <w:noProof/>
        </w:rPr>
      </w:pPr>
      <w:r>
        <w:rPr>
          <w:noProof/>
        </w:rPr>
        <w:t>Utökad åtgärd C7.2 R2: Införande av en ny modell för gröna strategier för stadsförnyelse och genomförande av ett pilotprojekt för utveckling av grön infrastruktur och cirkulär förvaltning av byggnader och utrymmen.</w:t>
      </w:r>
    </w:p>
    <w:p w14:paraId="3D163DE4" w14:textId="77777777" w:rsidR="003A3D51" w:rsidRDefault="003A3D51">
      <w:pPr>
        <w:pStyle w:val="paragraph"/>
        <w:spacing w:before="0" w:beforeAutospacing="0" w:after="0" w:afterAutospacing="0"/>
        <w:jc w:val="both"/>
        <w:rPr>
          <w:noProof/>
          <w:color w:val="000000" w:themeColor="text1"/>
          <w:u w:val="single"/>
        </w:rPr>
      </w:pPr>
    </w:p>
    <w:p w14:paraId="58D37BFE" w14:textId="3934CC92" w:rsidR="003A3D51" w:rsidRDefault="0002775A">
      <w:pPr>
        <w:pStyle w:val="P68B1DB1-paragraph56"/>
        <w:spacing w:before="0" w:beforeAutospacing="0" w:after="240" w:afterAutospacing="0"/>
        <w:jc w:val="both"/>
        <w:rPr>
          <w:noProof/>
        </w:rPr>
      </w:pPr>
      <w:r>
        <w:rPr>
          <w:noProof/>
        </w:rPr>
        <w:t>Syftet med denna åtgärd är att utöka reformen C6.1.R5: Införande av en ny modell för gröna strategier för stadsförnyelse och genomförande av ett pilotprojekt för utveckling av grön infrastruktur och cirkulär förvaltning av byggnader och utrymme inom ramen för initiativ 6.1: Renovering av byggnader. Den utökade delen av åtgärden ska bestå av utarbetande och antagande av ytterligare gröna strategier för stadsförnyelse och genomförande av ytterligare pilotprojekt för utveckling av grön infrastruktur och cirkulär förvaltning av byggnader och utrymme.</w:t>
      </w:r>
    </w:p>
    <w:p w14:paraId="4448A3AD" w14:textId="77777777" w:rsidR="003A3D51" w:rsidRDefault="0002775A">
      <w:pPr>
        <w:pStyle w:val="P68B1DB1-paragraph56"/>
        <w:spacing w:before="0" w:beforeAutospacing="0" w:after="0" w:afterAutospacing="0"/>
        <w:jc w:val="both"/>
        <w:rPr>
          <w:noProof/>
        </w:rPr>
      </w:pPr>
      <w:r>
        <w:rPr>
          <w:noProof/>
        </w:rPr>
        <w:t>Investeringen ska vara genomförd senast den 30 juni 2026.</w:t>
      </w:r>
    </w:p>
    <w:p w14:paraId="31BC0CF9" w14:textId="77777777" w:rsidR="003A3D51" w:rsidRDefault="003A3D51">
      <w:pPr>
        <w:pStyle w:val="paragraph"/>
        <w:spacing w:before="0" w:beforeAutospacing="0" w:after="0" w:afterAutospacing="0"/>
        <w:jc w:val="both"/>
        <w:textAlignment w:val="baseline"/>
        <w:rPr>
          <w:rStyle w:val="eop"/>
          <w:noProof/>
        </w:rPr>
      </w:pPr>
    </w:p>
    <w:p w14:paraId="164A803B"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43260DC2" w14:textId="77777777" w:rsidR="003A3D51" w:rsidRDefault="003A3D51">
      <w:pPr>
        <w:pStyle w:val="paragraph"/>
        <w:spacing w:before="0" w:beforeAutospacing="0" w:after="0" w:afterAutospacing="0"/>
        <w:jc w:val="both"/>
        <w:textAlignment w:val="baseline"/>
        <w:rPr>
          <w:rStyle w:val="normaltextrun"/>
          <w:b/>
          <w:noProof/>
          <w:highlight w:val="yellow"/>
          <w:u w:val="single"/>
        </w:rPr>
        <w:sectPr w:rsidR="003A3D51">
          <w:headerReference w:type="even" r:id="rId426"/>
          <w:headerReference w:type="default" r:id="rId427"/>
          <w:footerReference w:type="even" r:id="rId428"/>
          <w:footerReference w:type="default" r:id="rId429"/>
          <w:headerReference w:type="first" r:id="rId430"/>
          <w:footerReference w:type="first" r:id="rId431"/>
          <w:pgSz w:w="12240" w:h="15840"/>
          <w:pgMar w:top="1440" w:right="1440" w:bottom="1440" w:left="1440" w:header="708" w:footer="708" w:gutter="0"/>
          <w:cols w:space="708"/>
          <w:docGrid w:linePitch="360"/>
        </w:sectPr>
      </w:pPr>
    </w:p>
    <w:p w14:paraId="25EA9967" w14:textId="13B48EC0" w:rsidR="003A3D51" w:rsidRDefault="0002775A">
      <w:pPr>
        <w:pStyle w:val="paragraph"/>
        <w:spacing w:before="0" w:beforeAutospacing="0" w:after="0" w:afterAutospacing="0"/>
        <w:jc w:val="both"/>
        <w:textAlignment w:val="baseline"/>
        <w:rPr>
          <w:rFonts w:ascii="Segoe UI" w:hAnsi="Segoe UI" w:cs="Segoe UI"/>
          <w:noProof/>
          <w:sz w:val="18"/>
        </w:rPr>
      </w:pPr>
      <w:r>
        <w:rPr>
          <w:rStyle w:val="normaltextrun"/>
          <w:b/>
          <w:noProof/>
          <w:u w:val="single"/>
        </w:rPr>
        <w:t xml:space="preserve">X.2. </w:t>
      </w:r>
      <w:r>
        <w:rPr>
          <w:rStyle w:val="tabchar"/>
          <w:rFonts w:ascii="Calibri" w:hAnsi="Calibri" w:cs="Calibri"/>
          <w:noProof/>
        </w:rPr>
        <w:tab/>
      </w:r>
      <w:r>
        <w:rPr>
          <w:rStyle w:val="normaltextrun"/>
          <w:b/>
          <w:noProof/>
          <w:u w:val="single"/>
        </w:rPr>
        <w:t>Delmål, mål, indikatorer och tidsplan för övervakning och genomförande avseende icke återbetalningspliktigt ekonomiskt stöd</w:t>
      </w:r>
      <w:r>
        <w:rPr>
          <w:rStyle w:val="eop"/>
          <w:noProof/>
        </w:rPr>
        <w:t> </w:t>
      </w:r>
    </w:p>
    <w:p w14:paraId="45D061DB" w14:textId="77777777" w:rsidR="003A3D51" w:rsidRDefault="003A3D51">
      <w:pPr>
        <w:pStyle w:val="paragraph"/>
        <w:spacing w:before="0" w:beforeAutospacing="0" w:after="0" w:afterAutospacing="0"/>
        <w:jc w:val="both"/>
        <w:textAlignment w:val="baseline"/>
        <w:rPr>
          <w:rFonts w:ascii="Segoe UI" w:hAnsi="Segoe UI" w:cs="Segoe UI"/>
          <w:noProof/>
          <w:sz w:val="18"/>
        </w:rPr>
      </w:pPr>
    </w:p>
    <w:tbl>
      <w:tblPr>
        <w:tblW w:w="14866" w:type="dxa"/>
        <w:jc w:val="center"/>
        <w:tblCellMar>
          <w:top w:w="28" w:type="dxa"/>
          <w:left w:w="28" w:type="dxa"/>
          <w:bottom w:w="28" w:type="dxa"/>
          <w:right w:w="28" w:type="dxa"/>
        </w:tblCellMar>
        <w:tblLook w:val="04A0" w:firstRow="1" w:lastRow="0" w:firstColumn="1" w:lastColumn="0" w:noHBand="0" w:noVBand="1"/>
      </w:tblPr>
      <w:tblGrid>
        <w:gridCol w:w="732"/>
        <w:gridCol w:w="1130"/>
        <w:gridCol w:w="946"/>
        <w:gridCol w:w="2541"/>
        <w:gridCol w:w="1717"/>
        <w:gridCol w:w="944"/>
        <w:gridCol w:w="851"/>
        <w:gridCol w:w="850"/>
        <w:gridCol w:w="795"/>
        <w:gridCol w:w="662"/>
        <w:gridCol w:w="4157"/>
      </w:tblGrid>
      <w:tr w:rsidR="003A3D51" w14:paraId="037A660D" w14:textId="77777777">
        <w:trPr>
          <w:tblHeader/>
          <w:jc w:val="center"/>
        </w:trPr>
        <w:tc>
          <w:tcPr>
            <w:tcW w:w="7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646EDF1" w14:textId="77777777" w:rsidR="003A3D51" w:rsidRDefault="0002775A">
            <w:pPr>
              <w:pStyle w:val="P68B1DB1-Normal6"/>
              <w:spacing w:after="0" w:line="276" w:lineRule="auto"/>
              <w:jc w:val="center"/>
              <w:rPr>
                <w:noProof/>
              </w:rPr>
            </w:pPr>
            <w:r>
              <w:rPr>
                <w:noProof/>
              </w:rPr>
              <w:t>Antal</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231928" w14:textId="77777777" w:rsidR="003A3D51" w:rsidRDefault="0002775A">
            <w:pPr>
              <w:pStyle w:val="P68B1DB1-Normal6"/>
              <w:spacing w:after="0" w:line="276" w:lineRule="auto"/>
              <w:jc w:val="center"/>
              <w:rPr>
                <w:noProof/>
              </w:rPr>
            </w:pPr>
            <w:r>
              <w:rPr>
                <w:noProof/>
              </w:rPr>
              <w:t>Åtgärd</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88EEDF" w14:textId="77777777" w:rsidR="003A3D51" w:rsidRDefault="0002775A">
            <w:pPr>
              <w:pStyle w:val="P68B1DB1-Normal6"/>
              <w:spacing w:after="0" w:line="276" w:lineRule="auto"/>
              <w:jc w:val="center"/>
              <w:rPr>
                <w:noProof/>
              </w:rPr>
            </w:pPr>
            <w:r>
              <w:rPr>
                <w:noProof/>
              </w:rPr>
              <w:t>Delmål/mål</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40A49A" w14:textId="77777777" w:rsidR="003A3D51" w:rsidRDefault="0002775A">
            <w:pPr>
              <w:pStyle w:val="P68B1DB1-Normal6"/>
              <w:spacing w:after="0" w:line="276" w:lineRule="auto"/>
              <w:jc w:val="center"/>
              <w:rPr>
                <w:noProof/>
              </w:rPr>
            </w:pPr>
            <w:r>
              <w:rPr>
                <w:noProof/>
              </w:rPr>
              <w:t>Namn</w:t>
            </w:r>
          </w:p>
        </w:tc>
        <w:tc>
          <w:tcPr>
            <w:tcW w:w="17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F75546"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2645"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88F5A83"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1088" w:type="dxa"/>
            <w:gridSpan w:val="2"/>
            <w:tcBorders>
              <w:top w:val="single" w:sz="4" w:space="0" w:color="auto"/>
              <w:left w:val="nil"/>
              <w:bottom w:val="single" w:sz="4" w:space="0" w:color="auto"/>
              <w:right w:val="single" w:sz="4" w:space="0" w:color="auto"/>
            </w:tcBorders>
            <w:shd w:val="clear" w:color="auto" w:fill="BDD7EE"/>
            <w:hideMark/>
          </w:tcPr>
          <w:p w14:paraId="5E903CA3" w14:textId="77777777" w:rsidR="003A3D51" w:rsidRDefault="0002775A">
            <w:pPr>
              <w:pStyle w:val="P68B1DB1-Normal6"/>
              <w:spacing w:after="0" w:line="276" w:lineRule="auto"/>
              <w:jc w:val="center"/>
              <w:rPr>
                <w:noProof/>
              </w:rPr>
            </w:pPr>
            <w:r>
              <w:rPr>
                <w:noProof/>
              </w:rPr>
              <w:t>Tid</w:t>
            </w:r>
          </w:p>
        </w:tc>
        <w:tc>
          <w:tcPr>
            <w:tcW w:w="415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E732C61" w14:textId="77777777" w:rsidR="003A3D51" w:rsidRDefault="0002775A">
            <w:pPr>
              <w:pStyle w:val="P68B1DB1-Normal6"/>
              <w:spacing w:after="0" w:line="276" w:lineRule="auto"/>
              <w:jc w:val="center"/>
              <w:rPr>
                <w:noProof/>
              </w:rPr>
            </w:pPr>
            <w:r>
              <w:rPr>
                <w:noProof/>
              </w:rPr>
              <w:t>Beskrivning av varje delmål och mål</w:t>
            </w:r>
          </w:p>
        </w:tc>
      </w:tr>
      <w:tr w:rsidR="003A3D51" w14:paraId="5C1FA37A" w14:textId="77777777">
        <w:trPr>
          <w:tblHeader/>
          <w:jc w:val="center"/>
        </w:trPr>
        <w:tc>
          <w:tcPr>
            <w:tcW w:w="732" w:type="dxa"/>
            <w:vMerge/>
            <w:tcBorders>
              <w:top w:val="single" w:sz="4" w:space="0" w:color="auto"/>
              <w:left w:val="single" w:sz="4" w:space="0" w:color="auto"/>
              <w:bottom w:val="single" w:sz="4" w:space="0" w:color="auto"/>
              <w:right w:val="single" w:sz="4" w:space="0" w:color="auto"/>
            </w:tcBorders>
            <w:hideMark/>
          </w:tcPr>
          <w:p w14:paraId="09A9A7EA" w14:textId="77777777" w:rsidR="003A3D51" w:rsidRDefault="003A3D51">
            <w:pPr>
              <w:spacing w:after="0" w:line="276" w:lineRule="auto"/>
              <w:jc w:val="center"/>
              <w:rPr>
                <w:rFonts w:ascii="Times New Roman" w:eastAsia="Times New Roman" w:hAnsi="Times New Roman" w:cs="Times New Roman"/>
                <w:b/>
                <w:noProof/>
              </w:rPr>
            </w:pPr>
          </w:p>
        </w:tc>
        <w:tc>
          <w:tcPr>
            <w:tcW w:w="1130" w:type="dxa"/>
            <w:vMerge/>
            <w:tcBorders>
              <w:top w:val="single" w:sz="4" w:space="0" w:color="auto"/>
              <w:left w:val="single" w:sz="4" w:space="0" w:color="auto"/>
              <w:bottom w:val="single" w:sz="4" w:space="0" w:color="auto"/>
              <w:right w:val="single" w:sz="4" w:space="0" w:color="auto"/>
            </w:tcBorders>
            <w:hideMark/>
          </w:tcPr>
          <w:p w14:paraId="4C9B6F68" w14:textId="77777777" w:rsidR="003A3D51" w:rsidRDefault="003A3D51">
            <w:pPr>
              <w:spacing w:after="0" w:line="276" w:lineRule="auto"/>
              <w:jc w:val="center"/>
              <w:rPr>
                <w:rFonts w:ascii="Times New Roman" w:eastAsia="Times New Roman" w:hAnsi="Times New Roman" w:cs="Times New Roman"/>
                <w:b/>
                <w:noProof/>
              </w:rPr>
            </w:pPr>
          </w:p>
        </w:tc>
        <w:tc>
          <w:tcPr>
            <w:tcW w:w="856" w:type="dxa"/>
            <w:vMerge/>
            <w:tcBorders>
              <w:top w:val="single" w:sz="4" w:space="0" w:color="auto"/>
              <w:left w:val="single" w:sz="4" w:space="0" w:color="auto"/>
              <w:bottom w:val="single" w:sz="4" w:space="0" w:color="auto"/>
              <w:right w:val="single" w:sz="4" w:space="0" w:color="auto"/>
            </w:tcBorders>
            <w:hideMark/>
          </w:tcPr>
          <w:p w14:paraId="020DD9DA" w14:textId="77777777" w:rsidR="003A3D51" w:rsidRDefault="003A3D51">
            <w:pPr>
              <w:spacing w:after="0" w:line="276" w:lineRule="auto"/>
              <w:jc w:val="center"/>
              <w:rPr>
                <w:rFonts w:ascii="Times New Roman" w:eastAsia="Times New Roman" w:hAnsi="Times New Roman" w:cs="Times New Roman"/>
                <w:b/>
                <w:noProof/>
              </w:rPr>
            </w:pPr>
          </w:p>
        </w:tc>
        <w:tc>
          <w:tcPr>
            <w:tcW w:w="2541" w:type="dxa"/>
            <w:vMerge/>
            <w:tcBorders>
              <w:top w:val="single" w:sz="4" w:space="0" w:color="auto"/>
              <w:left w:val="single" w:sz="4" w:space="0" w:color="auto"/>
              <w:bottom w:val="single" w:sz="4" w:space="0" w:color="auto"/>
              <w:right w:val="single" w:sz="4" w:space="0" w:color="auto"/>
            </w:tcBorders>
            <w:hideMark/>
          </w:tcPr>
          <w:p w14:paraId="686B3757" w14:textId="77777777" w:rsidR="003A3D51" w:rsidRDefault="003A3D51">
            <w:pPr>
              <w:spacing w:after="0" w:line="276" w:lineRule="auto"/>
              <w:rPr>
                <w:rFonts w:ascii="Times New Roman" w:eastAsia="Times New Roman" w:hAnsi="Times New Roman" w:cs="Times New Roman"/>
                <w:b/>
                <w:noProof/>
              </w:rPr>
            </w:pPr>
          </w:p>
        </w:tc>
        <w:tc>
          <w:tcPr>
            <w:tcW w:w="0" w:type="auto"/>
            <w:vMerge/>
            <w:tcBorders>
              <w:top w:val="single" w:sz="4" w:space="0" w:color="auto"/>
              <w:left w:val="single" w:sz="4" w:space="0" w:color="auto"/>
              <w:bottom w:val="single" w:sz="4" w:space="0" w:color="auto"/>
              <w:right w:val="single" w:sz="4" w:space="0" w:color="auto"/>
            </w:tcBorders>
            <w:hideMark/>
          </w:tcPr>
          <w:p w14:paraId="7436F8D2" w14:textId="77777777" w:rsidR="003A3D51" w:rsidRDefault="003A3D51">
            <w:pPr>
              <w:spacing w:after="0" w:line="276" w:lineRule="auto"/>
              <w:rPr>
                <w:rFonts w:ascii="Times New Roman" w:eastAsia="Times New Roman" w:hAnsi="Times New Roman" w:cs="Times New Roman"/>
                <w:b/>
                <w:noProof/>
              </w:rPr>
            </w:pPr>
          </w:p>
        </w:tc>
        <w:tc>
          <w:tcPr>
            <w:tcW w:w="944" w:type="dxa"/>
            <w:tcBorders>
              <w:top w:val="nil"/>
              <w:left w:val="single" w:sz="4" w:space="0" w:color="auto"/>
              <w:bottom w:val="single" w:sz="4" w:space="0" w:color="auto"/>
              <w:right w:val="single" w:sz="4" w:space="0" w:color="auto"/>
            </w:tcBorders>
            <w:shd w:val="clear" w:color="auto" w:fill="BDD7EE"/>
            <w:hideMark/>
          </w:tcPr>
          <w:p w14:paraId="7BF47690" w14:textId="77777777" w:rsidR="003A3D51" w:rsidRDefault="0002775A">
            <w:pPr>
              <w:pStyle w:val="P68B1DB1-Normal6"/>
              <w:spacing w:after="0" w:line="276" w:lineRule="auto"/>
              <w:jc w:val="center"/>
              <w:rPr>
                <w:noProof/>
              </w:rPr>
            </w:pPr>
            <w:r>
              <w:rPr>
                <w:noProof/>
              </w:rPr>
              <w:t>Enhet</w:t>
            </w:r>
          </w:p>
        </w:tc>
        <w:tc>
          <w:tcPr>
            <w:tcW w:w="851" w:type="dxa"/>
            <w:tcBorders>
              <w:top w:val="nil"/>
              <w:left w:val="nil"/>
              <w:bottom w:val="single" w:sz="4" w:space="0" w:color="auto"/>
              <w:right w:val="single" w:sz="4" w:space="0" w:color="auto"/>
            </w:tcBorders>
            <w:shd w:val="clear" w:color="auto" w:fill="BDD7EE"/>
            <w:hideMark/>
          </w:tcPr>
          <w:p w14:paraId="6C757044" w14:textId="77777777" w:rsidR="003A3D51" w:rsidRDefault="0002775A">
            <w:pPr>
              <w:pStyle w:val="P68B1DB1-Normal6"/>
              <w:spacing w:after="0" w:line="276" w:lineRule="auto"/>
              <w:jc w:val="center"/>
              <w:rPr>
                <w:noProof/>
              </w:rPr>
            </w:pPr>
            <w:r>
              <w:rPr>
                <w:noProof/>
              </w:rPr>
              <w:t>Baslinjen</w:t>
            </w:r>
          </w:p>
        </w:tc>
        <w:tc>
          <w:tcPr>
            <w:tcW w:w="850" w:type="dxa"/>
            <w:tcBorders>
              <w:top w:val="nil"/>
              <w:left w:val="nil"/>
              <w:bottom w:val="single" w:sz="4" w:space="0" w:color="auto"/>
              <w:right w:val="single" w:sz="4" w:space="0" w:color="auto"/>
            </w:tcBorders>
            <w:shd w:val="clear" w:color="auto" w:fill="BDD7EE"/>
            <w:hideMark/>
          </w:tcPr>
          <w:p w14:paraId="7060C794" w14:textId="77777777" w:rsidR="003A3D51" w:rsidRDefault="0002775A">
            <w:pPr>
              <w:pStyle w:val="P68B1DB1-Normal6"/>
              <w:spacing w:after="0" w:line="276" w:lineRule="auto"/>
              <w:jc w:val="center"/>
              <w:rPr>
                <w:noProof/>
              </w:rPr>
            </w:pPr>
            <w:r>
              <w:rPr>
                <w:noProof/>
              </w:rPr>
              <w:t>Mål</w:t>
            </w:r>
          </w:p>
        </w:tc>
        <w:tc>
          <w:tcPr>
            <w:tcW w:w="426" w:type="dxa"/>
            <w:tcBorders>
              <w:top w:val="nil"/>
              <w:left w:val="nil"/>
              <w:bottom w:val="single" w:sz="4" w:space="0" w:color="auto"/>
              <w:right w:val="single" w:sz="4" w:space="0" w:color="auto"/>
            </w:tcBorders>
            <w:shd w:val="clear" w:color="auto" w:fill="BDD7EE"/>
            <w:hideMark/>
          </w:tcPr>
          <w:p w14:paraId="4BD561BD" w14:textId="77777777" w:rsidR="003A3D51" w:rsidRDefault="0002775A">
            <w:pPr>
              <w:pStyle w:val="P68B1DB1-Normal6"/>
              <w:spacing w:after="0" w:line="276" w:lineRule="auto"/>
              <w:jc w:val="center"/>
              <w:rPr>
                <w:noProof/>
              </w:rPr>
            </w:pPr>
            <w:r>
              <w:rPr>
                <w:noProof/>
              </w:rPr>
              <w:t>Q</w:t>
            </w:r>
          </w:p>
        </w:tc>
        <w:tc>
          <w:tcPr>
            <w:tcW w:w="662" w:type="dxa"/>
            <w:tcBorders>
              <w:top w:val="nil"/>
              <w:left w:val="nil"/>
              <w:bottom w:val="single" w:sz="4" w:space="0" w:color="auto"/>
              <w:right w:val="single" w:sz="4" w:space="0" w:color="auto"/>
            </w:tcBorders>
            <w:shd w:val="clear" w:color="auto" w:fill="BDD7EE"/>
            <w:hideMark/>
          </w:tcPr>
          <w:p w14:paraId="54137BEE" w14:textId="77777777" w:rsidR="003A3D51" w:rsidRDefault="0002775A">
            <w:pPr>
              <w:pStyle w:val="P68B1DB1-Normal6"/>
              <w:spacing w:after="0" w:line="276" w:lineRule="auto"/>
              <w:jc w:val="center"/>
              <w:rPr>
                <w:noProof/>
              </w:rPr>
            </w:pPr>
            <w:r>
              <w:rPr>
                <w:noProof/>
              </w:rPr>
              <w:t>Året</w:t>
            </w:r>
          </w:p>
        </w:tc>
        <w:tc>
          <w:tcPr>
            <w:tcW w:w="4157" w:type="dxa"/>
            <w:vMerge/>
            <w:tcBorders>
              <w:bottom w:val="single" w:sz="4" w:space="0" w:color="auto"/>
              <w:right w:val="single" w:sz="4" w:space="0" w:color="auto"/>
            </w:tcBorders>
            <w:hideMark/>
          </w:tcPr>
          <w:p w14:paraId="0A86455C" w14:textId="77777777" w:rsidR="003A3D51" w:rsidRDefault="003A3D51">
            <w:pPr>
              <w:spacing w:after="0" w:line="276" w:lineRule="auto"/>
              <w:rPr>
                <w:rFonts w:ascii="Times New Roman" w:eastAsia="Times New Roman" w:hAnsi="Times New Roman" w:cs="Times New Roman"/>
                <w:b/>
                <w:noProof/>
              </w:rPr>
            </w:pPr>
          </w:p>
        </w:tc>
      </w:tr>
      <w:tr w:rsidR="003A3D51" w14:paraId="5EFE4157"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C6EFCE"/>
            <w:noWrap/>
          </w:tcPr>
          <w:p w14:paraId="44CF5CFB" w14:textId="5958BA9F" w:rsidR="003A3D51" w:rsidRDefault="0002775A">
            <w:pPr>
              <w:pStyle w:val="P68B1DB1-Normal13"/>
              <w:spacing w:after="0" w:line="276" w:lineRule="auto"/>
              <w:jc w:val="center"/>
              <w:rPr>
                <w:noProof/>
              </w:rPr>
            </w:pPr>
            <w:r>
              <w:rPr>
                <w:noProof/>
              </w:rPr>
              <w:t>429</w:t>
            </w:r>
          </w:p>
          <w:p w14:paraId="622EE4F8" w14:textId="77777777" w:rsidR="003A3D51" w:rsidRDefault="003A3D51">
            <w:pPr>
              <w:spacing w:after="0" w:line="276" w:lineRule="auto"/>
              <w:jc w:val="center"/>
              <w:rPr>
                <w:noProof/>
                <w:sz w:val="20"/>
              </w:rPr>
            </w:pPr>
          </w:p>
        </w:tc>
        <w:tc>
          <w:tcPr>
            <w:tcW w:w="1130" w:type="dxa"/>
            <w:tcBorders>
              <w:top w:val="single" w:sz="4" w:space="0" w:color="auto"/>
              <w:left w:val="nil"/>
              <w:bottom w:val="single" w:sz="4" w:space="0" w:color="auto"/>
              <w:right w:val="single" w:sz="4" w:space="0" w:color="auto"/>
            </w:tcBorders>
            <w:shd w:val="clear" w:color="auto" w:fill="C6EFCE"/>
            <w:noWrap/>
          </w:tcPr>
          <w:p w14:paraId="3C12EB7D" w14:textId="2DBF5A9C" w:rsidR="003A3D51" w:rsidRDefault="0002775A">
            <w:pPr>
              <w:pStyle w:val="P68B1DB1-Normal41"/>
              <w:spacing w:after="200" w:line="276" w:lineRule="auto"/>
              <w:jc w:val="center"/>
              <w:rPr>
                <w:noProof/>
                <w:color w:val="000000" w:themeColor="text1"/>
              </w:rPr>
            </w:pPr>
            <w:r>
              <w:rPr>
                <w:noProof/>
              </w:rPr>
              <w:t>C7.2 R1</w:t>
            </w:r>
          </w:p>
        </w:tc>
        <w:tc>
          <w:tcPr>
            <w:tcW w:w="856" w:type="dxa"/>
            <w:tcBorders>
              <w:top w:val="single" w:sz="4" w:space="0" w:color="auto"/>
              <w:left w:val="nil"/>
              <w:bottom w:val="single" w:sz="4" w:space="0" w:color="auto"/>
              <w:right w:val="single" w:sz="4" w:space="0" w:color="auto"/>
            </w:tcBorders>
            <w:shd w:val="clear" w:color="auto" w:fill="C6EFCE"/>
            <w:noWrap/>
          </w:tcPr>
          <w:p w14:paraId="3CE0FBBE" w14:textId="77777777" w:rsidR="003A3D51" w:rsidRDefault="0002775A">
            <w:pPr>
              <w:pStyle w:val="P68B1DB1-Normal17"/>
              <w:spacing w:after="200" w:line="276" w:lineRule="auto"/>
              <w:jc w:val="center"/>
              <w:rPr>
                <w:noProof/>
                <w:highlight w:val="yellow"/>
              </w:rPr>
            </w:pPr>
            <w:r>
              <w:rPr>
                <w:noProof/>
              </w:rPr>
              <w:t>T</w:t>
            </w:r>
          </w:p>
        </w:tc>
        <w:tc>
          <w:tcPr>
            <w:tcW w:w="2541" w:type="dxa"/>
            <w:tcBorders>
              <w:top w:val="single" w:sz="4" w:space="0" w:color="auto"/>
              <w:left w:val="nil"/>
              <w:bottom w:val="single" w:sz="4" w:space="0" w:color="auto"/>
              <w:right w:val="single" w:sz="4" w:space="0" w:color="auto"/>
            </w:tcBorders>
            <w:shd w:val="clear" w:color="auto" w:fill="C6EFCE"/>
            <w:noWrap/>
          </w:tcPr>
          <w:p w14:paraId="1E267FFE" w14:textId="68FB769F" w:rsidR="003A3D51" w:rsidRDefault="0002775A">
            <w:pPr>
              <w:pStyle w:val="P68B1DB1-Normal27"/>
              <w:spacing w:after="200" w:line="276" w:lineRule="auto"/>
              <w:rPr>
                <w:noProof/>
              </w:rPr>
            </w:pPr>
            <w:r>
              <w:rPr>
                <w:noProof/>
              </w:rPr>
              <w:t xml:space="preserve">Deltagarinriktade workshoppar om utveckling av energirenovering, grön infrastruktur och gröna byggnadsprojekt </w:t>
            </w:r>
          </w:p>
        </w:tc>
        <w:tc>
          <w:tcPr>
            <w:tcW w:w="1717" w:type="dxa"/>
            <w:tcBorders>
              <w:top w:val="single" w:sz="4" w:space="0" w:color="auto"/>
              <w:left w:val="nil"/>
              <w:bottom w:val="single" w:sz="4" w:space="0" w:color="auto"/>
              <w:right w:val="single" w:sz="4" w:space="0" w:color="auto"/>
            </w:tcBorders>
            <w:shd w:val="clear" w:color="auto" w:fill="C6EFCE"/>
            <w:noWrap/>
          </w:tcPr>
          <w:p w14:paraId="4608F031" w14:textId="77777777" w:rsidR="003A3D51" w:rsidRDefault="003A3D51">
            <w:pPr>
              <w:spacing w:after="200" w:line="276" w:lineRule="auto"/>
              <w:rPr>
                <w:rFonts w:eastAsia="Calibri" w:cstheme="minorHAnsi"/>
                <w:noProof/>
                <w:sz w:val="20"/>
              </w:rPr>
            </w:pPr>
          </w:p>
        </w:tc>
        <w:tc>
          <w:tcPr>
            <w:tcW w:w="944" w:type="dxa"/>
            <w:tcBorders>
              <w:top w:val="single" w:sz="4" w:space="0" w:color="auto"/>
              <w:left w:val="nil"/>
              <w:bottom w:val="single" w:sz="4" w:space="0" w:color="auto"/>
              <w:right w:val="single" w:sz="4" w:space="0" w:color="auto"/>
            </w:tcBorders>
            <w:shd w:val="clear" w:color="auto" w:fill="C6EFCE"/>
            <w:noWrap/>
          </w:tcPr>
          <w:p w14:paraId="5FF35520" w14:textId="77777777" w:rsidR="003A3D51" w:rsidRDefault="0002775A">
            <w:pPr>
              <w:pStyle w:val="P68B1DB1-Normal17"/>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151597DA" w14:textId="77777777" w:rsidR="003A3D51" w:rsidRDefault="0002775A">
            <w:pPr>
              <w:pStyle w:val="P68B1DB1-Normal17"/>
              <w:spacing w:after="200" w:line="276" w:lineRule="auto"/>
              <w:jc w:val="center"/>
              <w:rPr>
                <w:noProof/>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786F36E5" w14:textId="77777777" w:rsidR="003A3D51" w:rsidRDefault="0002775A">
            <w:pPr>
              <w:pStyle w:val="P68B1DB1-Normal17"/>
              <w:spacing w:after="200" w:line="276" w:lineRule="auto"/>
              <w:jc w:val="center"/>
              <w:rPr>
                <w:noProof/>
              </w:rPr>
            </w:pPr>
            <w:r>
              <w:rPr>
                <w:noProof/>
              </w:rPr>
              <w:t>6</w:t>
            </w:r>
          </w:p>
        </w:tc>
        <w:tc>
          <w:tcPr>
            <w:tcW w:w="426" w:type="dxa"/>
            <w:tcBorders>
              <w:top w:val="single" w:sz="4" w:space="0" w:color="auto"/>
              <w:left w:val="nil"/>
              <w:bottom w:val="single" w:sz="4" w:space="0" w:color="auto"/>
              <w:right w:val="single" w:sz="4" w:space="0" w:color="auto"/>
            </w:tcBorders>
            <w:shd w:val="clear" w:color="auto" w:fill="C6EFCE"/>
            <w:noWrap/>
          </w:tcPr>
          <w:p w14:paraId="5D99F1F1" w14:textId="77777777" w:rsidR="003A3D51" w:rsidRDefault="0002775A">
            <w:pPr>
              <w:pStyle w:val="P68B1DB1-Normal16"/>
              <w:spacing w:after="200" w:line="276" w:lineRule="auto"/>
              <w:jc w:val="center"/>
              <w:rPr>
                <w:noProof/>
              </w:rPr>
            </w:pPr>
            <w:r>
              <w:rPr>
                <w:noProof/>
              </w:rPr>
              <w:t>KVARTAL 3</w:t>
            </w:r>
          </w:p>
        </w:tc>
        <w:tc>
          <w:tcPr>
            <w:tcW w:w="662" w:type="dxa"/>
            <w:tcBorders>
              <w:top w:val="single" w:sz="4" w:space="0" w:color="auto"/>
              <w:left w:val="nil"/>
              <w:bottom w:val="single" w:sz="4" w:space="0" w:color="auto"/>
              <w:right w:val="single" w:sz="4" w:space="0" w:color="auto"/>
            </w:tcBorders>
            <w:shd w:val="clear" w:color="auto" w:fill="C6EFCE"/>
            <w:noWrap/>
          </w:tcPr>
          <w:p w14:paraId="75E3830A" w14:textId="77777777" w:rsidR="003A3D51" w:rsidRDefault="0002775A">
            <w:pPr>
              <w:pStyle w:val="P68B1DB1-Normal16"/>
              <w:spacing w:after="200" w:line="276" w:lineRule="auto"/>
              <w:jc w:val="center"/>
              <w:rPr>
                <w:noProof/>
              </w:rPr>
            </w:pPr>
            <w:r>
              <w:rPr>
                <w:noProof/>
              </w:rPr>
              <w:t>2025</w:t>
            </w:r>
          </w:p>
        </w:tc>
        <w:tc>
          <w:tcPr>
            <w:tcW w:w="4157" w:type="dxa"/>
            <w:tcBorders>
              <w:top w:val="single" w:sz="4" w:space="0" w:color="auto"/>
              <w:left w:val="nil"/>
              <w:bottom w:val="single" w:sz="4" w:space="0" w:color="auto"/>
              <w:right w:val="single" w:sz="4" w:space="0" w:color="auto"/>
            </w:tcBorders>
            <w:shd w:val="clear" w:color="auto" w:fill="C6EFCE"/>
            <w:noWrap/>
          </w:tcPr>
          <w:p w14:paraId="34270454" w14:textId="3AEEFE6E" w:rsidR="003A3D51" w:rsidRDefault="0002775A">
            <w:pPr>
              <w:pStyle w:val="P68B1DB1-Normal27"/>
              <w:spacing w:after="200" w:line="276" w:lineRule="auto"/>
              <w:rPr>
                <w:noProof/>
              </w:rPr>
            </w:pPr>
            <w:r>
              <w:rPr>
                <w:noProof/>
              </w:rPr>
              <w:t xml:space="preserve">Minst sex deltagandebaserade workshoppar om utveckling av energirenovering, grön infrastruktur och gröna byggnadsprojekt ska genomföras i olika självstyrande enheter. </w:t>
            </w:r>
          </w:p>
          <w:p w14:paraId="57DDE15B" w14:textId="77777777" w:rsidR="003A3D51" w:rsidRDefault="0002775A">
            <w:pPr>
              <w:pStyle w:val="P68B1DB1-Normal27"/>
              <w:spacing w:after="200" w:line="276" w:lineRule="auto"/>
              <w:rPr>
                <w:noProof/>
              </w:rPr>
            </w:pPr>
            <w:r>
              <w:rPr>
                <w:noProof/>
              </w:rPr>
              <w:t xml:space="preserve">Ett program och en vägledning om genomförandet av deltagarinriktade workshoppar för företrädare för de lokala självstyrenheterna ska utarbetas.  </w:t>
            </w:r>
          </w:p>
          <w:p w14:paraId="10887BB3" w14:textId="7628BC3F" w:rsidR="003A3D51" w:rsidRDefault="0002775A">
            <w:pPr>
              <w:pStyle w:val="P68B1DB1-Normal27"/>
              <w:spacing w:after="200" w:line="276" w:lineRule="auto"/>
              <w:rPr>
                <w:noProof/>
              </w:rPr>
            </w:pPr>
            <w:r>
              <w:rPr>
                <w:noProof/>
              </w:rPr>
              <w:t>Utbildningsmaterial om energirenovering, grön infrastruktur och gröna byggnader ska utvecklas. Detta utbildningsmaterial och slutsatserna från genomförda workshoppar ska göras tillgängliga för allmänheten åtminstone på portalen med en enda kontaktpunkt.</w:t>
            </w:r>
          </w:p>
        </w:tc>
      </w:tr>
      <w:tr w:rsidR="003A3D51" w14:paraId="298FF771"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C6EFCE"/>
            <w:noWrap/>
          </w:tcPr>
          <w:p w14:paraId="5B1D931A" w14:textId="66EC623E" w:rsidR="003A3D51" w:rsidRDefault="0002775A">
            <w:pPr>
              <w:pStyle w:val="P68B1DB1-Normal13"/>
              <w:spacing w:after="0" w:line="276" w:lineRule="auto"/>
              <w:jc w:val="center"/>
              <w:rPr>
                <w:noProof/>
              </w:rPr>
            </w:pPr>
            <w:r>
              <w:rPr>
                <w:noProof/>
              </w:rPr>
              <w:t>430</w:t>
            </w:r>
          </w:p>
        </w:tc>
        <w:tc>
          <w:tcPr>
            <w:tcW w:w="1130" w:type="dxa"/>
            <w:tcBorders>
              <w:top w:val="single" w:sz="4" w:space="0" w:color="auto"/>
              <w:left w:val="nil"/>
              <w:bottom w:val="single" w:sz="4" w:space="0" w:color="auto"/>
              <w:right w:val="single" w:sz="4" w:space="0" w:color="auto"/>
            </w:tcBorders>
            <w:shd w:val="clear" w:color="auto" w:fill="C6EFCE"/>
            <w:noWrap/>
          </w:tcPr>
          <w:p w14:paraId="18A126E3" w14:textId="1B29459E" w:rsidR="003A3D51" w:rsidRDefault="0002775A">
            <w:pPr>
              <w:pStyle w:val="P68B1DB1-Normal41"/>
              <w:spacing w:after="200" w:line="276" w:lineRule="auto"/>
              <w:jc w:val="center"/>
              <w:rPr>
                <w:noProof/>
                <w:color w:val="000000" w:themeColor="text1"/>
              </w:rPr>
            </w:pPr>
            <w:r>
              <w:rPr>
                <w:noProof/>
              </w:rPr>
              <w:t>C7.2 R2</w:t>
            </w:r>
          </w:p>
        </w:tc>
        <w:tc>
          <w:tcPr>
            <w:tcW w:w="856" w:type="dxa"/>
            <w:tcBorders>
              <w:top w:val="single" w:sz="4" w:space="0" w:color="auto"/>
              <w:left w:val="nil"/>
              <w:bottom w:val="single" w:sz="4" w:space="0" w:color="auto"/>
              <w:right w:val="single" w:sz="4" w:space="0" w:color="auto"/>
            </w:tcBorders>
            <w:shd w:val="clear" w:color="auto" w:fill="C6EFCE"/>
            <w:noWrap/>
          </w:tcPr>
          <w:p w14:paraId="795D8F27" w14:textId="77777777" w:rsidR="003A3D51" w:rsidRDefault="0002775A">
            <w:pPr>
              <w:pStyle w:val="P68B1DB1-Normal29"/>
              <w:spacing w:after="200" w:line="276" w:lineRule="auto"/>
              <w:jc w:val="center"/>
              <w:rPr>
                <w:noProof/>
              </w:rPr>
            </w:pPr>
            <w:r>
              <w:rPr>
                <w:noProof/>
              </w:rPr>
              <w:t>T</w:t>
            </w:r>
          </w:p>
        </w:tc>
        <w:tc>
          <w:tcPr>
            <w:tcW w:w="2541" w:type="dxa"/>
            <w:tcBorders>
              <w:top w:val="single" w:sz="4" w:space="0" w:color="auto"/>
              <w:left w:val="nil"/>
              <w:bottom w:val="single" w:sz="4" w:space="0" w:color="auto"/>
              <w:right w:val="single" w:sz="4" w:space="0" w:color="auto"/>
            </w:tcBorders>
            <w:shd w:val="clear" w:color="auto" w:fill="C6EFCE"/>
            <w:noWrap/>
          </w:tcPr>
          <w:p w14:paraId="1549D052" w14:textId="77777777" w:rsidR="003A3D51" w:rsidRDefault="0002775A">
            <w:pPr>
              <w:pStyle w:val="P68B1DB1-Normal27"/>
              <w:spacing w:after="200" w:line="276" w:lineRule="auto"/>
              <w:rPr>
                <w:noProof/>
              </w:rPr>
            </w:pPr>
            <w:r>
              <w:rPr>
                <w:noProof/>
              </w:rPr>
              <w:t>Antagande av strategier för grön stadsförnyelse</w:t>
            </w:r>
          </w:p>
          <w:p w14:paraId="4BC984B9" w14:textId="77777777" w:rsidR="003A3D51" w:rsidRDefault="003A3D51">
            <w:pPr>
              <w:spacing w:after="200" w:line="276" w:lineRule="auto"/>
              <w:rPr>
                <w:rFonts w:eastAsia="Calibri" w:cstheme="minorHAnsi"/>
                <w:noProof/>
                <w:sz w:val="20"/>
              </w:rPr>
            </w:pPr>
          </w:p>
        </w:tc>
        <w:tc>
          <w:tcPr>
            <w:tcW w:w="1717" w:type="dxa"/>
            <w:tcBorders>
              <w:top w:val="single" w:sz="4" w:space="0" w:color="auto"/>
              <w:left w:val="nil"/>
              <w:bottom w:val="single" w:sz="4" w:space="0" w:color="auto"/>
              <w:right w:val="single" w:sz="4" w:space="0" w:color="auto"/>
            </w:tcBorders>
            <w:shd w:val="clear" w:color="auto" w:fill="C6EFCE"/>
            <w:noWrap/>
          </w:tcPr>
          <w:p w14:paraId="0CF58A1F" w14:textId="77777777" w:rsidR="003A3D51" w:rsidRDefault="003A3D51">
            <w:pPr>
              <w:spacing w:after="200" w:line="276" w:lineRule="auto"/>
              <w:rPr>
                <w:rFonts w:eastAsia="Calibri" w:cstheme="minorHAnsi"/>
                <w:noProof/>
                <w:sz w:val="20"/>
              </w:rPr>
            </w:pPr>
          </w:p>
        </w:tc>
        <w:tc>
          <w:tcPr>
            <w:tcW w:w="944" w:type="dxa"/>
            <w:tcBorders>
              <w:top w:val="single" w:sz="4" w:space="0" w:color="auto"/>
              <w:left w:val="nil"/>
              <w:bottom w:val="single" w:sz="4" w:space="0" w:color="auto"/>
              <w:right w:val="single" w:sz="4" w:space="0" w:color="auto"/>
            </w:tcBorders>
            <w:shd w:val="clear" w:color="auto" w:fill="C6EFCE"/>
            <w:noWrap/>
          </w:tcPr>
          <w:p w14:paraId="42C083BB" w14:textId="77777777" w:rsidR="003A3D51" w:rsidRDefault="0002775A">
            <w:pPr>
              <w:pStyle w:val="P68B1DB1-Normal29"/>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6E8A66CF" w14:textId="77777777" w:rsidR="003A3D51" w:rsidRDefault="0002775A">
            <w:pPr>
              <w:pStyle w:val="P68B1DB1-Normal29"/>
              <w:spacing w:after="200" w:line="276" w:lineRule="auto"/>
              <w:jc w:val="center"/>
              <w:rPr>
                <w:noProof/>
                <w:highlight w:val="yellow"/>
              </w:rPr>
            </w:pPr>
            <w:r>
              <w:rPr>
                <w:noProof/>
              </w:rPr>
              <w:t>10</w:t>
            </w:r>
          </w:p>
        </w:tc>
        <w:tc>
          <w:tcPr>
            <w:tcW w:w="850" w:type="dxa"/>
            <w:tcBorders>
              <w:top w:val="single" w:sz="4" w:space="0" w:color="auto"/>
              <w:left w:val="nil"/>
              <w:bottom w:val="single" w:sz="4" w:space="0" w:color="auto"/>
              <w:right w:val="single" w:sz="4" w:space="0" w:color="auto"/>
            </w:tcBorders>
            <w:shd w:val="clear" w:color="auto" w:fill="C6EFCE"/>
            <w:noWrap/>
          </w:tcPr>
          <w:p w14:paraId="4E971726" w14:textId="77777777" w:rsidR="003A3D51" w:rsidRDefault="0002775A">
            <w:pPr>
              <w:pStyle w:val="P68B1DB1-Normal29"/>
              <w:spacing w:after="200" w:line="276" w:lineRule="auto"/>
              <w:jc w:val="center"/>
              <w:rPr>
                <w:noProof/>
              </w:rPr>
            </w:pPr>
            <w:r>
              <w:rPr>
                <w:noProof/>
              </w:rPr>
              <w:t>70</w:t>
            </w:r>
          </w:p>
        </w:tc>
        <w:tc>
          <w:tcPr>
            <w:tcW w:w="426" w:type="dxa"/>
            <w:tcBorders>
              <w:top w:val="single" w:sz="4" w:space="0" w:color="auto"/>
              <w:left w:val="nil"/>
              <w:bottom w:val="single" w:sz="4" w:space="0" w:color="auto"/>
              <w:right w:val="single" w:sz="4" w:space="0" w:color="auto"/>
            </w:tcBorders>
            <w:shd w:val="clear" w:color="auto" w:fill="C6EFCE"/>
            <w:noWrap/>
          </w:tcPr>
          <w:p w14:paraId="155FE1B4" w14:textId="38DE4818" w:rsidR="003A3D51" w:rsidRDefault="0002775A">
            <w:pPr>
              <w:pStyle w:val="P68B1DB1-Normal29"/>
              <w:spacing w:after="200" w:line="276" w:lineRule="auto"/>
              <w:jc w:val="center"/>
              <w:rPr>
                <w:noProof/>
                <w:highlight w:val="yellow"/>
              </w:rPr>
            </w:pPr>
            <w:r>
              <w:rPr>
                <w:noProof/>
              </w:rPr>
              <w:t>KVARTAL 3</w:t>
            </w:r>
          </w:p>
        </w:tc>
        <w:tc>
          <w:tcPr>
            <w:tcW w:w="662" w:type="dxa"/>
            <w:tcBorders>
              <w:top w:val="single" w:sz="4" w:space="0" w:color="auto"/>
              <w:left w:val="nil"/>
              <w:bottom w:val="single" w:sz="4" w:space="0" w:color="auto"/>
              <w:right w:val="single" w:sz="4" w:space="0" w:color="auto"/>
            </w:tcBorders>
            <w:shd w:val="clear" w:color="auto" w:fill="C6EFCE"/>
            <w:noWrap/>
          </w:tcPr>
          <w:p w14:paraId="1A626227" w14:textId="77777777" w:rsidR="003A3D51" w:rsidRDefault="0002775A">
            <w:pPr>
              <w:pStyle w:val="P68B1DB1-Normal29"/>
              <w:spacing w:after="200" w:line="276" w:lineRule="auto"/>
              <w:jc w:val="center"/>
              <w:rPr>
                <w:noProof/>
              </w:rPr>
            </w:pPr>
            <w:r>
              <w:rPr>
                <w:noProof/>
              </w:rPr>
              <w:t>2025</w:t>
            </w:r>
          </w:p>
        </w:tc>
        <w:tc>
          <w:tcPr>
            <w:tcW w:w="4157" w:type="dxa"/>
            <w:tcBorders>
              <w:top w:val="single" w:sz="4" w:space="0" w:color="auto"/>
              <w:left w:val="nil"/>
              <w:bottom w:val="single" w:sz="4" w:space="0" w:color="auto"/>
              <w:right w:val="single" w:sz="4" w:space="0" w:color="auto"/>
            </w:tcBorders>
            <w:shd w:val="clear" w:color="auto" w:fill="C6EFCE"/>
            <w:noWrap/>
          </w:tcPr>
          <w:p w14:paraId="4B5C28A4" w14:textId="77777777" w:rsidR="003A3D51" w:rsidRDefault="0002775A">
            <w:pPr>
              <w:pStyle w:val="P68B1DB1-Normal27"/>
              <w:spacing w:after="200" w:line="276" w:lineRule="auto"/>
              <w:rPr>
                <w:noProof/>
              </w:rPr>
            </w:pPr>
            <w:r>
              <w:rPr>
                <w:noProof/>
              </w:rPr>
              <w:t>Antagande av minst 60 gröna strategier för stadsförnyelse för att lägga grunden för utvecklingen av hållbara områden, med fokus på att utveckla grön stadsinfrastruktur och integrera naturbaserade lösningar, integrera modeller för cirkulär förvaltning av utrymmen och byggnader, stärka motståndskraften mot risker och klimatförändringar och stödja den övergripande hållbara utvecklingen.</w:t>
            </w:r>
          </w:p>
        </w:tc>
      </w:tr>
      <w:tr w:rsidR="003A3D51" w14:paraId="44B306BF" w14:textId="77777777">
        <w:trPr>
          <w:jc w:val="center"/>
        </w:trPr>
        <w:tc>
          <w:tcPr>
            <w:tcW w:w="732" w:type="dxa"/>
            <w:tcBorders>
              <w:top w:val="single" w:sz="4" w:space="0" w:color="auto"/>
              <w:left w:val="single" w:sz="4" w:space="0" w:color="auto"/>
              <w:bottom w:val="single" w:sz="4" w:space="0" w:color="auto"/>
              <w:right w:val="single" w:sz="4" w:space="0" w:color="auto"/>
            </w:tcBorders>
            <w:shd w:val="clear" w:color="auto" w:fill="C6EFCE"/>
            <w:noWrap/>
          </w:tcPr>
          <w:p w14:paraId="1314780E" w14:textId="0E2DD26D" w:rsidR="003A3D51" w:rsidRDefault="0002775A">
            <w:pPr>
              <w:pStyle w:val="P68B1DB1-Normal13"/>
              <w:spacing w:after="0" w:line="276" w:lineRule="auto"/>
              <w:jc w:val="center"/>
              <w:rPr>
                <w:noProof/>
                <w:highlight w:val="yellow"/>
              </w:rPr>
            </w:pPr>
            <w:r>
              <w:rPr>
                <w:noProof/>
              </w:rPr>
              <w:t>431</w:t>
            </w:r>
          </w:p>
        </w:tc>
        <w:tc>
          <w:tcPr>
            <w:tcW w:w="1130" w:type="dxa"/>
            <w:tcBorders>
              <w:top w:val="single" w:sz="4" w:space="0" w:color="auto"/>
              <w:left w:val="nil"/>
              <w:bottom w:val="single" w:sz="4" w:space="0" w:color="auto"/>
              <w:right w:val="single" w:sz="4" w:space="0" w:color="auto"/>
            </w:tcBorders>
            <w:shd w:val="clear" w:color="auto" w:fill="C6EFCE"/>
            <w:noWrap/>
          </w:tcPr>
          <w:p w14:paraId="134E67F0" w14:textId="1974ADD1" w:rsidR="003A3D51" w:rsidRDefault="0002775A">
            <w:pPr>
              <w:pStyle w:val="P68B1DB1-Normal41"/>
              <w:spacing w:after="200" w:line="276" w:lineRule="auto"/>
              <w:jc w:val="center"/>
              <w:rPr>
                <w:noProof/>
                <w:color w:val="000000" w:themeColor="text1"/>
                <w:highlight w:val="yellow"/>
              </w:rPr>
            </w:pPr>
            <w:r>
              <w:rPr>
                <w:noProof/>
              </w:rPr>
              <w:t>C7.2 R2</w:t>
            </w:r>
          </w:p>
        </w:tc>
        <w:tc>
          <w:tcPr>
            <w:tcW w:w="856" w:type="dxa"/>
            <w:tcBorders>
              <w:top w:val="single" w:sz="4" w:space="0" w:color="auto"/>
              <w:left w:val="nil"/>
              <w:bottom w:val="single" w:sz="4" w:space="0" w:color="auto"/>
              <w:right w:val="single" w:sz="4" w:space="0" w:color="auto"/>
            </w:tcBorders>
            <w:shd w:val="clear" w:color="auto" w:fill="C6EFCE"/>
            <w:noWrap/>
          </w:tcPr>
          <w:p w14:paraId="41F6142A" w14:textId="77777777" w:rsidR="003A3D51" w:rsidRDefault="0002775A">
            <w:pPr>
              <w:pStyle w:val="P68B1DB1-Normal17"/>
              <w:spacing w:after="200" w:line="276" w:lineRule="auto"/>
              <w:jc w:val="center"/>
              <w:rPr>
                <w:noProof/>
              </w:rPr>
            </w:pPr>
            <w:r>
              <w:rPr>
                <w:noProof/>
              </w:rPr>
              <w:t>T</w:t>
            </w:r>
          </w:p>
        </w:tc>
        <w:tc>
          <w:tcPr>
            <w:tcW w:w="2541" w:type="dxa"/>
            <w:tcBorders>
              <w:top w:val="single" w:sz="4" w:space="0" w:color="auto"/>
              <w:left w:val="nil"/>
              <w:bottom w:val="single" w:sz="4" w:space="0" w:color="auto"/>
              <w:right w:val="single" w:sz="4" w:space="0" w:color="auto"/>
            </w:tcBorders>
            <w:shd w:val="clear" w:color="auto" w:fill="C6EFCE"/>
            <w:noWrap/>
          </w:tcPr>
          <w:p w14:paraId="18706F05" w14:textId="77777777" w:rsidR="003A3D51" w:rsidRDefault="0002775A">
            <w:pPr>
              <w:pStyle w:val="P68B1DB1-Normal27"/>
              <w:spacing w:after="200" w:line="276" w:lineRule="auto"/>
              <w:rPr>
                <w:noProof/>
              </w:rPr>
            </w:pPr>
            <w:r>
              <w:rPr>
                <w:noProof/>
              </w:rPr>
              <w:t>Genomförande av pilotprojekt som identifierats genom strategierna för grön stadsförnyelse och som är kopplade till de nationella programmen för grön infrastruktur och cirkulär förvaltning av utrymmen och byggnader.</w:t>
            </w:r>
          </w:p>
        </w:tc>
        <w:tc>
          <w:tcPr>
            <w:tcW w:w="1717" w:type="dxa"/>
            <w:tcBorders>
              <w:top w:val="single" w:sz="4" w:space="0" w:color="auto"/>
              <w:left w:val="nil"/>
              <w:bottom w:val="single" w:sz="4" w:space="0" w:color="auto"/>
              <w:right w:val="single" w:sz="4" w:space="0" w:color="auto"/>
            </w:tcBorders>
            <w:shd w:val="clear" w:color="auto" w:fill="C6EFCE"/>
            <w:noWrap/>
          </w:tcPr>
          <w:p w14:paraId="2C5FCB8A" w14:textId="77777777" w:rsidR="003A3D51" w:rsidRDefault="003A3D51">
            <w:pPr>
              <w:spacing w:after="200" w:line="276" w:lineRule="auto"/>
              <w:rPr>
                <w:rFonts w:eastAsia="Calibri" w:cstheme="minorHAnsi"/>
                <w:noProof/>
                <w:sz w:val="20"/>
              </w:rPr>
            </w:pPr>
          </w:p>
        </w:tc>
        <w:tc>
          <w:tcPr>
            <w:tcW w:w="944" w:type="dxa"/>
            <w:tcBorders>
              <w:top w:val="single" w:sz="4" w:space="0" w:color="auto"/>
              <w:left w:val="nil"/>
              <w:bottom w:val="single" w:sz="4" w:space="0" w:color="auto"/>
              <w:right w:val="single" w:sz="4" w:space="0" w:color="auto"/>
            </w:tcBorders>
            <w:shd w:val="clear" w:color="auto" w:fill="C6EFCE"/>
            <w:noWrap/>
          </w:tcPr>
          <w:p w14:paraId="721033DD" w14:textId="77777777" w:rsidR="003A3D51" w:rsidRDefault="0002775A">
            <w:pPr>
              <w:pStyle w:val="P68B1DB1-Normal17"/>
              <w:spacing w:after="200" w:line="276" w:lineRule="auto"/>
              <w:jc w:val="center"/>
              <w:rPr>
                <w:noProof/>
              </w:rPr>
            </w:pPr>
            <w:r>
              <w:rPr>
                <w:noProof/>
              </w:rPr>
              <w:t>Antal</w:t>
            </w:r>
          </w:p>
        </w:tc>
        <w:tc>
          <w:tcPr>
            <w:tcW w:w="851" w:type="dxa"/>
            <w:tcBorders>
              <w:top w:val="single" w:sz="4" w:space="0" w:color="auto"/>
              <w:left w:val="nil"/>
              <w:bottom w:val="single" w:sz="4" w:space="0" w:color="auto"/>
              <w:right w:val="single" w:sz="4" w:space="0" w:color="auto"/>
            </w:tcBorders>
            <w:shd w:val="clear" w:color="auto" w:fill="C6EFCE"/>
            <w:noWrap/>
          </w:tcPr>
          <w:p w14:paraId="72A2911B" w14:textId="77777777" w:rsidR="003A3D51" w:rsidRDefault="0002775A">
            <w:pPr>
              <w:pStyle w:val="P68B1DB1-Normal29"/>
              <w:spacing w:after="200" w:line="276" w:lineRule="auto"/>
              <w:jc w:val="center"/>
              <w:rPr>
                <w:noProof/>
                <w:highlight w:val="yellow"/>
              </w:rPr>
            </w:pPr>
            <w:r>
              <w:rPr>
                <w:noProof/>
              </w:rPr>
              <w:t>0</w:t>
            </w:r>
          </w:p>
        </w:tc>
        <w:tc>
          <w:tcPr>
            <w:tcW w:w="850" w:type="dxa"/>
            <w:tcBorders>
              <w:top w:val="single" w:sz="4" w:space="0" w:color="auto"/>
              <w:left w:val="nil"/>
              <w:bottom w:val="single" w:sz="4" w:space="0" w:color="auto"/>
              <w:right w:val="single" w:sz="4" w:space="0" w:color="auto"/>
            </w:tcBorders>
            <w:shd w:val="clear" w:color="auto" w:fill="C6EFCE"/>
            <w:noWrap/>
          </w:tcPr>
          <w:p w14:paraId="61A5A155" w14:textId="77777777" w:rsidR="003A3D51" w:rsidRDefault="0002775A">
            <w:pPr>
              <w:pStyle w:val="P68B1DB1-Normal29"/>
              <w:spacing w:after="200" w:line="276" w:lineRule="auto"/>
              <w:jc w:val="center"/>
              <w:rPr>
                <w:noProof/>
              </w:rPr>
            </w:pPr>
            <w:r>
              <w:rPr>
                <w:noProof/>
              </w:rPr>
              <w:t>15</w:t>
            </w:r>
          </w:p>
        </w:tc>
        <w:tc>
          <w:tcPr>
            <w:tcW w:w="426" w:type="dxa"/>
            <w:tcBorders>
              <w:top w:val="single" w:sz="4" w:space="0" w:color="auto"/>
              <w:left w:val="nil"/>
              <w:bottom w:val="single" w:sz="4" w:space="0" w:color="auto"/>
              <w:right w:val="single" w:sz="4" w:space="0" w:color="auto"/>
            </w:tcBorders>
            <w:shd w:val="clear" w:color="auto" w:fill="C6EFCE"/>
            <w:noWrap/>
          </w:tcPr>
          <w:p w14:paraId="2A2B22B5" w14:textId="77777777" w:rsidR="003A3D51" w:rsidRDefault="0002775A">
            <w:pPr>
              <w:pStyle w:val="P68B1DB1-Normal17"/>
              <w:spacing w:after="200" w:line="276" w:lineRule="auto"/>
              <w:jc w:val="center"/>
              <w:rPr>
                <w:noProof/>
              </w:rPr>
            </w:pPr>
            <w:r>
              <w:rPr>
                <w:noProof/>
              </w:rPr>
              <w:t>KVARTAL 2</w:t>
            </w:r>
          </w:p>
        </w:tc>
        <w:tc>
          <w:tcPr>
            <w:tcW w:w="662" w:type="dxa"/>
            <w:tcBorders>
              <w:top w:val="single" w:sz="4" w:space="0" w:color="auto"/>
              <w:left w:val="nil"/>
              <w:bottom w:val="single" w:sz="4" w:space="0" w:color="auto"/>
              <w:right w:val="single" w:sz="4" w:space="0" w:color="auto"/>
            </w:tcBorders>
            <w:shd w:val="clear" w:color="auto" w:fill="C6EFCE"/>
            <w:noWrap/>
          </w:tcPr>
          <w:p w14:paraId="53DF31A6" w14:textId="77777777" w:rsidR="003A3D51" w:rsidRDefault="0002775A">
            <w:pPr>
              <w:pStyle w:val="P68B1DB1-Normal17"/>
              <w:spacing w:after="200" w:line="276" w:lineRule="auto"/>
              <w:jc w:val="center"/>
              <w:rPr>
                <w:noProof/>
              </w:rPr>
            </w:pPr>
            <w:r>
              <w:rPr>
                <w:noProof/>
              </w:rPr>
              <w:t>2026</w:t>
            </w:r>
          </w:p>
        </w:tc>
        <w:tc>
          <w:tcPr>
            <w:tcW w:w="4157" w:type="dxa"/>
            <w:tcBorders>
              <w:top w:val="single" w:sz="4" w:space="0" w:color="auto"/>
              <w:left w:val="nil"/>
              <w:bottom w:val="single" w:sz="4" w:space="0" w:color="auto"/>
              <w:right w:val="single" w:sz="4" w:space="0" w:color="auto"/>
            </w:tcBorders>
            <w:shd w:val="clear" w:color="auto" w:fill="C6EFCE"/>
            <w:noWrap/>
          </w:tcPr>
          <w:p w14:paraId="34809A7A" w14:textId="77777777" w:rsidR="003A3D51" w:rsidRDefault="0002775A">
            <w:pPr>
              <w:pStyle w:val="P68B1DB1-Normal22"/>
              <w:spacing w:after="200" w:line="276" w:lineRule="auto"/>
              <w:rPr>
                <w:rFonts w:eastAsia="Times New Roman"/>
                <w:noProof/>
              </w:rPr>
            </w:pPr>
            <w:r>
              <w:rPr>
                <w:noProof/>
              </w:rPr>
              <w:t>Genomförande av minst 15 pilotprojekt som identifierats genom strategierna för grön stadsförnyelse och som är kopplade till de nationella programmen för grön infrastruktur och cirkulär förvaltning av utrymmen och byggnader.</w:t>
            </w:r>
          </w:p>
        </w:tc>
      </w:tr>
    </w:tbl>
    <w:p w14:paraId="2316B1B8"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38AC9BA3" w14:textId="77777777" w:rsidR="003A3D51" w:rsidRDefault="003A3D51">
      <w:pPr>
        <w:rPr>
          <w:noProof/>
        </w:rPr>
        <w:sectPr w:rsidR="003A3D51" w:rsidSect="0001477B">
          <w:headerReference w:type="even" r:id="rId432"/>
          <w:headerReference w:type="default" r:id="rId433"/>
          <w:footerReference w:type="even" r:id="rId434"/>
          <w:footerReference w:type="default" r:id="rId435"/>
          <w:headerReference w:type="first" r:id="rId436"/>
          <w:footerReference w:type="first" r:id="rId437"/>
          <w:pgSz w:w="15840" w:h="12240" w:orient="landscape"/>
          <w:pgMar w:top="1440" w:right="1440" w:bottom="1440" w:left="1440" w:header="708" w:footer="708" w:gutter="0"/>
          <w:cols w:space="708"/>
          <w:docGrid w:linePitch="360"/>
        </w:sectPr>
      </w:pPr>
    </w:p>
    <w:p w14:paraId="12CDAC20" w14:textId="589EF6C7" w:rsidR="003A3D51" w:rsidRDefault="0002775A">
      <w:pPr>
        <w:pStyle w:val="paragraph"/>
        <w:spacing w:before="0" w:beforeAutospacing="0" w:after="0" w:afterAutospacing="0"/>
        <w:ind w:firstLine="709"/>
        <w:jc w:val="both"/>
        <w:textAlignment w:val="baseline"/>
        <w:rPr>
          <w:rFonts w:ascii="Segoe UI" w:hAnsi="Segoe UI" w:cs="Segoe UI"/>
          <w:noProof/>
          <w:sz w:val="18"/>
        </w:rPr>
      </w:pPr>
      <w:r>
        <w:rPr>
          <w:rStyle w:val="normaltextrun"/>
          <w:b/>
          <w:noProof/>
        </w:rPr>
        <w:t xml:space="preserve">X.3. </w:t>
      </w:r>
      <w:r>
        <w:rPr>
          <w:rStyle w:val="tabchar"/>
          <w:rFonts w:ascii="Calibri" w:hAnsi="Calibri" w:cs="Calibri"/>
          <w:noProof/>
        </w:rPr>
        <w:tab/>
      </w:r>
      <w:r>
        <w:rPr>
          <w:rStyle w:val="normaltextrun"/>
          <w:b/>
          <w:noProof/>
        </w:rPr>
        <w:t xml:space="preserve">Beskrivning av reformerna och investeringarna för lånet </w:t>
      </w:r>
      <w:r>
        <w:rPr>
          <w:rStyle w:val="eop"/>
          <w:noProof/>
        </w:rPr>
        <w:t> </w:t>
      </w:r>
    </w:p>
    <w:p w14:paraId="777BF499" w14:textId="77777777" w:rsidR="003A3D51" w:rsidRDefault="003A3D51">
      <w:pPr>
        <w:pStyle w:val="paragraph"/>
        <w:spacing w:before="0" w:beforeAutospacing="0" w:after="0" w:afterAutospacing="0"/>
        <w:jc w:val="both"/>
        <w:textAlignment w:val="baseline"/>
        <w:rPr>
          <w:rStyle w:val="eop"/>
          <w:noProof/>
        </w:rPr>
      </w:pPr>
    </w:p>
    <w:p w14:paraId="696392AE" w14:textId="347F7B06" w:rsidR="003A3D51" w:rsidRDefault="0002775A">
      <w:pPr>
        <w:pStyle w:val="P68B1DB1-paragraph57"/>
        <w:spacing w:before="0" w:beforeAutospacing="0" w:after="0" w:afterAutospacing="0"/>
        <w:ind w:left="720"/>
        <w:jc w:val="both"/>
        <w:textAlignment w:val="baseline"/>
        <w:rPr>
          <w:noProof/>
        </w:rPr>
      </w:pPr>
      <w:r>
        <w:rPr>
          <w:noProof/>
        </w:rPr>
        <w:t>Utökad åtgärd C7.2 R3: Införande av en ny modell för gröna strategier för stadsförnyelse och genomförande av ett pilotprojekt för utveckling av grön infrastruktur och cirkulär förvaltning av byggnader och utrymmen.</w:t>
      </w:r>
    </w:p>
    <w:p w14:paraId="2BFF1C37" w14:textId="77777777" w:rsidR="003A3D51" w:rsidRDefault="003A3D51">
      <w:pPr>
        <w:pStyle w:val="paragraph"/>
        <w:spacing w:before="0" w:beforeAutospacing="0" w:after="0" w:afterAutospacing="0"/>
        <w:jc w:val="both"/>
        <w:textAlignment w:val="baseline"/>
        <w:rPr>
          <w:noProof/>
          <w:color w:val="000000" w:themeColor="text1"/>
          <w:u w:val="single"/>
        </w:rPr>
      </w:pPr>
    </w:p>
    <w:p w14:paraId="74EA3F3F" w14:textId="36BC45CB" w:rsidR="003A3D51" w:rsidRDefault="0002775A">
      <w:pPr>
        <w:pStyle w:val="P68B1DB1-paragraph56"/>
        <w:spacing w:before="0" w:beforeAutospacing="0" w:after="0" w:afterAutospacing="0"/>
        <w:jc w:val="both"/>
        <w:textAlignment w:val="baseline"/>
        <w:rPr>
          <w:noProof/>
        </w:rPr>
      </w:pPr>
      <w:r>
        <w:rPr>
          <w:noProof/>
        </w:rPr>
        <w:t xml:space="preserve">Syftet med denna åtgärd är att utöka reformen C6.1.R5: Införande av en ny modell för gröna strategier för stadsförnyelse och genomförande av ett pilotprojekt för utveckling av grön infrastruktur och cirkulär förvaltning av byggnader och utrymme inom ramen för initiativet 6.1 om renovering av byggnader. Den utökade delen av åtgärden ska bestå av genomförandet av ytterligare pilotprojekt för utveckling av grön infrastruktur och cirkulär förvaltning av utrymmen och byggnader. </w:t>
      </w:r>
    </w:p>
    <w:p w14:paraId="598948D9" w14:textId="77777777" w:rsidR="003A3D51" w:rsidRDefault="003A3D51">
      <w:pPr>
        <w:pStyle w:val="paragraph"/>
        <w:spacing w:before="0" w:beforeAutospacing="0" w:after="0" w:afterAutospacing="0"/>
        <w:jc w:val="both"/>
        <w:textAlignment w:val="baseline"/>
        <w:rPr>
          <w:noProof/>
          <w:color w:val="000000" w:themeColor="text1"/>
        </w:rPr>
      </w:pPr>
    </w:p>
    <w:p w14:paraId="02BC9B81" w14:textId="77777777" w:rsidR="003A3D51" w:rsidRDefault="0002775A">
      <w:pPr>
        <w:pStyle w:val="P68B1DB1-paragraph56"/>
        <w:spacing w:before="0" w:beforeAutospacing="0" w:after="0" w:afterAutospacing="0"/>
        <w:jc w:val="both"/>
        <w:textAlignment w:val="baseline"/>
        <w:rPr>
          <w:noProof/>
        </w:rPr>
      </w:pPr>
      <w:r>
        <w:rPr>
          <w:noProof/>
        </w:rPr>
        <w:t>Investeringen ska vara genomförd senast den 30 juni 2026.</w:t>
      </w:r>
    </w:p>
    <w:p w14:paraId="18A66235" w14:textId="77777777" w:rsidR="003A3D51" w:rsidRDefault="003A3D51">
      <w:pPr>
        <w:pStyle w:val="paragraph"/>
        <w:spacing w:before="0" w:beforeAutospacing="0" w:after="0" w:afterAutospacing="0"/>
        <w:jc w:val="both"/>
        <w:textAlignment w:val="baseline"/>
        <w:rPr>
          <w:noProof/>
          <w:color w:val="000000" w:themeColor="text1"/>
          <w:u w:val="single"/>
        </w:rPr>
      </w:pPr>
    </w:p>
    <w:p w14:paraId="42124387" w14:textId="0956F3E1" w:rsidR="003A3D51" w:rsidRDefault="0002775A">
      <w:pPr>
        <w:pStyle w:val="P68B1DB1-paragraph57"/>
        <w:spacing w:before="0" w:beforeAutospacing="0" w:after="0" w:afterAutospacing="0"/>
        <w:ind w:left="720"/>
        <w:jc w:val="both"/>
        <w:textAlignment w:val="baseline"/>
        <w:rPr>
          <w:noProof/>
        </w:rPr>
      </w:pPr>
      <w:r>
        <w:rPr>
          <w:noProof/>
        </w:rPr>
        <w:t>Reform C7.2 R4 Införande av en ny modell för utarbetande, organisation och genomförande av vuxenutbildningsprogram som syftar till att utveckla gröna färdigheter och grön kompetens inom byggsektorn och lämpliga moduler för att uppmuntra till framgångsrik integration i sektorn för arbetstagare från tredjeländer.</w:t>
      </w:r>
    </w:p>
    <w:p w14:paraId="51B56C55" w14:textId="77777777" w:rsidR="003A3D51" w:rsidRDefault="003A3D51">
      <w:pPr>
        <w:pStyle w:val="paragraph"/>
        <w:spacing w:before="0" w:beforeAutospacing="0" w:after="0" w:afterAutospacing="0"/>
        <w:jc w:val="both"/>
        <w:textAlignment w:val="baseline"/>
        <w:rPr>
          <w:noProof/>
          <w:color w:val="000000" w:themeColor="text1"/>
          <w:u w:val="single"/>
        </w:rPr>
      </w:pPr>
    </w:p>
    <w:p w14:paraId="1A9199CB" w14:textId="498E98FA" w:rsidR="003A3D51" w:rsidRDefault="0002775A">
      <w:pPr>
        <w:pStyle w:val="paragraph"/>
        <w:spacing w:before="0" w:beforeAutospacing="0" w:after="0" w:afterAutospacing="0"/>
        <w:jc w:val="both"/>
        <w:textAlignment w:val="baseline"/>
        <w:rPr>
          <w:rStyle w:val="eop"/>
          <w:noProof/>
        </w:rPr>
      </w:pPr>
      <w:r>
        <w:rPr>
          <w:rStyle w:val="eop"/>
          <w:noProof/>
        </w:rPr>
        <w:t>Syftet med denna reform är att upprätta en ram för att stärka kompetensen hos arbetstagare från tredjeländer inom byggsektorn. Reformen ska omfatta utformning och presentation av ett vuxenutbildningsprogram för arbetstagare från tredjeländer, som ska omfatta gröna byggämnen om användning av nya material, byggnadsteknik och installation av tekniska system som behövs för att bidra till hållbara metoder inom byggindustrin.</w:t>
      </w:r>
    </w:p>
    <w:p w14:paraId="3809CE00" w14:textId="5D0A88C1" w:rsidR="003A3D51" w:rsidRDefault="0002775A">
      <w:pPr>
        <w:pStyle w:val="paragraph"/>
        <w:spacing w:before="0" w:beforeAutospacing="0" w:after="0" w:afterAutospacing="0"/>
        <w:jc w:val="both"/>
        <w:textAlignment w:val="baseline"/>
        <w:rPr>
          <w:rStyle w:val="eop"/>
          <w:noProof/>
        </w:rPr>
      </w:pPr>
      <w:r>
        <w:rPr>
          <w:rStyle w:val="eop"/>
          <w:noProof/>
        </w:rPr>
        <w:t>. Programmet ska utformas i samarbete med ministeriet för arbete, pensionssystem, familjepolitik och socialpolitik, utbildningsinstitutioner och arbetsmarknadens parter. Samarbete ska upprättas mellan arbetsgivare och vuxenutbildningsinstitutioner för att säkerställa arbetsplatsförlagt lärande samt onlineutbildning för arbetstagare från tredjeländer. En kroatisk språkmodul inom byggnadsyrket och en interkulturell modul ska också utvecklas inom ramen för denna åtgärd. Ministeriet för fysisk planering, byggnation och statliga tillgångar ska anordna en interaktiv workshop för att presentera programmet för byggföretag som anställer arbetstagare från tredjeländer och för andra berörda parter och som en del av den öppna partnerdialogen.</w:t>
      </w:r>
    </w:p>
    <w:p w14:paraId="6B3096A9" w14:textId="77777777" w:rsidR="003A3D51" w:rsidRDefault="003A3D51">
      <w:pPr>
        <w:pStyle w:val="paragraph"/>
        <w:spacing w:before="0" w:beforeAutospacing="0" w:after="0" w:afterAutospacing="0"/>
        <w:jc w:val="both"/>
        <w:textAlignment w:val="baseline"/>
        <w:rPr>
          <w:rStyle w:val="eop"/>
          <w:noProof/>
        </w:rPr>
      </w:pPr>
    </w:p>
    <w:p w14:paraId="4210C83B" w14:textId="12EDFFD3" w:rsidR="003A3D51" w:rsidRDefault="0002775A">
      <w:pPr>
        <w:pStyle w:val="P68B1DB1-paragraph56"/>
        <w:spacing w:before="0" w:beforeAutospacing="0" w:after="0" w:afterAutospacing="0"/>
        <w:jc w:val="both"/>
        <w:textAlignment w:val="baseline"/>
        <w:rPr>
          <w:noProof/>
        </w:rPr>
      </w:pPr>
      <w:r>
        <w:rPr>
          <w:noProof/>
        </w:rPr>
        <w:t>Investeringen ska vara genomförd senast den 30 september 2025.</w:t>
      </w:r>
    </w:p>
    <w:p w14:paraId="18DE5C92" w14:textId="77777777" w:rsidR="003A3D51" w:rsidRDefault="003A3D51">
      <w:pPr>
        <w:pStyle w:val="paragraph"/>
        <w:spacing w:before="0" w:beforeAutospacing="0" w:after="0" w:afterAutospacing="0"/>
        <w:jc w:val="both"/>
        <w:textAlignment w:val="baseline"/>
        <w:rPr>
          <w:noProof/>
          <w:color w:val="000000" w:themeColor="text1"/>
          <w:u w:val="single"/>
        </w:rPr>
      </w:pPr>
    </w:p>
    <w:p w14:paraId="25921E6A" w14:textId="529ACD10" w:rsidR="003A3D51" w:rsidRDefault="0002775A">
      <w:pPr>
        <w:pStyle w:val="P68B1DB1-paragraph55"/>
        <w:spacing w:before="0" w:beforeAutospacing="0" w:after="0" w:afterAutospacing="0"/>
        <w:ind w:firstLine="720"/>
        <w:jc w:val="both"/>
        <w:textAlignment w:val="baseline"/>
        <w:rPr>
          <w:noProof/>
          <w:color w:val="000000" w:themeColor="text1"/>
        </w:rPr>
      </w:pPr>
      <w:r>
        <w:rPr>
          <w:noProof/>
          <w:color w:val="000000" w:themeColor="text1"/>
        </w:rPr>
        <w:t>Ökad investering C7.2 I1</w:t>
      </w:r>
      <w:r>
        <w:rPr>
          <w:noProof/>
        </w:rPr>
        <w:t xml:space="preserve">: </w:t>
      </w:r>
      <w:r>
        <w:rPr>
          <w:noProof/>
          <w:color w:val="000000" w:themeColor="text1"/>
        </w:rPr>
        <w:t>Energirenovering av byggnader</w:t>
      </w:r>
    </w:p>
    <w:p w14:paraId="71A58605" w14:textId="77777777" w:rsidR="003A3D51" w:rsidRDefault="003A3D51">
      <w:pPr>
        <w:pStyle w:val="paragraph"/>
        <w:spacing w:before="0" w:beforeAutospacing="0" w:after="0" w:afterAutospacing="0"/>
        <w:jc w:val="both"/>
        <w:rPr>
          <w:noProof/>
          <w:color w:val="000000" w:themeColor="text1"/>
          <w:u w:val="single"/>
        </w:rPr>
      </w:pPr>
    </w:p>
    <w:p w14:paraId="761372E3" w14:textId="27E42B2A" w:rsidR="003A3D51" w:rsidRDefault="0002775A">
      <w:pPr>
        <w:pStyle w:val="P68B1DB1-paragraph56"/>
        <w:spacing w:before="0" w:beforeAutospacing="0" w:after="0" w:afterAutospacing="0"/>
        <w:jc w:val="both"/>
        <w:rPr>
          <w:noProof/>
        </w:rPr>
      </w:pPr>
      <w:r>
        <w:rPr>
          <w:noProof/>
        </w:rPr>
        <w:t>Syftet med denna åtgärd är att öka investeringarna C6.1 R1 – I1: Energirenovering av byggnader inom ramen för initiativet 6.1: Renovering av byggnader. Den utökade delen av åtgärden ska öka antalet renoverade kvadratmeter offentliga byggnader och flerbostadshus med 365 517 respektive 361 431. Minst 60 system för förnybar energi ska installeras i offentliga byggnader som renoveras genom denna investering.</w:t>
      </w:r>
    </w:p>
    <w:p w14:paraId="632B5F15" w14:textId="77777777" w:rsidR="003A3D51" w:rsidRDefault="003A3D51">
      <w:pPr>
        <w:pStyle w:val="paragraph"/>
        <w:spacing w:before="0" w:beforeAutospacing="0" w:after="0" w:afterAutospacing="0"/>
        <w:jc w:val="both"/>
        <w:rPr>
          <w:noProof/>
          <w:color w:val="000000" w:themeColor="text1"/>
          <w:u w:val="single"/>
        </w:rPr>
      </w:pPr>
    </w:p>
    <w:p w14:paraId="11EB82C5" w14:textId="77777777" w:rsidR="003A3D51" w:rsidRDefault="0002775A">
      <w:pPr>
        <w:pStyle w:val="P68B1DB1-Normal11"/>
        <w:spacing w:before="120" w:after="0"/>
        <w:jc w:val="both"/>
        <w:rPr>
          <w:noProof/>
        </w:rPr>
      </w:pPr>
      <w:r>
        <w:rPr>
          <w:noProof/>
        </w:rPr>
        <w:t>Investeringen ska vara slutförd senast den 30 juni 2026.</w:t>
      </w:r>
    </w:p>
    <w:p w14:paraId="130486C0" w14:textId="77777777" w:rsidR="003A3D51" w:rsidRDefault="003A3D51">
      <w:pPr>
        <w:pStyle w:val="paragraph"/>
        <w:spacing w:before="0" w:beforeAutospacing="0" w:after="0" w:afterAutospacing="0"/>
        <w:jc w:val="both"/>
        <w:textAlignment w:val="baseline"/>
        <w:rPr>
          <w:noProof/>
          <w:color w:val="000000" w:themeColor="text1"/>
        </w:rPr>
      </w:pPr>
    </w:p>
    <w:p w14:paraId="63CDC8C1" w14:textId="7ECE5358" w:rsidR="003A3D51" w:rsidRDefault="0002775A">
      <w:pPr>
        <w:pStyle w:val="P68B1DB1-paragraph55"/>
        <w:spacing w:before="0" w:beforeAutospacing="0" w:after="0" w:afterAutospacing="0"/>
        <w:ind w:left="720"/>
        <w:jc w:val="both"/>
        <w:textAlignment w:val="baseline"/>
        <w:rPr>
          <w:noProof/>
          <w:color w:val="000000" w:themeColor="text1"/>
        </w:rPr>
      </w:pPr>
      <w:r>
        <w:rPr>
          <w:noProof/>
          <w:color w:val="000000" w:themeColor="text1"/>
        </w:rPr>
        <w:t xml:space="preserve">Investering C7.2 I2 Renovering av byggnader som skadats vid jordbävningar med energirenovering </w:t>
      </w:r>
      <w:r>
        <w:rPr>
          <w:noProof/>
        </w:rPr>
        <w:t>(investering C.6.1 R1-I2 överförd från rådets redan antagna genomförandebeslut), inklusive en utvidgad del</w:t>
      </w:r>
      <w:r>
        <w:rPr>
          <w:noProof/>
          <w:color w:val="000000" w:themeColor="text1"/>
        </w:rPr>
        <w:t xml:space="preserve"> </w:t>
      </w:r>
    </w:p>
    <w:p w14:paraId="689B7824" w14:textId="77777777" w:rsidR="003A3D51" w:rsidRDefault="0002775A">
      <w:pPr>
        <w:pStyle w:val="P68B1DB1-Normal11"/>
        <w:spacing w:before="120" w:after="120"/>
        <w:jc w:val="both"/>
        <w:rPr>
          <w:noProof/>
        </w:rPr>
      </w:pPr>
      <w:r>
        <w:rPr>
          <w:noProof/>
        </w:rPr>
        <w:t xml:space="preserve">Syftet med investeringen är att reparera de skador som jordbävningarna orsakade på flerfamiljshus och offentliga byggnader 2020, att öka byggnadernas seismiska motståndskraft och öka deras energieffektivitet. Renovering av byggnader till deras ursprungliga skick före skada ska i tillämpliga fall finansieras av EU:s solidaritetsfond, medan skillnaden till fullständig renovering, inbegripet ökad energieffektivitet i byggnader och ökad seismisk motståndskraft (principen om bättre återuppbyggnad), ska finansieras genom denna investering.  </w:t>
      </w:r>
    </w:p>
    <w:p w14:paraId="2F5CE9BA" w14:textId="1883F384" w:rsidR="003A3D51" w:rsidRDefault="0002775A">
      <w:pPr>
        <w:pStyle w:val="P68B1DB1-Normal11"/>
        <w:spacing w:before="120" w:after="120"/>
        <w:jc w:val="both"/>
        <w:rPr>
          <w:noProof/>
        </w:rPr>
      </w:pPr>
      <w:r>
        <w:rPr>
          <w:noProof/>
        </w:rPr>
        <w:t>Minst 50 system för förnybar energi ska installeras i offentliga byggnader som renoveras genom denna investering.</w:t>
      </w:r>
    </w:p>
    <w:p w14:paraId="1A7F4696" w14:textId="77777777" w:rsidR="003A3D51" w:rsidRDefault="0002775A">
      <w:pPr>
        <w:pStyle w:val="P68B1DB1-Normal11"/>
        <w:spacing w:before="120" w:after="120"/>
        <w:jc w:val="both"/>
        <w:rPr>
          <w:noProof/>
        </w:rPr>
      </w:pPr>
      <w:r>
        <w:rPr>
          <w:noProof/>
        </w:rPr>
        <w:t xml:space="preserve">Denna investering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ska kostnaden för installation av gaskondensorpannor utgöra högst 20 % av den totala kostnaden för renoveringsprogrammet, och gaskondensorpor ska installeras för att ersätta befintliga ineffektiva gas-, kol- och oljebaserade värmepannor. Alla renoverade byggnader ska uppnå en minskning av energianvändningen för uppvärmning med minst 50 % jämfört med den årliga energianvändningen för uppvärmning före renoveringen (med undantag för kulturarvsbyggnader), vilket ska motsvara en ökning på minst 30 % i primärenergibesparingar jämfört med förrenoveringen.  </w:t>
      </w:r>
    </w:p>
    <w:p w14:paraId="1FC39CF2" w14:textId="10FBA822" w:rsidR="003A3D51" w:rsidRDefault="0002775A">
      <w:pPr>
        <w:pStyle w:val="P68B1DB1-Normal11"/>
        <w:spacing w:before="120" w:after="120"/>
        <w:jc w:val="both"/>
        <w:rPr>
          <w:noProof/>
        </w:rPr>
      </w:pPr>
      <w:r>
        <w:rPr>
          <w:noProof/>
        </w:rPr>
        <w:t>Den utökade delen av investeringen ska öka antalet renoverade kvadratmeter offentliga byggnader och flerbostadshus med 322 495 respektive 33 350.</w:t>
      </w:r>
    </w:p>
    <w:p w14:paraId="2E68A916" w14:textId="77777777" w:rsidR="003A3D51" w:rsidRDefault="0002775A">
      <w:pPr>
        <w:pStyle w:val="P68B1DB1-Normal11"/>
        <w:spacing w:before="120" w:after="120"/>
        <w:jc w:val="both"/>
        <w:rPr>
          <w:noProof/>
        </w:rPr>
      </w:pPr>
      <w:r>
        <w:rPr>
          <w:noProof/>
        </w:rPr>
        <w:t>Investeringen ska genomföras senast den 30 juni 2026.</w:t>
      </w:r>
    </w:p>
    <w:p w14:paraId="002B7B2D" w14:textId="77777777" w:rsidR="003A3D51" w:rsidRDefault="003A3D51">
      <w:pPr>
        <w:pStyle w:val="paragraph"/>
        <w:spacing w:before="0" w:beforeAutospacing="0" w:after="0" w:afterAutospacing="0"/>
        <w:jc w:val="both"/>
        <w:textAlignment w:val="baseline"/>
        <w:rPr>
          <w:noProof/>
          <w:color w:val="000000" w:themeColor="text1"/>
        </w:rPr>
      </w:pPr>
    </w:p>
    <w:p w14:paraId="1F211A15" w14:textId="77777777" w:rsidR="003A3D51" w:rsidRDefault="003A3D51">
      <w:pPr>
        <w:pStyle w:val="paragraph"/>
        <w:spacing w:before="0" w:beforeAutospacing="0" w:after="0" w:afterAutospacing="0"/>
        <w:jc w:val="both"/>
        <w:textAlignment w:val="baseline"/>
        <w:rPr>
          <w:rFonts w:ascii="Segoe UI" w:hAnsi="Segoe UI" w:cs="Segoe UI"/>
          <w:noProof/>
          <w:sz w:val="18"/>
        </w:rPr>
      </w:pPr>
    </w:p>
    <w:p w14:paraId="53F25BF7" w14:textId="77777777" w:rsidR="003A3D51" w:rsidRDefault="003A3D51">
      <w:pPr>
        <w:pStyle w:val="paragraph"/>
        <w:spacing w:before="0" w:beforeAutospacing="0" w:after="0" w:afterAutospacing="0"/>
        <w:jc w:val="both"/>
        <w:textAlignment w:val="baseline"/>
        <w:rPr>
          <w:rStyle w:val="normaltextrun"/>
          <w:b/>
          <w:noProof/>
        </w:rPr>
        <w:sectPr w:rsidR="003A3D51" w:rsidSect="0001477B">
          <w:headerReference w:type="even" r:id="rId438"/>
          <w:headerReference w:type="default" r:id="rId439"/>
          <w:footerReference w:type="even" r:id="rId440"/>
          <w:footerReference w:type="default" r:id="rId441"/>
          <w:headerReference w:type="first" r:id="rId442"/>
          <w:footerReference w:type="first" r:id="rId443"/>
          <w:pgSz w:w="12240" w:h="15840"/>
          <w:pgMar w:top="1440" w:right="1440" w:bottom="1440" w:left="1440" w:header="708" w:footer="708" w:gutter="0"/>
          <w:cols w:space="708"/>
          <w:docGrid w:linePitch="360"/>
        </w:sectPr>
      </w:pPr>
    </w:p>
    <w:p w14:paraId="13BEEDC5" w14:textId="48A7561C" w:rsidR="003A3D51" w:rsidRDefault="0002775A">
      <w:pPr>
        <w:pStyle w:val="paragraph"/>
        <w:spacing w:before="0" w:beforeAutospacing="0" w:after="0" w:afterAutospacing="0"/>
        <w:jc w:val="both"/>
        <w:textAlignment w:val="baseline"/>
        <w:rPr>
          <w:rFonts w:ascii="Segoe UI" w:hAnsi="Segoe UI" w:cs="Segoe UI"/>
          <w:noProof/>
          <w:sz w:val="18"/>
        </w:rPr>
      </w:pPr>
      <w:r>
        <w:rPr>
          <w:rStyle w:val="normaltextrun"/>
          <w:b/>
          <w:noProof/>
        </w:rPr>
        <w:t xml:space="preserve">X.4. </w:t>
      </w:r>
      <w:r>
        <w:rPr>
          <w:rStyle w:val="tabchar"/>
          <w:rFonts w:ascii="Calibri" w:hAnsi="Calibri" w:cs="Calibri"/>
          <w:noProof/>
        </w:rPr>
        <w:tab/>
      </w:r>
      <w:r>
        <w:rPr>
          <w:rStyle w:val="normaltextrun"/>
          <w:b/>
          <w:noProof/>
        </w:rPr>
        <w:t xml:space="preserve">Delmål, mål, indikatorer och tidsplan för övervakning och genomförande av lånet </w:t>
      </w:r>
      <w:r>
        <w:rPr>
          <w:rStyle w:val="eop"/>
          <w:noProof/>
        </w:rPr>
        <w:t> </w:t>
      </w:r>
    </w:p>
    <w:p w14:paraId="0AB8B3C3" w14:textId="77777777" w:rsidR="003A3D51" w:rsidRDefault="003A3D51">
      <w:pPr>
        <w:pStyle w:val="paragraph"/>
        <w:spacing w:before="0" w:beforeAutospacing="0" w:after="0" w:afterAutospacing="0"/>
        <w:jc w:val="both"/>
        <w:textAlignment w:val="baseline"/>
        <w:rPr>
          <w:rStyle w:val="eop"/>
          <w:noProof/>
          <w:color w:val="4F81BD"/>
        </w:rPr>
      </w:pPr>
    </w:p>
    <w:tbl>
      <w:tblPr>
        <w:tblW w:w="14891" w:type="dxa"/>
        <w:jc w:val="center"/>
        <w:tblLayout w:type="fixed"/>
        <w:tblCellMar>
          <w:top w:w="28" w:type="dxa"/>
          <w:left w:w="28" w:type="dxa"/>
          <w:bottom w:w="28" w:type="dxa"/>
          <w:right w:w="28" w:type="dxa"/>
        </w:tblCellMar>
        <w:tblLook w:val="04A0" w:firstRow="1" w:lastRow="0" w:firstColumn="1" w:lastColumn="0" w:noHBand="0" w:noVBand="1"/>
      </w:tblPr>
      <w:tblGrid>
        <w:gridCol w:w="715"/>
        <w:gridCol w:w="993"/>
        <w:gridCol w:w="851"/>
        <w:gridCol w:w="2551"/>
        <w:gridCol w:w="2052"/>
        <w:gridCol w:w="923"/>
        <w:gridCol w:w="826"/>
        <w:gridCol w:w="802"/>
        <w:gridCol w:w="567"/>
        <w:gridCol w:w="709"/>
        <w:gridCol w:w="3902"/>
      </w:tblGrid>
      <w:tr w:rsidR="003A3D51" w14:paraId="094A8FB0" w14:textId="77777777">
        <w:trPr>
          <w:tblHeader/>
          <w:jc w:val="center"/>
        </w:trPr>
        <w:tc>
          <w:tcPr>
            <w:tcW w:w="7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D4EDB2" w14:textId="77777777" w:rsidR="003A3D51" w:rsidRDefault="0002775A">
            <w:pPr>
              <w:pStyle w:val="P68B1DB1-Normal6"/>
              <w:spacing w:after="0" w:line="276" w:lineRule="auto"/>
              <w:jc w:val="center"/>
              <w:rPr>
                <w:noProof/>
              </w:rPr>
            </w:pPr>
            <w:r>
              <w:rPr>
                <w:noProof/>
              </w:rPr>
              <w:t>Antal</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5AFA5CD" w14:textId="77777777" w:rsidR="003A3D51" w:rsidRDefault="0002775A">
            <w:pPr>
              <w:pStyle w:val="P68B1DB1-Normal6"/>
              <w:spacing w:after="0" w:line="276" w:lineRule="auto"/>
              <w:jc w:val="center"/>
              <w:rPr>
                <w:noProof/>
              </w:rPr>
            </w:pPr>
            <w:r>
              <w:rPr>
                <w:noProof/>
              </w:rPr>
              <w:t>Åtgärd</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785EBF" w14:textId="77777777" w:rsidR="003A3D51" w:rsidRDefault="0002775A">
            <w:pPr>
              <w:pStyle w:val="P68B1DB1-Normal6"/>
              <w:spacing w:after="0" w:line="276" w:lineRule="auto"/>
              <w:jc w:val="center"/>
              <w:rPr>
                <w:noProof/>
              </w:rPr>
            </w:pPr>
            <w:r>
              <w:rPr>
                <w:noProof/>
              </w:rPr>
              <w:t>Delmål/mål</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AD7A4D9" w14:textId="77777777" w:rsidR="003A3D51" w:rsidRDefault="0002775A">
            <w:pPr>
              <w:pStyle w:val="P68B1DB1-Normal6"/>
              <w:spacing w:after="0" w:line="276" w:lineRule="auto"/>
              <w:jc w:val="center"/>
              <w:rPr>
                <w:noProof/>
              </w:rPr>
            </w:pPr>
            <w:r>
              <w:rPr>
                <w:noProof/>
              </w:rPr>
              <w:t>Namn</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DBDC0B"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Kvalitativa indikatorer</w:t>
            </w:r>
            <w:r>
              <w:rPr>
                <w:rFonts w:ascii="Calibri" w:eastAsia="Calibri" w:hAnsi="Calibri" w:cs="Arial"/>
                <w:noProof/>
              </w:rPr>
              <w:br/>
            </w:r>
            <w:r>
              <w:rPr>
                <w:rFonts w:ascii="Times New Roman" w:eastAsia="Times New Roman" w:hAnsi="Times New Roman" w:cs="Times New Roman"/>
                <w:b/>
                <w:noProof/>
                <w:sz w:val="18"/>
              </w:rPr>
              <w:t>(för delmål)</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DD7EE"/>
            <w:hideMark/>
          </w:tcPr>
          <w:p w14:paraId="66956936" w14:textId="77777777" w:rsidR="003A3D51" w:rsidRDefault="0002775A">
            <w:pPr>
              <w:spacing w:after="0" w:line="276" w:lineRule="auto"/>
              <w:jc w:val="center"/>
              <w:rPr>
                <w:rFonts w:ascii="Times New Roman" w:eastAsia="Times New Roman" w:hAnsi="Times New Roman" w:cs="Times New Roman"/>
                <w:b/>
                <w:noProof/>
                <w:sz w:val="18"/>
              </w:rPr>
            </w:pPr>
            <w:r>
              <w:rPr>
                <w:rFonts w:ascii="Times New Roman" w:eastAsia="Times New Roman" w:hAnsi="Times New Roman" w:cs="Times New Roman"/>
                <w:b/>
                <w:noProof/>
                <w:sz w:val="18"/>
              </w:rPr>
              <w:t>Kvantitativa indikatorer</w:t>
            </w:r>
            <w:r>
              <w:rPr>
                <w:rFonts w:ascii="Calibri" w:eastAsia="Calibri" w:hAnsi="Calibri" w:cs="Arial"/>
                <w:noProof/>
              </w:rPr>
              <w:br/>
            </w:r>
            <w:r>
              <w:rPr>
                <w:rFonts w:ascii="Times New Roman" w:eastAsia="Times New Roman" w:hAnsi="Times New Roman" w:cs="Times New Roman"/>
                <w:b/>
                <w:noProof/>
                <w:sz w:val="18"/>
              </w:rPr>
              <w:t>(för mål)</w:t>
            </w:r>
          </w:p>
        </w:tc>
        <w:tc>
          <w:tcPr>
            <w:tcW w:w="1276" w:type="dxa"/>
            <w:gridSpan w:val="2"/>
            <w:tcBorders>
              <w:top w:val="single" w:sz="4" w:space="0" w:color="auto"/>
              <w:left w:val="nil"/>
              <w:bottom w:val="single" w:sz="4" w:space="0" w:color="auto"/>
              <w:right w:val="single" w:sz="4" w:space="0" w:color="auto"/>
            </w:tcBorders>
            <w:shd w:val="clear" w:color="auto" w:fill="BDD7EE"/>
            <w:hideMark/>
          </w:tcPr>
          <w:p w14:paraId="0CF226F2" w14:textId="77777777" w:rsidR="003A3D51" w:rsidRDefault="0002775A">
            <w:pPr>
              <w:pStyle w:val="P68B1DB1-Normal6"/>
              <w:spacing w:after="0" w:line="276" w:lineRule="auto"/>
              <w:jc w:val="center"/>
              <w:rPr>
                <w:noProof/>
              </w:rPr>
            </w:pPr>
            <w:r>
              <w:rPr>
                <w:noProof/>
              </w:rPr>
              <w:t>Tid</w:t>
            </w:r>
          </w:p>
        </w:tc>
        <w:tc>
          <w:tcPr>
            <w:tcW w:w="390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CCBBB9" w14:textId="77777777" w:rsidR="003A3D51" w:rsidRDefault="0002775A">
            <w:pPr>
              <w:pStyle w:val="P68B1DB1-Normal6"/>
              <w:spacing w:after="0" w:line="276" w:lineRule="auto"/>
              <w:jc w:val="center"/>
              <w:rPr>
                <w:noProof/>
              </w:rPr>
            </w:pPr>
            <w:r>
              <w:rPr>
                <w:noProof/>
              </w:rPr>
              <w:t>Beskrivning av varje delmål och mål</w:t>
            </w:r>
          </w:p>
        </w:tc>
      </w:tr>
      <w:tr w:rsidR="003A3D51" w14:paraId="3B16269C" w14:textId="77777777">
        <w:trPr>
          <w:tblHeader/>
          <w:jc w:val="center"/>
        </w:trPr>
        <w:tc>
          <w:tcPr>
            <w:tcW w:w="715" w:type="dxa"/>
            <w:vMerge/>
            <w:tcBorders>
              <w:top w:val="single" w:sz="4" w:space="0" w:color="auto"/>
              <w:left w:val="single" w:sz="4" w:space="0" w:color="auto"/>
              <w:bottom w:val="single" w:sz="4" w:space="0" w:color="auto"/>
              <w:right w:val="single" w:sz="4" w:space="0" w:color="auto"/>
            </w:tcBorders>
            <w:hideMark/>
          </w:tcPr>
          <w:p w14:paraId="0C77007F" w14:textId="77777777" w:rsidR="003A3D51" w:rsidRDefault="003A3D51">
            <w:pPr>
              <w:spacing w:after="0" w:line="276" w:lineRule="auto"/>
              <w:jc w:val="center"/>
              <w:rPr>
                <w:rFonts w:ascii="Times New Roman" w:eastAsia="Times New Roman" w:hAnsi="Times New Roman" w:cs="Times New Roman"/>
                <w:b/>
                <w:noProof/>
              </w:rPr>
            </w:pPr>
          </w:p>
        </w:tc>
        <w:tc>
          <w:tcPr>
            <w:tcW w:w="993" w:type="dxa"/>
            <w:vMerge/>
            <w:tcBorders>
              <w:top w:val="single" w:sz="4" w:space="0" w:color="auto"/>
              <w:left w:val="single" w:sz="4" w:space="0" w:color="auto"/>
              <w:bottom w:val="single" w:sz="4" w:space="0" w:color="auto"/>
              <w:right w:val="single" w:sz="4" w:space="0" w:color="auto"/>
            </w:tcBorders>
            <w:hideMark/>
          </w:tcPr>
          <w:p w14:paraId="4C5ACC65" w14:textId="77777777" w:rsidR="003A3D51" w:rsidRDefault="003A3D51">
            <w:pPr>
              <w:spacing w:after="0" w:line="276" w:lineRule="auto"/>
              <w:jc w:val="center"/>
              <w:rPr>
                <w:rFonts w:ascii="Times New Roman" w:eastAsia="Times New Roman" w:hAnsi="Times New Roman" w:cs="Times New Roman"/>
                <w:b/>
                <w:noProof/>
              </w:rPr>
            </w:pPr>
          </w:p>
        </w:tc>
        <w:tc>
          <w:tcPr>
            <w:tcW w:w="851" w:type="dxa"/>
            <w:vMerge/>
            <w:tcBorders>
              <w:top w:val="single" w:sz="4" w:space="0" w:color="auto"/>
              <w:left w:val="single" w:sz="4" w:space="0" w:color="auto"/>
              <w:bottom w:val="single" w:sz="4" w:space="0" w:color="auto"/>
              <w:right w:val="single" w:sz="4" w:space="0" w:color="auto"/>
            </w:tcBorders>
            <w:hideMark/>
          </w:tcPr>
          <w:p w14:paraId="52602ABD" w14:textId="77777777" w:rsidR="003A3D51" w:rsidRDefault="003A3D51">
            <w:pPr>
              <w:spacing w:after="0" w:line="276" w:lineRule="auto"/>
              <w:jc w:val="center"/>
              <w:rPr>
                <w:rFonts w:ascii="Times New Roman" w:eastAsia="Times New Roman" w:hAnsi="Times New Roman" w:cs="Times New Roman"/>
                <w:b/>
                <w:noProof/>
              </w:rPr>
            </w:pPr>
          </w:p>
        </w:tc>
        <w:tc>
          <w:tcPr>
            <w:tcW w:w="2551" w:type="dxa"/>
            <w:vMerge/>
            <w:tcBorders>
              <w:top w:val="single" w:sz="4" w:space="0" w:color="auto"/>
              <w:left w:val="single" w:sz="4" w:space="0" w:color="auto"/>
              <w:bottom w:val="single" w:sz="4" w:space="0" w:color="auto"/>
              <w:right w:val="single" w:sz="4" w:space="0" w:color="auto"/>
            </w:tcBorders>
            <w:hideMark/>
          </w:tcPr>
          <w:p w14:paraId="4E546BA7" w14:textId="77777777" w:rsidR="003A3D51" w:rsidRDefault="003A3D51">
            <w:pPr>
              <w:spacing w:after="0" w:line="276" w:lineRule="auto"/>
              <w:rPr>
                <w:rFonts w:ascii="Times New Roman" w:eastAsia="Times New Roman" w:hAnsi="Times New Roman" w:cs="Times New Roman"/>
                <w:b/>
                <w:noProof/>
              </w:rPr>
            </w:pPr>
          </w:p>
        </w:tc>
        <w:tc>
          <w:tcPr>
            <w:tcW w:w="2052" w:type="dxa"/>
            <w:vMerge/>
            <w:tcBorders>
              <w:top w:val="single" w:sz="4" w:space="0" w:color="auto"/>
              <w:left w:val="single" w:sz="4" w:space="0" w:color="auto"/>
              <w:bottom w:val="single" w:sz="4" w:space="0" w:color="auto"/>
              <w:right w:val="single" w:sz="4" w:space="0" w:color="auto"/>
            </w:tcBorders>
            <w:hideMark/>
          </w:tcPr>
          <w:p w14:paraId="17B2BB17" w14:textId="77777777" w:rsidR="003A3D51" w:rsidRDefault="003A3D51">
            <w:pPr>
              <w:spacing w:after="0" w:line="276" w:lineRule="auto"/>
              <w:rPr>
                <w:rFonts w:ascii="Times New Roman" w:eastAsia="Times New Roman" w:hAnsi="Times New Roman" w:cs="Times New Roman"/>
                <w:b/>
                <w:noProof/>
              </w:rPr>
            </w:pPr>
          </w:p>
        </w:tc>
        <w:tc>
          <w:tcPr>
            <w:tcW w:w="923" w:type="dxa"/>
            <w:tcBorders>
              <w:top w:val="nil"/>
              <w:left w:val="single" w:sz="4" w:space="0" w:color="auto"/>
              <w:bottom w:val="single" w:sz="4" w:space="0" w:color="auto"/>
              <w:right w:val="single" w:sz="4" w:space="0" w:color="auto"/>
            </w:tcBorders>
            <w:shd w:val="clear" w:color="auto" w:fill="BDD7EE"/>
            <w:hideMark/>
          </w:tcPr>
          <w:p w14:paraId="3EC01787" w14:textId="77777777" w:rsidR="003A3D51" w:rsidRDefault="0002775A">
            <w:pPr>
              <w:pStyle w:val="P68B1DB1-Normal6"/>
              <w:spacing w:after="0" w:line="276" w:lineRule="auto"/>
              <w:jc w:val="center"/>
              <w:rPr>
                <w:noProof/>
              </w:rPr>
            </w:pPr>
            <w:r>
              <w:rPr>
                <w:noProof/>
              </w:rPr>
              <w:t>Enhet</w:t>
            </w:r>
          </w:p>
        </w:tc>
        <w:tc>
          <w:tcPr>
            <w:tcW w:w="826" w:type="dxa"/>
            <w:tcBorders>
              <w:top w:val="nil"/>
              <w:left w:val="nil"/>
              <w:bottom w:val="single" w:sz="4" w:space="0" w:color="auto"/>
              <w:right w:val="single" w:sz="4" w:space="0" w:color="auto"/>
            </w:tcBorders>
            <w:shd w:val="clear" w:color="auto" w:fill="BDD7EE"/>
            <w:hideMark/>
          </w:tcPr>
          <w:p w14:paraId="6A537C65" w14:textId="77777777" w:rsidR="003A3D51" w:rsidRDefault="0002775A">
            <w:pPr>
              <w:pStyle w:val="P68B1DB1-Normal6"/>
              <w:spacing w:after="0" w:line="276" w:lineRule="auto"/>
              <w:jc w:val="center"/>
              <w:rPr>
                <w:noProof/>
              </w:rPr>
            </w:pPr>
            <w:r>
              <w:rPr>
                <w:noProof/>
              </w:rPr>
              <w:t>Baslinjen</w:t>
            </w:r>
          </w:p>
        </w:tc>
        <w:tc>
          <w:tcPr>
            <w:tcW w:w="802" w:type="dxa"/>
            <w:tcBorders>
              <w:top w:val="nil"/>
              <w:left w:val="nil"/>
              <w:bottom w:val="single" w:sz="4" w:space="0" w:color="auto"/>
              <w:right w:val="single" w:sz="4" w:space="0" w:color="auto"/>
            </w:tcBorders>
            <w:shd w:val="clear" w:color="auto" w:fill="BDD7EE"/>
            <w:hideMark/>
          </w:tcPr>
          <w:p w14:paraId="1FD80D2E" w14:textId="77777777" w:rsidR="003A3D51" w:rsidRDefault="0002775A">
            <w:pPr>
              <w:pStyle w:val="P68B1DB1-Normal6"/>
              <w:spacing w:after="0" w:line="276" w:lineRule="auto"/>
              <w:jc w:val="center"/>
              <w:rPr>
                <w:noProof/>
              </w:rPr>
            </w:pPr>
            <w:r>
              <w:rPr>
                <w:noProof/>
              </w:rPr>
              <w:t>Mål</w:t>
            </w:r>
          </w:p>
        </w:tc>
        <w:tc>
          <w:tcPr>
            <w:tcW w:w="567" w:type="dxa"/>
            <w:tcBorders>
              <w:top w:val="nil"/>
              <w:left w:val="nil"/>
              <w:bottom w:val="single" w:sz="4" w:space="0" w:color="auto"/>
              <w:right w:val="single" w:sz="4" w:space="0" w:color="auto"/>
            </w:tcBorders>
            <w:shd w:val="clear" w:color="auto" w:fill="BDD7EE"/>
            <w:hideMark/>
          </w:tcPr>
          <w:p w14:paraId="3E7E530F" w14:textId="77777777" w:rsidR="003A3D51" w:rsidRDefault="0002775A">
            <w:pPr>
              <w:pStyle w:val="P68B1DB1-Normal6"/>
              <w:spacing w:after="0" w:line="276" w:lineRule="auto"/>
              <w:jc w:val="center"/>
              <w:rPr>
                <w:noProof/>
              </w:rPr>
            </w:pPr>
            <w:r>
              <w:rPr>
                <w:noProof/>
              </w:rPr>
              <w:t>Q</w:t>
            </w:r>
          </w:p>
        </w:tc>
        <w:tc>
          <w:tcPr>
            <w:tcW w:w="709" w:type="dxa"/>
            <w:tcBorders>
              <w:top w:val="nil"/>
              <w:left w:val="nil"/>
              <w:bottom w:val="single" w:sz="4" w:space="0" w:color="auto"/>
              <w:right w:val="single" w:sz="4" w:space="0" w:color="auto"/>
            </w:tcBorders>
            <w:shd w:val="clear" w:color="auto" w:fill="BDD7EE"/>
            <w:hideMark/>
          </w:tcPr>
          <w:p w14:paraId="0F454CE1" w14:textId="77777777" w:rsidR="003A3D51" w:rsidRDefault="0002775A">
            <w:pPr>
              <w:pStyle w:val="P68B1DB1-Normal6"/>
              <w:spacing w:after="0" w:line="276" w:lineRule="auto"/>
              <w:jc w:val="center"/>
              <w:rPr>
                <w:noProof/>
              </w:rPr>
            </w:pPr>
            <w:r>
              <w:rPr>
                <w:noProof/>
              </w:rPr>
              <w:t>Året</w:t>
            </w:r>
          </w:p>
        </w:tc>
        <w:tc>
          <w:tcPr>
            <w:tcW w:w="3902" w:type="dxa"/>
            <w:vMerge/>
            <w:tcBorders>
              <w:top w:val="single" w:sz="4" w:space="0" w:color="auto"/>
              <w:bottom w:val="single" w:sz="4" w:space="0" w:color="auto"/>
              <w:right w:val="single" w:sz="4" w:space="0" w:color="auto"/>
            </w:tcBorders>
            <w:hideMark/>
          </w:tcPr>
          <w:p w14:paraId="70A312D3" w14:textId="77777777" w:rsidR="003A3D51" w:rsidRDefault="003A3D51">
            <w:pPr>
              <w:spacing w:after="0" w:line="276" w:lineRule="auto"/>
              <w:rPr>
                <w:rFonts w:ascii="Times New Roman" w:eastAsia="Times New Roman" w:hAnsi="Times New Roman" w:cs="Times New Roman"/>
                <w:b/>
                <w:noProof/>
              </w:rPr>
            </w:pPr>
          </w:p>
        </w:tc>
      </w:tr>
      <w:tr w:rsidR="003A3D51" w14:paraId="12A05E17"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5BD3EF2F" w14:textId="4D52D13A" w:rsidR="003A3D51" w:rsidRDefault="0002775A">
            <w:pPr>
              <w:pStyle w:val="P68B1DB1-Normal25"/>
              <w:spacing w:after="0" w:line="276" w:lineRule="auto"/>
              <w:jc w:val="center"/>
              <w:rPr>
                <w:rFonts w:eastAsia="Calibri"/>
                <w:noProof/>
              </w:rPr>
            </w:pPr>
            <w:r>
              <w:rPr>
                <w:noProof/>
              </w:rPr>
              <w:t>432</w:t>
            </w:r>
          </w:p>
          <w:p w14:paraId="6C8BC6F9" w14:textId="77777777" w:rsidR="003A3D51" w:rsidRDefault="003A3D51">
            <w:pPr>
              <w:spacing w:after="0" w:line="276" w:lineRule="auto"/>
              <w:jc w:val="center"/>
              <w:rPr>
                <w:rFonts w:cstheme="minorHAnsi"/>
                <w:noProof/>
                <w:sz w:val="20"/>
              </w:rPr>
            </w:pPr>
          </w:p>
        </w:tc>
        <w:tc>
          <w:tcPr>
            <w:tcW w:w="993" w:type="dxa"/>
            <w:tcBorders>
              <w:top w:val="single" w:sz="4" w:space="0" w:color="auto"/>
              <w:left w:val="nil"/>
              <w:bottom w:val="single" w:sz="4" w:space="0" w:color="auto"/>
              <w:right w:val="single" w:sz="4" w:space="0" w:color="auto"/>
            </w:tcBorders>
            <w:shd w:val="clear" w:color="auto" w:fill="C6EFCE"/>
            <w:noWrap/>
          </w:tcPr>
          <w:p w14:paraId="495D23AF" w14:textId="23F59318" w:rsidR="003A3D51" w:rsidRDefault="0002775A">
            <w:pPr>
              <w:pStyle w:val="P68B1DB1-Normal58"/>
              <w:spacing w:after="200" w:line="276" w:lineRule="auto"/>
              <w:jc w:val="center"/>
              <w:rPr>
                <w:noProof/>
              </w:rPr>
            </w:pPr>
            <w:r>
              <w:rPr>
                <w:noProof/>
              </w:rPr>
              <w:t>C7.2 R3</w:t>
            </w:r>
          </w:p>
        </w:tc>
        <w:tc>
          <w:tcPr>
            <w:tcW w:w="851" w:type="dxa"/>
            <w:tcBorders>
              <w:top w:val="single" w:sz="4" w:space="0" w:color="auto"/>
              <w:left w:val="nil"/>
              <w:bottom w:val="single" w:sz="4" w:space="0" w:color="auto"/>
              <w:right w:val="single" w:sz="4" w:space="0" w:color="auto"/>
            </w:tcBorders>
            <w:shd w:val="clear" w:color="auto" w:fill="C6EFCE"/>
            <w:noWrap/>
          </w:tcPr>
          <w:p w14:paraId="152ED9B4" w14:textId="77777777"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41627BCC" w14:textId="77777777" w:rsidR="003A3D51" w:rsidRDefault="0002775A">
            <w:pPr>
              <w:pStyle w:val="P68B1DB1-Normal25"/>
              <w:spacing w:after="200" w:line="276" w:lineRule="auto"/>
              <w:rPr>
                <w:rFonts w:eastAsia="Calibri"/>
                <w:noProof/>
              </w:rPr>
            </w:pPr>
            <w:r>
              <w:rPr>
                <w:noProof/>
              </w:rPr>
              <w:t>Genomförande av pilotprojekt som identifierats genom strategierna för grön stadsförnyelse och som är kopplade till de nationella programmen för grön infrastruktur och cirkulär förvaltning av utrymmen och byggnader.</w:t>
            </w:r>
          </w:p>
        </w:tc>
        <w:tc>
          <w:tcPr>
            <w:tcW w:w="2052" w:type="dxa"/>
            <w:tcBorders>
              <w:top w:val="single" w:sz="4" w:space="0" w:color="auto"/>
              <w:left w:val="nil"/>
              <w:bottom w:val="single" w:sz="4" w:space="0" w:color="auto"/>
              <w:right w:val="single" w:sz="4" w:space="0" w:color="auto"/>
            </w:tcBorders>
            <w:shd w:val="clear" w:color="auto" w:fill="C6EFCE"/>
            <w:noWrap/>
          </w:tcPr>
          <w:p w14:paraId="7A341DCB" w14:textId="77777777" w:rsidR="003A3D51" w:rsidRDefault="003A3D51">
            <w:pPr>
              <w:spacing w:after="200" w:line="276" w:lineRule="auto"/>
              <w:rPr>
                <w:rFonts w:eastAsia="Calibri" w:cstheme="minorHAns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3C67E909" w14:textId="77777777" w:rsidR="003A3D51" w:rsidRDefault="0002775A">
            <w:pPr>
              <w:pStyle w:val="P68B1DB1-Normal17"/>
              <w:spacing w:after="200" w:line="276" w:lineRule="auto"/>
              <w:jc w:val="center"/>
              <w:rPr>
                <w:noProof/>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7963D482" w14:textId="77777777"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05DC820E" w14:textId="77777777" w:rsidR="003A3D51" w:rsidRDefault="0002775A">
            <w:pPr>
              <w:pStyle w:val="P68B1DB1-Normal17"/>
              <w:spacing w:after="200" w:line="276" w:lineRule="auto"/>
              <w:jc w:val="center"/>
              <w:rPr>
                <w:noProof/>
                <w:highlight w:val="yellow"/>
              </w:rPr>
            </w:pPr>
            <w:r>
              <w:rPr>
                <w:noProof/>
              </w:rPr>
              <w:t>4</w:t>
            </w:r>
          </w:p>
        </w:tc>
        <w:tc>
          <w:tcPr>
            <w:tcW w:w="567" w:type="dxa"/>
            <w:tcBorders>
              <w:top w:val="single" w:sz="4" w:space="0" w:color="auto"/>
              <w:left w:val="nil"/>
              <w:bottom w:val="single" w:sz="4" w:space="0" w:color="auto"/>
              <w:right w:val="single" w:sz="4" w:space="0" w:color="auto"/>
            </w:tcBorders>
            <w:shd w:val="clear" w:color="auto" w:fill="C6EFCE"/>
            <w:noWrap/>
          </w:tcPr>
          <w:p w14:paraId="77760C41" w14:textId="77777777" w:rsidR="003A3D51" w:rsidRDefault="0002775A">
            <w:pPr>
              <w:pStyle w:val="P68B1DB1-Normal17"/>
              <w:spacing w:after="200" w:line="276" w:lineRule="auto"/>
              <w:jc w:val="center"/>
              <w:rPr>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06C10A29" w14:textId="77777777" w:rsidR="003A3D51" w:rsidRDefault="0002775A">
            <w:pPr>
              <w:pStyle w:val="P68B1DB1-Normal17"/>
              <w:spacing w:after="200" w:line="276" w:lineRule="auto"/>
              <w:jc w:val="center"/>
              <w:rPr>
                <w:noProof/>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36AF73C7" w14:textId="77777777" w:rsidR="003A3D51" w:rsidRDefault="0002775A">
            <w:pPr>
              <w:pStyle w:val="P68B1DB1-Normal25"/>
              <w:rPr>
                <w:noProof/>
              </w:rPr>
            </w:pPr>
            <w:r>
              <w:rPr>
                <w:noProof/>
              </w:rPr>
              <w:t>Genomförande av minst fyra pilotprojekt som identifierats genom strategierna för grön stadsförnyelse och som är kopplade till de nationella programmen för grön infrastruktur och cirkulär förvaltning av utrymmen och byggnader.</w:t>
            </w:r>
          </w:p>
          <w:p w14:paraId="03F96B91" w14:textId="77777777" w:rsidR="003A3D51" w:rsidRDefault="003A3D51">
            <w:pPr>
              <w:spacing w:after="200" w:line="276" w:lineRule="auto"/>
              <w:rPr>
                <w:rFonts w:eastAsia="Calibri" w:cstheme="minorHAnsi"/>
                <w:noProof/>
                <w:color w:val="000000"/>
                <w:sz w:val="20"/>
                <w:highlight w:val="yellow"/>
              </w:rPr>
            </w:pPr>
          </w:p>
        </w:tc>
      </w:tr>
      <w:tr w:rsidR="003A3D51" w14:paraId="3F353F7B"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2D46459D" w14:textId="3CD2E150" w:rsidR="003A3D51" w:rsidRDefault="0002775A">
            <w:pPr>
              <w:pStyle w:val="P68B1DB1-Normal25"/>
              <w:spacing w:after="0" w:line="276" w:lineRule="auto"/>
              <w:jc w:val="center"/>
              <w:rPr>
                <w:noProof/>
              </w:rPr>
            </w:pPr>
            <w:r>
              <w:rPr>
                <w:noProof/>
              </w:rPr>
              <w:t>433</w:t>
            </w:r>
          </w:p>
          <w:p w14:paraId="7BE966C8" w14:textId="77777777" w:rsidR="003A3D51" w:rsidRDefault="003A3D51">
            <w:pPr>
              <w:spacing w:after="0" w:line="276" w:lineRule="auto"/>
              <w:jc w:val="center"/>
              <w:rPr>
                <w:rFonts w:cstheme="minorHAnsi"/>
                <w:noProof/>
                <w:sz w:val="20"/>
              </w:rPr>
            </w:pPr>
          </w:p>
        </w:tc>
        <w:tc>
          <w:tcPr>
            <w:tcW w:w="993" w:type="dxa"/>
            <w:tcBorders>
              <w:top w:val="single" w:sz="4" w:space="0" w:color="auto"/>
              <w:left w:val="nil"/>
              <w:bottom w:val="single" w:sz="4" w:space="0" w:color="auto"/>
              <w:right w:val="single" w:sz="4" w:space="0" w:color="auto"/>
            </w:tcBorders>
            <w:shd w:val="clear" w:color="auto" w:fill="C6EFCE"/>
            <w:noWrap/>
          </w:tcPr>
          <w:p w14:paraId="44190330" w14:textId="60309614" w:rsidR="003A3D51" w:rsidRDefault="0002775A">
            <w:pPr>
              <w:pStyle w:val="P68B1DB1-Normal58"/>
              <w:spacing w:after="200" w:line="276" w:lineRule="auto"/>
              <w:jc w:val="center"/>
              <w:rPr>
                <w:noProof/>
              </w:rPr>
            </w:pPr>
            <w:r>
              <w:rPr>
                <w:noProof/>
              </w:rPr>
              <w:t>C7.2 R4</w:t>
            </w:r>
          </w:p>
          <w:p w14:paraId="0E9C1E15" w14:textId="77777777" w:rsidR="003A3D51" w:rsidRDefault="003A3D51">
            <w:pPr>
              <w:spacing w:after="200" w:line="276" w:lineRule="auto"/>
              <w:jc w:val="center"/>
              <w:rPr>
                <w:rFonts w:cstheme="minorHAnsi"/>
                <w:noProof/>
                <w:color w:val="000000" w:themeColor="text1"/>
                <w:sz w:val="20"/>
                <w:u w:val="single"/>
              </w:rPr>
            </w:pPr>
          </w:p>
        </w:tc>
        <w:tc>
          <w:tcPr>
            <w:tcW w:w="851" w:type="dxa"/>
            <w:tcBorders>
              <w:top w:val="single" w:sz="4" w:space="0" w:color="auto"/>
              <w:left w:val="nil"/>
              <w:bottom w:val="single" w:sz="4" w:space="0" w:color="auto"/>
              <w:right w:val="single" w:sz="4" w:space="0" w:color="auto"/>
            </w:tcBorders>
            <w:shd w:val="clear" w:color="auto" w:fill="C6EFCE"/>
            <w:noWrap/>
          </w:tcPr>
          <w:p w14:paraId="163AD6B6" w14:textId="2A41A8E6" w:rsidR="003A3D51" w:rsidRDefault="0002775A">
            <w:pPr>
              <w:pStyle w:val="P68B1DB1-Normal17"/>
              <w:spacing w:after="200" w:line="276" w:lineRule="auto"/>
              <w:jc w:val="center"/>
              <w:rPr>
                <w:noProof/>
              </w:rPr>
            </w:pPr>
            <w:r>
              <w:rPr>
                <w:noProof/>
              </w:rPr>
              <w:t>M</w:t>
            </w:r>
          </w:p>
        </w:tc>
        <w:tc>
          <w:tcPr>
            <w:tcW w:w="2551" w:type="dxa"/>
            <w:tcBorders>
              <w:top w:val="single" w:sz="4" w:space="0" w:color="auto"/>
              <w:left w:val="nil"/>
              <w:bottom w:val="single" w:sz="4" w:space="0" w:color="auto"/>
              <w:right w:val="single" w:sz="4" w:space="0" w:color="auto"/>
            </w:tcBorders>
            <w:shd w:val="clear" w:color="auto" w:fill="C6EFCE"/>
            <w:noWrap/>
          </w:tcPr>
          <w:p w14:paraId="6A4BB7BE" w14:textId="290A90CA" w:rsidR="003A3D51" w:rsidRDefault="0002775A">
            <w:pPr>
              <w:pStyle w:val="P68B1DB1-Normal25"/>
              <w:spacing w:after="200" w:line="276" w:lineRule="auto"/>
              <w:rPr>
                <w:noProof/>
              </w:rPr>
            </w:pPr>
            <w:r>
              <w:rPr>
                <w:noProof/>
              </w:rPr>
              <w:t xml:space="preserve">Ett utbildningsprogram för arbetstagare från tredjeländer </w:t>
            </w:r>
          </w:p>
        </w:tc>
        <w:tc>
          <w:tcPr>
            <w:tcW w:w="2052" w:type="dxa"/>
            <w:tcBorders>
              <w:top w:val="single" w:sz="4" w:space="0" w:color="auto"/>
              <w:left w:val="nil"/>
              <w:bottom w:val="single" w:sz="4" w:space="0" w:color="auto"/>
              <w:right w:val="single" w:sz="4" w:space="0" w:color="auto"/>
            </w:tcBorders>
            <w:shd w:val="clear" w:color="auto" w:fill="C6EFCE"/>
            <w:noWrap/>
          </w:tcPr>
          <w:p w14:paraId="75D4D3A1" w14:textId="50BC0028" w:rsidR="003A3D51" w:rsidRDefault="0002775A">
            <w:pPr>
              <w:pStyle w:val="P68B1DB1-Normal17"/>
              <w:spacing w:after="200" w:line="276" w:lineRule="auto"/>
              <w:rPr>
                <w:noProof/>
              </w:rPr>
            </w:pPr>
            <w:r>
              <w:rPr>
                <w:noProof/>
              </w:rPr>
              <w:t>Ett utbildningsprogram som omfattar miljövänliga byggämnen utformade</w:t>
            </w:r>
          </w:p>
        </w:tc>
        <w:tc>
          <w:tcPr>
            <w:tcW w:w="923" w:type="dxa"/>
            <w:tcBorders>
              <w:top w:val="single" w:sz="4" w:space="0" w:color="auto"/>
              <w:left w:val="nil"/>
              <w:bottom w:val="single" w:sz="4" w:space="0" w:color="auto"/>
              <w:right w:val="single" w:sz="4" w:space="0" w:color="auto"/>
            </w:tcBorders>
            <w:shd w:val="clear" w:color="auto" w:fill="C6EFCE"/>
            <w:noWrap/>
          </w:tcPr>
          <w:p w14:paraId="00C7BF01" w14:textId="36253E6F" w:rsidR="003A3D51" w:rsidRDefault="003A3D51">
            <w:pPr>
              <w:spacing w:after="200" w:line="276" w:lineRule="auto"/>
              <w:jc w:val="center"/>
              <w:rPr>
                <w:rFonts w:eastAsia="Calibri" w:cstheme="minorHAnsi"/>
                <w:noProof/>
                <w:sz w:val="20"/>
              </w:rPr>
            </w:pPr>
          </w:p>
        </w:tc>
        <w:tc>
          <w:tcPr>
            <w:tcW w:w="826" w:type="dxa"/>
            <w:tcBorders>
              <w:top w:val="single" w:sz="4" w:space="0" w:color="auto"/>
              <w:left w:val="nil"/>
              <w:bottom w:val="single" w:sz="4" w:space="0" w:color="auto"/>
              <w:right w:val="single" w:sz="4" w:space="0" w:color="auto"/>
            </w:tcBorders>
            <w:shd w:val="clear" w:color="auto" w:fill="C6EFCE"/>
            <w:noWrap/>
          </w:tcPr>
          <w:p w14:paraId="09F7320E" w14:textId="50139976" w:rsidR="003A3D51" w:rsidRDefault="003A3D51">
            <w:pPr>
              <w:spacing w:after="200" w:line="276" w:lineRule="auto"/>
              <w:jc w:val="center"/>
              <w:rPr>
                <w:rFonts w:eastAsia="Calibri" w:cstheme="minorHAnsi"/>
                <w:noProof/>
                <w:sz w:val="20"/>
              </w:rPr>
            </w:pPr>
          </w:p>
        </w:tc>
        <w:tc>
          <w:tcPr>
            <w:tcW w:w="802" w:type="dxa"/>
            <w:tcBorders>
              <w:top w:val="single" w:sz="4" w:space="0" w:color="auto"/>
              <w:left w:val="nil"/>
              <w:bottom w:val="single" w:sz="4" w:space="0" w:color="auto"/>
              <w:right w:val="single" w:sz="4" w:space="0" w:color="auto"/>
            </w:tcBorders>
            <w:shd w:val="clear" w:color="auto" w:fill="C6EFCE"/>
            <w:noWrap/>
          </w:tcPr>
          <w:p w14:paraId="6B47E866" w14:textId="46F2A41F" w:rsidR="003A3D51" w:rsidRDefault="003A3D51">
            <w:pPr>
              <w:spacing w:after="200" w:line="276" w:lineRule="auto"/>
              <w:jc w:val="center"/>
              <w:rPr>
                <w:rFonts w:eastAsia="Calibri" w:cstheme="minorHAnsi"/>
                <w:noProof/>
                <w:sz w:val="20"/>
                <w:highlight w:val="yellow"/>
              </w:rPr>
            </w:pPr>
          </w:p>
        </w:tc>
        <w:tc>
          <w:tcPr>
            <w:tcW w:w="567" w:type="dxa"/>
            <w:tcBorders>
              <w:top w:val="single" w:sz="4" w:space="0" w:color="auto"/>
              <w:left w:val="nil"/>
              <w:bottom w:val="single" w:sz="4" w:space="0" w:color="auto"/>
              <w:right w:val="single" w:sz="4" w:space="0" w:color="auto"/>
            </w:tcBorders>
            <w:shd w:val="clear" w:color="auto" w:fill="C6EFCE"/>
            <w:noWrap/>
          </w:tcPr>
          <w:p w14:paraId="40AB87EE" w14:textId="77777777" w:rsidR="003A3D51" w:rsidRDefault="0002775A">
            <w:pPr>
              <w:pStyle w:val="P68B1DB1-Normal17"/>
              <w:spacing w:after="200" w:line="276" w:lineRule="auto"/>
              <w:jc w:val="center"/>
              <w:rPr>
                <w:noProof/>
              </w:rPr>
            </w:pPr>
            <w:r>
              <w:rPr>
                <w:noProof/>
              </w:rPr>
              <w:t>KVARTAL 1</w:t>
            </w:r>
          </w:p>
        </w:tc>
        <w:tc>
          <w:tcPr>
            <w:tcW w:w="709" w:type="dxa"/>
            <w:tcBorders>
              <w:top w:val="single" w:sz="4" w:space="0" w:color="auto"/>
              <w:left w:val="nil"/>
              <w:bottom w:val="single" w:sz="4" w:space="0" w:color="auto"/>
              <w:right w:val="single" w:sz="4" w:space="0" w:color="auto"/>
            </w:tcBorders>
            <w:shd w:val="clear" w:color="auto" w:fill="C6EFCE"/>
            <w:noWrap/>
          </w:tcPr>
          <w:p w14:paraId="0F8A82DD" w14:textId="77777777" w:rsidR="003A3D51" w:rsidRDefault="0002775A">
            <w:pPr>
              <w:pStyle w:val="P68B1DB1-Normal17"/>
              <w:spacing w:after="200" w:line="276" w:lineRule="auto"/>
              <w:jc w:val="center"/>
              <w:rPr>
                <w:noProof/>
              </w:rPr>
            </w:pPr>
            <w:r>
              <w:rPr>
                <w:noProof/>
              </w:rPr>
              <w:t>2025</w:t>
            </w:r>
          </w:p>
        </w:tc>
        <w:tc>
          <w:tcPr>
            <w:tcW w:w="3902" w:type="dxa"/>
            <w:tcBorders>
              <w:top w:val="single" w:sz="4" w:space="0" w:color="auto"/>
              <w:left w:val="nil"/>
              <w:bottom w:val="single" w:sz="4" w:space="0" w:color="auto"/>
              <w:right w:val="single" w:sz="4" w:space="0" w:color="auto"/>
            </w:tcBorders>
            <w:shd w:val="clear" w:color="auto" w:fill="C6EFCE"/>
            <w:noWrap/>
          </w:tcPr>
          <w:p w14:paraId="4FCB241D" w14:textId="18059C02" w:rsidR="003A3D51" w:rsidRDefault="0002775A">
            <w:pPr>
              <w:pStyle w:val="P68B1DB1-Normal13"/>
              <w:rPr>
                <w:noProof/>
              </w:rPr>
            </w:pPr>
            <w:r>
              <w:rPr>
                <w:noProof/>
              </w:rPr>
              <w:t xml:space="preserve">Det ska utformas ett vuxenutbildningsprogram som omfattar viktiga gröna byggämnen om användning av nya material, byggnadstekniker och installering av tekniska system som behövs för att bidra till hållbara metoder inom byggindustrin. </w:t>
            </w:r>
          </w:p>
        </w:tc>
      </w:tr>
      <w:tr w:rsidR="003A3D51" w14:paraId="3908A542"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78D12E71" w14:textId="7CADF990" w:rsidR="003A3D51" w:rsidRDefault="0002775A">
            <w:pPr>
              <w:pStyle w:val="P68B1DB1-Normal25"/>
              <w:spacing w:after="0" w:line="276" w:lineRule="auto"/>
              <w:jc w:val="center"/>
              <w:rPr>
                <w:noProof/>
              </w:rPr>
            </w:pPr>
            <w:r>
              <w:rPr>
                <w:noProof/>
              </w:rPr>
              <w:t>434</w:t>
            </w:r>
          </w:p>
          <w:p w14:paraId="0BEFA050" w14:textId="77777777" w:rsidR="003A3D51" w:rsidRDefault="003A3D51">
            <w:pPr>
              <w:spacing w:after="0" w:line="276" w:lineRule="auto"/>
              <w:jc w:val="center"/>
              <w:rPr>
                <w:rFonts w:cstheme="minorHAnsi"/>
                <w:noProof/>
                <w:sz w:val="20"/>
                <w:highlight w:val="yellow"/>
              </w:rPr>
            </w:pPr>
          </w:p>
        </w:tc>
        <w:tc>
          <w:tcPr>
            <w:tcW w:w="993" w:type="dxa"/>
            <w:tcBorders>
              <w:top w:val="single" w:sz="4" w:space="0" w:color="auto"/>
              <w:left w:val="nil"/>
              <w:bottom w:val="single" w:sz="4" w:space="0" w:color="auto"/>
              <w:right w:val="single" w:sz="4" w:space="0" w:color="auto"/>
            </w:tcBorders>
            <w:shd w:val="clear" w:color="auto" w:fill="C6EFCE"/>
            <w:noWrap/>
          </w:tcPr>
          <w:p w14:paraId="02E5C8E6" w14:textId="7B902748" w:rsidR="003A3D51" w:rsidRDefault="0002775A">
            <w:pPr>
              <w:pStyle w:val="P68B1DB1-Normal58"/>
              <w:spacing w:after="200" w:line="276" w:lineRule="auto"/>
              <w:jc w:val="center"/>
              <w:rPr>
                <w:noProof/>
                <w:highlight w:val="yellow"/>
              </w:rPr>
            </w:pPr>
            <w:r>
              <w:rPr>
                <w:noProof/>
              </w:rPr>
              <w:t>C7.2 R4</w:t>
            </w:r>
          </w:p>
          <w:p w14:paraId="4458DCFF" w14:textId="77777777" w:rsidR="003A3D51" w:rsidRDefault="003A3D51">
            <w:pPr>
              <w:spacing w:after="200" w:line="276" w:lineRule="auto"/>
              <w:jc w:val="center"/>
              <w:rPr>
                <w:rFonts w:cstheme="minorHAnsi"/>
                <w:noProof/>
                <w:color w:val="000000" w:themeColor="text1"/>
                <w:sz w:val="20"/>
                <w:highlight w:val="yellow"/>
                <w:u w:val="single"/>
              </w:rPr>
            </w:pPr>
          </w:p>
        </w:tc>
        <w:tc>
          <w:tcPr>
            <w:tcW w:w="851" w:type="dxa"/>
            <w:tcBorders>
              <w:top w:val="single" w:sz="4" w:space="0" w:color="auto"/>
              <w:left w:val="nil"/>
              <w:bottom w:val="single" w:sz="4" w:space="0" w:color="auto"/>
              <w:right w:val="single" w:sz="4" w:space="0" w:color="auto"/>
            </w:tcBorders>
            <w:shd w:val="clear" w:color="auto" w:fill="C6EFCE"/>
            <w:noWrap/>
          </w:tcPr>
          <w:p w14:paraId="2022FA62" w14:textId="0AE228AA"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78EC409D" w14:textId="324388F9" w:rsidR="003A3D51" w:rsidRDefault="0002775A">
            <w:pPr>
              <w:pStyle w:val="P68B1DB1-Normal25"/>
              <w:spacing w:after="200" w:line="276" w:lineRule="auto"/>
              <w:rPr>
                <w:noProof/>
              </w:rPr>
            </w:pPr>
            <w:r>
              <w:rPr>
                <w:noProof/>
              </w:rPr>
              <w:t xml:space="preserve">Presentera vuxenutbildningsprogrammet för arbetsgivare och berörda parter </w:t>
            </w:r>
          </w:p>
        </w:tc>
        <w:tc>
          <w:tcPr>
            <w:tcW w:w="2052" w:type="dxa"/>
            <w:tcBorders>
              <w:top w:val="single" w:sz="4" w:space="0" w:color="auto"/>
              <w:left w:val="nil"/>
              <w:bottom w:val="single" w:sz="4" w:space="0" w:color="auto"/>
              <w:right w:val="single" w:sz="4" w:space="0" w:color="auto"/>
            </w:tcBorders>
            <w:shd w:val="clear" w:color="auto" w:fill="C6EFCE"/>
            <w:noWrap/>
          </w:tcPr>
          <w:p w14:paraId="1A77BE06" w14:textId="01118BB9" w:rsidR="003A3D51" w:rsidRDefault="003A3D51">
            <w:pPr>
              <w:spacing w:after="200" w:line="276" w:lineRule="auto"/>
              <w:rPr>
                <w:rFonts w:eastAsia="Calibr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7EC1B0BC" w14:textId="7BEE678A" w:rsidR="003A3D51" w:rsidRDefault="0002775A">
            <w:pPr>
              <w:pStyle w:val="P68B1DB1-Normal17"/>
              <w:spacing w:after="200" w:line="276" w:lineRule="auto"/>
              <w:jc w:val="center"/>
              <w:rPr>
                <w:noProof/>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67A62437" w14:textId="3BD7AC95"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6BC83F00" w14:textId="205CCC58" w:rsidR="003A3D51" w:rsidRDefault="0002775A">
            <w:pPr>
              <w:pStyle w:val="P68B1DB1-Normal17"/>
              <w:spacing w:after="200" w:line="276" w:lineRule="auto"/>
              <w:jc w:val="center"/>
              <w:rPr>
                <w:noProof/>
                <w:highlight w:val="yellow"/>
              </w:rPr>
            </w:pPr>
            <w:r>
              <w:rPr>
                <w:noProof/>
              </w:rPr>
              <w:t>100</w:t>
            </w:r>
          </w:p>
        </w:tc>
        <w:tc>
          <w:tcPr>
            <w:tcW w:w="567" w:type="dxa"/>
            <w:tcBorders>
              <w:top w:val="single" w:sz="4" w:space="0" w:color="auto"/>
              <w:left w:val="nil"/>
              <w:bottom w:val="single" w:sz="4" w:space="0" w:color="auto"/>
              <w:right w:val="single" w:sz="4" w:space="0" w:color="auto"/>
            </w:tcBorders>
            <w:shd w:val="clear" w:color="auto" w:fill="C6EFCE"/>
            <w:noWrap/>
          </w:tcPr>
          <w:p w14:paraId="7C25C7DA" w14:textId="48EA7EFA" w:rsidR="003A3D51" w:rsidRDefault="0002775A">
            <w:pPr>
              <w:pStyle w:val="P68B1DB1-Normal17"/>
              <w:spacing w:after="200" w:line="276" w:lineRule="auto"/>
              <w:jc w:val="center"/>
              <w:rPr>
                <w:noProof/>
              </w:rPr>
            </w:pPr>
            <w:r>
              <w:rPr>
                <w:noProof/>
              </w:rPr>
              <w:t>KVARTAL 3</w:t>
            </w:r>
          </w:p>
        </w:tc>
        <w:tc>
          <w:tcPr>
            <w:tcW w:w="709" w:type="dxa"/>
            <w:tcBorders>
              <w:top w:val="single" w:sz="4" w:space="0" w:color="auto"/>
              <w:left w:val="nil"/>
              <w:bottom w:val="single" w:sz="4" w:space="0" w:color="auto"/>
              <w:right w:val="single" w:sz="4" w:space="0" w:color="auto"/>
            </w:tcBorders>
            <w:shd w:val="clear" w:color="auto" w:fill="C6EFCE"/>
            <w:noWrap/>
          </w:tcPr>
          <w:p w14:paraId="5070E2EA" w14:textId="77777777" w:rsidR="003A3D51" w:rsidRDefault="0002775A">
            <w:pPr>
              <w:pStyle w:val="P68B1DB1-Normal17"/>
              <w:spacing w:after="200" w:line="276" w:lineRule="auto"/>
              <w:jc w:val="center"/>
              <w:rPr>
                <w:noProof/>
              </w:rPr>
            </w:pPr>
            <w:r>
              <w:rPr>
                <w:noProof/>
              </w:rPr>
              <w:t>2025</w:t>
            </w:r>
          </w:p>
        </w:tc>
        <w:tc>
          <w:tcPr>
            <w:tcW w:w="3902" w:type="dxa"/>
            <w:tcBorders>
              <w:top w:val="single" w:sz="4" w:space="0" w:color="auto"/>
              <w:left w:val="nil"/>
              <w:bottom w:val="single" w:sz="4" w:space="0" w:color="auto"/>
              <w:right w:val="single" w:sz="4" w:space="0" w:color="auto"/>
            </w:tcBorders>
            <w:shd w:val="clear" w:color="auto" w:fill="C6EFCE"/>
            <w:noWrap/>
          </w:tcPr>
          <w:p w14:paraId="63442620" w14:textId="72E82245" w:rsidR="003A3D51" w:rsidRDefault="0002775A">
            <w:pPr>
              <w:pStyle w:val="P68B1DB1-Normal13"/>
              <w:rPr>
                <w:noProof/>
              </w:rPr>
            </w:pPr>
            <w:r>
              <w:rPr>
                <w:noProof/>
              </w:rPr>
              <w:t>Ministeriet för fysisk planering, byggnation och statliga tillgångar ska anordna en interaktiv workshop för att presentera programmet för byggföretag och andra intressenter och genomföras med minst 100 deltagare.</w:t>
            </w:r>
          </w:p>
          <w:p w14:paraId="15BE1A6E" w14:textId="63F76D18" w:rsidR="003A3D51" w:rsidRDefault="003A3D51">
            <w:pPr>
              <w:rPr>
                <w:noProof/>
                <w:sz w:val="20"/>
              </w:rPr>
            </w:pPr>
          </w:p>
        </w:tc>
      </w:tr>
      <w:tr w:rsidR="003A3D51" w14:paraId="6D0B4CCE"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1BB8B0C4" w14:textId="0F17536C" w:rsidR="003A3D51" w:rsidRDefault="0002775A">
            <w:pPr>
              <w:pStyle w:val="P68B1DB1-Normal25"/>
              <w:spacing w:after="0" w:line="276" w:lineRule="auto"/>
              <w:jc w:val="center"/>
              <w:rPr>
                <w:noProof/>
                <w:highlight w:val="yellow"/>
              </w:rPr>
            </w:pPr>
            <w:r>
              <w:rPr>
                <w:noProof/>
              </w:rPr>
              <w:t>435</w:t>
            </w:r>
          </w:p>
        </w:tc>
        <w:tc>
          <w:tcPr>
            <w:tcW w:w="993" w:type="dxa"/>
            <w:tcBorders>
              <w:top w:val="single" w:sz="4" w:space="0" w:color="auto"/>
              <w:left w:val="nil"/>
              <w:bottom w:val="single" w:sz="4" w:space="0" w:color="auto"/>
              <w:right w:val="single" w:sz="4" w:space="0" w:color="auto"/>
            </w:tcBorders>
            <w:shd w:val="clear" w:color="auto" w:fill="C6EFCE"/>
            <w:noWrap/>
          </w:tcPr>
          <w:p w14:paraId="1762163D" w14:textId="36417DE5" w:rsidR="003A3D51" w:rsidRDefault="0002775A">
            <w:pPr>
              <w:pStyle w:val="P68B1DB1-Normal58"/>
              <w:spacing w:after="200" w:line="276" w:lineRule="auto"/>
              <w:jc w:val="center"/>
              <w:rPr>
                <w:noProof/>
                <w:highlight w:val="yellow"/>
              </w:rPr>
            </w:pPr>
            <w:r>
              <w:rPr>
                <w:noProof/>
              </w:rPr>
              <w:t>C7.2 I1</w:t>
            </w:r>
          </w:p>
        </w:tc>
        <w:tc>
          <w:tcPr>
            <w:tcW w:w="851" w:type="dxa"/>
            <w:tcBorders>
              <w:top w:val="single" w:sz="4" w:space="0" w:color="auto"/>
              <w:left w:val="nil"/>
              <w:bottom w:val="single" w:sz="4" w:space="0" w:color="auto"/>
              <w:right w:val="single" w:sz="4" w:space="0" w:color="auto"/>
            </w:tcBorders>
            <w:shd w:val="clear" w:color="auto" w:fill="C6EFCE"/>
            <w:noWrap/>
          </w:tcPr>
          <w:p w14:paraId="28FBDD21" w14:textId="77777777"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615F12F4" w14:textId="77777777" w:rsidR="003A3D51" w:rsidRDefault="0002775A">
            <w:pPr>
              <w:pStyle w:val="P68B1DB1-Normal16"/>
              <w:spacing w:after="200" w:line="276" w:lineRule="auto"/>
              <w:rPr>
                <w:noProof/>
                <w:color w:val="000000" w:themeColor="text1"/>
                <w:highlight w:val="yellow"/>
              </w:rPr>
            </w:pPr>
            <w:r>
              <w:rPr>
                <w:noProof/>
              </w:rPr>
              <w:t>Energirenovering av flerbostadshus</w:t>
            </w:r>
          </w:p>
        </w:tc>
        <w:tc>
          <w:tcPr>
            <w:tcW w:w="2052" w:type="dxa"/>
            <w:tcBorders>
              <w:top w:val="single" w:sz="4" w:space="0" w:color="auto"/>
              <w:left w:val="nil"/>
              <w:bottom w:val="single" w:sz="4" w:space="0" w:color="auto"/>
              <w:right w:val="single" w:sz="4" w:space="0" w:color="auto"/>
            </w:tcBorders>
            <w:shd w:val="clear" w:color="auto" w:fill="C6EFCE"/>
            <w:noWrap/>
          </w:tcPr>
          <w:p w14:paraId="1766FDEC" w14:textId="77777777" w:rsidR="003A3D51" w:rsidRDefault="003A3D51">
            <w:pPr>
              <w:spacing w:after="200" w:line="276" w:lineRule="auto"/>
              <w:rPr>
                <w:rFonts w:eastAsia="Calibri" w:cstheme="minorHAns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6528140F" w14:textId="77777777" w:rsidR="003A3D51" w:rsidRDefault="0002775A">
            <w:pPr>
              <w:pStyle w:val="P68B1DB1-Normal16"/>
              <w:spacing w:after="200" w:line="276" w:lineRule="auto"/>
              <w:jc w:val="center"/>
              <w:rPr>
                <w:noProof/>
                <w:color w:val="000000" w:themeColor="text1"/>
              </w:rPr>
            </w:pPr>
            <w:r>
              <w:rPr>
                <w:noProof/>
              </w:rPr>
              <w:t>Antal (m²)</w:t>
            </w:r>
          </w:p>
        </w:tc>
        <w:tc>
          <w:tcPr>
            <w:tcW w:w="826" w:type="dxa"/>
            <w:tcBorders>
              <w:top w:val="single" w:sz="4" w:space="0" w:color="auto"/>
              <w:left w:val="nil"/>
              <w:bottom w:val="single" w:sz="4" w:space="0" w:color="auto"/>
              <w:right w:val="single" w:sz="4" w:space="0" w:color="auto"/>
            </w:tcBorders>
            <w:shd w:val="clear" w:color="auto" w:fill="C6EFCE"/>
            <w:noWrap/>
          </w:tcPr>
          <w:p w14:paraId="4D966EAC" w14:textId="77777777"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1F20938E" w14:textId="6856DD7F" w:rsidR="003A3D51" w:rsidRDefault="0002775A">
            <w:pPr>
              <w:pStyle w:val="P68B1DB1-Normal17"/>
              <w:spacing w:after="200" w:line="276" w:lineRule="auto"/>
              <w:jc w:val="center"/>
              <w:rPr>
                <w:noProof/>
              </w:rPr>
            </w:pPr>
            <w:r>
              <w:rPr>
                <w:noProof/>
              </w:rPr>
              <w:t>361 431</w:t>
            </w:r>
          </w:p>
        </w:tc>
        <w:tc>
          <w:tcPr>
            <w:tcW w:w="567" w:type="dxa"/>
            <w:tcBorders>
              <w:top w:val="single" w:sz="4" w:space="0" w:color="auto"/>
              <w:left w:val="nil"/>
              <w:bottom w:val="single" w:sz="4" w:space="0" w:color="auto"/>
              <w:right w:val="single" w:sz="4" w:space="0" w:color="auto"/>
            </w:tcBorders>
            <w:shd w:val="clear" w:color="auto" w:fill="C6EFCE"/>
            <w:noWrap/>
          </w:tcPr>
          <w:p w14:paraId="3FC9649C" w14:textId="77777777" w:rsidR="003A3D51" w:rsidRDefault="0002775A">
            <w:pPr>
              <w:pStyle w:val="P68B1DB1-Normal17"/>
              <w:spacing w:after="200" w:line="276" w:lineRule="auto"/>
              <w:jc w:val="center"/>
              <w:rPr>
                <w:noProof/>
                <w:highlight w:val="yellow"/>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2C258D17" w14:textId="77777777" w:rsidR="003A3D51" w:rsidRDefault="0002775A">
            <w:pPr>
              <w:pStyle w:val="P68B1DB1-Normal17"/>
              <w:spacing w:after="200" w:line="276" w:lineRule="auto"/>
              <w:jc w:val="center"/>
              <w:rPr>
                <w:noProof/>
                <w:highlight w:val="yellow"/>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37A26BB8" w14:textId="17D8B7A5" w:rsidR="003A3D51" w:rsidRDefault="0002775A">
            <w:pPr>
              <w:pStyle w:val="P68B1DB1-Normal16"/>
              <w:spacing w:after="200" w:line="276" w:lineRule="auto"/>
              <w:rPr>
                <w:noProof/>
                <w:color w:val="000000" w:themeColor="text1"/>
                <w:highlight w:val="yellow"/>
              </w:rPr>
            </w:pPr>
            <w:r>
              <w:rPr>
                <w:noProof/>
              </w:rPr>
              <w:t>Energirenovering av minst 361 431 m² flerbostadshus i linje med samfinansieringsavtalen, för att uppnå ett minimikrav på att minska energianvändningen för uppvärmning med minst 50 % jämfört med den årliga energianvändningen för uppvärmning före renoveringen för varje byggnad, vilket ska leda till primärenergibesparingar på 30 % jämfört med förrenoveringen och respektera principen om att inte orsaka betydande skada i enlighet med artikel 17 i förordning (EU) 2020/852 om inrättande av en ram för att underlätta hållbara investeringar.</w:t>
            </w:r>
          </w:p>
        </w:tc>
      </w:tr>
      <w:tr w:rsidR="003A3D51" w14:paraId="3B15CD17"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658E684E" w14:textId="31BE34FD" w:rsidR="003A3D51" w:rsidRDefault="0002775A">
            <w:pPr>
              <w:pStyle w:val="P68B1DB1-Normal25"/>
              <w:spacing w:after="0" w:line="276" w:lineRule="auto"/>
              <w:jc w:val="center"/>
              <w:rPr>
                <w:noProof/>
                <w:highlight w:val="yellow"/>
              </w:rPr>
            </w:pPr>
            <w:r>
              <w:rPr>
                <w:noProof/>
              </w:rPr>
              <w:t>436</w:t>
            </w:r>
          </w:p>
        </w:tc>
        <w:tc>
          <w:tcPr>
            <w:tcW w:w="993" w:type="dxa"/>
            <w:tcBorders>
              <w:top w:val="single" w:sz="4" w:space="0" w:color="auto"/>
              <w:left w:val="nil"/>
              <w:bottom w:val="single" w:sz="4" w:space="0" w:color="auto"/>
              <w:right w:val="single" w:sz="4" w:space="0" w:color="auto"/>
            </w:tcBorders>
            <w:shd w:val="clear" w:color="auto" w:fill="C6EFCE"/>
            <w:noWrap/>
          </w:tcPr>
          <w:p w14:paraId="234460B7" w14:textId="652E8310" w:rsidR="003A3D51" w:rsidRDefault="0002775A">
            <w:pPr>
              <w:pStyle w:val="P68B1DB1-Normal58"/>
              <w:spacing w:after="200" w:line="276" w:lineRule="auto"/>
              <w:jc w:val="center"/>
              <w:rPr>
                <w:noProof/>
              </w:rPr>
            </w:pPr>
            <w:r>
              <w:rPr>
                <w:noProof/>
              </w:rPr>
              <w:t>C7.2 I1</w:t>
            </w:r>
          </w:p>
        </w:tc>
        <w:tc>
          <w:tcPr>
            <w:tcW w:w="851" w:type="dxa"/>
            <w:tcBorders>
              <w:top w:val="single" w:sz="4" w:space="0" w:color="auto"/>
              <w:left w:val="nil"/>
              <w:bottom w:val="single" w:sz="4" w:space="0" w:color="auto"/>
              <w:right w:val="single" w:sz="4" w:space="0" w:color="auto"/>
            </w:tcBorders>
            <w:shd w:val="clear" w:color="auto" w:fill="C6EFCE"/>
            <w:noWrap/>
          </w:tcPr>
          <w:p w14:paraId="113F00EF" w14:textId="77777777"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391389FF" w14:textId="77777777" w:rsidR="003A3D51" w:rsidRDefault="0002775A">
            <w:pPr>
              <w:pStyle w:val="P68B1DB1-Normal16"/>
              <w:spacing w:after="200" w:line="276" w:lineRule="auto"/>
              <w:rPr>
                <w:noProof/>
                <w:color w:val="000000" w:themeColor="text1"/>
                <w:highlight w:val="yellow"/>
              </w:rPr>
            </w:pPr>
            <w:r>
              <w:rPr>
                <w:noProof/>
              </w:rPr>
              <w:t>Energirenovering av offentliga byggnader</w:t>
            </w:r>
          </w:p>
        </w:tc>
        <w:tc>
          <w:tcPr>
            <w:tcW w:w="2052" w:type="dxa"/>
            <w:tcBorders>
              <w:top w:val="single" w:sz="4" w:space="0" w:color="auto"/>
              <w:left w:val="nil"/>
              <w:bottom w:val="single" w:sz="4" w:space="0" w:color="auto"/>
              <w:right w:val="single" w:sz="4" w:space="0" w:color="auto"/>
            </w:tcBorders>
            <w:shd w:val="clear" w:color="auto" w:fill="C6EFCE"/>
            <w:noWrap/>
          </w:tcPr>
          <w:p w14:paraId="3DA1C5D1" w14:textId="77777777" w:rsidR="003A3D51" w:rsidRDefault="003A3D51">
            <w:pPr>
              <w:spacing w:after="200" w:line="276" w:lineRule="auto"/>
              <w:rPr>
                <w:rFonts w:eastAsia="Calibri" w:cstheme="minorHAns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022EB606" w14:textId="77777777" w:rsidR="003A3D51" w:rsidRDefault="0002775A">
            <w:pPr>
              <w:pStyle w:val="P68B1DB1-Normal16"/>
              <w:spacing w:after="200" w:line="276" w:lineRule="auto"/>
              <w:jc w:val="center"/>
              <w:rPr>
                <w:noProof/>
                <w:color w:val="000000" w:themeColor="text1"/>
              </w:rPr>
            </w:pPr>
            <w:r>
              <w:rPr>
                <w:noProof/>
              </w:rPr>
              <w:t>Antal (m²)</w:t>
            </w:r>
          </w:p>
        </w:tc>
        <w:tc>
          <w:tcPr>
            <w:tcW w:w="826" w:type="dxa"/>
            <w:tcBorders>
              <w:top w:val="single" w:sz="4" w:space="0" w:color="auto"/>
              <w:left w:val="nil"/>
              <w:bottom w:val="single" w:sz="4" w:space="0" w:color="auto"/>
              <w:right w:val="single" w:sz="4" w:space="0" w:color="auto"/>
            </w:tcBorders>
            <w:shd w:val="clear" w:color="auto" w:fill="C6EFCE"/>
            <w:noWrap/>
          </w:tcPr>
          <w:p w14:paraId="5509C883" w14:textId="77777777"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735E3C9B" w14:textId="62991C7C" w:rsidR="003A3D51" w:rsidRDefault="0002775A">
            <w:pPr>
              <w:pStyle w:val="P68B1DB1-Normal17"/>
              <w:spacing w:after="200" w:line="276" w:lineRule="auto"/>
              <w:jc w:val="center"/>
              <w:rPr>
                <w:noProof/>
              </w:rPr>
            </w:pPr>
            <w:r>
              <w:rPr>
                <w:noProof/>
              </w:rPr>
              <w:t>365 517</w:t>
            </w:r>
          </w:p>
        </w:tc>
        <w:tc>
          <w:tcPr>
            <w:tcW w:w="567" w:type="dxa"/>
            <w:tcBorders>
              <w:top w:val="single" w:sz="4" w:space="0" w:color="auto"/>
              <w:left w:val="nil"/>
              <w:bottom w:val="single" w:sz="4" w:space="0" w:color="auto"/>
              <w:right w:val="single" w:sz="4" w:space="0" w:color="auto"/>
            </w:tcBorders>
            <w:shd w:val="clear" w:color="auto" w:fill="C6EFCE"/>
            <w:noWrap/>
          </w:tcPr>
          <w:p w14:paraId="0147F030" w14:textId="77777777" w:rsidR="003A3D51" w:rsidRDefault="0002775A">
            <w:pPr>
              <w:pStyle w:val="P68B1DB1-Normal17"/>
              <w:spacing w:after="200" w:line="276" w:lineRule="auto"/>
              <w:jc w:val="center"/>
              <w:rPr>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3FD607E0" w14:textId="77777777" w:rsidR="003A3D51" w:rsidRDefault="0002775A">
            <w:pPr>
              <w:pStyle w:val="P68B1DB1-Normal17"/>
              <w:spacing w:after="200" w:line="276" w:lineRule="auto"/>
              <w:jc w:val="center"/>
              <w:rPr>
                <w:noProof/>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10F8FD30" w14:textId="75F82FC4" w:rsidR="003A3D51" w:rsidRDefault="0002775A">
            <w:pPr>
              <w:pStyle w:val="P68B1DB1-Normal16"/>
              <w:spacing w:after="200" w:line="276" w:lineRule="auto"/>
              <w:rPr>
                <w:noProof/>
                <w:color w:val="000000" w:themeColor="text1"/>
                <w:highlight w:val="yellow"/>
              </w:rPr>
            </w:pPr>
            <w:r>
              <w:rPr>
                <w:noProof/>
              </w:rPr>
              <w:t>Energirenovering av minst 365 517 m² av offentliga byggnader i linje med samfinansieringsavtalen, för att uppnå ett minimikrav på att minska energianvändningen för uppvärmning med minst 50 % jämfört med den årliga energianvändningen för uppvärmning före renoveringen för varje byggnad, vilket ska ge en ökning på 30 % i primärenergibesparingar jämfört med förrenoveringen och respektera principen om att inte orsaka betydande skada enligt artikel 17 i förordning (EU) 2020/852 om inrättande av en ram för att underlätta hållbara investeringar.</w:t>
            </w:r>
          </w:p>
        </w:tc>
      </w:tr>
      <w:tr w:rsidR="003A3D51" w14:paraId="68735B77"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4E69BD1A" w14:textId="0668B88C" w:rsidR="003A3D51" w:rsidRDefault="0002775A">
            <w:pPr>
              <w:pStyle w:val="P68B1DB1-Normal25"/>
              <w:spacing w:after="0" w:line="276" w:lineRule="auto"/>
              <w:jc w:val="center"/>
              <w:rPr>
                <w:noProof/>
              </w:rPr>
            </w:pPr>
            <w:r>
              <w:rPr>
                <w:noProof/>
              </w:rPr>
              <w:t>437</w:t>
            </w:r>
          </w:p>
        </w:tc>
        <w:tc>
          <w:tcPr>
            <w:tcW w:w="993" w:type="dxa"/>
            <w:tcBorders>
              <w:top w:val="single" w:sz="4" w:space="0" w:color="auto"/>
              <w:left w:val="nil"/>
              <w:bottom w:val="single" w:sz="4" w:space="0" w:color="auto"/>
              <w:right w:val="single" w:sz="4" w:space="0" w:color="auto"/>
            </w:tcBorders>
            <w:shd w:val="clear" w:color="auto" w:fill="C6EFCE"/>
            <w:noWrap/>
          </w:tcPr>
          <w:p w14:paraId="49886ECE" w14:textId="7ED9DF69" w:rsidR="003A3D51" w:rsidRDefault="0002775A">
            <w:pPr>
              <w:pStyle w:val="P68B1DB1-Normal58"/>
              <w:spacing w:after="200" w:line="276" w:lineRule="auto"/>
              <w:jc w:val="center"/>
              <w:rPr>
                <w:noProof/>
              </w:rPr>
            </w:pPr>
            <w:r>
              <w:rPr>
                <w:noProof/>
              </w:rPr>
              <w:t>C7.2 I1</w:t>
            </w:r>
          </w:p>
        </w:tc>
        <w:tc>
          <w:tcPr>
            <w:tcW w:w="851" w:type="dxa"/>
            <w:tcBorders>
              <w:top w:val="single" w:sz="4" w:space="0" w:color="auto"/>
              <w:left w:val="nil"/>
              <w:bottom w:val="single" w:sz="4" w:space="0" w:color="auto"/>
              <w:right w:val="single" w:sz="4" w:space="0" w:color="auto"/>
            </w:tcBorders>
            <w:shd w:val="clear" w:color="auto" w:fill="C6EFCE"/>
            <w:noWrap/>
          </w:tcPr>
          <w:p w14:paraId="120F9EF1" w14:textId="77777777"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7C514FAD" w14:textId="77777777" w:rsidR="003A3D51" w:rsidRDefault="0002775A">
            <w:pPr>
              <w:pStyle w:val="P68B1DB1-Normal16"/>
              <w:spacing w:after="200" w:line="276" w:lineRule="auto"/>
              <w:rPr>
                <w:noProof/>
                <w:color w:val="000000" w:themeColor="text1"/>
                <w:highlight w:val="yellow"/>
              </w:rPr>
            </w:pPr>
            <w:r>
              <w:rPr>
                <w:noProof/>
              </w:rPr>
              <w:t>Installation av system för förnybar energi i offentliga byggnader</w:t>
            </w:r>
          </w:p>
        </w:tc>
        <w:tc>
          <w:tcPr>
            <w:tcW w:w="2052" w:type="dxa"/>
            <w:tcBorders>
              <w:top w:val="single" w:sz="4" w:space="0" w:color="auto"/>
              <w:left w:val="nil"/>
              <w:bottom w:val="single" w:sz="4" w:space="0" w:color="auto"/>
              <w:right w:val="single" w:sz="4" w:space="0" w:color="auto"/>
            </w:tcBorders>
            <w:shd w:val="clear" w:color="auto" w:fill="C6EFCE"/>
            <w:noWrap/>
          </w:tcPr>
          <w:p w14:paraId="566A8EAA" w14:textId="77777777" w:rsidR="003A3D51" w:rsidRDefault="003A3D51">
            <w:pPr>
              <w:spacing w:after="200" w:line="276" w:lineRule="auto"/>
              <w:rPr>
                <w:rFonts w:eastAsia="Calibri" w:cstheme="minorHAns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50F00279" w14:textId="77777777" w:rsidR="003A3D51" w:rsidRDefault="0002775A">
            <w:pPr>
              <w:pStyle w:val="P68B1DB1-Normal16"/>
              <w:spacing w:after="200" w:line="276" w:lineRule="auto"/>
              <w:jc w:val="center"/>
              <w:rPr>
                <w:noProof/>
                <w:color w:val="000000" w:themeColor="text1"/>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229BB952" w14:textId="77777777"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4B213EB4" w14:textId="77777777" w:rsidR="003A3D51" w:rsidRDefault="0002775A">
            <w:pPr>
              <w:pStyle w:val="P68B1DB1-Normal17"/>
              <w:spacing w:after="200" w:line="276" w:lineRule="auto"/>
              <w:jc w:val="center"/>
              <w:rPr>
                <w:noProof/>
              </w:rPr>
            </w:pPr>
            <w:r>
              <w:rPr>
                <w:noProof/>
              </w:rPr>
              <w:t>60</w:t>
            </w:r>
          </w:p>
        </w:tc>
        <w:tc>
          <w:tcPr>
            <w:tcW w:w="567" w:type="dxa"/>
            <w:tcBorders>
              <w:top w:val="single" w:sz="4" w:space="0" w:color="auto"/>
              <w:left w:val="nil"/>
              <w:bottom w:val="single" w:sz="4" w:space="0" w:color="auto"/>
              <w:right w:val="single" w:sz="4" w:space="0" w:color="auto"/>
            </w:tcBorders>
            <w:shd w:val="clear" w:color="auto" w:fill="C6EFCE"/>
            <w:noWrap/>
          </w:tcPr>
          <w:p w14:paraId="556F56E8" w14:textId="77777777" w:rsidR="003A3D51" w:rsidRDefault="0002775A">
            <w:pPr>
              <w:pStyle w:val="P68B1DB1-Normal17"/>
              <w:spacing w:after="200" w:line="276" w:lineRule="auto"/>
              <w:jc w:val="center"/>
              <w:rPr>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2B65E21E" w14:textId="77777777" w:rsidR="003A3D51" w:rsidRDefault="0002775A">
            <w:pPr>
              <w:pStyle w:val="P68B1DB1-Normal17"/>
              <w:spacing w:after="200" w:line="276" w:lineRule="auto"/>
              <w:jc w:val="center"/>
              <w:rPr>
                <w:noProof/>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7EA05896" w14:textId="21D1DF28" w:rsidR="003A3D51" w:rsidRDefault="0002775A">
            <w:pPr>
              <w:pStyle w:val="P68B1DB1-Normal22"/>
              <w:spacing w:after="200" w:line="276" w:lineRule="auto"/>
              <w:rPr>
                <w:noProof/>
                <w:highlight w:val="yellow"/>
              </w:rPr>
            </w:pPr>
            <w:r>
              <w:rPr>
                <w:noProof/>
              </w:rPr>
              <w:t>Som en del av renoveringen av offentliga byggnader inom ramen för denna investering ska minst 60 system för förnybar energi installeras i offentliga byggnader.</w:t>
            </w:r>
          </w:p>
        </w:tc>
      </w:tr>
      <w:tr w:rsidR="003A3D51" w14:paraId="21848626" w14:textId="77777777">
        <w:trPr>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2C88D081" w14:textId="4B143872" w:rsidR="003A3D51" w:rsidRDefault="0002775A">
            <w:pPr>
              <w:pStyle w:val="P68B1DB1-Normal25"/>
              <w:spacing w:after="0" w:line="276" w:lineRule="auto"/>
              <w:jc w:val="center"/>
              <w:rPr>
                <w:noProof/>
                <w:highlight w:val="yellow"/>
              </w:rPr>
            </w:pPr>
            <w:r>
              <w:rPr>
                <w:noProof/>
              </w:rPr>
              <w:t>438</w:t>
            </w:r>
          </w:p>
        </w:tc>
        <w:tc>
          <w:tcPr>
            <w:tcW w:w="993" w:type="dxa"/>
            <w:tcBorders>
              <w:top w:val="single" w:sz="4" w:space="0" w:color="auto"/>
              <w:left w:val="nil"/>
              <w:bottom w:val="single" w:sz="4" w:space="0" w:color="auto"/>
              <w:right w:val="single" w:sz="4" w:space="0" w:color="auto"/>
            </w:tcBorders>
            <w:shd w:val="clear" w:color="auto" w:fill="C6EFCE"/>
            <w:noWrap/>
          </w:tcPr>
          <w:p w14:paraId="17B3AA66" w14:textId="17C209A5" w:rsidR="003A3D51" w:rsidRDefault="0002775A">
            <w:pPr>
              <w:pStyle w:val="P68B1DB1-Normal58"/>
              <w:spacing w:after="200" w:line="276" w:lineRule="auto"/>
              <w:jc w:val="center"/>
              <w:rPr>
                <w:noProof/>
                <w:highlight w:val="yellow"/>
              </w:rPr>
            </w:pPr>
            <w:r>
              <w:rPr>
                <w:noProof/>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629CD41C" w14:textId="77777777"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358213D5" w14:textId="77777777" w:rsidR="003A3D51" w:rsidRDefault="0002775A">
            <w:pPr>
              <w:pStyle w:val="P68B1DB1-Normal16"/>
              <w:spacing w:after="200" w:line="276" w:lineRule="auto"/>
              <w:rPr>
                <w:noProof/>
                <w:color w:val="000000" w:themeColor="text1"/>
              </w:rPr>
            </w:pPr>
            <w:r>
              <w:rPr>
                <w:noProof/>
              </w:rPr>
              <w:t>Avtal om energirenovering av flerbostadshus som skadats av jordbävningarna</w:t>
            </w:r>
          </w:p>
        </w:tc>
        <w:tc>
          <w:tcPr>
            <w:tcW w:w="2052" w:type="dxa"/>
            <w:tcBorders>
              <w:top w:val="single" w:sz="4" w:space="0" w:color="auto"/>
              <w:left w:val="nil"/>
              <w:bottom w:val="single" w:sz="4" w:space="0" w:color="auto"/>
              <w:right w:val="single" w:sz="4" w:space="0" w:color="auto"/>
            </w:tcBorders>
            <w:shd w:val="clear" w:color="auto" w:fill="C6EFCE"/>
            <w:noWrap/>
          </w:tcPr>
          <w:p w14:paraId="5A3FAE2A" w14:textId="77777777" w:rsidR="003A3D51" w:rsidRDefault="003A3D51">
            <w:pPr>
              <w:spacing w:after="200" w:line="276" w:lineRule="auto"/>
              <w:rPr>
                <w:rFonts w:eastAsia="Calibri" w:cstheme="minorHAns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58096EA7" w14:textId="77777777" w:rsidR="003A3D51" w:rsidRDefault="0002775A">
            <w:pPr>
              <w:pStyle w:val="P68B1DB1-Normal16"/>
              <w:spacing w:after="200" w:line="276" w:lineRule="auto"/>
              <w:jc w:val="center"/>
              <w:rPr>
                <w:noProof/>
                <w:color w:val="000000" w:themeColor="text1"/>
              </w:rPr>
            </w:pPr>
            <w:r>
              <w:rPr>
                <w:noProof/>
              </w:rPr>
              <w:t>EURO</w:t>
            </w:r>
          </w:p>
        </w:tc>
        <w:tc>
          <w:tcPr>
            <w:tcW w:w="826" w:type="dxa"/>
            <w:tcBorders>
              <w:top w:val="single" w:sz="4" w:space="0" w:color="auto"/>
              <w:left w:val="nil"/>
              <w:bottom w:val="single" w:sz="4" w:space="0" w:color="auto"/>
              <w:right w:val="single" w:sz="4" w:space="0" w:color="auto"/>
            </w:tcBorders>
            <w:shd w:val="clear" w:color="auto" w:fill="C6EFCE"/>
            <w:noWrap/>
          </w:tcPr>
          <w:p w14:paraId="7CE6DDFF" w14:textId="77777777"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3FDF7DF7" w14:textId="566383D0" w:rsidR="003A3D51" w:rsidRDefault="0002775A">
            <w:pPr>
              <w:pStyle w:val="P68B1DB1-Normal17"/>
              <w:spacing w:after="200" w:line="276" w:lineRule="auto"/>
              <w:jc w:val="center"/>
              <w:rPr>
                <w:noProof/>
              </w:rPr>
            </w:pPr>
            <w:r>
              <w:rPr>
                <w:noProof/>
              </w:rPr>
              <w:t>13 miljoner</w:t>
            </w:r>
          </w:p>
        </w:tc>
        <w:tc>
          <w:tcPr>
            <w:tcW w:w="567" w:type="dxa"/>
            <w:tcBorders>
              <w:top w:val="single" w:sz="4" w:space="0" w:color="auto"/>
              <w:left w:val="nil"/>
              <w:bottom w:val="single" w:sz="4" w:space="0" w:color="auto"/>
              <w:right w:val="single" w:sz="4" w:space="0" w:color="auto"/>
            </w:tcBorders>
            <w:shd w:val="clear" w:color="auto" w:fill="C6EFCE"/>
            <w:noWrap/>
          </w:tcPr>
          <w:p w14:paraId="7BF05028" w14:textId="77777777" w:rsidR="003A3D51" w:rsidRDefault="0002775A">
            <w:pPr>
              <w:pStyle w:val="P68B1DB1-Normal17"/>
              <w:spacing w:after="200" w:line="276" w:lineRule="auto"/>
              <w:jc w:val="center"/>
              <w:rPr>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4D401028" w14:textId="77777777" w:rsidR="003A3D51" w:rsidRDefault="0002775A">
            <w:pPr>
              <w:pStyle w:val="P68B1DB1-Normal17"/>
              <w:spacing w:after="200" w:line="276" w:lineRule="auto"/>
              <w:jc w:val="center"/>
              <w:rPr>
                <w:noProof/>
              </w:rPr>
            </w:pPr>
            <w:r>
              <w:rPr>
                <w:noProof/>
              </w:rPr>
              <w:t>2024</w:t>
            </w:r>
          </w:p>
        </w:tc>
        <w:tc>
          <w:tcPr>
            <w:tcW w:w="3902" w:type="dxa"/>
            <w:tcBorders>
              <w:top w:val="single" w:sz="4" w:space="0" w:color="auto"/>
              <w:left w:val="nil"/>
              <w:bottom w:val="single" w:sz="4" w:space="0" w:color="auto"/>
              <w:right w:val="single" w:sz="4" w:space="0" w:color="auto"/>
            </w:tcBorders>
            <w:shd w:val="clear" w:color="auto" w:fill="C6EFCE"/>
            <w:noWrap/>
          </w:tcPr>
          <w:p w14:paraId="2DB8B1AA" w14:textId="6BAE9F5F" w:rsidR="003A3D51" w:rsidRDefault="0002775A">
            <w:pPr>
              <w:pStyle w:val="P68B1DB1-Normal16"/>
              <w:spacing w:after="200" w:line="276" w:lineRule="auto"/>
              <w:rPr>
                <w:noProof/>
                <w:color w:val="000000" w:themeColor="text1"/>
              </w:rPr>
            </w:pPr>
            <w:r>
              <w:rPr>
                <w:noProof/>
              </w:rPr>
              <w:t>Avtal om tilldelning av minst 13 miljoner euro för energirenovering av flerbostadshus som skadats av jordbävningarna. Alla avtal ska kräva i) en minsta minskning av energianvändningen för uppvärmning med minst 50 % jämfört med den årliga energianvändningen för uppvärmning före renoveringen för varje byggnad (med undantag för byggnader med status som kulturföremål), vilket ska bidra till en ökning av primärenergibesparingarna på minst 30 % jämfört med förrenoveringstillståndet, och ii) efterlevnad av principen om att inte orsaka betydande skada som anges i artikel 17 i förordning (EU) 2020/852 om inrättande av en ram för att underlätta hållbara investeringar.</w:t>
            </w:r>
          </w:p>
        </w:tc>
      </w:tr>
      <w:tr w:rsidR="003A3D51" w14:paraId="04299A54" w14:textId="77777777">
        <w:trPr>
          <w:trHeight w:val="1675"/>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741B2CE7" w14:textId="3A36E31A" w:rsidR="003A3D51" w:rsidRDefault="0002775A">
            <w:pPr>
              <w:pStyle w:val="P68B1DB1-Normal25"/>
              <w:spacing w:after="0" w:line="276" w:lineRule="auto"/>
              <w:jc w:val="center"/>
              <w:rPr>
                <w:rFonts w:eastAsia="Calibri"/>
                <w:noProof/>
              </w:rPr>
            </w:pPr>
            <w:r>
              <w:rPr>
                <w:noProof/>
              </w:rPr>
              <w:t>356</w:t>
            </w:r>
          </w:p>
        </w:tc>
        <w:tc>
          <w:tcPr>
            <w:tcW w:w="993" w:type="dxa"/>
            <w:tcBorders>
              <w:top w:val="single" w:sz="4" w:space="0" w:color="auto"/>
              <w:left w:val="nil"/>
              <w:bottom w:val="single" w:sz="4" w:space="0" w:color="auto"/>
              <w:right w:val="single" w:sz="4" w:space="0" w:color="auto"/>
            </w:tcBorders>
            <w:shd w:val="clear" w:color="auto" w:fill="C6EFCE"/>
            <w:noWrap/>
          </w:tcPr>
          <w:p w14:paraId="51969699" w14:textId="3A686FD4" w:rsidR="003A3D51" w:rsidRDefault="0002775A">
            <w:pPr>
              <w:pStyle w:val="P68B1DB1-Normal58"/>
              <w:spacing w:after="200" w:line="276" w:lineRule="auto"/>
              <w:jc w:val="center"/>
              <w:rPr>
                <w:noProof/>
              </w:rPr>
            </w:pPr>
            <w:r>
              <w:rPr>
                <w:noProof/>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191C4F04" w14:textId="77777777" w:rsidR="003A3D51" w:rsidRDefault="0002775A">
            <w:pPr>
              <w:pStyle w:val="P68B1DB1-Normal17"/>
              <w:spacing w:after="200" w:line="276" w:lineRule="auto"/>
              <w:jc w:val="center"/>
              <w:rPr>
                <w:noProof/>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6E10015A" w14:textId="77777777" w:rsidR="003A3D51" w:rsidRDefault="0002775A">
            <w:pPr>
              <w:pStyle w:val="P68B1DB1-Normal16"/>
              <w:spacing w:after="200" w:line="276" w:lineRule="auto"/>
              <w:rPr>
                <w:noProof/>
              </w:rPr>
            </w:pPr>
            <w:r>
              <w:rPr>
                <w:noProof/>
              </w:rPr>
              <w:t>Energirenovering och efterjordbävning av flerbostadshus som skadats av jordbävningarna</w:t>
            </w:r>
          </w:p>
        </w:tc>
        <w:tc>
          <w:tcPr>
            <w:tcW w:w="2052" w:type="dxa"/>
            <w:tcBorders>
              <w:top w:val="single" w:sz="4" w:space="0" w:color="auto"/>
              <w:left w:val="nil"/>
              <w:bottom w:val="single" w:sz="4" w:space="0" w:color="auto"/>
              <w:right w:val="single" w:sz="4" w:space="0" w:color="auto"/>
            </w:tcBorders>
            <w:shd w:val="clear" w:color="auto" w:fill="C6EFCE"/>
            <w:noWrap/>
          </w:tcPr>
          <w:p w14:paraId="7710BCAC" w14:textId="77777777" w:rsidR="003A3D51" w:rsidRDefault="003A3D51">
            <w:pPr>
              <w:spacing w:after="200" w:line="276" w:lineRule="auto"/>
              <w:rPr>
                <w:rFonts w:eastAsia="Calibri" w:cstheme="minorHAnsi"/>
                <w:noProof/>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582310BD" w14:textId="77777777" w:rsidR="003A3D51" w:rsidRDefault="0002775A">
            <w:pPr>
              <w:spacing w:after="200" w:line="276" w:lineRule="auto"/>
              <w:jc w:val="center"/>
              <w:rPr>
                <w:rFonts w:eastAsia="Times New Roman"/>
                <w:noProof/>
                <w:sz w:val="20"/>
              </w:rPr>
            </w:pPr>
            <w:r>
              <w:rPr>
                <w:rFonts w:eastAsia="Calibri"/>
                <w:noProof/>
                <w:color w:val="000000" w:themeColor="text1"/>
                <w:sz w:val="20"/>
              </w:rPr>
              <w:t>Antal (m²)</w:t>
            </w:r>
            <w:r>
              <w:rPr>
                <w:noProof/>
              </w:rPr>
              <w:br/>
            </w:r>
            <w:r>
              <w:rPr>
                <w:rFonts w:eastAsia="Calibri"/>
                <w:noProof/>
                <w:color w:val="000000" w:themeColor="text1"/>
                <w:sz w:val="20"/>
              </w:rPr>
              <w:t xml:space="preserve"> </w:t>
            </w:r>
          </w:p>
        </w:tc>
        <w:tc>
          <w:tcPr>
            <w:tcW w:w="826" w:type="dxa"/>
            <w:tcBorders>
              <w:top w:val="single" w:sz="4" w:space="0" w:color="auto"/>
              <w:left w:val="nil"/>
              <w:bottom w:val="single" w:sz="4" w:space="0" w:color="auto"/>
              <w:right w:val="single" w:sz="4" w:space="0" w:color="auto"/>
            </w:tcBorders>
            <w:shd w:val="clear" w:color="auto" w:fill="C6EFCE"/>
            <w:noWrap/>
          </w:tcPr>
          <w:p w14:paraId="5445FF0C" w14:textId="77777777" w:rsidR="003A3D51" w:rsidRDefault="0002775A">
            <w:pPr>
              <w:pStyle w:val="P68B1DB1-Normal17"/>
              <w:spacing w:after="200"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1C5647C7" w14:textId="7A9865DF" w:rsidR="003A3D51" w:rsidRDefault="0002775A">
            <w:pPr>
              <w:pStyle w:val="P68B1DB1-Normal17"/>
              <w:spacing w:after="200" w:line="276" w:lineRule="auto"/>
              <w:jc w:val="center"/>
              <w:rPr>
                <w:noProof/>
              </w:rPr>
            </w:pPr>
            <w:r>
              <w:rPr>
                <w:noProof/>
              </w:rPr>
              <w:t>78 350</w:t>
            </w:r>
          </w:p>
        </w:tc>
        <w:tc>
          <w:tcPr>
            <w:tcW w:w="567" w:type="dxa"/>
            <w:tcBorders>
              <w:top w:val="single" w:sz="4" w:space="0" w:color="auto"/>
              <w:left w:val="nil"/>
              <w:bottom w:val="single" w:sz="4" w:space="0" w:color="auto"/>
              <w:right w:val="single" w:sz="4" w:space="0" w:color="auto"/>
            </w:tcBorders>
            <w:shd w:val="clear" w:color="auto" w:fill="C6EFCE"/>
            <w:noWrap/>
          </w:tcPr>
          <w:p w14:paraId="350C5DA8" w14:textId="77777777" w:rsidR="003A3D51" w:rsidRDefault="0002775A">
            <w:pPr>
              <w:pStyle w:val="P68B1DB1-Normal17"/>
              <w:spacing w:after="200" w:line="276" w:lineRule="auto"/>
              <w:jc w:val="center"/>
              <w:rPr>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3671D0FF" w14:textId="77777777" w:rsidR="003A3D51" w:rsidRDefault="0002775A">
            <w:pPr>
              <w:pStyle w:val="P68B1DB1-Normal17"/>
              <w:spacing w:after="200" w:line="276" w:lineRule="auto"/>
              <w:jc w:val="center"/>
              <w:rPr>
                <w:noProof/>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476B8DBE" w14:textId="1B3632D9" w:rsidR="003A3D51" w:rsidRDefault="0002775A">
            <w:pPr>
              <w:pStyle w:val="P68B1DB1-Normal16"/>
              <w:spacing w:after="200" w:line="276" w:lineRule="auto"/>
              <w:rPr>
                <w:noProof/>
                <w:color w:val="000000" w:themeColor="text1"/>
              </w:rPr>
            </w:pPr>
            <w:r>
              <w:rPr>
                <w:noProof/>
              </w:rPr>
              <w:t>Energirenovering och renovering efter jordbävningen av minst 78 350 m² flerbostadshus som skadats av jordbävningarna (i ett av följande områden: staden Zagreb, distriktet Krapina-Zagorje, Zagreb, distriktet Sisak-Moslavina, distriktet Karlovac) slutfördes i enlighet med samfinansieringsavtalen och uppnådde ett minimikrav på att minska energiförbrukningen för uppvärmning med minst 50 % jämfört med den årliga energiförbrukningen för uppvärmning före renoveringen av varje byggnad (med undantag för byggnader med status som kulturföremål), vilket ska leda till en ökning av primärenergibesparingarna på 30 % jämfört med förrenoveringstillståndet och respektera principen om att inte orsaka betydande skada enligt artikel 17 i förordning (EU) 2020/852 om inrättande av en ram för att underlätta hållbara investeringar.</w:t>
            </w:r>
          </w:p>
        </w:tc>
      </w:tr>
      <w:tr w:rsidR="003A3D51" w14:paraId="53419397" w14:textId="77777777">
        <w:trPr>
          <w:trHeight w:val="300"/>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4B1235FF" w14:textId="0ED68B6F" w:rsidR="003A3D51" w:rsidRDefault="0002775A">
            <w:pPr>
              <w:pStyle w:val="P68B1DB1-Normal25"/>
              <w:spacing w:after="0" w:line="276" w:lineRule="auto"/>
              <w:jc w:val="center"/>
              <w:rPr>
                <w:noProof/>
                <w:highlight w:val="yellow"/>
              </w:rPr>
            </w:pPr>
            <w:r>
              <w:rPr>
                <w:noProof/>
              </w:rPr>
              <w:t>357</w:t>
            </w:r>
          </w:p>
        </w:tc>
        <w:tc>
          <w:tcPr>
            <w:tcW w:w="993" w:type="dxa"/>
            <w:tcBorders>
              <w:top w:val="single" w:sz="4" w:space="0" w:color="auto"/>
              <w:left w:val="nil"/>
              <w:bottom w:val="single" w:sz="4" w:space="0" w:color="auto"/>
              <w:right w:val="single" w:sz="4" w:space="0" w:color="auto"/>
            </w:tcBorders>
            <w:shd w:val="clear" w:color="auto" w:fill="C6EFCE"/>
            <w:noWrap/>
          </w:tcPr>
          <w:p w14:paraId="14AE5B4B" w14:textId="275415AE" w:rsidR="003A3D51" w:rsidRDefault="0002775A">
            <w:pPr>
              <w:pStyle w:val="P68B1DB1-Normal58"/>
              <w:spacing w:line="276" w:lineRule="auto"/>
              <w:jc w:val="center"/>
              <w:rPr>
                <w:noProof/>
                <w:highlight w:val="yellow"/>
              </w:rPr>
            </w:pPr>
            <w:r>
              <w:rPr>
                <w:noProof/>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7FF1160C" w14:textId="77777777" w:rsidR="003A3D51" w:rsidRDefault="0002775A">
            <w:pPr>
              <w:pStyle w:val="P68B1DB1-Normal16"/>
              <w:spacing w:line="276" w:lineRule="auto"/>
              <w:jc w:val="center"/>
              <w:rPr>
                <w:noProof/>
                <w:color w:val="000000" w:themeColor="text1"/>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5EE7C757" w14:textId="77777777" w:rsidR="003A3D51" w:rsidRDefault="0002775A">
            <w:pPr>
              <w:pStyle w:val="P68B1DB1-Normal16"/>
              <w:spacing w:line="276" w:lineRule="auto"/>
              <w:rPr>
                <w:noProof/>
                <w:color w:val="000000" w:themeColor="text1"/>
              </w:rPr>
            </w:pPr>
            <w:r>
              <w:rPr>
                <w:noProof/>
              </w:rPr>
              <w:t>Energirenovering och efterjordbävning av offentliga byggnader som skadats av jordbävningarna</w:t>
            </w:r>
          </w:p>
        </w:tc>
        <w:tc>
          <w:tcPr>
            <w:tcW w:w="2052" w:type="dxa"/>
            <w:tcBorders>
              <w:top w:val="single" w:sz="4" w:space="0" w:color="auto"/>
              <w:left w:val="nil"/>
              <w:bottom w:val="single" w:sz="4" w:space="0" w:color="auto"/>
              <w:right w:val="single" w:sz="4" w:space="0" w:color="auto"/>
            </w:tcBorders>
            <w:shd w:val="clear" w:color="auto" w:fill="C6EFCE"/>
            <w:noWrap/>
          </w:tcPr>
          <w:p w14:paraId="7CD72D8B" w14:textId="77777777" w:rsidR="003A3D51" w:rsidRDefault="003A3D51">
            <w:pPr>
              <w:spacing w:line="276" w:lineRule="auto"/>
              <w:rPr>
                <w:rFonts w:eastAsia="Calibri" w:cstheme="minorHAnsi"/>
                <w:noProof/>
                <w:color w:val="000000" w:themeColor="text1"/>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65FB1EA3" w14:textId="77777777" w:rsidR="003A3D51" w:rsidRDefault="0002775A">
            <w:pPr>
              <w:pStyle w:val="P68B1DB1-Normal13"/>
              <w:spacing w:after="200" w:line="276" w:lineRule="auto"/>
              <w:jc w:val="center"/>
              <w:rPr>
                <w:rFonts w:eastAsia="Times New Roman" w:cstheme="minorHAnsi"/>
                <w:noProof/>
              </w:rPr>
            </w:pPr>
            <w:r>
              <w:rPr>
                <w:rFonts w:eastAsia="Calibri" w:cstheme="minorHAnsi"/>
                <w:noProof/>
                <w:color w:val="000000" w:themeColor="text1"/>
              </w:rPr>
              <w:t>Antal</w:t>
            </w:r>
            <w:r>
              <w:rPr>
                <w:rFonts w:cstheme="minorHAnsi"/>
                <w:noProof/>
              </w:rPr>
              <w:br/>
            </w:r>
            <w:r>
              <w:rPr>
                <w:rFonts w:eastAsia="Calibri" w:cstheme="minorHAnsi"/>
                <w:noProof/>
                <w:color w:val="000000" w:themeColor="text1"/>
              </w:rPr>
              <w:t xml:space="preserve"> (m²)</w:t>
            </w:r>
          </w:p>
          <w:p w14:paraId="6DD337D7" w14:textId="77777777" w:rsidR="003A3D51" w:rsidRDefault="003A3D51">
            <w:pPr>
              <w:spacing w:line="276" w:lineRule="auto"/>
              <w:jc w:val="center"/>
              <w:rPr>
                <w:rFonts w:eastAsia="Calibri" w:cstheme="minorHAnsi"/>
                <w:noProof/>
                <w:color w:val="000000" w:themeColor="text1"/>
                <w:sz w:val="20"/>
              </w:rPr>
            </w:pPr>
          </w:p>
        </w:tc>
        <w:tc>
          <w:tcPr>
            <w:tcW w:w="826" w:type="dxa"/>
            <w:tcBorders>
              <w:top w:val="single" w:sz="4" w:space="0" w:color="auto"/>
              <w:left w:val="nil"/>
              <w:bottom w:val="single" w:sz="4" w:space="0" w:color="auto"/>
              <w:right w:val="single" w:sz="4" w:space="0" w:color="auto"/>
            </w:tcBorders>
            <w:shd w:val="clear" w:color="auto" w:fill="C6EFCE"/>
            <w:noWrap/>
          </w:tcPr>
          <w:p w14:paraId="5B123122" w14:textId="77777777" w:rsidR="003A3D51" w:rsidRDefault="0002775A">
            <w:pPr>
              <w:pStyle w:val="P68B1DB1-Normal17"/>
              <w:spacing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63F3D345" w14:textId="3DDDD4ED" w:rsidR="003A3D51" w:rsidRDefault="0002775A">
            <w:pPr>
              <w:pStyle w:val="P68B1DB1-Normal17"/>
              <w:spacing w:line="276" w:lineRule="auto"/>
              <w:jc w:val="center"/>
              <w:rPr>
                <w:noProof/>
              </w:rPr>
            </w:pPr>
            <w:r>
              <w:rPr>
                <w:noProof/>
              </w:rPr>
              <w:t>596 495</w:t>
            </w:r>
          </w:p>
        </w:tc>
        <w:tc>
          <w:tcPr>
            <w:tcW w:w="567" w:type="dxa"/>
            <w:tcBorders>
              <w:top w:val="single" w:sz="4" w:space="0" w:color="auto"/>
              <w:left w:val="nil"/>
              <w:bottom w:val="single" w:sz="4" w:space="0" w:color="auto"/>
              <w:right w:val="single" w:sz="4" w:space="0" w:color="auto"/>
            </w:tcBorders>
            <w:shd w:val="clear" w:color="auto" w:fill="C6EFCE"/>
            <w:noWrap/>
          </w:tcPr>
          <w:p w14:paraId="1BFCE9D1" w14:textId="77777777" w:rsidR="003A3D51" w:rsidRDefault="0002775A">
            <w:pPr>
              <w:pStyle w:val="P68B1DB1-Normal17"/>
              <w:spacing w:line="276" w:lineRule="auto"/>
              <w:jc w:val="center"/>
              <w:rPr>
                <w:noProof/>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50A2B20B" w14:textId="77777777" w:rsidR="003A3D51" w:rsidRDefault="0002775A">
            <w:pPr>
              <w:pStyle w:val="P68B1DB1-Normal17"/>
              <w:spacing w:line="276" w:lineRule="auto"/>
              <w:jc w:val="center"/>
              <w:rPr>
                <w:noProof/>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0C9535E7" w14:textId="551B5C8C" w:rsidR="003A3D51" w:rsidRDefault="0002775A">
            <w:pPr>
              <w:pStyle w:val="P68B1DB1-Normal16"/>
              <w:spacing w:line="276" w:lineRule="auto"/>
              <w:rPr>
                <w:noProof/>
                <w:color w:val="000000" w:themeColor="text1"/>
              </w:rPr>
            </w:pPr>
            <w:r>
              <w:rPr>
                <w:noProof/>
              </w:rPr>
              <w:t>Energirenovering och renovering efter jordbävningen av minst 596 495 m² offentliga byggnader som skadats av jordbävningarna (i ett eller flera av följande områden: staden Zagreb, länen Krapina-Zagorje, Zagreb, Sisak-Moslavina, Karlovac, Varaždin, Meù imurje, Brod-Posavina, Koprivnica-Križevci och distriktet Bjelovar-Bilogora) som slutfördes i enlighet med samfinansieringsavtalen och uppnådde ett minimikrav på att minska energiförbrukningen för uppvärmning med minst 50 % jämfört med den årliga energiförbrukningen för uppvärmning före renoveringen för varje byggnad (med undantag för byggnader med status som kulturföremål). dessa ska leda till primärenergibesparingar på 30 % jämfört med situationen före renoveringen och med respekt för principen om att inte orsaka betydande skada enligt artikel 17 i förordning (EU) 2020/852 om inrättande av en ram för att underlätta hållbara investeringar.</w:t>
            </w:r>
          </w:p>
        </w:tc>
      </w:tr>
      <w:tr w:rsidR="003A3D51" w14:paraId="21545BEA" w14:textId="77777777">
        <w:trPr>
          <w:trHeight w:val="966"/>
          <w:jc w:val="center"/>
        </w:trPr>
        <w:tc>
          <w:tcPr>
            <w:tcW w:w="715" w:type="dxa"/>
            <w:tcBorders>
              <w:top w:val="single" w:sz="4" w:space="0" w:color="auto"/>
              <w:left w:val="single" w:sz="4" w:space="0" w:color="auto"/>
              <w:bottom w:val="single" w:sz="4" w:space="0" w:color="auto"/>
              <w:right w:val="single" w:sz="4" w:space="0" w:color="auto"/>
            </w:tcBorders>
            <w:shd w:val="clear" w:color="auto" w:fill="C6EFCE"/>
            <w:noWrap/>
          </w:tcPr>
          <w:p w14:paraId="15C7FC4C" w14:textId="3756B6C6" w:rsidR="003A3D51" w:rsidRDefault="0002775A">
            <w:pPr>
              <w:pStyle w:val="P68B1DB1-Normal25"/>
              <w:spacing w:after="0" w:line="276" w:lineRule="auto"/>
              <w:jc w:val="center"/>
              <w:rPr>
                <w:noProof/>
                <w:highlight w:val="yellow"/>
              </w:rPr>
            </w:pPr>
            <w:r>
              <w:rPr>
                <w:noProof/>
              </w:rPr>
              <w:t>439</w:t>
            </w:r>
          </w:p>
        </w:tc>
        <w:tc>
          <w:tcPr>
            <w:tcW w:w="993" w:type="dxa"/>
            <w:tcBorders>
              <w:top w:val="single" w:sz="4" w:space="0" w:color="auto"/>
              <w:left w:val="nil"/>
              <w:bottom w:val="single" w:sz="4" w:space="0" w:color="auto"/>
              <w:right w:val="single" w:sz="4" w:space="0" w:color="auto"/>
            </w:tcBorders>
            <w:shd w:val="clear" w:color="auto" w:fill="C6EFCE"/>
            <w:noWrap/>
          </w:tcPr>
          <w:p w14:paraId="3426AD6D" w14:textId="10E04332" w:rsidR="003A3D51" w:rsidRDefault="0002775A">
            <w:pPr>
              <w:pStyle w:val="P68B1DB1-Normal58"/>
              <w:spacing w:line="276" w:lineRule="auto"/>
              <w:jc w:val="center"/>
              <w:rPr>
                <w:noProof/>
              </w:rPr>
            </w:pPr>
            <w:r>
              <w:rPr>
                <w:noProof/>
              </w:rPr>
              <w:t>C7.2 I2</w:t>
            </w:r>
          </w:p>
        </w:tc>
        <w:tc>
          <w:tcPr>
            <w:tcW w:w="851" w:type="dxa"/>
            <w:tcBorders>
              <w:top w:val="single" w:sz="4" w:space="0" w:color="auto"/>
              <w:left w:val="nil"/>
              <w:bottom w:val="single" w:sz="4" w:space="0" w:color="auto"/>
              <w:right w:val="single" w:sz="4" w:space="0" w:color="auto"/>
            </w:tcBorders>
            <w:shd w:val="clear" w:color="auto" w:fill="C6EFCE"/>
            <w:noWrap/>
          </w:tcPr>
          <w:p w14:paraId="4AD802D1" w14:textId="77777777" w:rsidR="003A3D51" w:rsidRDefault="0002775A">
            <w:pPr>
              <w:pStyle w:val="P68B1DB1-Normal16"/>
              <w:spacing w:line="276" w:lineRule="auto"/>
              <w:jc w:val="center"/>
              <w:rPr>
                <w:noProof/>
                <w:color w:val="000000" w:themeColor="text1"/>
              </w:rPr>
            </w:pPr>
            <w:r>
              <w:rPr>
                <w:noProof/>
              </w:rPr>
              <w:t>T</w:t>
            </w:r>
          </w:p>
        </w:tc>
        <w:tc>
          <w:tcPr>
            <w:tcW w:w="2551" w:type="dxa"/>
            <w:tcBorders>
              <w:top w:val="single" w:sz="4" w:space="0" w:color="auto"/>
              <w:left w:val="nil"/>
              <w:bottom w:val="single" w:sz="4" w:space="0" w:color="auto"/>
              <w:right w:val="single" w:sz="4" w:space="0" w:color="auto"/>
            </w:tcBorders>
            <w:shd w:val="clear" w:color="auto" w:fill="C6EFCE"/>
            <w:noWrap/>
          </w:tcPr>
          <w:p w14:paraId="5BF0EC0F" w14:textId="77777777" w:rsidR="003A3D51" w:rsidRDefault="0002775A">
            <w:pPr>
              <w:pStyle w:val="P68B1DB1-Normal16"/>
              <w:spacing w:line="276" w:lineRule="auto"/>
              <w:rPr>
                <w:noProof/>
                <w:color w:val="000000" w:themeColor="text1"/>
              </w:rPr>
            </w:pPr>
            <w:r>
              <w:rPr>
                <w:noProof/>
              </w:rPr>
              <w:t>Installation av system för förnybar energi i offentliga byggnader som skadats av jordbävningarna</w:t>
            </w:r>
          </w:p>
        </w:tc>
        <w:tc>
          <w:tcPr>
            <w:tcW w:w="2052" w:type="dxa"/>
            <w:tcBorders>
              <w:top w:val="single" w:sz="4" w:space="0" w:color="auto"/>
              <w:left w:val="nil"/>
              <w:bottom w:val="single" w:sz="4" w:space="0" w:color="auto"/>
              <w:right w:val="single" w:sz="4" w:space="0" w:color="auto"/>
            </w:tcBorders>
            <w:shd w:val="clear" w:color="auto" w:fill="C6EFCE"/>
            <w:noWrap/>
          </w:tcPr>
          <w:p w14:paraId="449CD703" w14:textId="77777777" w:rsidR="003A3D51" w:rsidRDefault="003A3D51">
            <w:pPr>
              <w:spacing w:line="276" w:lineRule="auto"/>
              <w:rPr>
                <w:rFonts w:eastAsia="Calibri" w:cstheme="minorHAnsi"/>
                <w:noProof/>
                <w:color w:val="000000" w:themeColor="text1"/>
                <w:sz w:val="20"/>
              </w:rPr>
            </w:pPr>
          </w:p>
        </w:tc>
        <w:tc>
          <w:tcPr>
            <w:tcW w:w="923" w:type="dxa"/>
            <w:tcBorders>
              <w:top w:val="single" w:sz="4" w:space="0" w:color="auto"/>
              <w:left w:val="nil"/>
              <w:bottom w:val="single" w:sz="4" w:space="0" w:color="auto"/>
              <w:right w:val="single" w:sz="4" w:space="0" w:color="auto"/>
            </w:tcBorders>
            <w:shd w:val="clear" w:color="auto" w:fill="C6EFCE"/>
            <w:noWrap/>
          </w:tcPr>
          <w:p w14:paraId="4FF16694" w14:textId="77777777" w:rsidR="003A3D51" w:rsidRDefault="0002775A">
            <w:pPr>
              <w:pStyle w:val="P68B1DB1-Normal16"/>
              <w:spacing w:after="200" w:line="276" w:lineRule="auto"/>
              <w:jc w:val="center"/>
              <w:rPr>
                <w:noProof/>
                <w:color w:val="000000" w:themeColor="text1"/>
              </w:rPr>
            </w:pPr>
            <w:r>
              <w:rPr>
                <w:noProof/>
              </w:rPr>
              <w:t>Antal</w:t>
            </w:r>
          </w:p>
        </w:tc>
        <w:tc>
          <w:tcPr>
            <w:tcW w:w="826" w:type="dxa"/>
            <w:tcBorders>
              <w:top w:val="single" w:sz="4" w:space="0" w:color="auto"/>
              <w:left w:val="nil"/>
              <w:bottom w:val="single" w:sz="4" w:space="0" w:color="auto"/>
              <w:right w:val="single" w:sz="4" w:space="0" w:color="auto"/>
            </w:tcBorders>
            <w:shd w:val="clear" w:color="auto" w:fill="C6EFCE"/>
            <w:noWrap/>
          </w:tcPr>
          <w:p w14:paraId="7AF92975" w14:textId="77777777" w:rsidR="003A3D51" w:rsidRDefault="0002775A">
            <w:pPr>
              <w:pStyle w:val="P68B1DB1-Normal17"/>
              <w:spacing w:line="276" w:lineRule="auto"/>
              <w:jc w:val="center"/>
              <w:rPr>
                <w:noProof/>
              </w:rPr>
            </w:pPr>
            <w:r>
              <w:rPr>
                <w:noProof/>
              </w:rPr>
              <w:t>0</w:t>
            </w:r>
          </w:p>
        </w:tc>
        <w:tc>
          <w:tcPr>
            <w:tcW w:w="802" w:type="dxa"/>
            <w:tcBorders>
              <w:top w:val="single" w:sz="4" w:space="0" w:color="auto"/>
              <w:left w:val="nil"/>
              <w:bottom w:val="single" w:sz="4" w:space="0" w:color="auto"/>
              <w:right w:val="single" w:sz="4" w:space="0" w:color="auto"/>
            </w:tcBorders>
            <w:shd w:val="clear" w:color="auto" w:fill="C6EFCE"/>
            <w:noWrap/>
          </w:tcPr>
          <w:p w14:paraId="43B86AB6" w14:textId="77777777" w:rsidR="003A3D51" w:rsidRDefault="0002775A">
            <w:pPr>
              <w:pStyle w:val="P68B1DB1-Normal17"/>
              <w:spacing w:line="276" w:lineRule="auto"/>
              <w:jc w:val="center"/>
              <w:rPr>
                <w:noProof/>
              </w:rPr>
            </w:pPr>
            <w:r>
              <w:rPr>
                <w:noProof/>
              </w:rPr>
              <w:t>50</w:t>
            </w:r>
          </w:p>
        </w:tc>
        <w:tc>
          <w:tcPr>
            <w:tcW w:w="567" w:type="dxa"/>
            <w:tcBorders>
              <w:top w:val="single" w:sz="4" w:space="0" w:color="auto"/>
              <w:left w:val="nil"/>
              <w:bottom w:val="single" w:sz="4" w:space="0" w:color="auto"/>
              <w:right w:val="single" w:sz="4" w:space="0" w:color="auto"/>
            </w:tcBorders>
            <w:shd w:val="clear" w:color="auto" w:fill="C6EFCE"/>
            <w:noWrap/>
          </w:tcPr>
          <w:p w14:paraId="14E28FAD" w14:textId="77777777" w:rsidR="003A3D51" w:rsidRDefault="0002775A">
            <w:pPr>
              <w:pStyle w:val="P68B1DB1-Normal17"/>
              <w:spacing w:line="276" w:lineRule="auto"/>
              <w:jc w:val="center"/>
              <w:rPr>
                <w:noProof/>
                <w:highlight w:val="yellow"/>
              </w:rPr>
            </w:pPr>
            <w:r>
              <w:rPr>
                <w:noProof/>
              </w:rPr>
              <w:t>KVARTAL 2</w:t>
            </w:r>
          </w:p>
        </w:tc>
        <w:tc>
          <w:tcPr>
            <w:tcW w:w="709" w:type="dxa"/>
            <w:tcBorders>
              <w:top w:val="single" w:sz="4" w:space="0" w:color="auto"/>
              <w:left w:val="nil"/>
              <w:bottom w:val="single" w:sz="4" w:space="0" w:color="auto"/>
              <w:right w:val="single" w:sz="4" w:space="0" w:color="auto"/>
            </w:tcBorders>
            <w:shd w:val="clear" w:color="auto" w:fill="C6EFCE"/>
            <w:noWrap/>
          </w:tcPr>
          <w:p w14:paraId="52AEA53B" w14:textId="77777777" w:rsidR="003A3D51" w:rsidRDefault="0002775A">
            <w:pPr>
              <w:pStyle w:val="P68B1DB1-Normal17"/>
              <w:spacing w:line="276" w:lineRule="auto"/>
              <w:jc w:val="center"/>
              <w:rPr>
                <w:noProof/>
                <w:highlight w:val="yellow"/>
              </w:rPr>
            </w:pPr>
            <w:r>
              <w:rPr>
                <w:noProof/>
              </w:rPr>
              <w:t>2026</w:t>
            </w:r>
          </w:p>
        </w:tc>
        <w:tc>
          <w:tcPr>
            <w:tcW w:w="3902" w:type="dxa"/>
            <w:tcBorders>
              <w:top w:val="single" w:sz="4" w:space="0" w:color="auto"/>
              <w:left w:val="nil"/>
              <w:bottom w:val="single" w:sz="4" w:space="0" w:color="auto"/>
              <w:right w:val="single" w:sz="4" w:space="0" w:color="auto"/>
            </w:tcBorders>
            <w:shd w:val="clear" w:color="auto" w:fill="C6EFCE"/>
            <w:noWrap/>
          </w:tcPr>
          <w:p w14:paraId="1105A9EB" w14:textId="2E821B3F" w:rsidR="003A3D51" w:rsidRDefault="0002775A">
            <w:pPr>
              <w:pStyle w:val="P68B1DB1-Normal16"/>
              <w:spacing w:line="276" w:lineRule="auto"/>
              <w:rPr>
                <w:noProof/>
                <w:color w:val="000000" w:themeColor="text1"/>
                <w:highlight w:val="yellow"/>
              </w:rPr>
            </w:pPr>
            <w:r>
              <w:rPr>
                <w:noProof/>
              </w:rPr>
              <w:t>Minst 50 system för förnybar energi ska installeras i offentliga byggnader som renoveras inom ramen för denna investering.</w:t>
            </w:r>
          </w:p>
        </w:tc>
      </w:tr>
    </w:tbl>
    <w:p w14:paraId="2D272560" w14:textId="77777777" w:rsidR="003A3D51" w:rsidRDefault="003A3D51">
      <w:pPr>
        <w:rPr>
          <w:noProof/>
        </w:rPr>
        <w:sectPr w:rsidR="003A3D51" w:rsidSect="00146C1C">
          <w:headerReference w:type="even" r:id="rId444"/>
          <w:headerReference w:type="default" r:id="rId445"/>
          <w:footerReference w:type="even" r:id="rId446"/>
          <w:footerReference w:type="default" r:id="rId447"/>
          <w:headerReference w:type="first" r:id="rId448"/>
          <w:footerReference w:type="first" r:id="rId449"/>
          <w:pgSz w:w="15840" w:h="12240" w:orient="landscape"/>
          <w:pgMar w:top="1440" w:right="1440" w:bottom="1440" w:left="1440" w:header="708" w:footer="708" w:gutter="0"/>
          <w:cols w:space="708"/>
          <w:docGrid w:linePitch="360"/>
        </w:sectPr>
      </w:pPr>
    </w:p>
    <w:p w14:paraId="54F6BBCC" w14:textId="77777777" w:rsidR="003A3D51" w:rsidRDefault="0002775A">
      <w:pPr>
        <w:pStyle w:val="FooterText"/>
        <w:numPr>
          <w:ilvl w:val="0"/>
          <w:numId w:val="45"/>
        </w:numPr>
        <w:ind w:firstLine="0"/>
        <w:jc w:val="both"/>
        <w:textAlignment w:val="baseline"/>
        <w:rPr>
          <w:noProof/>
        </w:rPr>
      </w:pPr>
      <w:r>
        <w:rPr>
          <w:b/>
          <w:noProof/>
        </w:rPr>
        <w:t>Beräknad total kostnad för återhämtnings- och resiliensplanen</w:t>
      </w:r>
      <w:r>
        <w:rPr>
          <w:noProof/>
        </w:rPr>
        <w:t> </w:t>
      </w:r>
    </w:p>
    <w:p w14:paraId="188F6F55" w14:textId="2C4AADE4" w:rsidR="003A3D51" w:rsidRDefault="0002775A">
      <w:pPr>
        <w:pStyle w:val="FooterText"/>
        <w:ind w:left="840"/>
        <w:jc w:val="both"/>
        <w:textAlignment w:val="baseline"/>
        <w:rPr>
          <w:rFonts w:ascii="Segoe UI" w:hAnsi="Segoe UI" w:cs="Segoe UI"/>
          <w:noProof/>
          <w:sz w:val="18"/>
        </w:rPr>
      </w:pPr>
      <w:r>
        <w:rPr>
          <w:noProof/>
        </w:rPr>
        <w:t>De uppskattade totala kostnaderna för Kroatiens återhämtnings- och resiliensplan är 10 040 701 600 EUR. </w:t>
      </w:r>
    </w:p>
    <w:p w14:paraId="51AECAC6" w14:textId="122882AB" w:rsidR="003A3D51" w:rsidRDefault="0002775A">
      <w:pPr>
        <w:pStyle w:val="FooterText"/>
        <w:ind w:left="840"/>
        <w:jc w:val="both"/>
        <w:textAlignment w:val="baseline"/>
        <w:rPr>
          <w:rFonts w:ascii="Segoe UI" w:hAnsi="Segoe UI" w:cs="Segoe UI"/>
          <w:noProof/>
          <w:sz w:val="18"/>
        </w:rPr>
      </w:pPr>
      <w:r>
        <w:rPr>
          <w:noProof/>
        </w:rPr>
        <w:t>De beräknade totala kostnaderna för REPowerEU-kapitlet är 2 925 650 094 EUR. De uppskattade totala kostnaderna för de åtgärder som avses i artikel 21c.3 a i förordning (EU) 2023/435 är 559 000 000 EUR, medan kostnaderna för de andra åtgärderna i REPowerEU-kapitlet är 2 366 650 094 EUR. </w:t>
      </w:r>
    </w:p>
    <w:p w14:paraId="39A5DEEE" w14:textId="77777777" w:rsidR="003A3D51" w:rsidRDefault="0002775A">
      <w:pPr>
        <w:pStyle w:val="P68B1DB1-Normal62"/>
        <w:spacing w:after="0" w:line="240" w:lineRule="auto"/>
        <w:jc w:val="both"/>
        <w:textAlignment w:val="baseline"/>
        <w:rPr>
          <w:rFonts w:ascii="Segoe UI" w:hAnsi="Segoe UI" w:cs="Segoe UI"/>
          <w:noProof/>
          <w:sz w:val="18"/>
        </w:rPr>
      </w:pPr>
      <w:r>
        <w:rPr>
          <w:noProof/>
        </w:rPr>
        <w:t> </w:t>
      </w:r>
    </w:p>
    <w:p w14:paraId="2B661180" w14:textId="77777777" w:rsidR="003A3D51" w:rsidRDefault="0002775A">
      <w:pPr>
        <w:pStyle w:val="FooterText"/>
        <w:jc w:val="both"/>
        <w:textAlignment w:val="baseline"/>
        <w:rPr>
          <w:rFonts w:ascii="Segoe UI" w:hAnsi="Segoe UI" w:cs="Segoe UI"/>
          <w:noProof/>
          <w:sz w:val="18"/>
        </w:rPr>
      </w:pPr>
      <w:r>
        <w:rPr>
          <w:noProof/>
        </w:rPr>
        <w:t> </w:t>
      </w:r>
    </w:p>
    <w:p w14:paraId="05BA2875" w14:textId="77777777" w:rsidR="003A3D51" w:rsidRDefault="0002775A">
      <w:pPr>
        <w:pStyle w:val="FooterText"/>
        <w:jc w:val="both"/>
        <w:textAlignment w:val="baseline"/>
        <w:rPr>
          <w:rFonts w:ascii="Segoe UI" w:hAnsi="Segoe UI" w:cs="Segoe UI"/>
          <w:noProof/>
          <w:sz w:val="18"/>
        </w:rPr>
      </w:pPr>
      <w:r>
        <w:rPr>
          <w:b/>
          <w:noProof/>
        </w:rPr>
        <w:t xml:space="preserve">AVSNITT 2: EKONOMISKT STÖD </w:t>
      </w:r>
      <w:r>
        <w:rPr>
          <w:noProof/>
        </w:rPr>
        <w:t> </w:t>
      </w:r>
    </w:p>
    <w:p w14:paraId="51AEB285" w14:textId="77777777" w:rsidR="003A3D51" w:rsidRDefault="0002775A">
      <w:pPr>
        <w:pStyle w:val="FooterText"/>
        <w:numPr>
          <w:ilvl w:val="0"/>
          <w:numId w:val="46"/>
        </w:numPr>
        <w:ind w:firstLine="0"/>
        <w:jc w:val="both"/>
        <w:textAlignment w:val="baseline"/>
        <w:rPr>
          <w:noProof/>
        </w:rPr>
      </w:pPr>
      <w:r>
        <w:rPr>
          <w:b/>
          <w:noProof/>
        </w:rPr>
        <w:t>Ekonomiska bidrag</w:t>
      </w:r>
      <w:r>
        <w:rPr>
          <w:noProof/>
        </w:rPr>
        <w:t> </w:t>
      </w:r>
    </w:p>
    <w:p w14:paraId="360383FD" w14:textId="77777777" w:rsidR="003A3D51" w:rsidRDefault="0002775A">
      <w:pPr>
        <w:pStyle w:val="FooterText"/>
        <w:ind w:left="840"/>
        <w:jc w:val="both"/>
        <w:textAlignment w:val="baseline"/>
        <w:rPr>
          <w:rFonts w:ascii="Segoe UI" w:hAnsi="Segoe UI" w:cs="Segoe UI"/>
          <w:noProof/>
          <w:sz w:val="18"/>
        </w:rPr>
      </w:pPr>
      <w:r>
        <w:rPr>
          <w:noProof/>
        </w:rPr>
        <w:t>De delbetalningar som avses i artikel 2.2 ska organiseras på följande sätt: </w:t>
      </w:r>
    </w:p>
    <w:p w14:paraId="3FEB5B6D" w14:textId="77777777" w:rsidR="003A3D51" w:rsidRDefault="0002775A">
      <w:pPr>
        <w:pStyle w:val="FooterText"/>
        <w:jc w:val="both"/>
        <w:textAlignment w:val="baseline"/>
        <w:rPr>
          <w:rFonts w:ascii="Segoe UI" w:hAnsi="Segoe UI" w:cs="Segoe UI"/>
          <w:noProof/>
          <w:sz w:val="18"/>
        </w:rPr>
      </w:pPr>
      <w:r>
        <w:rPr>
          <w:noProof/>
        </w:rPr>
        <w:t> </w:t>
      </w:r>
    </w:p>
    <w:p w14:paraId="431F2842" w14:textId="77777777" w:rsidR="003A3D51" w:rsidRDefault="0002775A">
      <w:pPr>
        <w:pStyle w:val="P68B1DB1-Normal11"/>
        <w:numPr>
          <w:ilvl w:val="0"/>
          <w:numId w:val="47"/>
        </w:numPr>
        <w:spacing w:line="240" w:lineRule="auto"/>
        <w:ind w:firstLine="0"/>
        <w:jc w:val="both"/>
        <w:textAlignment w:val="baseline"/>
        <w:rPr>
          <w:noProof/>
        </w:rPr>
      </w:pPr>
      <w:r>
        <w:rPr>
          <w:noProof/>
        </w:rPr>
        <w:t>Första delbetalningen (icke återbetalningspliktigt stöd):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6"/>
        <w:gridCol w:w="1642"/>
        <w:gridCol w:w="1276"/>
        <w:gridCol w:w="5387"/>
      </w:tblGrid>
      <w:tr w:rsidR="003A3D51" w14:paraId="1D05A677" w14:textId="77777777">
        <w:trPr>
          <w:trHeight w:val="1105"/>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D5846A4" w14:textId="77777777" w:rsidR="003A3D51" w:rsidRDefault="0002775A">
            <w:pPr>
              <w:pStyle w:val="P68B1DB1-Normal24"/>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E9AD32C" w14:textId="77777777" w:rsidR="003A3D51" w:rsidRDefault="0002775A">
            <w:pPr>
              <w:pStyle w:val="P68B1DB1-Normal24"/>
              <w:spacing w:after="0" w:line="240" w:lineRule="auto"/>
              <w:jc w:val="center"/>
              <w:textAlignment w:val="baseline"/>
              <w:rPr>
                <w:noProof/>
              </w:rPr>
            </w:pPr>
            <w:r>
              <w:rPr>
                <w:b/>
                <w:noProof/>
              </w:rPr>
              <w:t>Berörd åtgärd (reform eller investering)</w:t>
            </w:r>
            <w:r>
              <w:rPr>
                <w:noProof/>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4A437C4" w14:textId="77777777" w:rsidR="003A3D51" w:rsidRDefault="0002775A">
            <w:pPr>
              <w:pStyle w:val="P68B1DB1-Normal24"/>
              <w:spacing w:after="0" w:line="240" w:lineRule="auto"/>
              <w:jc w:val="center"/>
              <w:textAlignment w:val="baseline"/>
              <w:rPr>
                <w:noProof/>
              </w:rPr>
            </w:pPr>
            <w:r>
              <w:rPr>
                <w:b/>
                <w:noProof/>
              </w:rPr>
              <w:t>Delmål/mål</w:t>
            </w:r>
            <w:r>
              <w:rPr>
                <w:noProof/>
              </w:rPr>
              <w:t> </w:t>
            </w:r>
          </w:p>
        </w:tc>
        <w:tc>
          <w:tcPr>
            <w:tcW w:w="5387" w:type="dxa"/>
            <w:vMerge w:val="restart"/>
            <w:tcBorders>
              <w:top w:val="single" w:sz="6" w:space="0" w:color="auto"/>
              <w:left w:val="nil"/>
              <w:bottom w:val="single" w:sz="6" w:space="0" w:color="000000"/>
              <w:right w:val="single" w:sz="6" w:space="0" w:color="auto"/>
            </w:tcBorders>
            <w:shd w:val="clear" w:color="auto" w:fill="BDD7EE"/>
            <w:vAlign w:val="center"/>
            <w:hideMark/>
          </w:tcPr>
          <w:p w14:paraId="5AFC52E9" w14:textId="77777777" w:rsidR="003A3D51" w:rsidRDefault="0002775A">
            <w:pPr>
              <w:pStyle w:val="P68B1DB1-Normal24"/>
              <w:spacing w:after="0" w:line="240" w:lineRule="auto"/>
              <w:jc w:val="center"/>
              <w:textAlignment w:val="baseline"/>
              <w:rPr>
                <w:noProof/>
              </w:rPr>
            </w:pPr>
            <w:r>
              <w:rPr>
                <w:b/>
                <w:noProof/>
              </w:rPr>
              <w:t>Namn</w:t>
            </w:r>
            <w:r>
              <w:rPr>
                <w:noProof/>
              </w:rPr>
              <w:t> </w:t>
            </w:r>
          </w:p>
        </w:tc>
      </w:tr>
      <w:tr w:rsidR="003A3D51" w14:paraId="1285F9C2" w14:textId="77777777">
        <w:trPr>
          <w:trHeight w:val="450"/>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CCFD355" w14:textId="77777777" w:rsidR="003A3D51" w:rsidRDefault="003A3D51">
            <w:pPr>
              <w:spacing w:after="0" w:line="240" w:lineRule="auto"/>
              <w:rPr>
                <w:rFonts w:eastAsia="Times New Roman" w:cstheme="minorHAnsi"/>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BEB553F" w14:textId="77777777" w:rsidR="003A3D51" w:rsidRDefault="003A3D51">
            <w:pPr>
              <w:spacing w:after="0" w:line="240" w:lineRule="auto"/>
              <w:rPr>
                <w:rFonts w:eastAsia="Times New Roman" w:cstheme="minorHAnsi"/>
                <w:noProof/>
                <w:sz w:val="20"/>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E3224FC" w14:textId="77777777" w:rsidR="003A3D51" w:rsidRDefault="003A3D51">
            <w:pPr>
              <w:spacing w:after="0" w:line="240" w:lineRule="auto"/>
              <w:rPr>
                <w:rFonts w:eastAsia="Times New Roman" w:cstheme="minorHAnsi"/>
                <w:noProof/>
                <w:sz w:val="20"/>
              </w:rPr>
            </w:pPr>
          </w:p>
        </w:tc>
        <w:tc>
          <w:tcPr>
            <w:tcW w:w="5387" w:type="dxa"/>
            <w:vMerge/>
            <w:tcBorders>
              <w:top w:val="single" w:sz="6" w:space="0" w:color="auto"/>
              <w:left w:val="nil"/>
              <w:bottom w:val="single" w:sz="6" w:space="0" w:color="000000"/>
              <w:right w:val="single" w:sz="6" w:space="0" w:color="auto"/>
            </w:tcBorders>
            <w:shd w:val="clear" w:color="auto" w:fill="auto"/>
            <w:vAlign w:val="center"/>
            <w:hideMark/>
          </w:tcPr>
          <w:p w14:paraId="04C19BE3" w14:textId="77777777" w:rsidR="003A3D51" w:rsidRDefault="003A3D51">
            <w:pPr>
              <w:spacing w:after="0" w:line="240" w:lineRule="auto"/>
              <w:rPr>
                <w:rFonts w:eastAsia="Times New Roman" w:cstheme="minorHAnsi"/>
                <w:noProof/>
                <w:sz w:val="20"/>
              </w:rPr>
            </w:pPr>
          </w:p>
        </w:tc>
      </w:tr>
      <w:tr w:rsidR="003A3D51" w14:paraId="13095E96" w14:textId="77777777">
        <w:trPr>
          <w:trHeight w:val="367"/>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38CB33FC" w14:textId="77777777" w:rsidR="003A3D51" w:rsidRDefault="0002775A">
            <w:pPr>
              <w:pStyle w:val="P68B1DB1-Normal58"/>
              <w:spacing w:after="0" w:line="240" w:lineRule="auto"/>
              <w:jc w:val="center"/>
              <w:textAlignment w:val="baseline"/>
              <w:rPr>
                <w:rFonts w:eastAsia="Times New Roman"/>
                <w:noProof/>
              </w:rPr>
            </w:pPr>
            <w:r>
              <w:rPr>
                <w:noProof/>
              </w:rPr>
              <w:t>45</w:t>
            </w:r>
          </w:p>
        </w:tc>
        <w:tc>
          <w:tcPr>
            <w:tcW w:w="1642" w:type="dxa"/>
            <w:tcBorders>
              <w:top w:val="nil"/>
              <w:left w:val="nil"/>
              <w:bottom w:val="single" w:sz="6" w:space="0" w:color="auto"/>
              <w:right w:val="single" w:sz="6" w:space="0" w:color="auto"/>
            </w:tcBorders>
            <w:shd w:val="clear" w:color="auto" w:fill="C6EFCE"/>
            <w:vAlign w:val="center"/>
            <w:hideMark/>
          </w:tcPr>
          <w:p w14:paraId="66962056" w14:textId="77777777" w:rsidR="003A3D51" w:rsidRDefault="0002775A">
            <w:pPr>
              <w:pStyle w:val="P68B1DB1-Normal58"/>
              <w:spacing w:after="0" w:line="240" w:lineRule="auto"/>
              <w:jc w:val="center"/>
              <w:textAlignment w:val="baseline"/>
              <w:rPr>
                <w:rFonts w:eastAsia="Times New Roman"/>
                <w:noProof/>
              </w:rPr>
            </w:pPr>
            <w:r>
              <w:rPr>
                <w:noProof/>
              </w:rPr>
              <w:t>C1.2 R1-I2</w:t>
            </w:r>
          </w:p>
        </w:tc>
        <w:tc>
          <w:tcPr>
            <w:tcW w:w="1276" w:type="dxa"/>
            <w:tcBorders>
              <w:top w:val="nil"/>
              <w:left w:val="nil"/>
              <w:bottom w:val="single" w:sz="6" w:space="0" w:color="auto"/>
              <w:right w:val="single" w:sz="6" w:space="0" w:color="auto"/>
            </w:tcBorders>
            <w:shd w:val="clear" w:color="auto" w:fill="C6EFCE"/>
            <w:vAlign w:val="center"/>
            <w:hideMark/>
          </w:tcPr>
          <w:p w14:paraId="2863829F" w14:textId="77777777" w:rsidR="003A3D51" w:rsidRDefault="0002775A">
            <w:pPr>
              <w:pStyle w:val="P68B1DB1-Normal58"/>
              <w:spacing w:after="0" w:line="240" w:lineRule="auto"/>
              <w:jc w:val="center"/>
              <w:textAlignment w:val="baseline"/>
              <w:rPr>
                <w:rFonts w:eastAsia="Times New Roman"/>
                <w:noProof/>
              </w:rPr>
            </w:pPr>
            <w:r>
              <w:rPr>
                <w:noProof/>
              </w:rPr>
              <w:t>M</w:t>
            </w:r>
          </w:p>
        </w:tc>
        <w:tc>
          <w:tcPr>
            <w:tcW w:w="5387" w:type="dxa"/>
            <w:tcBorders>
              <w:top w:val="nil"/>
              <w:left w:val="nil"/>
              <w:bottom w:val="single" w:sz="6" w:space="0" w:color="auto"/>
              <w:right w:val="single" w:sz="6" w:space="0" w:color="auto"/>
            </w:tcBorders>
            <w:shd w:val="clear" w:color="auto" w:fill="C6EFCE"/>
            <w:vAlign w:val="center"/>
            <w:hideMark/>
          </w:tcPr>
          <w:p w14:paraId="0C96DF83" w14:textId="77777777" w:rsidR="003A3D51" w:rsidRDefault="0002775A">
            <w:pPr>
              <w:pStyle w:val="P68B1DB1-Normal58"/>
              <w:spacing w:after="0" w:line="240" w:lineRule="auto"/>
              <w:textAlignment w:val="baseline"/>
              <w:rPr>
                <w:rFonts w:eastAsia="Times New Roman"/>
                <w:noProof/>
              </w:rPr>
            </w:pPr>
            <w:r>
              <w:rPr>
                <w:noProof/>
              </w:rPr>
              <w:t>Regeringens antagande av ett energieffektivitetsprogram för utfasning av fossila bränslen i energisektorn</w:t>
            </w:r>
          </w:p>
        </w:tc>
      </w:tr>
      <w:tr w:rsidR="003A3D51" w14:paraId="20FDB59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97E6A98" w14:textId="77777777" w:rsidR="003A3D51" w:rsidRDefault="0002775A">
            <w:pPr>
              <w:pStyle w:val="P68B1DB1-Normal58"/>
              <w:spacing w:after="0" w:line="240" w:lineRule="auto"/>
              <w:jc w:val="center"/>
              <w:textAlignment w:val="baseline"/>
              <w:rPr>
                <w:rFonts w:eastAsia="Times New Roman"/>
                <w:noProof/>
              </w:rPr>
            </w:pPr>
            <w:r>
              <w:rPr>
                <w:noProof/>
              </w:rPr>
              <w:t>46</w:t>
            </w:r>
          </w:p>
        </w:tc>
        <w:tc>
          <w:tcPr>
            <w:tcW w:w="1642" w:type="dxa"/>
            <w:tcBorders>
              <w:top w:val="single" w:sz="6" w:space="0" w:color="auto"/>
              <w:left w:val="nil"/>
              <w:bottom w:val="single" w:sz="6" w:space="0" w:color="auto"/>
              <w:right w:val="single" w:sz="6" w:space="0" w:color="auto"/>
            </w:tcBorders>
            <w:shd w:val="clear" w:color="auto" w:fill="C6EFCE"/>
            <w:vAlign w:val="center"/>
            <w:hideMark/>
          </w:tcPr>
          <w:p w14:paraId="31CC3BB6" w14:textId="77777777" w:rsidR="003A3D51" w:rsidRDefault="0002775A">
            <w:pPr>
              <w:pStyle w:val="P68B1DB1-Normal58"/>
              <w:spacing w:after="0" w:line="240" w:lineRule="auto"/>
              <w:jc w:val="center"/>
              <w:textAlignment w:val="baseline"/>
              <w:rPr>
                <w:rFonts w:eastAsia="Times New Roman"/>
                <w:noProof/>
              </w:rPr>
            </w:pPr>
            <w:r>
              <w:rPr>
                <w:noProof/>
              </w:rPr>
              <w:t>C1.2 R1-I2</w:t>
            </w:r>
          </w:p>
        </w:tc>
        <w:tc>
          <w:tcPr>
            <w:tcW w:w="1276" w:type="dxa"/>
            <w:tcBorders>
              <w:top w:val="single" w:sz="6" w:space="0" w:color="auto"/>
              <w:left w:val="nil"/>
              <w:bottom w:val="single" w:sz="6" w:space="0" w:color="auto"/>
              <w:right w:val="single" w:sz="6" w:space="0" w:color="auto"/>
            </w:tcBorders>
            <w:shd w:val="clear" w:color="auto" w:fill="C6EFCE"/>
            <w:vAlign w:val="center"/>
            <w:hideMark/>
          </w:tcPr>
          <w:p w14:paraId="031B7D94" w14:textId="77777777" w:rsidR="003A3D51" w:rsidRDefault="0002775A">
            <w:pPr>
              <w:pStyle w:val="P68B1DB1-Normal58"/>
              <w:spacing w:after="0" w:line="240" w:lineRule="auto"/>
              <w:jc w:val="center"/>
              <w:textAlignment w:val="baseline"/>
              <w:rPr>
                <w:rFonts w:eastAsia="Times New Roman"/>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hideMark/>
          </w:tcPr>
          <w:p w14:paraId="50AD3CAE" w14:textId="77777777" w:rsidR="003A3D51" w:rsidRDefault="0002775A">
            <w:pPr>
              <w:pStyle w:val="P68B1DB1-Normal58"/>
              <w:spacing w:after="0" w:line="240" w:lineRule="auto"/>
              <w:textAlignment w:val="baseline"/>
              <w:rPr>
                <w:rFonts w:eastAsia="Times New Roman"/>
                <w:noProof/>
              </w:rPr>
            </w:pPr>
            <w:r>
              <w:rPr>
                <w:noProof/>
              </w:rPr>
              <w:t>Antal företag som får stöd för energieffektivitet och användning av förnybar energi i industrin</w:t>
            </w:r>
          </w:p>
        </w:tc>
      </w:tr>
      <w:tr w:rsidR="003A3D51" w14:paraId="407E12A0"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02CD659" w14:textId="77777777" w:rsidR="003A3D51" w:rsidRDefault="0002775A">
            <w:pPr>
              <w:pStyle w:val="P68B1DB1-Normal58"/>
              <w:spacing w:after="0" w:line="240" w:lineRule="auto"/>
              <w:jc w:val="center"/>
              <w:textAlignment w:val="baseline"/>
              <w:rPr>
                <w:noProof/>
                <w:color w:val="000000"/>
              </w:rPr>
            </w:pPr>
            <w:r>
              <w:rPr>
                <w:noProof/>
              </w:rPr>
              <w:t>49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327E269" w14:textId="77777777" w:rsidR="003A3D51" w:rsidRDefault="0002775A">
            <w:pPr>
              <w:pStyle w:val="P68B1DB1-Normal58"/>
              <w:spacing w:after="0" w:line="240" w:lineRule="auto"/>
              <w:jc w:val="center"/>
              <w:textAlignment w:val="baseline"/>
              <w:rPr>
                <w:noProof/>
                <w:color w:val="000000"/>
              </w:rPr>
            </w:pPr>
            <w:r>
              <w:rPr>
                <w:noProof/>
              </w:rPr>
              <w:t>C1.2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C2593F5"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8AA1896" w14:textId="77777777" w:rsidR="003A3D51" w:rsidRDefault="0002775A">
            <w:pPr>
              <w:pStyle w:val="P68B1DB1-Normal58"/>
              <w:spacing w:after="0" w:line="240" w:lineRule="auto"/>
              <w:textAlignment w:val="baseline"/>
              <w:rPr>
                <w:noProof/>
                <w:color w:val="000000"/>
              </w:rPr>
            </w:pPr>
            <w:r>
              <w:rPr>
                <w:noProof/>
              </w:rPr>
              <w:t>Lagen om alternativa transportbränslen träder i kraft</w:t>
            </w:r>
          </w:p>
        </w:tc>
      </w:tr>
      <w:tr w:rsidR="003A3D51" w14:paraId="5B6FBFD6"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9D5FB0" w14:textId="77777777" w:rsidR="003A3D51" w:rsidRDefault="0002775A">
            <w:pPr>
              <w:pStyle w:val="P68B1DB1-Normal58"/>
              <w:spacing w:after="0" w:line="240" w:lineRule="auto"/>
              <w:jc w:val="center"/>
              <w:textAlignment w:val="baseline"/>
              <w:rPr>
                <w:noProof/>
                <w:color w:val="000000"/>
              </w:rPr>
            </w:pPr>
            <w:r>
              <w:rPr>
                <w:noProof/>
              </w:rPr>
              <w:t>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36CBB6E" w14:textId="77777777" w:rsidR="003A3D51" w:rsidRDefault="0002775A">
            <w:pPr>
              <w:pStyle w:val="P68B1DB1-Normal58"/>
              <w:spacing w:after="0" w:line="240" w:lineRule="auto"/>
              <w:jc w:val="center"/>
              <w:textAlignment w:val="baseline"/>
              <w:rPr>
                <w:noProof/>
                <w:color w:val="000000"/>
              </w:rPr>
            </w:pPr>
            <w:r>
              <w:rPr>
                <w:noProof/>
              </w:rPr>
              <w:t>C1.3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D5F324B"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8193E16" w14:textId="77777777" w:rsidR="003A3D51" w:rsidRDefault="0002775A">
            <w:pPr>
              <w:pStyle w:val="P68B1DB1-Normal58"/>
              <w:spacing w:after="0" w:line="240" w:lineRule="auto"/>
              <w:textAlignment w:val="baseline"/>
              <w:rPr>
                <w:noProof/>
                <w:color w:val="000000"/>
              </w:rPr>
            </w:pPr>
            <w:r>
              <w:rPr>
                <w:noProof/>
              </w:rPr>
              <w:t>Antagande av det fleråriga byggprogrammet för vattenrening och rening av avloppsvatten från tätbebyggelse</w:t>
            </w:r>
          </w:p>
        </w:tc>
      </w:tr>
      <w:tr w:rsidR="003A3D51" w14:paraId="685F1D16"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91F5985" w14:textId="77777777" w:rsidR="003A3D51" w:rsidRDefault="0002775A">
            <w:pPr>
              <w:pStyle w:val="P68B1DB1-Normal58"/>
              <w:spacing w:after="0" w:line="240" w:lineRule="auto"/>
              <w:jc w:val="center"/>
              <w:textAlignment w:val="baseline"/>
              <w:rPr>
                <w:noProof/>
                <w:color w:val="000000"/>
              </w:rPr>
            </w:pPr>
            <w:r>
              <w:rPr>
                <w:noProof/>
              </w:rPr>
              <w:t>81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2BA28EB" w14:textId="77777777" w:rsidR="003A3D51" w:rsidRDefault="0002775A">
            <w:pPr>
              <w:pStyle w:val="P68B1DB1-Normal58"/>
              <w:spacing w:after="0" w:line="240" w:lineRule="auto"/>
              <w:jc w:val="center"/>
              <w:textAlignment w:val="baseline"/>
              <w:rPr>
                <w:noProof/>
                <w:color w:val="000000"/>
              </w:rPr>
            </w:pPr>
            <w:r>
              <w:rPr>
                <w:noProof/>
              </w:rPr>
              <w:t>C1.3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AC0A4E6"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B82EA30" w14:textId="77777777" w:rsidR="003A3D51" w:rsidRDefault="0002775A">
            <w:pPr>
              <w:pStyle w:val="P68B1DB1-Normal58"/>
              <w:spacing w:after="0" w:line="240" w:lineRule="auto"/>
              <w:textAlignment w:val="baseline"/>
              <w:rPr>
                <w:noProof/>
                <w:color w:val="000000"/>
              </w:rPr>
            </w:pPr>
            <w:r>
              <w:rPr>
                <w:noProof/>
              </w:rPr>
              <w:t xml:space="preserve">Antagande av lagen om avfallshantering </w:t>
            </w:r>
          </w:p>
        </w:tc>
      </w:tr>
      <w:tr w:rsidR="003A3D51" w14:paraId="11E837B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EBB354" w14:textId="77777777" w:rsidR="003A3D51" w:rsidRDefault="0002775A">
            <w:pPr>
              <w:pStyle w:val="P68B1DB1-Normal58"/>
              <w:spacing w:after="0" w:line="240" w:lineRule="auto"/>
              <w:jc w:val="center"/>
              <w:textAlignment w:val="baseline"/>
              <w:rPr>
                <w:noProof/>
                <w:color w:val="000000"/>
              </w:rPr>
            </w:pPr>
            <w:r>
              <w:rPr>
                <w:noProof/>
              </w:rPr>
              <w:t>82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44B6B4B" w14:textId="77777777" w:rsidR="003A3D51" w:rsidRDefault="0002775A">
            <w:pPr>
              <w:pStyle w:val="P68B1DB1-Normal58"/>
              <w:spacing w:after="0" w:line="240" w:lineRule="auto"/>
              <w:jc w:val="center"/>
              <w:textAlignment w:val="baseline"/>
              <w:rPr>
                <w:noProof/>
                <w:color w:val="000000"/>
              </w:rPr>
            </w:pPr>
            <w:r>
              <w:rPr>
                <w:noProof/>
              </w:rPr>
              <w:t>C1.3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C5FE48C"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5CFD9EE" w14:textId="77777777" w:rsidR="003A3D51" w:rsidRDefault="0002775A">
            <w:pPr>
              <w:pStyle w:val="P68B1DB1-Normal58"/>
              <w:spacing w:after="0" w:line="240" w:lineRule="auto"/>
              <w:textAlignment w:val="baseline"/>
              <w:rPr>
                <w:noProof/>
                <w:color w:val="000000"/>
              </w:rPr>
            </w:pPr>
            <w:r>
              <w:rPr>
                <w:noProof/>
              </w:rPr>
              <w:t>Översyn av Republiken Kroatiens avfallshanteringsplan för perioden 2017–2022</w:t>
            </w:r>
          </w:p>
        </w:tc>
      </w:tr>
      <w:tr w:rsidR="003A3D51" w14:paraId="1F6C1735"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4AEEA96" w14:textId="77777777" w:rsidR="003A3D51" w:rsidRDefault="0002775A">
            <w:pPr>
              <w:pStyle w:val="P68B1DB1-Normal58"/>
              <w:spacing w:after="0" w:line="240" w:lineRule="auto"/>
              <w:jc w:val="center"/>
              <w:textAlignment w:val="baseline"/>
              <w:rPr>
                <w:noProof/>
                <w:color w:val="000000"/>
              </w:rPr>
            </w:pPr>
            <w:r>
              <w:rPr>
                <w:noProof/>
              </w:rPr>
              <w:t>91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56A3451" w14:textId="77777777" w:rsidR="003A3D51" w:rsidRDefault="0002775A">
            <w:pPr>
              <w:pStyle w:val="P68B1DB1-Normal58"/>
              <w:spacing w:after="0" w:line="240" w:lineRule="auto"/>
              <w:jc w:val="center"/>
              <w:textAlignment w:val="baseline"/>
              <w:rPr>
                <w:noProof/>
                <w:color w:val="000000"/>
              </w:rPr>
            </w:pPr>
            <w:r>
              <w:rPr>
                <w:noProof/>
              </w:rPr>
              <w:t>C1.4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665C744"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99A4C41" w14:textId="77777777" w:rsidR="003A3D51" w:rsidRDefault="0002775A">
            <w:pPr>
              <w:pStyle w:val="P68B1DB1-Normal58"/>
              <w:spacing w:after="0" w:line="240" w:lineRule="auto"/>
              <w:textAlignment w:val="baseline"/>
              <w:rPr>
                <w:noProof/>
                <w:color w:val="000000"/>
              </w:rPr>
            </w:pPr>
            <w:r>
              <w:rPr>
                <w:noProof/>
              </w:rPr>
              <w:t xml:space="preserve">Ändringar i väglagen </w:t>
            </w:r>
          </w:p>
        </w:tc>
      </w:tr>
      <w:tr w:rsidR="003A3D51" w14:paraId="38903FD1"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C30B92" w14:textId="77777777" w:rsidR="003A3D51" w:rsidRDefault="0002775A">
            <w:pPr>
              <w:pStyle w:val="P68B1DB1-Normal58"/>
              <w:spacing w:after="0" w:line="240" w:lineRule="auto"/>
              <w:jc w:val="center"/>
              <w:textAlignment w:val="baseline"/>
              <w:rPr>
                <w:noProof/>
                <w:color w:val="000000"/>
              </w:rPr>
            </w:pPr>
            <w:r>
              <w:rPr>
                <w:noProof/>
              </w:rPr>
              <w:t>92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59FA62D" w14:textId="77777777" w:rsidR="003A3D51" w:rsidRDefault="0002775A">
            <w:pPr>
              <w:pStyle w:val="P68B1DB1-Normal58"/>
              <w:spacing w:after="0" w:line="240" w:lineRule="auto"/>
              <w:jc w:val="center"/>
              <w:textAlignment w:val="baseline"/>
              <w:rPr>
                <w:noProof/>
                <w:color w:val="000000"/>
              </w:rPr>
            </w:pPr>
            <w:r>
              <w:rPr>
                <w:noProof/>
              </w:rPr>
              <w:t>C1.4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8B6C06B"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600D24B" w14:textId="77777777" w:rsidR="003A3D51" w:rsidRDefault="0002775A">
            <w:pPr>
              <w:pStyle w:val="P68B1DB1-Normal58"/>
              <w:spacing w:after="0" w:line="240" w:lineRule="auto"/>
              <w:textAlignment w:val="baseline"/>
              <w:rPr>
                <w:noProof/>
                <w:color w:val="000000"/>
              </w:rPr>
            </w:pPr>
            <w:r>
              <w:rPr>
                <w:noProof/>
              </w:rPr>
              <w:t>Det nationella trafiksäkerhetsprogrammet 2021–2030</w:t>
            </w:r>
          </w:p>
        </w:tc>
      </w:tr>
      <w:tr w:rsidR="003A3D51" w14:paraId="43E9F3EA"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ED1417" w14:textId="77777777" w:rsidR="003A3D51" w:rsidRDefault="0002775A">
            <w:pPr>
              <w:pStyle w:val="P68B1DB1-Normal58"/>
              <w:spacing w:after="0" w:line="240" w:lineRule="auto"/>
              <w:jc w:val="center"/>
              <w:textAlignment w:val="baseline"/>
              <w:rPr>
                <w:noProof/>
                <w:color w:val="000000"/>
              </w:rPr>
            </w:pPr>
            <w:r>
              <w:rPr>
                <w:noProof/>
              </w:rPr>
              <w:t>98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2285DB1" w14:textId="77777777" w:rsidR="003A3D51" w:rsidRDefault="0002775A">
            <w:pPr>
              <w:pStyle w:val="P68B1DB1-Normal58"/>
              <w:spacing w:after="0" w:line="240" w:lineRule="auto"/>
              <w:jc w:val="center"/>
              <w:textAlignment w:val="baseline"/>
              <w:rPr>
                <w:noProof/>
                <w:color w:val="000000"/>
              </w:rPr>
            </w:pPr>
            <w:r>
              <w:rPr>
                <w:noProof/>
              </w:rPr>
              <w:t>C1.4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19F3701"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40DE3D4" w14:textId="77777777" w:rsidR="003A3D51" w:rsidRDefault="0002775A">
            <w:pPr>
              <w:pStyle w:val="P68B1DB1-Normal58"/>
              <w:spacing w:after="0" w:line="240" w:lineRule="auto"/>
              <w:textAlignment w:val="baseline"/>
              <w:rPr>
                <w:noProof/>
                <w:color w:val="000000"/>
              </w:rPr>
            </w:pPr>
            <w:r>
              <w:rPr>
                <w:noProof/>
              </w:rPr>
              <w:t xml:space="preserve">Antagande av skrivelsen om sektorspolitik </w:t>
            </w:r>
          </w:p>
        </w:tc>
      </w:tr>
      <w:tr w:rsidR="003A3D51" w14:paraId="7FC22C2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13F1ED2" w14:textId="77777777" w:rsidR="003A3D51" w:rsidRDefault="0002775A">
            <w:pPr>
              <w:pStyle w:val="P68B1DB1-Normal58"/>
              <w:spacing w:after="0" w:line="240" w:lineRule="auto"/>
              <w:jc w:val="center"/>
              <w:textAlignment w:val="baseline"/>
              <w:rPr>
                <w:noProof/>
                <w:color w:val="000000"/>
              </w:rPr>
            </w:pPr>
            <w:r>
              <w:rPr>
                <w:noProof/>
              </w:rPr>
              <w:t>109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8E045A" w14:textId="77777777" w:rsidR="003A3D51" w:rsidRDefault="0002775A">
            <w:pPr>
              <w:pStyle w:val="P68B1DB1-Normal58"/>
              <w:spacing w:after="0" w:line="240" w:lineRule="auto"/>
              <w:jc w:val="center"/>
              <w:textAlignment w:val="baseline"/>
              <w:rPr>
                <w:noProof/>
                <w:color w:val="000000"/>
              </w:rPr>
            </w:pPr>
            <w:r>
              <w:rPr>
                <w:noProof/>
              </w:rPr>
              <w:t>C1.4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C49D506"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77E34F3" w14:textId="77777777" w:rsidR="003A3D51" w:rsidRDefault="0002775A">
            <w:pPr>
              <w:pStyle w:val="P68B1DB1-Normal58"/>
              <w:spacing w:after="0" w:line="240" w:lineRule="auto"/>
              <w:textAlignment w:val="baseline"/>
              <w:rPr>
                <w:noProof/>
                <w:color w:val="000000"/>
              </w:rPr>
            </w:pPr>
            <w:r>
              <w:rPr>
                <w:noProof/>
              </w:rPr>
              <w:t xml:space="preserve">Den nya lagen om reguljär och säsongsbunden kusttrafik </w:t>
            </w:r>
          </w:p>
        </w:tc>
      </w:tr>
      <w:tr w:rsidR="003A3D51" w14:paraId="61873DB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7251196" w14:textId="77777777" w:rsidR="003A3D51" w:rsidRDefault="0002775A">
            <w:pPr>
              <w:pStyle w:val="P68B1DB1-Normal58"/>
              <w:spacing w:after="0" w:line="240" w:lineRule="auto"/>
              <w:jc w:val="center"/>
              <w:textAlignment w:val="baseline"/>
              <w:rPr>
                <w:noProof/>
                <w:color w:val="000000"/>
              </w:rPr>
            </w:pPr>
            <w:r>
              <w:rPr>
                <w:noProof/>
              </w:rPr>
              <w:t>110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4208886" w14:textId="77777777" w:rsidR="003A3D51" w:rsidRDefault="0002775A">
            <w:pPr>
              <w:pStyle w:val="P68B1DB1-Normal58"/>
              <w:spacing w:after="0" w:line="240" w:lineRule="auto"/>
              <w:jc w:val="center"/>
              <w:textAlignment w:val="baseline"/>
              <w:rPr>
                <w:noProof/>
                <w:color w:val="000000"/>
              </w:rPr>
            </w:pPr>
            <w:r>
              <w:rPr>
                <w:noProof/>
              </w:rPr>
              <w:t>C1.4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F225F23"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4A88F1D" w14:textId="77777777" w:rsidR="003A3D51" w:rsidRDefault="0002775A">
            <w:pPr>
              <w:pStyle w:val="P68B1DB1-Normal58"/>
              <w:spacing w:after="0" w:line="240" w:lineRule="auto"/>
              <w:textAlignment w:val="baseline"/>
              <w:rPr>
                <w:noProof/>
                <w:color w:val="000000"/>
              </w:rPr>
            </w:pPr>
            <w:r>
              <w:rPr>
                <w:noProof/>
              </w:rPr>
              <w:t>Den nya lagen om inlandssjöfart och hamnar</w:t>
            </w:r>
          </w:p>
        </w:tc>
      </w:tr>
      <w:tr w:rsidR="003A3D51" w14:paraId="1801DF5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C57DB85" w14:textId="77777777" w:rsidR="003A3D51" w:rsidRDefault="0002775A">
            <w:pPr>
              <w:pStyle w:val="P68B1DB1-Normal58"/>
              <w:spacing w:after="0" w:line="240" w:lineRule="auto"/>
              <w:jc w:val="center"/>
              <w:textAlignment w:val="baseline"/>
              <w:rPr>
                <w:noProof/>
                <w:color w:val="000000"/>
              </w:rPr>
            </w:pPr>
            <w:r>
              <w:rPr>
                <w:noProof/>
              </w:rPr>
              <w:t>126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18D33B6" w14:textId="77777777" w:rsidR="003A3D51" w:rsidRDefault="0002775A">
            <w:pPr>
              <w:pStyle w:val="P68B1DB1-Normal58"/>
              <w:spacing w:after="0" w:line="240" w:lineRule="auto"/>
              <w:jc w:val="center"/>
              <w:textAlignment w:val="baseline"/>
              <w:rPr>
                <w:noProof/>
                <w:color w:val="000000"/>
              </w:rPr>
            </w:pPr>
            <w:r>
              <w:rPr>
                <w:noProof/>
              </w:rPr>
              <w:t>C1.5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105C860"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5E4DD12" w14:textId="77777777" w:rsidR="003A3D51" w:rsidRDefault="0002775A">
            <w:pPr>
              <w:pStyle w:val="P68B1DB1-Normal58"/>
              <w:spacing w:after="0" w:line="240" w:lineRule="auto"/>
              <w:textAlignment w:val="baseline"/>
              <w:rPr>
                <w:noProof/>
                <w:color w:val="000000"/>
              </w:rPr>
            </w:pPr>
            <w:r>
              <w:rPr>
                <w:noProof/>
              </w:rPr>
              <w:t>Det operativa programmet för att stärka marknadskapaciteten inom sektorn för frukt och grönsaker för perioden 2021–2026</w:t>
            </w:r>
          </w:p>
        </w:tc>
      </w:tr>
      <w:tr w:rsidR="003A3D51" w14:paraId="35D35E3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E20AB6" w14:textId="77777777" w:rsidR="003A3D51" w:rsidRDefault="0002775A">
            <w:pPr>
              <w:pStyle w:val="P68B1DB1-Normal58"/>
              <w:spacing w:after="0" w:line="240" w:lineRule="auto"/>
              <w:jc w:val="center"/>
              <w:textAlignment w:val="baseline"/>
              <w:rPr>
                <w:noProof/>
                <w:color w:val="000000"/>
              </w:rPr>
            </w:pPr>
            <w:r>
              <w:rPr>
                <w:noProof/>
              </w:rPr>
              <w:t>134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CC1B67D" w14:textId="77777777" w:rsidR="003A3D51" w:rsidRDefault="0002775A">
            <w:pPr>
              <w:pStyle w:val="P68B1DB1-Normal58"/>
              <w:spacing w:after="0" w:line="240" w:lineRule="auto"/>
              <w:jc w:val="center"/>
              <w:textAlignment w:val="baseline"/>
              <w:rPr>
                <w:noProof/>
                <w:color w:val="000000"/>
              </w:rPr>
            </w:pPr>
            <w:r>
              <w:rPr>
                <w:noProof/>
              </w:rPr>
              <w:t>C1.5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E82D976"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CDD6E0A" w14:textId="77777777" w:rsidR="003A3D51" w:rsidRDefault="0002775A">
            <w:pPr>
              <w:pStyle w:val="P68B1DB1-Normal58"/>
              <w:spacing w:after="0" w:line="240" w:lineRule="auto"/>
              <w:textAlignment w:val="baseline"/>
              <w:rPr>
                <w:noProof/>
                <w:color w:val="000000"/>
              </w:rPr>
            </w:pPr>
            <w:r>
              <w:rPr>
                <w:noProof/>
              </w:rPr>
              <w:t xml:space="preserve">Inrättande av en enhet för genomförande och förvaltning av projekt för digital omvandling vid jordbruksministeriet </w:t>
            </w:r>
          </w:p>
        </w:tc>
      </w:tr>
      <w:tr w:rsidR="003A3D51" w14:paraId="26C89B39"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711371" w14:textId="3CD29D56" w:rsidR="003A3D51" w:rsidRDefault="0002775A">
            <w:pPr>
              <w:pStyle w:val="P68B1DB1-Normal58"/>
              <w:spacing w:after="0" w:line="240" w:lineRule="auto"/>
              <w:jc w:val="center"/>
              <w:textAlignment w:val="baseline"/>
              <w:rPr>
                <w:noProof/>
                <w:color w:val="000000"/>
              </w:rPr>
            </w:pPr>
            <w:r>
              <w:rPr>
                <w:noProof/>
              </w:rPr>
              <w:t>140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C03A420" w14:textId="620893E1" w:rsidR="003A3D51" w:rsidRDefault="0002775A">
            <w:pPr>
              <w:pStyle w:val="P68B1DB1-Normal58"/>
              <w:spacing w:after="0" w:line="240" w:lineRule="auto"/>
              <w:jc w:val="center"/>
              <w:textAlignment w:val="baseline"/>
              <w:rPr>
                <w:noProof/>
                <w:color w:val="000000"/>
              </w:rPr>
            </w:pPr>
            <w:r>
              <w:rPr>
                <w:noProof/>
              </w:rPr>
              <w:t>C1.6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2BC43CF" w14:textId="7E1DFA72"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B40F97D" w14:textId="77777777" w:rsidR="003A3D51" w:rsidRDefault="0002775A">
            <w:pPr>
              <w:pStyle w:val="P68B1DB1-Normal58"/>
              <w:spacing w:after="0" w:line="240" w:lineRule="auto"/>
              <w:textAlignment w:val="baseline"/>
              <w:rPr>
                <w:noProof/>
                <w:color w:val="000000"/>
              </w:rPr>
            </w:pPr>
            <w:r>
              <w:rPr>
                <w:noProof/>
              </w:rPr>
              <w:t xml:space="preserve">Scenarioanalys som en del av utvecklingen av hållbar turism </w:t>
            </w:r>
          </w:p>
          <w:p w14:paraId="5B820A0E" w14:textId="36B02646" w:rsidR="003A3D51" w:rsidRDefault="0002775A">
            <w:pPr>
              <w:pStyle w:val="P68B1DB1-Normal58"/>
              <w:spacing w:after="0" w:line="240" w:lineRule="auto"/>
              <w:textAlignment w:val="baseline"/>
              <w:rPr>
                <w:noProof/>
                <w:color w:val="000000"/>
              </w:rPr>
            </w:pPr>
            <w:r>
              <w:rPr>
                <w:noProof/>
              </w:rPr>
              <w:t>Strategi för 2030</w:t>
            </w:r>
          </w:p>
        </w:tc>
      </w:tr>
      <w:tr w:rsidR="003A3D51" w14:paraId="11221B4A"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CF4DA6" w14:textId="77777777" w:rsidR="003A3D51" w:rsidRDefault="0002775A">
            <w:pPr>
              <w:pStyle w:val="P68B1DB1-Normal58"/>
              <w:spacing w:after="0" w:line="240" w:lineRule="auto"/>
              <w:jc w:val="center"/>
              <w:textAlignment w:val="baseline"/>
              <w:rPr>
                <w:noProof/>
                <w:color w:val="000000"/>
              </w:rPr>
            </w:pPr>
            <w:r>
              <w:rPr>
                <w:noProof/>
              </w:rPr>
              <w:t>156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FE2B026" w14:textId="77777777" w:rsidR="003A3D51" w:rsidRDefault="0002775A">
            <w:pPr>
              <w:pStyle w:val="P68B1DB1-Normal58"/>
              <w:spacing w:after="0" w:line="240" w:lineRule="auto"/>
              <w:jc w:val="center"/>
              <w:textAlignment w:val="baseline"/>
              <w:rPr>
                <w:noProof/>
                <w:color w:val="000000"/>
              </w:rPr>
            </w:pPr>
            <w:r>
              <w:rPr>
                <w:noProof/>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68C6949"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3AFFA4D" w14:textId="77777777" w:rsidR="003A3D51" w:rsidRDefault="0002775A">
            <w:pPr>
              <w:pStyle w:val="P68B1DB1-Normal58"/>
              <w:spacing w:after="0" w:line="240" w:lineRule="auto"/>
              <w:textAlignment w:val="baseline"/>
              <w:rPr>
                <w:noProof/>
                <w:color w:val="000000"/>
              </w:rPr>
            </w:pPr>
            <w:r>
              <w:rPr>
                <w:noProof/>
              </w:rPr>
              <w:t>Ändring av ARPA:s stadgar för att omdefiniera dess mandat</w:t>
            </w:r>
          </w:p>
        </w:tc>
      </w:tr>
      <w:tr w:rsidR="003A3D51" w14:paraId="1F8401C4"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47DAC04" w14:textId="77777777" w:rsidR="003A3D51" w:rsidRDefault="0002775A">
            <w:pPr>
              <w:pStyle w:val="P68B1DB1-Normal58"/>
              <w:spacing w:after="0" w:line="240" w:lineRule="auto"/>
              <w:jc w:val="center"/>
              <w:textAlignment w:val="baseline"/>
              <w:rPr>
                <w:noProof/>
                <w:color w:val="000000"/>
              </w:rPr>
            </w:pPr>
            <w:r>
              <w:rPr>
                <w:noProof/>
              </w:rPr>
              <w:t>157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43CEFE4" w14:textId="77777777" w:rsidR="003A3D51" w:rsidRDefault="0002775A">
            <w:pPr>
              <w:pStyle w:val="P68B1DB1-Normal58"/>
              <w:spacing w:after="0" w:line="240" w:lineRule="auto"/>
              <w:jc w:val="center"/>
              <w:textAlignment w:val="baseline"/>
              <w:rPr>
                <w:noProof/>
                <w:color w:val="000000"/>
              </w:rPr>
            </w:pPr>
            <w:r>
              <w:rPr>
                <w:noProof/>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0CBE0E1"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87F1CE2" w14:textId="77777777" w:rsidR="003A3D51" w:rsidRDefault="0002775A">
            <w:pPr>
              <w:pStyle w:val="P68B1DB1-Normal58"/>
              <w:spacing w:after="0" w:line="240" w:lineRule="auto"/>
              <w:textAlignment w:val="baseline"/>
              <w:rPr>
                <w:noProof/>
                <w:color w:val="000000"/>
              </w:rPr>
            </w:pPr>
            <w:r>
              <w:rPr>
                <w:noProof/>
              </w:rPr>
              <w:t>Inrättande av genomförande-, revisions- och kontrollsystem för återhämtnings- och resiliensplanen</w:t>
            </w:r>
          </w:p>
        </w:tc>
      </w:tr>
      <w:tr w:rsidR="003A3D51" w14:paraId="13A4FBE2"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4472C1" w14:textId="77777777" w:rsidR="003A3D51" w:rsidRDefault="0002775A">
            <w:pPr>
              <w:pStyle w:val="P68B1DB1-Normal58"/>
              <w:spacing w:after="0" w:line="240" w:lineRule="auto"/>
              <w:jc w:val="center"/>
              <w:textAlignment w:val="baseline"/>
              <w:rPr>
                <w:noProof/>
                <w:color w:val="000000"/>
              </w:rPr>
            </w:pPr>
            <w:r>
              <w:rPr>
                <w:noProof/>
              </w:rPr>
              <w:t>158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AF31295" w14:textId="77777777" w:rsidR="003A3D51" w:rsidRDefault="0002775A">
            <w:pPr>
              <w:pStyle w:val="P68B1DB1-Normal58"/>
              <w:spacing w:after="0" w:line="240" w:lineRule="auto"/>
              <w:jc w:val="center"/>
              <w:textAlignment w:val="baseline"/>
              <w:rPr>
                <w:noProof/>
                <w:color w:val="000000"/>
              </w:rPr>
            </w:pPr>
            <w:r>
              <w:rPr>
                <w:noProof/>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A1CA802"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8663250" w14:textId="77777777" w:rsidR="003A3D51" w:rsidRDefault="0002775A">
            <w:pPr>
              <w:pStyle w:val="P68B1DB1-Normal58"/>
              <w:spacing w:after="0" w:line="240" w:lineRule="auto"/>
              <w:textAlignment w:val="baseline"/>
              <w:rPr>
                <w:noProof/>
                <w:color w:val="000000"/>
              </w:rPr>
            </w:pPr>
            <w:r>
              <w:rPr>
                <w:noProof/>
              </w:rPr>
              <w:t>Antagande av lagen om den institutionella ramen för EU-medel</w:t>
            </w:r>
          </w:p>
        </w:tc>
      </w:tr>
      <w:tr w:rsidR="003A3D51" w14:paraId="0B05EC22"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B5FD841" w14:textId="77777777" w:rsidR="003A3D51" w:rsidRDefault="0002775A">
            <w:pPr>
              <w:pStyle w:val="P68B1DB1-Normal58"/>
              <w:spacing w:after="0" w:line="240" w:lineRule="auto"/>
              <w:jc w:val="center"/>
              <w:textAlignment w:val="baseline"/>
              <w:rPr>
                <w:noProof/>
                <w:color w:val="000000"/>
              </w:rPr>
            </w:pPr>
            <w:r>
              <w:rPr>
                <w:noProof/>
              </w:rPr>
              <w:t>159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6F81692" w14:textId="77777777" w:rsidR="003A3D51" w:rsidRDefault="0002775A">
            <w:pPr>
              <w:pStyle w:val="P68B1DB1-Normal58"/>
              <w:spacing w:after="0" w:line="240" w:lineRule="auto"/>
              <w:jc w:val="center"/>
              <w:textAlignment w:val="baseline"/>
              <w:rPr>
                <w:noProof/>
                <w:color w:val="000000"/>
              </w:rPr>
            </w:pPr>
            <w:r>
              <w:rPr>
                <w:noProof/>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686BA87"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9AE9E92" w14:textId="77777777" w:rsidR="003A3D51" w:rsidRDefault="0002775A">
            <w:pPr>
              <w:pStyle w:val="P68B1DB1-Normal58"/>
              <w:spacing w:after="0" w:line="240" w:lineRule="auto"/>
              <w:textAlignment w:val="baseline"/>
              <w:rPr>
                <w:noProof/>
                <w:color w:val="000000"/>
              </w:rPr>
            </w:pPr>
            <w:r>
              <w:rPr>
                <w:noProof/>
              </w:rPr>
              <w:t xml:space="preserve">Bedömning av den administrativa kapaciteten </w:t>
            </w:r>
          </w:p>
        </w:tc>
      </w:tr>
      <w:tr w:rsidR="003A3D51" w14:paraId="612A0D0F"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D408474" w14:textId="77777777" w:rsidR="003A3D51" w:rsidRDefault="0002775A">
            <w:pPr>
              <w:pStyle w:val="P68B1DB1-Normal58"/>
              <w:spacing w:after="0" w:line="240" w:lineRule="auto"/>
              <w:jc w:val="center"/>
              <w:textAlignment w:val="baseline"/>
              <w:rPr>
                <w:noProof/>
                <w:color w:val="000000"/>
              </w:rPr>
            </w:pPr>
            <w:r>
              <w:rPr>
                <w:noProof/>
              </w:rPr>
              <w:t>207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F264782" w14:textId="77777777" w:rsidR="003A3D51" w:rsidRDefault="0002775A">
            <w:pPr>
              <w:pStyle w:val="P68B1DB1-Normal58"/>
              <w:spacing w:after="0" w:line="240" w:lineRule="auto"/>
              <w:jc w:val="center"/>
              <w:textAlignment w:val="baseline"/>
              <w:rPr>
                <w:noProof/>
                <w:color w:val="000000"/>
              </w:rPr>
            </w:pPr>
            <w:r>
              <w:rPr>
                <w:noProof/>
              </w:rPr>
              <w:t>C2.4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A921952"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1E2497E" w14:textId="77777777" w:rsidR="003A3D51" w:rsidRDefault="0002775A">
            <w:pPr>
              <w:pStyle w:val="P68B1DB1-Normal58"/>
              <w:spacing w:after="0" w:line="240" w:lineRule="auto"/>
              <w:textAlignment w:val="baseline"/>
              <w:rPr>
                <w:noProof/>
                <w:color w:val="000000"/>
              </w:rPr>
            </w:pPr>
            <w:r>
              <w:rPr>
                <w:noProof/>
              </w:rPr>
              <w:t xml:space="preserve">Nytt beslut från Kroatiens regering om statsägda företag av särskilt intresse för Kroatien </w:t>
            </w:r>
          </w:p>
        </w:tc>
      </w:tr>
      <w:tr w:rsidR="003A3D51" w14:paraId="025370FA"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543F1B0" w14:textId="77777777" w:rsidR="003A3D51" w:rsidRDefault="0002775A">
            <w:pPr>
              <w:pStyle w:val="P68B1DB1-Normal58"/>
              <w:spacing w:after="0" w:line="240" w:lineRule="auto"/>
              <w:jc w:val="center"/>
              <w:textAlignment w:val="baseline"/>
              <w:rPr>
                <w:noProof/>
                <w:color w:val="000000"/>
              </w:rPr>
            </w:pPr>
            <w:r>
              <w:rPr>
                <w:noProof/>
              </w:rPr>
              <w:t>231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A9BB35F" w14:textId="77777777" w:rsidR="003A3D51" w:rsidRDefault="0002775A">
            <w:pPr>
              <w:pStyle w:val="P68B1DB1-Normal58"/>
              <w:spacing w:after="0" w:line="240" w:lineRule="auto"/>
              <w:jc w:val="center"/>
              <w:textAlignment w:val="baseline"/>
              <w:rPr>
                <w:noProof/>
                <w:color w:val="000000"/>
              </w:rPr>
            </w:pPr>
            <w:r>
              <w:rPr>
                <w:noProof/>
              </w:rPr>
              <w:t>C2.6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23D1377"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C20686F" w14:textId="77777777" w:rsidR="003A3D51" w:rsidRDefault="0002775A">
            <w:pPr>
              <w:pStyle w:val="P68B1DB1-Normal58"/>
              <w:spacing w:after="0" w:line="240" w:lineRule="auto"/>
              <w:textAlignment w:val="baseline"/>
              <w:rPr>
                <w:noProof/>
                <w:color w:val="000000"/>
              </w:rPr>
            </w:pPr>
            <w:r>
              <w:rPr>
                <w:noProof/>
              </w:rPr>
              <w:t>Antagande av en ny strategi för korruptionsbekämpning för 2021–2030</w:t>
            </w:r>
          </w:p>
        </w:tc>
      </w:tr>
      <w:tr w:rsidR="003A3D51" w14:paraId="794074A7"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21DA98" w14:textId="77777777" w:rsidR="003A3D51" w:rsidRDefault="0002775A">
            <w:pPr>
              <w:pStyle w:val="P68B1DB1-Normal58"/>
              <w:spacing w:after="0" w:line="240" w:lineRule="auto"/>
              <w:jc w:val="center"/>
              <w:textAlignment w:val="baseline"/>
              <w:rPr>
                <w:noProof/>
                <w:color w:val="000000"/>
              </w:rPr>
            </w:pPr>
            <w:r>
              <w:rPr>
                <w:noProof/>
              </w:rPr>
              <w:t>232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BCBE6C4" w14:textId="77777777" w:rsidR="003A3D51" w:rsidRDefault="0002775A">
            <w:pPr>
              <w:pStyle w:val="P68B1DB1-Normal58"/>
              <w:spacing w:after="0" w:line="240" w:lineRule="auto"/>
              <w:jc w:val="center"/>
              <w:textAlignment w:val="baseline"/>
              <w:rPr>
                <w:noProof/>
                <w:color w:val="000000"/>
              </w:rPr>
            </w:pPr>
            <w:r>
              <w:rPr>
                <w:noProof/>
              </w:rPr>
              <w:t>C2.6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860CD1D"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4A99832" w14:textId="77777777" w:rsidR="003A3D51" w:rsidRDefault="0002775A">
            <w:pPr>
              <w:pStyle w:val="P68B1DB1-Normal58"/>
              <w:spacing w:after="0" w:line="240" w:lineRule="auto"/>
              <w:textAlignment w:val="baseline"/>
              <w:rPr>
                <w:noProof/>
                <w:color w:val="000000"/>
              </w:rPr>
            </w:pPr>
            <w:r>
              <w:rPr>
                <w:noProof/>
              </w:rPr>
              <w:t xml:space="preserve">Antagande av den nya lagen om förebyggande av intressekonflikter </w:t>
            </w:r>
          </w:p>
        </w:tc>
      </w:tr>
      <w:tr w:rsidR="003A3D51" w14:paraId="730EED48"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8C8173D" w14:textId="77777777" w:rsidR="003A3D51" w:rsidRDefault="0002775A">
            <w:pPr>
              <w:pStyle w:val="P68B1DB1-Normal58"/>
              <w:spacing w:after="0" w:line="240" w:lineRule="auto"/>
              <w:jc w:val="center"/>
              <w:textAlignment w:val="baseline"/>
              <w:rPr>
                <w:noProof/>
                <w:color w:val="000000"/>
              </w:rPr>
            </w:pPr>
            <w:r>
              <w:rPr>
                <w:noProof/>
              </w:rPr>
              <w:t>247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F3060A4" w14:textId="77777777" w:rsidR="003A3D51" w:rsidRDefault="0002775A">
            <w:pPr>
              <w:pStyle w:val="P68B1DB1-Normal58"/>
              <w:spacing w:after="0" w:line="240" w:lineRule="auto"/>
              <w:jc w:val="center"/>
              <w:textAlignment w:val="baseline"/>
              <w:rPr>
                <w:noProof/>
                <w:color w:val="000000"/>
              </w:rPr>
            </w:pPr>
            <w:r>
              <w:rPr>
                <w:noProof/>
              </w:rPr>
              <w:t>C2.7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DF8597B"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B8D9EB9" w14:textId="77777777" w:rsidR="003A3D51" w:rsidRDefault="0002775A">
            <w:pPr>
              <w:pStyle w:val="P68B1DB1-Normal58"/>
              <w:spacing w:after="0" w:line="240" w:lineRule="auto"/>
              <w:textAlignment w:val="baseline"/>
              <w:rPr>
                <w:noProof/>
                <w:color w:val="000000"/>
              </w:rPr>
            </w:pPr>
            <w:r>
              <w:rPr>
                <w:noProof/>
              </w:rPr>
              <w:t>Stärka den finanspolitiska ramen genom ändring av budgetlagen för att förbättra budgetprocesserna</w:t>
            </w:r>
          </w:p>
        </w:tc>
      </w:tr>
      <w:tr w:rsidR="003A3D51" w14:paraId="4FDA9D01"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B1C756" w14:textId="77777777" w:rsidR="003A3D51" w:rsidRDefault="0002775A">
            <w:pPr>
              <w:pStyle w:val="P68B1DB1-Normal58"/>
              <w:spacing w:after="0" w:line="240" w:lineRule="auto"/>
              <w:jc w:val="center"/>
              <w:textAlignment w:val="baseline"/>
              <w:rPr>
                <w:noProof/>
                <w:color w:val="000000"/>
              </w:rPr>
            </w:pPr>
            <w:r>
              <w:rPr>
                <w:noProof/>
              </w:rPr>
              <w:t>248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539028A" w14:textId="77777777" w:rsidR="003A3D51" w:rsidRDefault="0002775A">
            <w:pPr>
              <w:pStyle w:val="P68B1DB1-Normal58"/>
              <w:spacing w:after="0" w:line="240" w:lineRule="auto"/>
              <w:jc w:val="center"/>
              <w:textAlignment w:val="baseline"/>
              <w:rPr>
                <w:noProof/>
                <w:color w:val="000000"/>
              </w:rPr>
            </w:pPr>
            <w:r>
              <w:rPr>
                <w:noProof/>
              </w:rPr>
              <w:t>C2.7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72328E0"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AE3CA74" w14:textId="77777777" w:rsidR="003A3D51" w:rsidRDefault="0002775A">
            <w:pPr>
              <w:pStyle w:val="P68B1DB1-Normal58"/>
              <w:spacing w:after="0" w:line="240" w:lineRule="auto"/>
              <w:textAlignment w:val="baseline"/>
              <w:rPr>
                <w:noProof/>
                <w:color w:val="000000"/>
              </w:rPr>
            </w:pPr>
            <w:r>
              <w:rPr>
                <w:noProof/>
              </w:rPr>
              <w:t>Se till att finanspolitiska kommissionen fungerar fullt ut.</w:t>
            </w:r>
          </w:p>
        </w:tc>
      </w:tr>
      <w:tr w:rsidR="003A3D51" w14:paraId="452D24BE"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C6198A" w14:textId="77777777" w:rsidR="003A3D51" w:rsidRDefault="0002775A">
            <w:pPr>
              <w:pStyle w:val="P68B1DB1-Normal58"/>
              <w:spacing w:after="0" w:line="240" w:lineRule="auto"/>
              <w:jc w:val="center"/>
              <w:textAlignment w:val="baseline"/>
              <w:rPr>
                <w:noProof/>
                <w:color w:val="000000"/>
              </w:rPr>
            </w:pPr>
            <w:r>
              <w:rPr>
                <w:noProof/>
              </w:rPr>
              <w:t>250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ACE855F" w14:textId="77777777" w:rsidR="003A3D51" w:rsidRDefault="0002775A">
            <w:pPr>
              <w:pStyle w:val="P68B1DB1-Normal58"/>
              <w:spacing w:after="0" w:line="240" w:lineRule="auto"/>
              <w:jc w:val="center"/>
              <w:textAlignment w:val="baseline"/>
              <w:rPr>
                <w:noProof/>
                <w:color w:val="000000"/>
              </w:rPr>
            </w:pPr>
            <w:r>
              <w:rPr>
                <w:noProof/>
              </w:rPr>
              <w:t>C2.8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FDF56DD"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61455D2" w14:textId="77777777" w:rsidR="003A3D51" w:rsidRDefault="0002775A">
            <w:pPr>
              <w:pStyle w:val="P68B1DB1-Normal58"/>
              <w:spacing w:after="0" w:line="240" w:lineRule="auto"/>
              <w:textAlignment w:val="baseline"/>
              <w:rPr>
                <w:noProof/>
                <w:color w:val="000000"/>
              </w:rPr>
            </w:pPr>
            <w:r>
              <w:rPr>
                <w:noProof/>
              </w:rPr>
              <w:t>Öka medvetenheten hos alla ansvariga parter genom regelbunden utbildning.</w:t>
            </w:r>
          </w:p>
        </w:tc>
      </w:tr>
      <w:tr w:rsidR="003A3D51" w14:paraId="5CC2C268"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FE7637D" w14:textId="77777777" w:rsidR="003A3D51" w:rsidRDefault="0002775A">
            <w:pPr>
              <w:pStyle w:val="P68B1DB1-Normal58"/>
              <w:spacing w:after="0" w:line="240" w:lineRule="auto"/>
              <w:jc w:val="center"/>
              <w:textAlignment w:val="baseline"/>
              <w:rPr>
                <w:noProof/>
                <w:color w:val="000000"/>
              </w:rPr>
            </w:pPr>
            <w:r>
              <w:rPr>
                <w:noProof/>
              </w:rPr>
              <w:t>251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AE0A3C7" w14:textId="77777777" w:rsidR="003A3D51" w:rsidRDefault="0002775A">
            <w:pPr>
              <w:pStyle w:val="P68B1DB1-Normal58"/>
              <w:spacing w:after="0" w:line="240" w:lineRule="auto"/>
              <w:jc w:val="center"/>
              <w:textAlignment w:val="baseline"/>
              <w:rPr>
                <w:noProof/>
                <w:color w:val="000000"/>
              </w:rPr>
            </w:pPr>
            <w:r>
              <w:rPr>
                <w:noProof/>
              </w:rPr>
              <w:t>C2.8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6F7DC64"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DCEACA9" w14:textId="77777777" w:rsidR="003A3D51" w:rsidRDefault="0002775A">
            <w:pPr>
              <w:pStyle w:val="P68B1DB1-Normal58"/>
              <w:spacing w:after="0" w:line="240" w:lineRule="auto"/>
              <w:textAlignment w:val="baseline"/>
              <w:rPr>
                <w:noProof/>
                <w:color w:val="000000"/>
              </w:rPr>
            </w:pPr>
            <w:r>
              <w:rPr>
                <w:noProof/>
              </w:rPr>
              <w:t xml:space="preserve">Fortsatt samarbete mellan penningtvättsmyndigheten och tillsynsmyndigheterna </w:t>
            </w:r>
          </w:p>
        </w:tc>
      </w:tr>
      <w:tr w:rsidR="003A3D51" w14:paraId="7ADA821D"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6A90904" w14:textId="77777777" w:rsidR="003A3D51" w:rsidRDefault="0002775A">
            <w:pPr>
              <w:pStyle w:val="P68B1DB1-Normal58"/>
              <w:spacing w:after="0" w:line="240" w:lineRule="auto"/>
              <w:jc w:val="center"/>
              <w:textAlignment w:val="baseline"/>
              <w:rPr>
                <w:noProof/>
                <w:color w:val="000000"/>
              </w:rPr>
            </w:pPr>
            <w:r>
              <w:rPr>
                <w:noProof/>
              </w:rPr>
              <w:t>253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DCBB440" w14:textId="77777777" w:rsidR="003A3D51" w:rsidRDefault="0002775A">
            <w:pPr>
              <w:pStyle w:val="P68B1DB1-Normal58"/>
              <w:spacing w:after="0" w:line="240" w:lineRule="auto"/>
              <w:jc w:val="center"/>
              <w:textAlignment w:val="baseline"/>
              <w:rPr>
                <w:noProof/>
                <w:color w:val="000000"/>
              </w:rPr>
            </w:pPr>
            <w:r>
              <w:rPr>
                <w:noProof/>
              </w:rPr>
              <w:t>C2.8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ACEADE6"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5F248AA" w14:textId="77777777" w:rsidR="003A3D51" w:rsidRDefault="0002775A">
            <w:pPr>
              <w:pStyle w:val="P68B1DB1-Normal58"/>
              <w:spacing w:after="0" w:line="240" w:lineRule="auto"/>
              <w:textAlignment w:val="baseline"/>
              <w:rPr>
                <w:noProof/>
                <w:color w:val="000000"/>
              </w:rPr>
            </w:pPr>
            <w:r>
              <w:rPr>
                <w:noProof/>
              </w:rPr>
              <w:t>Slutföra genomförandet av den nya handlingsplanen för att minska identifierade risker för penningtvätt och finansiering av terrorism på grundval av en uppdaterad nationell riskbedömning.</w:t>
            </w:r>
          </w:p>
        </w:tc>
      </w:tr>
      <w:tr w:rsidR="003A3D51" w14:paraId="056FCAB7"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BBE8301" w14:textId="77777777" w:rsidR="003A3D51" w:rsidRDefault="0002775A">
            <w:pPr>
              <w:pStyle w:val="P68B1DB1-Normal58"/>
              <w:spacing w:after="0" w:line="240" w:lineRule="auto"/>
              <w:jc w:val="center"/>
              <w:textAlignment w:val="baseline"/>
              <w:rPr>
                <w:noProof/>
                <w:color w:val="000000"/>
              </w:rPr>
            </w:pPr>
            <w:r>
              <w:rPr>
                <w:noProof/>
              </w:rPr>
              <w:t>265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6B48991" w14:textId="77777777" w:rsidR="003A3D51" w:rsidRDefault="0002775A">
            <w:pPr>
              <w:pStyle w:val="P68B1DB1-Normal58"/>
              <w:spacing w:after="0" w:line="240" w:lineRule="auto"/>
              <w:jc w:val="center"/>
              <w:textAlignment w:val="baseline"/>
              <w:rPr>
                <w:noProof/>
                <w:color w:val="000000"/>
              </w:rPr>
            </w:pPr>
            <w:r>
              <w:rPr>
                <w:noProof/>
              </w:rPr>
              <w:t>C3.1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70E4F1A"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AFD609B" w14:textId="77777777" w:rsidR="003A3D51" w:rsidRDefault="0002775A">
            <w:pPr>
              <w:pStyle w:val="P68B1DB1-Normal58"/>
              <w:spacing w:after="0" w:line="240" w:lineRule="auto"/>
              <w:textAlignment w:val="baseline"/>
              <w:rPr>
                <w:noProof/>
                <w:color w:val="000000"/>
              </w:rPr>
            </w:pPr>
            <w:r>
              <w:rPr>
                <w:noProof/>
              </w:rPr>
              <w:t xml:space="preserve">Antagande av den reviderade rättsliga ramen för vuxenutbildning </w:t>
            </w:r>
          </w:p>
        </w:tc>
      </w:tr>
      <w:tr w:rsidR="003A3D51" w14:paraId="503D3CCB"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CC08EFF" w14:textId="77777777" w:rsidR="003A3D51" w:rsidRDefault="0002775A">
            <w:pPr>
              <w:pStyle w:val="P68B1DB1-Normal58"/>
              <w:spacing w:after="0" w:line="240" w:lineRule="auto"/>
              <w:jc w:val="center"/>
              <w:textAlignment w:val="baseline"/>
              <w:rPr>
                <w:noProof/>
                <w:color w:val="000000"/>
              </w:rPr>
            </w:pPr>
            <w:r>
              <w:rPr>
                <w:noProof/>
              </w:rPr>
              <w:t>293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23A8F2C" w14:textId="77777777" w:rsidR="003A3D51" w:rsidRDefault="0002775A">
            <w:pPr>
              <w:pStyle w:val="P68B1DB1-Normal58"/>
              <w:spacing w:after="0" w:line="240" w:lineRule="auto"/>
              <w:jc w:val="center"/>
              <w:textAlignment w:val="baseline"/>
              <w:rPr>
                <w:noProof/>
                <w:color w:val="000000"/>
              </w:rPr>
            </w:pPr>
            <w:r>
              <w:rPr>
                <w:noProof/>
              </w:rPr>
              <w:t>C4.1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B937036"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244B0BD" w14:textId="77777777" w:rsidR="003A3D51" w:rsidRDefault="0002775A">
            <w:pPr>
              <w:pStyle w:val="P68B1DB1-Normal58"/>
              <w:spacing w:after="0" w:line="240" w:lineRule="auto"/>
              <w:textAlignment w:val="baseline"/>
              <w:rPr>
                <w:noProof/>
                <w:color w:val="000000"/>
              </w:rPr>
            </w:pPr>
            <w:r>
              <w:rPr>
                <w:noProof/>
              </w:rPr>
              <w:t>Ikraftträdande av ändringarna av lagen om minimilön</w:t>
            </w:r>
          </w:p>
        </w:tc>
      </w:tr>
      <w:tr w:rsidR="003A3D51" w14:paraId="5749AAEB"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8521495" w14:textId="77777777" w:rsidR="003A3D51" w:rsidRDefault="0002775A">
            <w:pPr>
              <w:pStyle w:val="P68B1DB1-Normal58"/>
              <w:spacing w:after="0" w:line="240" w:lineRule="auto"/>
              <w:jc w:val="center"/>
              <w:textAlignment w:val="baseline"/>
              <w:rPr>
                <w:noProof/>
                <w:color w:val="000000"/>
              </w:rPr>
            </w:pPr>
            <w:r>
              <w:rPr>
                <w:noProof/>
              </w:rPr>
              <w:t>302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FEC73FD" w14:textId="77777777" w:rsidR="003A3D51" w:rsidRDefault="0002775A">
            <w:pPr>
              <w:pStyle w:val="P68B1DB1-Normal58"/>
              <w:spacing w:after="0" w:line="240" w:lineRule="auto"/>
              <w:jc w:val="center"/>
              <w:textAlignment w:val="baseline"/>
              <w:rPr>
                <w:noProof/>
                <w:color w:val="000000"/>
              </w:rPr>
            </w:pPr>
            <w:r>
              <w:rPr>
                <w:noProof/>
              </w:rPr>
              <w:t>C4.3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D2AA547"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8134BA4" w14:textId="77777777" w:rsidR="003A3D51" w:rsidRDefault="0002775A">
            <w:pPr>
              <w:pStyle w:val="P68B1DB1-Normal58"/>
              <w:spacing w:after="0" w:line="240" w:lineRule="auto"/>
              <w:textAlignment w:val="baseline"/>
              <w:rPr>
                <w:noProof/>
                <w:color w:val="000000"/>
              </w:rPr>
            </w:pPr>
            <w:r>
              <w:rPr>
                <w:noProof/>
              </w:rPr>
              <w:t>Antagande av den nationella planen mot fattigdom och social utestängning 2021–2027</w:t>
            </w:r>
          </w:p>
        </w:tc>
      </w:tr>
      <w:tr w:rsidR="003A3D51" w14:paraId="7AEBEE02"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02ED921" w14:textId="77777777" w:rsidR="003A3D51" w:rsidRDefault="0002775A">
            <w:pPr>
              <w:pStyle w:val="P68B1DB1-Normal58"/>
              <w:spacing w:after="0" w:line="240" w:lineRule="auto"/>
              <w:jc w:val="center"/>
              <w:textAlignment w:val="baseline"/>
              <w:rPr>
                <w:noProof/>
                <w:color w:val="000000"/>
              </w:rPr>
            </w:pPr>
            <w:r>
              <w:rPr>
                <w:noProof/>
              </w:rPr>
              <w:t>312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04CA612" w14:textId="77777777" w:rsidR="003A3D51" w:rsidRDefault="0002775A">
            <w:pPr>
              <w:pStyle w:val="P68B1DB1-Normal58"/>
              <w:spacing w:after="0" w:line="240" w:lineRule="auto"/>
              <w:jc w:val="center"/>
              <w:textAlignment w:val="baseline"/>
              <w:rPr>
                <w:noProof/>
                <w:color w:val="000000"/>
              </w:rPr>
            </w:pPr>
            <w:r>
              <w:rPr>
                <w:noProof/>
              </w:rPr>
              <w:t>C4.3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78BEDA2"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E284BAC" w14:textId="77777777" w:rsidR="003A3D51" w:rsidRDefault="0002775A">
            <w:pPr>
              <w:pStyle w:val="P68B1DB1-Normal58"/>
              <w:spacing w:after="0" w:line="240" w:lineRule="auto"/>
              <w:textAlignment w:val="baseline"/>
              <w:rPr>
                <w:noProof/>
                <w:color w:val="000000"/>
              </w:rPr>
            </w:pPr>
            <w:r>
              <w:rPr>
                <w:noProof/>
              </w:rPr>
              <w:t>Antagande av den nationella planen för utveckling av sociala tjänster 2021–2027</w:t>
            </w:r>
          </w:p>
        </w:tc>
      </w:tr>
      <w:tr w:rsidR="003A3D51" w14:paraId="340882FD"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16AB7A" w14:textId="77777777" w:rsidR="003A3D51" w:rsidRDefault="0002775A">
            <w:pPr>
              <w:pStyle w:val="P68B1DB1-Normal58"/>
              <w:spacing w:after="0" w:line="240" w:lineRule="auto"/>
              <w:jc w:val="center"/>
              <w:textAlignment w:val="baseline"/>
              <w:rPr>
                <w:noProof/>
                <w:color w:val="000000"/>
              </w:rPr>
            </w:pPr>
            <w:r>
              <w:rPr>
                <w:noProof/>
              </w:rPr>
              <w:t>333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8BD3EC3" w14:textId="77777777" w:rsidR="003A3D51" w:rsidRDefault="0002775A">
            <w:pPr>
              <w:pStyle w:val="P68B1DB1-Normal58"/>
              <w:spacing w:after="0" w:line="240" w:lineRule="auto"/>
              <w:jc w:val="center"/>
              <w:textAlignment w:val="baseline"/>
              <w:rPr>
                <w:noProof/>
                <w:color w:val="000000"/>
              </w:rPr>
            </w:pPr>
            <w:r>
              <w:rPr>
                <w:noProof/>
              </w:rPr>
              <w:t>C5.1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F1D97B4"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D51BE91" w14:textId="77777777" w:rsidR="003A3D51" w:rsidRDefault="0002775A">
            <w:pPr>
              <w:pStyle w:val="P68B1DB1-Normal58"/>
              <w:spacing w:after="0" w:line="240" w:lineRule="auto"/>
              <w:textAlignment w:val="baseline"/>
              <w:rPr>
                <w:noProof/>
                <w:color w:val="000000"/>
              </w:rPr>
            </w:pPr>
            <w:r>
              <w:rPr>
                <w:noProof/>
              </w:rPr>
              <w:t>Nationell hälsoutvecklingsplan 2021–2027</w:t>
            </w:r>
          </w:p>
        </w:tc>
      </w:tr>
      <w:tr w:rsidR="003A3D51" w14:paraId="1715E097"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595F43C" w14:textId="77777777" w:rsidR="003A3D51" w:rsidRDefault="0002775A">
            <w:pPr>
              <w:pStyle w:val="P68B1DB1-Normal58"/>
              <w:spacing w:after="0" w:line="240" w:lineRule="auto"/>
              <w:jc w:val="center"/>
              <w:textAlignment w:val="baseline"/>
              <w:rPr>
                <w:noProof/>
                <w:color w:val="000000"/>
              </w:rPr>
            </w:pPr>
            <w:r>
              <w:rPr>
                <w:noProof/>
              </w:rPr>
              <w:t>351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4C770D9" w14:textId="77777777" w:rsidR="003A3D51" w:rsidRDefault="0002775A">
            <w:pPr>
              <w:pStyle w:val="P68B1DB1-Normal58"/>
              <w:spacing w:after="0" w:line="240" w:lineRule="auto"/>
              <w:jc w:val="center"/>
              <w:textAlignment w:val="baseline"/>
              <w:rPr>
                <w:noProof/>
                <w:color w:val="000000"/>
              </w:rPr>
            </w:pPr>
            <w:r>
              <w:rPr>
                <w:noProof/>
              </w:rPr>
              <w:t>C6.1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2410083"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2BD6699" w14:textId="77777777" w:rsidR="003A3D51" w:rsidRDefault="0002775A">
            <w:pPr>
              <w:pStyle w:val="P68B1DB1-Normal58"/>
              <w:spacing w:after="0" w:line="240" w:lineRule="auto"/>
              <w:textAlignment w:val="baseline"/>
              <w:rPr>
                <w:noProof/>
                <w:color w:val="000000"/>
              </w:rPr>
            </w:pPr>
            <w:r>
              <w:rPr>
                <w:noProof/>
              </w:rPr>
              <w:t>Antagande av nationella energirenoveringsprogram för i) flerbostadshus, ii) byggnader som har status som kulturföremål (både för perioden 2021–30) och för iii) minskning av energifattigdomen i områden av särskilt statligt intresse (för perioden 2021–25).</w:t>
            </w:r>
          </w:p>
        </w:tc>
      </w:tr>
      <w:tr w:rsidR="003A3D51" w14:paraId="7B6DCFC8"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49AAA1" w14:textId="4E094CB4" w:rsidR="003A3D51" w:rsidRDefault="0002775A">
            <w:pPr>
              <w:pStyle w:val="P68B1DB1-Normal58"/>
              <w:spacing w:after="0" w:line="240" w:lineRule="auto"/>
              <w:jc w:val="center"/>
              <w:textAlignment w:val="baseline"/>
              <w:rPr>
                <w:noProof/>
                <w:color w:val="000000"/>
              </w:rPr>
            </w:pPr>
            <w:r>
              <w:rPr>
                <w:noProof/>
              </w:rPr>
              <w:t>362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523D07D" w14:textId="0D29B3D3" w:rsidR="003A3D51" w:rsidRDefault="0002775A">
            <w:pPr>
              <w:pStyle w:val="P68B1DB1-Normal58"/>
              <w:spacing w:after="0" w:line="240" w:lineRule="auto"/>
              <w:jc w:val="center"/>
              <w:textAlignment w:val="baseline"/>
              <w:rPr>
                <w:noProof/>
                <w:color w:val="000000"/>
              </w:rPr>
            </w:pPr>
            <w:r>
              <w:rPr>
                <w:noProof/>
              </w:rPr>
              <w:t>C6.1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A01F166" w14:textId="13E456A9"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F512478" w14:textId="77777777" w:rsidR="003A3D51" w:rsidRDefault="0002775A">
            <w:pPr>
              <w:pStyle w:val="P68B1DB1-Normal58"/>
              <w:spacing w:after="0" w:line="240" w:lineRule="auto"/>
              <w:textAlignment w:val="baseline"/>
              <w:rPr>
                <w:noProof/>
                <w:color w:val="000000"/>
              </w:rPr>
            </w:pPr>
            <w:r>
              <w:rPr>
                <w:noProof/>
              </w:rPr>
              <w:t xml:space="preserve">En enda fysisk kontaktpunkt för energirenovering och seismisk energi </w:t>
            </w:r>
          </w:p>
          <w:p w14:paraId="4796B36A" w14:textId="16F0F845" w:rsidR="003A3D51" w:rsidRDefault="0002775A">
            <w:pPr>
              <w:pStyle w:val="P68B1DB1-Normal58"/>
              <w:spacing w:after="0" w:line="240" w:lineRule="auto"/>
              <w:textAlignment w:val="baseline"/>
              <w:rPr>
                <w:noProof/>
                <w:color w:val="000000"/>
              </w:rPr>
            </w:pPr>
            <w:r>
              <w:rPr>
                <w:noProof/>
              </w:rPr>
              <w:t>förstärkning, inrättande och drift</w:t>
            </w:r>
          </w:p>
        </w:tc>
      </w:tr>
      <w:tr w:rsidR="003A3D51" w14:paraId="643ACB0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D55AEA3" w14:textId="77777777" w:rsidR="003A3D51" w:rsidRDefault="0002775A">
            <w:pPr>
              <w:pStyle w:val="P68B1DB1-Normal58"/>
              <w:spacing w:after="0" w:line="240" w:lineRule="auto"/>
              <w:jc w:val="center"/>
              <w:textAlignment w:val="baseline"/>
              <w:rPr>
                <w:noProof/>
                <w:color w:val="000000"/>
              </w:rPr>
            </w:pPr>
            <w:r>
              <w:rPr>
                <w:noProof/>
              </w:rPr>
              <w:t>368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B197C62" w14:textId="77777777" w:rsidR="003A3D51" w:rsidRDefault="0002775A">
            <w:pPr>
              <w:pStyle w:val="P68B1DB1-Normal58"/>
              <w:spacing w:after="0" w:line="240" w:lineRule="auto"/>
              <w:jc w:val="center"/>
              <w:textAlignment w:val="baseline"/>
              <w:rPr>
                <w:noProof/>
                <w:color w:val="000000"/>
              </w:rPr>
            </w:pPr>
            <w:r>
              <w:rPr>
                <w:noProof/>
              </w:rPr>
              <w:t>C6.1 R5</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BC574EC" w14:textId="77777777" w:rsidR="003A3D51" w:rsidRDefault="0002775A">
            <w:pPr>
              <w:pStyle w:val="P68B1DB1-Normal58"/>
              <w:spacing w:after="0" w:line="240" w:lineRule="auto"/>
              <w:jc w:val="center"/>
              <w:textAlignment w:val="baseline"/>
              <w:rPr>
                <w:noProof/>
                <w:color w:val="000000"/>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2359DA" w14:textId="77777777" w:rsidR="003A3D51" w:rsidRDefault="0002775A">
            <w:pPr>
              <w:pStyle w:val="P68B1DB1-Normal58"/>
              <w:spacing w:after="0" w:line="240" w:lineRule="auto"/>
              <w:textAlignment w:val="baseline"/>
              <w:rPr>
                <w:noProof/>
                <w:color w:val="000000"/>
              </w:rPr>
            </w:pPr>
            <w:r>
              <w:rPr>
                <w:noProof/>
              </w:rPr>
              <w:t>Antagande av programmet för cirkulär förvaltning av rymden och byggnader för perioden 2021–2030 och programmet för utveckling av grön infrastruktur i städer för perioden 2021–2030</w:t>
            </w:r>
          </w:p>
        </w:tc>
      </w:tr>
      <w:tr w:rsidR="003A3D51" w14:paraId="4B30260C" w14:textId="77777777">
        <w:trPr>
          <w:trHeight w:val="36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E8C76CF" w14:textId="77777777" w:rsidR="003A3D51" w:rsidRDefault="003A3D51">
            <w:pPr>
              <w:spacing w:after="0" w:line="240" w:lineRule="auto"/>
              <w:jc w:val="center"/>
              <w:textAlignment w:val="baseline"/>
              <w:rPr>
                <w:rFonts w:cstheme="minorHAnsi"/>
                <w:noProof/>
                <w:color w:val="000000"/>
                <w:sz w:val="20"/>
              </w:rPr>
            </w:pPr>
          </w:p>
        </w:tc>
        <w:tc>
          <w:tcPr>
            <w:tcW w:w="1642" w:type="dxa"/>
            <w:tcBorders>
              <w:top w:val="single" w:sz="6" w:space="0" w:color="auto"/>
              <w:left w:val="nil"/>
              <w:bottom w:val="single" w:sz="6" w:space="0" w:color="auto"/>
              <w:right w:val="single" w:sz="6" w:space="0" w:color="auto"/>
            </w:tcBorders>
            <w:shd w:val="clear" w:color="auto" w:fill="C6EFCE"/>
            <w:vAlign w:val="center"/>
          </w:tcPr>
          <w:p w14:paraId="2DB6A8CF" w14:textId="77777777" w:rsidR="003A3D51" w:rsidRDefault="003A3D51">
            <w:pPr>
              <w:spacing w:after="0" w:line="240" w:lineRule="auto"/>
              <w:jc w:val="center"/>
              <w:textAlignment w:val="baseline"/>
              <w:rPr>
                <w:rFonts w:cstheme="minorHAnsi"/>
                <w:noProof/>
                <w:color w:val="000000"/>
                <w:sz w:val="20"/>
              </w:rPr>
            </w:pPr>
          </w:p>
        </w:tc>
        <w:tc>
          <w:tcPr>
            <w:tcW w:w="1276" w:type="dxa"/>
            <w:tcBorders>
              <w:top w:val="single" w:sz="6" w:space="0" w:color="auto"/>
              <w:left w:val="nil"/>
              <w:bottom w:val="single" w:sz="6" w:space="0" w:color="auto"/>
              <w:right w:val="single" w:sz="6" w:space="0" w:color="auto"/>
            </w:tcBorders>
            <w:shd w:val="clear" w:color="auto" w:fill="C6EFCE"/>
            <w:vAlign w:val="center"/>
          </w:tcPr>
          <w:p w14:paraId="5376DD39" w14:textId="77777777" w:rsidR="003A3D51" w:rsidRDefault="0002775A">
            <w:pPr>
              <w:pStyle w:val="P68B1DB1-Normal58"/>
              <w:spacing w:after="0" w:line="240" w:lineRule="auto"/>
              <w:jc w:val="center"/>
              <w:textAlignment w:val="baseline"/>
              <w:rPr>
                <w:noProof/>
                <w:color w:val="000000"/>
              </w:rPr>
            </w:pPr>
            <w:r>
              <w:rPr>
                <w:noProof/>
              </w:rPr>
              <w:t>Delbetalning, belopp</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211AD40" w14:textId="77777777" w:rsidR="003A3D51" w:rsidRDefault="0002775A">
            <w:pPr>
              <w:pStyle w:val="P68B1DB1-Normal58"/>
              <w:spacing w:after="0" w:line="240" w:lineRule="auto"/>
              <w:textAlignment w:val="baseline"/>
              <w:rPr>
                <w:noProof/>
                <w:color w:val="000000"/>
              </w:rPr>
            </w:pPr>
            <w:r>
              <w:rPr>
                <w:noProof/>
              </w:rPr>
              <w:t>804 597 701 EUR</w:t>
            </w:r>
          </w:p>
        </w:tc>
      </w:tr>
    </w:tbl>
    <w:p w14:paraId="238193D7" w14:textId="77777777" w:rsidR="003A3D51" w:rsidRDefault="003A3D51">
      <w:pPr>
        <w:rPr>
          <w:noProof/>
        </w:rPr>
      </w:pPr>
    </w:p>
    <w:p w14:paraId="5E426F72" w14:textId="77777777" w:rsidR="003A3D51" w:rsidRDefault="0002775A">
      <w:pPr>
        <w:pStyle w:val="FooterText"/>
        <w:jc w:val="both"/>
        <w:textAlignment w:val="baseline"/>
        <w:rPr>
          <w:noProof/>
        </w:rPr>
      </w:pPr>
      <w:r>
        <w:rPr>
          <w:noProof/>
        </w:rPr>
        <w:t> </w:t>
      </w:r>
    </w:p>
    <w:p w14:paraId="35BA4ED8" w14:textId="77777777" w:rsidR="003A3D51" w:rsidRDefault="0002775A">
      <w:pPr>
        <w:pStyle w:val="P68B1DB1-Normal11"/>
        <w:pageBreakBefore/>
        <w:numPr>
          <w:ilvl w:val="0"/>
          <w:numId w:val="48"/>
        </w:numPr>
        <w:spacing w:line="240" w:lineRule="auto"/>
        <w:ind w:firstLine="0"/>
        <w:jc w:val="both"/>
        <w:textAlignment w:val="baseline"/>
        <w:rPr>
          <w:noProof/>
        </w:rPr>
      </w:pPr>
      <w:r>
        <w:rPr>
          <w:noProof/>
        </w:rPr>
        <w:t>Andra delbetalningen (icke återbetalningspliktigt stöd):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5"/>
        <w:gridCol w:w="1274"/>
        <w:gridCol w:w="5349"/>
      </w:tblGrid>
      <w:tr w:rsidR="003A3D51" w14:paraId="6FBCEF76" w14:textId="77777777">
        <w:trPr>
          <w:trHeight w:val="1191"/>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476F738F"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9B10C8B"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83AF0EF"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87" w:type="dxa"/>
            <w:vMerge w:val="restart"/>
            <w:tcBorders>
              <w:top w:val="single" w:sz="6" w:space="0" w:color="auto"/>
              <w:left w:val="nil"/>
              <w:bottom w:val="single" w:sz="6" w:space="0" w:color="000000"/>
              <w:right w:val="single" w:sz="6" w:space="0" w:color="auto"/>
            </w:tcBorders>
            <w:shd w:val="clear" w:color="auto" w:fill="BDD7EE"/>
            <w:vAlign w:val="center"/>
            <w:hideMark/>
          </w:tcPr>
          <w:p w14:paraId="4839E2C1"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3D82E3BB" w14:textId="77777777">
        <w:trPr>
          <w:trHeight w:val="450"/>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E3B6A8B"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87326E6" w14:textId="77777777" w:rsidR="003A3D51" w:rsidRDefault="003A3D51">
            <w:pPr>
              <w:spacing w:after="0" w:line="240" w:lineRule="auto"/>
              <w:rPr>
                <w:rFonts w:ascii="Times New Roman" w:eastAsia="Times New Roman" w:hAnsi="Times New Roman" w:cs="Times New Roman"/>
                <w:noProof/>
                <w:sz w:val="20"/>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A7F536" w14:textId="77777777" w:rsidR="003A3D51" w:rsidRDefault="003A3D51">
            <w:pPr>
              <w:spacing w:after="0" w:line="240" w:lineRule="auto"/>
              <w:rPr>
                <w:rFonts w:ascii="Times New Roman" w:eastAsia="Times New Roman" w:hAnsi="Times New Roman" w:cs="Times New Roman"/>
                <w:noProof/>
                <w:sz w:val="20"/>
              </w:rPr>
            </w:pPr>
          </w:p>
        </w:tc>
        <w:tc>
          <w:tcPr>
            <w:tcW w:w="5387" w:type="dxa"/>
            <w:vMerge/>
            <w:tcBorders>
              <w:top w:val="single" w:sz="6" w:space="0" w:color="auto"/>
              <w:left w:val="nil"/>
              <w:bottom w:val="single" w:sz="6" w:space="0" w:color="000000"/>
              <w:right w:val="single" w:sz="6" w:space="0" w:color="auto"/>
            </w:tcBorders>
            <w:shd w:val="clear" w:color="auto" w:fill="auto"/>
            <w:vAlign w:val="center"/>
            <w:hideMark/>
          </w:tcPr>
          <w:p w14:paraId="7A76E02C" w14:textId="77777777" w:rsidR="003A3D51" w:rsidRDefault="003A3D51">
            <w:pPr>
              <w:spacing w:after="0" w:line="240" w:lineRule="auto"/>
              <w:rPr>
                <w:rFonts w:ascii="Times New Roman" w:eastAsia="Times New Roman" w:hAnsi="Times New Roman" w:cs="Times New Roman"/>
                <w:noProof/>
                <w:sz w:val="20"/>
              </w:rPr>
            </w:pPr>
          </w:p>
        </w:tc>
      </w:tr>
      <w:tr w:rsidR="003A3D51" w14:paraId="36B34EB9" w14:textId="77777777">
        <w:trPr>
          <w:trHeight w:val="397"/>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61675E90" w14:textId="77777777" w:rsidR="003A3D51" w:rsidRDefault="0002775A">
            <w:pPr>
              <w:pStyle w:val="P68B1DB1-Normal64"/>
              <w:spacing w:after="0" w:line="240" w:lineRule="auto"/>
              <w:jc w:val="center"/>
              <w:textAlignment w:val="baseline"/>
              <w:rPr>
                <w:rFonts w:eastAsia="Times New Roman"/>
                <w:noProof/>
              </w:rPr>
            </w:pPr>
            <w:r>
              <w:rPr>
                <w:noProof/>
              </w:rPr>
              <w:t>2</w:t>
            </w:r>
          </w:p>
        </w:tc>
        <w:tc>
          <w:tcPr>
            <w:tcW w:w="1642" w:type="dxa"/>
            <w:tcBorders>
              <w:top w:val="nil"/>
              <w:left w:val="nil"/>
              <w:bottom w:val="single" w:sz="6" w:space="0" w:color="auto"/>
              <w:right w:val="single" w:sz="6" w:space="0" w:color="auto"/>
            </w:tcBorders>
            <w:shd w:val="clear" w:color="auto" w:fill="C6EFCE"/>
            <w:vAlign w:val="center"/>
            <w:hideMark/>
          </w:tcPr>
          <w:p w14:paraId="55A3AE27" w14:textId="77777777" w:rsidR="003A3D51" w:rsidRDefault="0002775A">
            <w:pPr>
              <w:pStyle w:val="P68B1DB1-Normal64"/>
              <w:spacing w:after="0" w:line="240" w:lineRule="auto"/>
              <w:jc w:val="center"/>
              <w:textAlignment w:val="baseline"/>
              <w:rPr>
                <w:rFonts w:eastAsia="Times New Roman"/>
                <w:noProof/>
              </w:rPr>
            </w:pPr>
            <w:r>
              <w:rPr>
                <w:noProof/>
              </w:rPr>
              <w:t>C1.1.1 R1-I1</w:t>
            </w:r>
          </w:p>
        </w:tc>
        <w:tc>
          <w:tcPr>
            <w:tcW w:w="1276" w:type="dxa"/>
            <w:tcBorders>
              <w:top w:val="nil"/>
              <w:left w:val="nil"/>
              <w:bottom w:val="single" w:sz="6" w:space="0" w:color="auto"/>
              <w:right w:val="single" w:sz="6" w:space="0" w:color="auto"/>
            </w:tcBorders>
            <w:shd w:val="clear" w:color="auto" w:fill="C6EFCE"/>
            <w:vAlign w:val="center"/>
            <w:hideMark/>
          </w:tcPr>
          <w:p w14:paraId="035CE0F8"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87" w:type="dxa"/>
            <w:tcBorders>
              <w:top w:val="nil"/>
              <w:left w:val="nil"/>
              <w:bottom w:val="single" w:sz="6" w:space="0" w:color="auto"/>
              <w:right w:val="single" w:sz="6" w:space="0" w:color="auto"/>
            </w:tcBorders>
            <w:shd w:val="clear" w:color="auto" w:fill="C6EFCE"/>
            <w:vAlign w:val="center"/>
            <w:hideMark/>
          </w:tcPr>
          <w:p w14:paraId="1D2F328F" w14:textId="77777777" w:rsidR="003A3D51" w:rsidRDefault="0002775A">
            <w:pPr>
              <w:pStyle w:val="P68B1DB1-Normal64"/>
              <w:spacing w:after="0" w:line="240" w:lineRule="auto"/>
              <w:textAlignment w:val="baseline"/>
              <w:rPr>
                <w:rFonts w:eastAsia="Times New Roman"/>
                <w:noProof/>
              </w:rPr>
            </w:pPr>
            <w:r>
              <w:rPr>
                <w:noProof/>
              </w:rPr>
              <w:t xml:space="preserve">Digital operativ plattform för betalning av avgifter </w:t>
            </w:r>
          </w:p>
        </w:tc>
      </w:tr>
      <w:tr w:rsidR="003A3D51" w14:paraId="0F666BCE" w14:textId="77777777">
        <w:trPr>
          <w:trHeight w:val="6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7DFE095" w14:textId="77777777" w:rsidR="003A3D51" w:rsidRDefault="0002775A">
            <w:pPr>
              <w:pStyle w:val="P68B1DB1-Normal64"/>
              <w:spacing w:after="0" w:line="240" w:lineRule="auto"/>
              <w:jc w:val="center"/>
              <w:textAlignment w:val="baseline"/>
              <w:rPr>
                <w:rFonts w:eastAsia="Times New Roman"/>
                <w:noProof/>
              </w:rPr>
            </w:pPr>
            <w:r>
              <w:rPr>
                <w:noProof/>
              </w:rPr>
              <w:t>6</w:t>
            </w:r>
          </w:p>
        </w:tc>
        <w:tc>
          <w:tcPr>
            <w:tcW w:w="1642" w:type="dxa"/>
            <w:tcBorders>
              <w:top w:val="single" w:sz="6" w:space="0" w:color="auto"/>
              <w:left w:val="nil"/>
              <w:bottom w:val="single" w:sz="6" w:space="0" w:color="auto"/>
              <w:right w:val="single" w:sz="6" w:space="0" w:color="auto"/>
            </w:tcBorders>
            <w:shd w:val="clear" w:color="auto" w:fill="C6EFCE"/>
            <w:vAlign w:val="center"/>
            <w:hideMark/>
          </w:tcPr>
          <w:p w14:paraId="02B771A6" w14:textId="77777777" w:rsidR="003A3D51" w:rsidRDefault="0002775A">
            <w:pPr>
              <w:pStyle w:val="P68B1DB1-Normal64"/>
              <w:spacing w:after="0" w:line="240" w:lineRule="auto"/>
              <w:jc w:val="center"/>
              <w:textAlignment w:val="baseline"/>
              <w:rPr>
                <w:rFonts w:eastAsia="Times New Roman"/>
                <w:noProof/>
              </w:rPr>
            </w:pPr>
            <w:r>
              <w:rPr>
                <w:noProof/>
              </w:rPr>
              <w:t>C1.1.1 R1-I2</w:t>
            </w:r>
          </w:p>
        </w:tc>
        <w:tc>
          <w:tcPr>
            <w:tcW w:w="1276" w:type="dxa"/>
            <w:tcBorders>
              <w:top w:val="single" w:sz="6" w:space="0" w:color="auto"/>
              <w:left w:val="nil"/>
              <w:bottom w:val="single" w:sz="6" w:space="0" w:color="auto"/>
              <w:right w:val="single" w:sz="6" w:space="0" w:color="auto"/>
            </w:tcBorders>
            <w:shd w:val="clear" w:color="auto" w:fill="C6EFCE"/>
            <w:vAlign w:val="center"/>
            <w:hideMark/>
          </w:tcPr>
          <w:p w14:paraId="528FA5A6"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hideMark/>
          </w:tcPr>
          <w:p w14:paraId="6BD2C1EC" w14:textId="77777777" w:rsidR="003A3D51" w:rsidRDefault="0002775A">
            <w:pPr>
              <w:pStyle w:val="P68B1DB1-Normal64"/>
              <w:spacing w:after="0" w:line="240" w:lineRule="auto"/>
              <w:textAlignment w:val="baseline"/>
              <w:rPr>
                <w:rFonts w:eastAsia="Times New Roman"/>
                <w:noProof/>
              </w:rPr>
            </w:pPr>
            <w:r>
              <w:rPr>
                <w:noProof/>
              </w:rPr>
              <w:t>Genomförande av handlingsplanen för att minska icke-skattemässiga och skatteliknande avgifter 2020</w:t>
            </w:r>
          </w:p>
        </w:tc>
      </w:tr>
      <w:tr w:rsidR="003A3D51" w14:paraId="4696F155" w14:textId="77777777">
        <w:trPr>
          <w:trHeight w:val="1208"/>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42750E" w14:textId="77777777" w:rsidR="003A3D51" w:rsidRDefault="0002775A">
            <w:pPr>
              <w:pStyle w:val="P68B1DB1-Normal64"/>
              <w:spacing w:after="0" w:line="240" w:lineRule="auto"/>
              <w:jc w:val="center"/>
              <w:textAlignment w:val="baseline"/>
              <w:rPr>
                <w:noProof/>
              </w:rPr>
            </w:pPr>
            <w:r>
              <w:rPr>
                <w:noProof/>
              </w:rPr>
              <w:t>14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B919544" w14:textId="77777777" w:rsidR="003A3D51" w:rsidRDefault="0002775A">
            <w:pPr>
              <w:pStyle w:val="P68B1DB1-Normal64"/>
              <w:spacing w:after="0" w:line="240" w:lineRule="auto"/>
              <w:jc w:val="center"/>
              <w:textAlignment w:val="baseline"/>
              <w:rPr>
                <w:noProof/>
              </w:rPr>
            </w:pPr>
            <w:r>
              <w:rPr>
                <w:noProof/>
              </w:rPr>
              <w:t>C1.1.1 R4-I1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B184339"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CD79C61" w14:textId="77777777" w:rsidR="003A3D51" w:rsidRDefault="0002775A">
            <w:pPr>
              <w:pStyle w:val="P68B1DB1-Normal64"/>
              <w:spacing w:after="0" w:line="240" w:lineRule="auto"/>
              <w:textAlignment w:val="baseline"/>
              <w:rPr>
                <w:noProof/>
              </w:rPr>
            </w:pPr>
            <w:r>
              <w:rPr>
                <w:noProof/>
              </w:rPr>
              <w:t>Offentliggörande av ansökningsomgångar för investeringar som är inriktade på miljövänlig verksamhet med fastställda kriterier för stödberättigande för sökande och projekt (inklusive efterlevnadskriterier för att inte orsaka betydande skada)</w:t>
            </w:r>
          </w:p>
        </w:tc>
      </w:tr>
      <w:tr w:rsidR="003A3D51" w14:paraId="3349D8D0"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7B51748" w14:textId="77777777" w:rsidR="003A3D51" w:rsidRDefault="0002775A">
            <w:pPr>
              <w:pStyle w:val="P68B1DB1-Normal64"/>
              <w:spacing w:after="0" w:line="240" w:lineRule="auto"/>
              <w:jc w:val="center"/>
              <w:textAlignment w:val="baseline"/>
              <w:rPr>
                <w:noProof/>
              </w:rPr>
            </w:pPr>
            <w:r>
              <w:rPr>
                <w:noProof/>
              </w:rPr>
              <w:t>16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94AF0FB" w14:textId="77777777" w:rsidR="003A3D51" w:rsidRDefault="0002775A">
            <w:pPr>
              <w:pStyle w:val="P68B1DB1-Normal64"/>
              <w:spacing w:after="0" w:line="240" w:lineRule="auto"/>
              <w:jc w:val="center"/>
              <w:textAlignment w:val="baseline"/>
              <w:rPr>
                <w:noProof/>
              </w:rPr>
            </w:pPr>
            <w:r>
              <w:rPr>
                <w:noProof/>
              </w:rPr>
              <w:t>C1.1.1 R4-I2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B0BC67D"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DCAAC8A" w14:textId="77777777" w:rsidR="003A3D51" w:rsidRDefault="0002775A">
            <w:pPr>
              <w:pStyle w:val="P68B1DB1-Normal64"/>
              <w:spacing w:after="0" w:line="240" w:lineRule="auto"/>
              <w:textAlignment w:val="baseline"/>
              <w:rPr>
                <w:noProof/>
              </w:rPr>
            </w:pPr>
            <w:r>
              <w:rPr>
                <w:noProof/>
              </w:rPr>
              <w:t>Inrättande av ett finansieringsinstrument för att stödja investeringar av mikroföretag samt små och medelstora företag</w:t>
            </w:r>
          </w:p>
        </w:tc>
      </w:tr>
      <w:tr w:rsidR="003A3D51" w14:paraId="39F3F46A" w14:textId="77777777">
        <w:trPr>
          <w:trHeight w:val="61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30F839F" w14:textId="77777777" w:rsidR="003A3D51" w:rsidRDefault="0002775A">
            <w:pPr>
              <w:pStyle w:val="P68B1DB1-Normal64"/>
              <w:spacing w:after="0" w:line="240" w:lineRule="auto"/>
              <w:jc w:val="center"/>
              <w:textAlignment w:val="baseline"/>
              <w:rPr>
                <w:noProof/>
              </w:rPr>
            </w:pPr>
            <w:r>
              <w:rPr>
                <w:noProof/>
              </w:rPr>
              <w:t>19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5393F5A" w14:textId="77777777" w:rsidR="003A3D51" w:rsidRDefault="0002775A">
            <w:pPr>
              <w:pStyle w:val="P68B1DB1-Normal64"/>
              <w:spacing w:after="0" w:line="240" w:lineRule="auto"/>
              <w:jc w:val="center"/>
              <w:textAlignment w:val="baseline"/>
              <w:rPr>
                <w:noProof/>
              </w:rPr>
            </w:pPr>
            <w:r>
              <w:rPr>
                <w:noProof/>
              </w:rPr>
              <w:t>C1.1.1 R4-I3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04062AC"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1162771" w14:textId="77777777" w:rsidR="003A3D51" w:rsidRDefault="0002775A">
            <w:pPr>
              <w:pStyle w:val="P68B1DB1-Normal64"/>
              <w:spacing w:after="0" w:line="240" w:lineRule="auto"/>
              <w:textAlignment w:val="baseline"/>
              <w:rPr>
                <w:noProof/>
              </w:rPr>
            </w:pPr>
            <w:r>
              <w:rPr>
                <w:noProof/>
              </w:rPr>
              <w:t>Inrättande av finansieringsinstrument för att stödja investeringar av medelstora börsnoterade företag och stora företag</w:t>
            </w:r>
          </w:p>
        </w:tc>
      </w:tr>
      <w:tr w:rsidR="003A3D51" w14:paraId="4F14036D" w14:textId="77777777">
        <w:trPr>
          <w:trHeight w:val="69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F46298" w14:textId="77777777" w:rsidR="003A3D51" w:rsidRDefault="0002775A">
            <w:pPr>
              <w:pStyle w:val="P68B1DB1-Normal64"/>
              <w:spacing w:after="0" w:line="240" w:lineRule="auto"/>
              <w:jc w:val="center"/>
              <w:textAlignment w:val="baseline"/>
              <w:rPr>
                <w:noProof/>
              </w:rPr>
            </w:pPr>
            <w:r>
              <w:rPr>
                <w:noProof/>
              </w:rPr>
              <w:t>21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077441F" w14:textId="77777777" w:rsidR="003A3D51" w:rsidRDefault="0002775A">
            <w:pPr>
              <w:pStyle w:val="P68B1DB1-Normal64"/>
              <w:spacing w:after="0" w:line="240" w:lineRule="auto"/>
              <w:jc w:val="center"/>
              <w:textAlignment w:val="baseline"/>
              <w:rPr>
                <w:noProof/>
              </w:rPr>
            </w:pPr>
            <w:r>
              <w:rPr>
                <w:noProof/>
              </w:rPr>
              <w:t>C1.1.1 R4-I4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A7D5079"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4850B6D" w14:textId="77777777" w:rsidR="003A3D51" w:rsidRDefault="0002775A">
            <w:pPr>
              <w:pStyle w:val="P68B1DB1-Normal64"/>
              <w:spacing w:after="0" w:line="240" w:lineRule="auto"/>
              <w:textAlignment w:val="baseline"/>
              <w:rPr>
                <w:noProof/>
              </w:rPr>
            </w:pPr>
            <w:r>
              <w:rPr>
                <w:noProof/>
              </w:rPr>
              <w:t>Inrättande av finansieringsinstrument för gynnsammare finansiering av offentliga organ</w:t>
            </w:r>
          </w:p>
        </w:tc>
      </w:tr>
      <w:tr w:rsidR="003A3D51" w14:paraId="0FFB2E66"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DD45A98" w14:textId="77777777" w:rsidR="003A3D51" w:rsidRDefault="0002775A">
            <w:pPr>
              <w:pStyle w:val="P68B1DB1-Normal64"/>
              <w:spacing w:after="0" w:line="240" w:lineRule="auto"/>
              <w:jc w:val="center"/>
              <w:textAlignment w:val="baseline"/>
              <w:rPr>
                <w:noProof/>
              </w:rPr>
            </w:pPr>
            <w:r>
              <w:rPr>
                <w:noProof/>
              </w:rPr>
              <w:t>25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6A44592" w14:textId="77777777" w:rsidR="003A3D51" w:rsidRDefault="0002775A">
            <w:pPr>
              <w:pStyle w:val="P68B1DB1-Normal64"/>
              <w:spacing w:after="0" w:line="240" w:lineRule="auto"/>
              <w:jc w:val="center"/>
              <w:textAlignment w:val="baseline"/>
              <w:rPr>
                <w:noProof/>
              </w:rPr>
            </w:pPr>
            <w:r>
              <w:rPr>
                <w:noProof/>
              </w:rPr>
              <w:t>C1.1.1 R6</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70DCF66"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7DA6254" w14:textId="77777777" w:rsidR="003A3D51" w:rsidRDefault="0002775A">
            <w:pPr>
              <w:pStyle w:val="P68B1DB1-Normal64"/>
              <w:spacing w:after="0" w:line="240" w:lineRule="auto"/>
              <w:textAlignment w:val="baseline"/>
              <w:rPr>
                <w:noProof/>
              </w:rPr>
            </w:pPr>
            <w:r>
              <w:rPr>
                <w:noProof/>
              </w:rPr>
              <w:t>Ändringar av den rättsliga ramen</w:t>
            </w:r>
          </w:p>
        </w:tc>
      </w:tr>
      <w:tr w:rsidR="003A3D51" w14:paraId="315FF51F" w14:textId="77777777">
        <w:trPr>
          <w:trHeight w:val="1278"/>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22FB887" w14:textId="77777777" w:rsidR="003A3D51" w:rsidRDefault="0002775A">
            <w:pPr>
              <w:pStyle w:val="P68B1DB1-Normal64"/>
              <w:spacing w:after="0" w:line="240" w:lineRule="auto"/>
              <w:jc w:val="center"/>
              <w:textAlignment w:val="baseline"/>
              <w:rPr>
                <w:noProof/>
              </w:rPr>
            </w:pPr>
            <w:r>
              <w:rPr>
                <w:noProof/>
              </w:rPr>
              <w:t>36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BC6D2BB" w14:textId="77777777" w:rsidR="003A3D51" w:rsidRDefault="0002775A">
            <w:pPr>
              <w:pStyle w:val="P68B1DB1-Normal64"/>
              <w:spacing w:after="0" w:line="240" w:lineRule="auto"/>
              <w:jc w:val="center"/>
              <w:textAlignment w:val="baseline"/>
              <w:rPr>
                <w:noProof/>
              </w:rPr>
            </w:pPr>
            <w:r>
              <w:rPr>
                <w:noProof/>
              </w:rPr>
              <w:t>C1.2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58F38E8"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287088E" w14:textId="77777777" w:rsidR="003A3D51" w:rsidRDefault="0002775A">
            <w:pPr>
              <w:pStyle w:val="P68B1DB1-Normal64"/>
              <w:spacing w:after="0" w:line="240" w:lineRule="auto"/>
              <w:textAlignment w:val="baseline"/>
              <w:rPr>
                <w:noProof/>
              </w:rPr>
            </w:pPr>
            <w:r>
              <w:rPr>
                <w:noProof/>
              </w:rPr>
              <w:t>Offentliggörande av ett bedömningsdokument med rekommendationer för att minska hinder och administrativa förfaranden som hindrar en ökad användning av förnybara energikällor</w:t>
            </w:r>
          </w:p>
        </w:tc>
      </w:tr>
      <w:tr w:rsidR="003A3D51" w14:paraId="0B08C725" w14:textId="77777777">
        <w:trPr>
          <w:trHeight w:val="40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94B6F51" w14:textId="77777777" w:rsidR="003A3D51" w:rsidRDefault="0002775A">
            <w:pPr>
              <w:pStyle w:val="P68B1DB1-Normal64"/>
              <w:spacing w:after="0" w:line="240" w:lineRule="auto"/>
              <w:jc w:val="center"/>
              <w:textAlignment w:val="baseline"/>
              <w:rPr>
                <w:noProof/>
              </w:rPr>
            </w:pPr>
            <w:r>
              <w:rPr>
                <w:noProof/>
              </w:rPr>
              <w:t>50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FA5415" w14:textId="77777777" w:rsidR="003A3D51" w:rsidRDefault="0002775A">
            <w:pPr>
              <w:pStyle w:val="P68B1DB1-Normal64"/>
              <w:spacing w:after="0" w:line="240" w:lineRule="auto"/>
              <w:jc w:val="center"/>
              <w:textAlignment w:val="baseline"/>
              <w:rPr>
                <w:noProof/>
              </w:rPr>
            </w:pPr>
            <w:r>
              <w:rPr>
                <w:noProof/>
              </w:rPr>
              <w:t>C1.2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778ABC8"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B62DEC4" w14:textId="77777777" w:rsidR="003A3D51" w:rsidRDefault="0002775A">
            <w:pPr>
              <w:pStyle w:val="P68B1DB1-Normal64"/>
              <w:spacing w:after="0" w:line="240" w:lineRule="auto"/>
              <w:textAlignment w:val="baseline"/>
              <w:rPr>
                <w:noProof/>
              </w:rPr>
            </w:pPr>
            <w:r>
              <w:rPr>
                <w:noProof/>
              </w:rPr>
              <w:t>Antagande av strategin för utveckling av vätgas</w:t>
            </w:r>
          </w:p>
        </w:tc>
      </w:tr>
      <w:tr w:rsidR="003A3D51" w14:paraId="21F7FAD1"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ACC83EC" w14:textId="77777777" w:rsidR="003A3D51" w:rsidRDefault="0002775A">
            <w:pPr>
              <w:pStyle w:val="P68B1DB1-Normal64"/>
              <w:spacing w:after="0" w:line="240" w:lineRule="auto"/>
              <w:jc w:val="center"/>
              <w:textAlignment w:val="baseline"/>
              <w:rPr>
                <w:noProof/>
              </w:rPr>
            </w:pPr>
            <w:r>
              <w:rPr>
                <w:noProof/>
              </w:rPr>
              <w:t>63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2EDD864" w14:textId="77777777" w:rsidR="003A3D51" w:rsidRDefault="0002775A">
            <w:pPr>
              <w:pStyle w:val="P68B1DB1-Normal64"/>
              <w:spacing w:after="0" w:line="240" w:lineRule="auto"/>
              <w:jc w:val="center"/>
              <w:textAlignment w:val="baseline"/>
              <w:rPr>
                <w:noProof/>
              </w:rPr>
            </w:pPr>
            <w:r>
              <w:rPr>
                <w:noProof/>
              </w:rPr>
              <w:t>C1.3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9933E48"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0C934B5" w14:textId="77777777" w:rsidR="003A3D51" w:rsidRDefault="0002775A">
            <w:pPr>
              <w:pStyle w:val="P68B1DB1-Normal64"/>
              <w:spacing w:after="0" w:line="240" w:lineRule="auto"/>
              <w:textAlignment w:val="baseline"/>
              <w:rPr>
                <w:noProof/>
              </w:rPr>
            </w:pPr>
            <w:r>
              <w:rPr>
                <w:noProof/>
              </w:rPr>
              <w:t xml:space="preserve">Offentligt avloppsnät som uppförts eller byggts om </w:t>
            </w:r>
          </w:p>
        </w:tc>
      </w:tr>
      <w:tr w:rsidR="003A3D51" w14:paraId="57A9A84F"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15DEF74" w14:textId="77777777" w:rsidR="003A3D51" w:rsidRDefault="0002775A">
            <w:pPr>
              <w:pStyle w:val="P68B1DB1-Normal64"/>
              <w:spacing w:after="0" w:line="240" w:lineRule="auto"/>
              <w:jc w:val="center"/>
              <w:textAlignment w:val="baseline"/>
              <w:rPr>
                <w:noProof/>
              </w:rPr>
            </w:pPr>
            <w:r>
              <w:rPr>
                <w:noProof/>
              </w:rPr>
              <w:t>68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BB81293" w14:textId="77777777" w:rsidR="003A3D51" w:rsidRDefault="0002775A">
            <w:pPr>
              <w:pStyle w:val="P68B1DB1-Normal64"/>
              <w:spacing w:after="0" w:line="240" w:lineRule="auto"/>
              <w:jc w:val="center"/>
              <w:textAlignment w:val="baseline"/>
              <w:rPr>
                <w:noProof/>
              </w:rPr>
            </w:pPr>
            <w:r>
              <w:rPr>
                <w:noProof/>
              </w:rPr>
              <w:t>C1.3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FAD7EA5"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DE079B3" w14:textId="77777777" w:rsidR="003A3D51" w:rsidRDefault="0002775A">
            <w:pPr>
              <w:pStyle w:val="P68B1DB1-Normal64"/>
              <w:spacing w:after="0" w:line="240" w:lineRule="auto"/>
              <w:textAlignment w:val="baseline"/>
              <w:rPr>
                <w:noProof/>
              </w:rPr>
            </w:pPr>
            <w:r>
              <w:rPr>
                <w:noProof/>
              </w:rPr>
              <w:t xml:space="preserve">Allmänt vattenförsörjningsnät konstruerat eller ombyggt </w:t>
            </w:r>
          </w:p>
        </w:tc>
      </w:tr>
      <w:tr w:rsidR="003A3D51" w14:paraId="5C4AA2AA"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25FC69" w14:textId="77777777" w:rsidR="003A3D51" w:rsidRDefault="0002775A">
            <w:pPr>
              <w:pStyle w:val="P68B1DB1-Normal64"/>
              <w:spacing w:after="0" w:line="240" w:lineRule="auto"/>
              <w:jc w:val="center"/>
              <w:textAlignment w:val="baseline"/>
              <w:rPr>
                <w:noProof/>
              </w:rPr>
            </w:pPr>
            <w:r>
              <w:rPr>
                <w:noProof/>
              </w:rPr>
              <w:t>131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A511B05" w14:textId="77777777" w:rsidR="003A3D51" w:rsidRDefault="0002775A">
            <w:pPr>
              <w:pStyle w:val="P68B1DB1-Normal64"/>
              <w:spacing w:after="0" w:line="240" w:lineRule="auto"/>
              <w:jc w:val="center"/>
              <w:textAlignment w:val="baseline"/>
              <w:rPr>
                <w:noProof/>
              </w:rPr>
            </w:pPr>
            <w:r>
              <w:rPr>
                <w:noProof/>
              </w:rPr>
              <w:t>C1.5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4863E3F"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D0ECFE7" w14:textId="77777777" w:rsidR="003A3D51" w:rsidRDefault="0002775A">
            <w:pPr>
              <w:pStyle w:val="P68B1DB1-Normal64"/>
              <w:spacing w:after="0" w:line="240" w:lineRule="auto"/>
              <w:textAlignment w:val="baseline"/>
              <w:rPr>
                <w:noProof/>
              </w:rPr>
            </w:pPr>
            <w:r>
              <w:rPr>
                <w:noProof/>
              </w:rPr>
              <w:t>Ny lag om konsolidering av jordbruksmark</w:t>
            </w:r>
          </w:p>
        </w:tc>
      </w:tr>
      <w:tr w:rsidR="003A3D51" w14:paraId="37E9DBCB"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19430F" w14:textId="39DBE0E8" w:rsidR="003A3D51" w:rsidRDefault="0002775A">
            <w:pPr>
              <w:pStyle w:val="P68B1DB1-Normal64"/>
              <w:spacing w:after="0" w:line="240" w:lineRule="auto"/>
              <w:jc w:val="center"/>
              <w:textAlignment w:val="baseline"/>
              <w:rPr>
                <w:noProof/>
              </w:rPr>
            </w:pPr>
            <w:r>
              <w:rPr>
                <w:noProof/>
              </w:rPr>
              <w:t>138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D2E6400" w14:textId="127A8B35" w:rsidR="003A3D51" w:rsidRDefault="0002775A">
            <w:pPr>
              <w:pStyle w:val="P68B1DB1-Normal64"/>
              <w:spacing w:after="0" w:line="240" w:lineRule="auto"/>
              <w:jc w:val="center"/>
              <w:textAlignment w:val="baseline"/>
              <w:rPr>
                <w:noProof/>
              </w:rPr>
            </w:pPr>
            <w:r>
              <w:rPr>
                <w:noProof/>
              </w:rPr>
              <w:t>C1.5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7BF2DC4" w14:textId="6AAE07EE"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E659540" w14:textId="77777777" w:rsidR="003A3D51" w:rsidRDefault="0002775A">
            <w:pPr>
              <w:pStyle w:val="P68B1DB1-Normal64"/>
              <w:spacing w:after="0" w:line="240" w:lineRule="auto"/>
              <w:textAlignment w:val="baseline"/>
              <w:rPr>
                <w:noProof/>
              </w:rPr>
            </w:pPr>
            <w:r>
              <w:rPr>
                <w:noProof/>
              </w:rPr>
              <w:t xml:space="preserve">Onlineplattformen för förebyggande av matsvinn och uppgradering av livsmedel </w:t>
            </w:r>
          </w:p>
          <w:p w14:paraId="3C4B82E8" w14:textId="4A1BB1B5" w:rsidR="003A3D51" w:rsidRDefault="0002775A">
            <w:pPr>
              <w:pStyle w:val="P68B1DB1-Normal64"/>
              <w:spacing w:after="0" w:line="240" w:lineRule="auto"/>
              <w:textAlignment w:val="baseline"/>
              <w:rPr>
                <w:noProof/>
              </w:rPr>
            </w:pPr>
            <w:r>
              <w:rPr>
                <w:noProof/>
              </w:rPr>
              <w:t>it-system för donation</w:t>
            </w:r>
          </w:p>
        </w:tc>
      </w:tr>
      <w:tr w:rsidR="003A3D51" w14:paraId="7B349C1E"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1A1C899" w14:textId="0BF456CC" w:rsidR="003A3D51" w:rsidRDefault="0002775A">
            <w:pPr>
              <w:pStyle w:val="P68B1DB1-Normal64"/>
              <w:spacing w:after="0" w:line="240" w:lineRule="auto"/>
              <w:jc w:val="center"/>
              <w:textAlignment w:val="baseline"/>
              <w:rPr>
                <w:noProof/>
              </w:rPr>
            </w:pPr>
            <w:r>
              <w:rPr>
                <w:noProof/>
              </w:rPr>
              <w:t>160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69964DB" w14:textId="3245E4C5" w:rsidR="003A3D51" w:rsidRDefault="0002775A">
            <w:pPr>
              <w:pStyle w:val="P68B1DB1-Normal64"/>
              <w:spacing w:after="0" w:line="240" w:lineRule="auto"/>
              <w:jc w:val="center"/>
              <w:textAlignment w:val="baseline"/>
              <w:rPr>
                <w:noProof/>
              </w:rPr>
            </w:pPr>
            <w:r>
              <w:rPr>
                <w:noProof/>
              </w:rPr>
              <w:t>C2.1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5BF0624" w14:textId="5A78E31F"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9105097" w14:textId="77777777" w:rsidR="003A3D51" w:rsidRDefault="0002775A">
            <w:pPr>
              <w:pStyle w:val="P68B1DB1-Normal64"/>
              <w:spacing w:after="0" w:line="240" w:lineRule="auto"/>
              <w:textAlignment w:val="baseline"/>
              <w:rPr>
                <w:noProof/>
              </w:rPr>
            </w:pPr>
            <w:r>
              <w:rPr>
                <w:noProof/>
              </w:rPr>
              <w:t xml:space="preserve">Uppgradering av it-systemet eFondovi: Databassystem för revision </w:t>
            </w:r>
          </w:p>
          <w:p w14:paraId="1C5B7217" w14:textId="41F0915D" w:rsidR="003A3D51" w:rsidRDefault="0002775A">
            <w:pPr>
              <w:pStyle w:val="P68B1DB1-Normal64"/>
              <w:spacing w:after="0" w:line="240" w:lineRule="auto"/>
              <w:textAlignment w:val="baseline"/>
              <w:rPr>
                <w:noProof/>
              </w:rPr>
            </w:pPr>
            <w:r>
              <w:rPr>
                <w:noProof/>
              </w:rPr>
              <w:t>och kontroller: information för övervakning av genomförandet av RRF</w:t>
            </w:r>
          </w:p>
        </w:tc>
      </w:tr>
      <w:tr w:rsidR="003A3D51" w14:paraId="6A9A48B5"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64F341E" w14:textId="77777777" w:rsidR="003A3D51" w:rsidRDefault="0002775A">
            <w:pPr>
              <w:pStyle w:val="P68B1DB1-Normal64"/>
              <w:spacing w:after="0" w:line="240" w:lineRule="auto"/>
              <w:jc w:val="center"/>
              <w:textAlignment w:val="baseline"/>
              <w:rPr>
                <w:noProof/>
              </w:rPr>
            </w:pPr>
            <w:r>
              <w:rPr>
                <w:noProof/>
              </w:rPr>
              <w:t>174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78F2D01" w14:textId="77777777" w:rsidR="003A3D51" w:rsidRDefault="0002775A">
            <w:pPr>
              <w:pStyle w:val="P68B1DB1-Normal64"/>
              <w:spacing w:after="0" w:line="240" w:lineRule="auto"/>
              <w:jc w:val="center"/>
              <w:textAlignment w:val="baseline"/>
              <w:rPr>
                <w:noProof/>
              </w:rPr>
            </w:pPr>
            <w:r>
              <w:rPr>
                <w:noProof/>
              </w:rPr>
              <w:t>C2.2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ABE4B7D"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62E93B" w14:textId="77777777" w:rsidR="003A3D51" w:rsidRDefault="0002775A">
            <w:pPr>
              <w:pStyle w:val="P68B1DB1-Normal64"/>
              <w:spacing w:after="0" w:line="240" w:lineRule="auto"/>
              <w:textAlignment w:val="baseline"/>
              <w:rPr>
                <w:noProof/>
              </w:rPr>
            </w:pPr>
            <w:r>
              <w:rPr>
                <w:noProof/>
              </w:rPr>
              <w:t>Ändring av de rättsliga ramarna för att uppmuntra frivillig funktionell eller faktisk sammanslagning av lokala förvaltningsenheter (LGU) och antagande av ett beslut av den kroatiska regeringen om kriterierna för beviljande av skatteincitament för frivilliga funktionella eller faktiska fusioner</w:t>
            </w:r>
          </w:p>
        </w:tc>
      </w:tr>
      <w:tr w:rsidR="003A3D51" w14:paraId="1EDFEDBF"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BE44483" w14:textId="77777777" w:rsidR="003A3D51" w:rsidRDefault="0002775A">
            <w:pPr>
              <w:pStyle w:val="P68B1DB1-Normal64"/>
              <w:spacing w:after="0" w:line="240" w:lineRule="auto"/>
              <w:jc w:val="center"/>
              <w:textAlignment w:val="baseline"/>
              <w:rPr>
                <w:noProof/>
              </w:rPr>
            </w:pPr>
            <w:r>
              <w:rPr>
                <w:noProof/>
              </w:rPr>
              <w:t>202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F2519A0" w14:textId="77777777" w:rsidR="003A3D51" w:rsidRDefault="0002775A">
            <w:pPr>
              <w:pStyle w:val="P68B1DB1-Normal64"/>
              <w:spacing w:after="0" w:line="240" w:lineRule="auto"/>
              <w:jc w:val="center"/>
              <w:textAlignment w:val="baseline"/>
              <w:rPr>
                <w:noProof/>
              </w:rPr>
            </w:pPr>
            <w:r>
              <w:rPr>
                <w:noProof/>
              </w:rPr>
              <w:t>C2.3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D54E645"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D12A210" w14:textId="77777777" w:rsidR="003A3D51" w:rsidRDefault="0002775A">
            <w:pPr>
              <w:pStyle w:val="P68B1DB1-Normal64"/>
              <w:spacing w:after="0" w:line="240" w:lineRule="auto"/>
              <w:textAlignment w:val="baseline"/>
              <w:rPr>
                <w:noProof/>
              </w:rPr>
            </w:pPr>
            <w:r>
              <w:rPr>
                <w:noProof/>
              </w:rPr>
              <w:t xml:space="preserve">Optimering av processen för tillståndsgivning för konnektivitetsinvesteringar </w:t>
            </w:r>
          </w:p>
        </w:tc>
      </w:tr>
      <w:tr w:rsidR="003A3D51" w14:paraId="22173FE6"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B07921" w14:textId="77777777" w:rsidR="003A3D51" w:rsidRDefault="0002775A">
            <w:pPr>
              <w:pStyle w:val="P68B1DB1-Normal64"/>
              <w:spacing w:after="0" w:line="240" w:lineRule="auto"/>
              <w:jc w:val="center"/>
              <w:textAlignment w:val="baseline"/>
              <w:rPr>
                <w:noProof/>
              </w:rPr>
            </w:pPr>
            <w:r>
              <w:rPr>
                <w:noProof/>
              </w:rPr>
              <w:t>214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0239812" w14:textId="77777777" w:rsidR="003A3D51" w:rsidRDefault="0002775A">
            <w:pPr>
              <w:pStyle w:val="P68B1DB1-Normal64"/>
              <w:spacing w:after="0" w:line="240" w:lineRule="auto"/>
              <w:jc w:val="center"/>
              <w:textAlignment w:val="baseline"/>
              <w:rPr>
                <w:noProof/>
              </w:rPr>
            </w:pPr>
            <w:r>
              <w:rPr>
                <w:noProof/>
              </w:rPr>
              <w:t>C2.5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08D9D0A"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3CE72D0" w14:textId="77777777" w:rsidR="003A3D51" w:rsidRDefault="0002775A">
            <w:pPr>
              <w:pStyle w:val="P68B1DB1-Normal64"/>
              <w:spacing w:after="0" w:line="240" w:lineRule="auto"/>
              <w:textAlignment w:val="baseline"/>
              <w:rPr>
                <w:noProof/>
              </w:rPr>
            </w:pPr>
            <w:r>
              <w:rPr>
                <w:noProof/>
              </w:rPr>
              <w:t>Elektroniska verktyg och tillräcklig administrativ kapacitet för statens rättsliga råd (Državno sudbeno vijeće, DSV) och åklagarrådet (Državnoodvjetničko vijeće, DOV).</w:t>
            </w:r>
          </w:p>
        </w:tc>
      </w:tr>
      <w:tr w:rsidR="003A3D51" w14:paraId="22E75271"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FB2614" w14:textId="77777777" w:rsidR="003A3D51" w:rsidRDefault="0002775A">
            <w:pPr>
              <w:pStyle w:val="P68B1DB1-Normal64"/>
              <w:spacing w:after="0" w:line="240" w:lineRule="auto"/>
              <w:jc w:val="center"/>
              <w:textAlignment w:val="baseline"/>
              <w:rPr>
                <w:noProof/>
              </w:rPr>
            </w:pPr>
            <w:r>
              <w:rPr>
                <w:noProof/>
              </w:rPr>
              <w:t>215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F0D110" w14:textId="77777777" w:rsidR="003A3D51" w:rsidRDefault="0002775A">
            <w:pPr>
              <w:pStyle w:val="P68B1DB1-Normal64"/>
              <w:spacing w:after="0" w:line="240" w:lineRule="auto"/>
              <w:jc w:val="center"/>
              <w:textAlignment w:val="baseline"/>
              <w:rPr>
                <w:noProof/>
              </w:rPr>
            </w:pPr>
            <w:r>
              <w:rPr>
                <w:noProof/>
              </w:rPr>
              <w:t>C2.5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A914022"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15632CA" w14:textId="77777777" w:rsidR="003A3D51" w:rsidRDefault="0002775A">
            <w:pPr>
              <w:pStyle w:val="P68B1DB1-Normal64"/>
              <w:spacing w:after="0" w:line="240" w:lineRule="auto"/>
              <w:textAlignment w:val="baseline"/>
              <w:rPr>
                <w:noProof/>
              </w:rPr>
            </w:pPr>
            <w:r>
              <w:rPr>
                <w:noProof/>
              </w:rPr>
              <w:t>Antagna ändringar av konkurslagen och lagen om konsumentinsolvens</w:t>
            </w:r>
          </w:p>
        </w:tc>
      </w:tr>
      <w:tr w:rsidR="003A3D51" w14:paraId="0E20C045"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F527179" w14:textId="77777777" w:rsidR="003A3D51" w:rsidRDefault="0002775A">
            <w:pPr>
              <w:pStyle w:val="P68B1DB1-Normal64"/>
              <w:spacing w:after="0" w:line="240" w:lineRule="auto"/>
              <w:jc w:val="center"/>
              <w:textAlignment w:val="baseline"/>
              <w:rPr>
                <w:noProof/>
              </w:rPr>
            </w:pPr>
            <w:r>
              <w:rPr>
                <w:noProof/>
              </w:rPr>
              <w:t>216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8D8002E" w14:textId="77777777" w:rsidR="003A3D51" w:rsidRDefault="0002775A">
            <w:pPr>
              <w:pStyle w:val="P68B1DB1-Normal64"/>
              <w:spacing w:after="0" w:line="240" w:lineRule="auto"/>
              <w:jc w:val="center"/>
              <w:textAlignment w:val="baseline"/>
              <w:rPr>
                <w:noProof/>
              </w:rPr>
            </w:pPr>
            <w:r>
              <w:rPr>
                <w:noProof/>
              </w:rPr>
              <w:t>C2.5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18BBAA7"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8847F9E" w14:textId="77777777" w:rsidR="003A3D51" w:rsidRDefault="0002775A">
            <w:pPr>
              <w:pStyle w:val="P68B1DB1-Normal64"/>
              <w:spacing w:after="0" w:line="240" w:lineRule="auto"/>
              <w:textAlignment w:val="baseline"/>
              <w:rPr>
                <w:noProof/>
              </w:rPr>
            </w:pPr>
            <w:r>
              <w:rPr>
                <w:noProof/>
              </w:rPr>
              <w:t>Antagna ändringar av straffprocesslagen</w:t>
            </w:r>
          </w:p>
        </w:tc>
      </w:tr>
      <w:tr w:rsidR="003A3D51" w14:paraId="4D260957"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7CD1E3" w14:textId="77777777" w:rsidR="003A3D51" w:rsidRDefault="0002775A">
            <w:pPr>
              <w:pStyle w:val="P68B1DB1-Normal64"/>
              <w:spacing w:after="0" w:line="240" w:lineRule="auto"/>
              <w:jc w:val="center"/>
              <w:textAlignment w:val="baseline"/>
              <w:rPr>
                <w:noProof/>
              </w:rPr>
            </w:pPr>
            <w:r>
              <w:rPr>
                <w:noProof/>
              </w:rPr>
              <w:t>266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48CBB7E" w14:textId="77777777" w:rsidR="003A3D51" w:rsidRDefault="0002775A">
            <w:pPr>
              <w:pStyle w:val="P68B1DB1-Normal64"/>
              <w:spacing w:after="0" w:line="240" w:lineRule="auto"/>
              <w:jc w:val="center"/>
              <w:textAlignment w:val="baseline"/>
              <w:rPr>
                <w:noProof/>
              </w:rPr>
            </w:pPr>
            <w:r>
              <w:rPr>
                <w:noProof/>
              </w:rPr>
              <w:t>C3.1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601BC4D"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BA17C31" w14:textId="77777777" w:rsidR="003A3D51" w:rsidRDefault="0002775A">
            <w:pPr>
              <w:pStyle w:val="P68B1DB1-Normal64"/>
              <w:spacing w:after="0" w:line="240" w:lineRule="auto"/>
              <w:textAlignment w:val="baseline"/>
              <w:rPr>
                <w:noProof/>
              </w:rPr>
            </w:pPr>
            <w:r>
              <w:rPr>
                <w:noProof/>
              </w:rPr>
              <w:t>Omfattande analys av behoven av gymnasieutbildning</w:t>
            </w:r>
          </w:p>
        </w:tc>
      </w:tr>
      <w:tr w:rsidR="003A3D51" w14:paraId="01AD0924"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7412885" w14:textId="77777777" w:rsidR="003A3D51" w:rsidRDefault="0002775A">
            <w:pPr>
              <w:pStyle w:val="P68B1DB1-Normal64"/>
              <w:spacing w:after="0" w:line="240" w:lineRule="auto"/>
              <w:jc w:val="center"/>
              <w:textAlignment w:val="baseline"/>
              <w:rPr>
                <w:noProof/>
              </w:rPr>
            </w:pPr>
            <w:r>
              <w:rPr>
                <w:noProof/>
              </w:rPr>
              <w:t>286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9BC4EF5" w14:textId="77777777" w:rsidR="003A3D51" w:rsidRDefault="0002775A">
            <w:pPr>
              <w:pStyle w:val="P68B1DB1-Normal64"/>
              <w:spacing w:after="0" w:line="240" w:lineRule="auto"/>
              <w:jc w:val="center"/>
              <w:textAlignment w:val="baseline"/>
              <w:rPr>
                <w:noProof/>
              </w:rPr>
            </w:pPr>
            <w:r>
              <w:rPr>
                <w:noProof/>
              </w:rPr>
              <w:t>C4.1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82DE246"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34E6607" w14:textId="77777777" w:rsidR="003A3D51" w:rsidRDefault="0002775A">
            <w:pPr>
              <w:pStyle w:val="P68B1DB1-Normal64"/>
              <w:spacing w:after="0" w:line="240" w:lineRule="auto"/>
              <w:textAlignment w:val="baseline"/>
              <w:rPr>
                <w:noProof/>
              </w:rPr>
            </w:pPr>
            <w:r>
              <w:rPr>
                <w:noProof/>
              </w:rPr>
              <w:t>Komplettering av aktiva arbetsmarknadsåtgärder</w:t>
            </w:r>
          </w:p>
        </w:tc>
      </w:tr>
      <w:tr w:rsidR="003A3D51" w14:paraId="7FA58D3F"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446173" w14:textId="77777777" w:rsidR="003A3D51" w:rsidRDefault="0002775A">
            <w:pPr>
              <w:pStyle w:val="P68B1DB1-Normal64"/>
              <w:spacing w:after="0" w:line="240" w:lineRule="auto"/>
              <w:jc w:val="center"/>
              <w:textAlignment w:val="baseline"/>
              <w:rPr>
                <w:noProof/>
              </w:rPr>
            </w:pPr>
            <w:r>
              <w:rPr>
                <w:noProof/>
              </w:rPr>
              <w:t>291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85B5B88" w14:textId="77777777" w:rsidR="003A3D51" w:rsidRDefault="0002775A">
            <w:pPr>
              <w:pStyle w:val="P68B1DB1-Normal64"/>
              <w:spacing w:after="0" w:line="240" w:lineRule="auto"/>
              <w:jc w:val="center"/>
              <w:textAlignment w:val="baseline"/>
              <w:rPr>
                <w:noProof/>
              </w:rPr>
            </w:pPr>
            <w:r>
              <w:rPr>
                <w:noProof/>
              </w:rPr>
              <w:t>C4.1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3D370B0"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196C237" w14:textId="77777777" w:rsidR="003A3D51" w:rsidRDefault="0002775A">
            <w:pPr>
              <w:pStyle w:val="P68B1DB1-Normal64"/>
              <w:spacing w:after="0" w:line="240" w:lineRule="auto"/>
              <w:textAlignment w:val="baseline"/>
              <w:rPr>
                <w:noProof/>
              </w:rPr>
            </w:pPr>
            <w:r>
              <w:rPr>
                <w:noProof/>
              </w:rPr>
              <w:t>Utveckling av färdigheter i enlighet med marknadens behov</w:t>
            </w:r>
          </w:p>
        </w:tc>
      </w:tr>
      <w:tr w:rsidR="003A3D51" w14:paraId="52648B67"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D289EDA" w14:textId="77777777" w:rsidR="003A3D51" w:rsidRDefault="0002775A">
            <w:pPr>
              <w:pStyle w:val="P68B1DB1-Normal64"/>
              <w:spacing w:after="0" w:line="240" w:lineRule="auto"/>
              <w:jc w:val="center"/>
              <w:textAlignment w:val="baseline"/>
              <w:rPr>
                <w:noProof/>
              </w:rPr>
            </w:pPr>
            <w:r>
              <w:rPr>
                <w:noProof/>
              </w:rPr>
              <w:t>303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A62D980" w14:textId="77777777" w:rsidR="003A3D51" w:rsidRDefault="0002775A">
            <w:pPr>
              <w:pStyle w:val="P68B1DB1-Normal64"/>
              <w:spacing w:after="0" w:line="240" w:lineRule="auto"/>
              <w:jc w:val="center"/>
              <w:textAlignment w:val="baseline"/>
              <w:rPr>
                <w:noProof/>
              </w:rPr>
            </w:pPr>
            <w:r>
              <w:rPr>
                <w:noProof/>
              </w:rPr>
              <w:t>C4.3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D3EE834"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5EF187" w14:textId="77777777" w:rsidR="003A3D51" w:rsidRDefault="0002775A">
            <w:pPr>
              <w:pStyle w:val="P68B1DB1-Normal64"/>
              <w:spacing w:after="0" w:line="240" w:lineRule="auto"/>
              <w:textAlignment w:val="baseline"/>
              <w:rPr>
                <w:noProof/>
              </w:rPr>
            </w:pPr>
            <w:r>
              <w:rPr>
                <w:noProof/>
              </w:rPr>
              <w:t>Antagande av den nya lagen om social trygghet</w:t>
            </w:r>
          </w:p>
        </w:tc>
      </w:tr>
      <w:tr w:rsidR="003A3D51" w14:paraId="0B73CD31"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644D391" w14:textId="77777777" w:rsidR="003A3D51" w:rsidRDefault="0002775A">
            <w:pPr>
              <w:pStyle w:val="P68B1DB1-Normal64"/>
              <w:spacing w:after="0" w:line="240" w:lineRule="auto"/>
              <w:jc w:val="center"/>
              <w:textAlignment w:val="baseline"/>
              <w:rPr>
                <w:noProof/>
              </w:rPr>
            </w:pPr>
            <w:r>
              <w:rPr>
                <w:noProof/>
              </w:rPr>
              <w:t>309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9756A1F" w14:textId="77777777" w:rsidR="003A3D51" w:rsidRDefault="0002775A">
            <w:pPr>
              <w:pStyle w:val="P68B1DB1-Normal64"/>
              <w:spacing w:after="0" w:line="240" w:lineRule="auto"/>
              <w:jc w:val="center"/>
              <w:textAlignment w:val="baseline"/>
              <w:rPr>
                <w:noProof/>
              </w:rPr>
            </w:pPr>
            <w:r>
              <w:rPr>
                <w:noProof/>
              </w:rPr>
              <w:t>C4.3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874F843"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A64E360" w14:textId="77777777" w:rsidR="003A3D51" w:rsidRDefault="0002775A">
            <w:pPr>
              <w:pStyle w:val="P68B1DB1-Normal64"/>
              <w:spacing w:after="0" w:line="240" w:lineRule="auto"/>
              <w:textAlignment w:val="baseline"/>
              <w:rPr>
                <w:noProof/>
              </w:rPr>
            </w:pPr>
            <w:r>
              <w:rPr>
                <w:noProof/>
              </w:rPr>
              <w:t xml:space="preserve">Utbildning av yrkesverksamma inom social mentorsverksamhet </w:t>
            </w:r>
          </w:p>
        </w:tc>
      </w:tr>
      <w:tr w:rsidR="003A3D51" w14:paraId="17D440EA"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4939941" w14:textId="77777777" w:rsidR="003A3D51" w:rsidRDefault="0002775A">
            <w:pPr>
              <w:pStyle w:val="P68B1DB1-Normal64"/>
              <w:spacing w:after="0" w:line="240" w:lineRule="auto"/>
              <w:jc w:val="center"/>
              <w:textAlignment w:val="baseline"/>
              <w:rPr>
                <w:noProof/>
              </w:rPr>
            </w:pPr>
            <w:r>
              <w:rPr>
                <w:noProof/>
              </w:rPr>
              <w:t>352</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D6B4541" w14:textId="77777777" w:rsidR="003A3D51" w:rsidRDefault="0002775A">
            <w:pPr>
              <w:pStyle w:val="P68B1DB1-Normal64"/>
              <w:spacing w:after="0" w:line="240" w:lineRule="auto"/>
              <w:jc w:val="center"/>
              <w:textAlignment w:val="baseline"/>
              <w:rPr>
                <w:noProof/>
              </w:rPr>
            </w:pPr>
            <w:r>
              <w:rPr>
                <w:noProof/>
              </w:rPr>
              <w:t>C6.1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74CA527"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268C181" w14:textId="77777777" w:rsidR="003A3D51" w:rsidRDefault="0002775A">
            <w:pPr>
              <w:pStyle w:val="P68B1DB1-Normal64"/>
              <w:spacing w:after="0" w:line="240" w:lineRule="auto"/>
              <w:textAlignment w:val="baseline"/>
              <w:rPr>
                <w:noProof/>
              </w:rPr>
            </w:pPr>
            <w:r>
              <w:rPr>
                <w:noProof/>
              </w:rPr>
              <w:t>Antagande av programmet för energirenovering av byggnader inom den offentliga sektorn för perioden 2021–2030</w:t>
            </w:r>
          </w:p>
        </w:tc>
      </w:tr>
      <w:tr w:rsidR="003A3D51" w14:paraId="4350981E" w14:textId="77777777">
        <w:trPr>
          <w:trHeight w:val="397"/>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4CB1CAF"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42" w:type="dxa"/>
            <w:tcBorders>
              <w:top w:val="single" w:sz="6" w:space="0" w:color="auto"/>
              <w:left w:val="nil"/>
              <w:bottom w:val="single" w:sz="6" w:space="0" w:color="auto"/>
              <w:right w:val="single" w:sz="6" w:space="0" w:color="auto"/>
            </w:tcBorders>
            <w:shd w:val="clear" w:color="auto" w:fill="C6EFCE"/>
            <w:vAlign w:val="center"/>
          </w:tcPr>
          <w:p w14:paraId="3F1850F2"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276" w:type="dxa"/>
            <w:tcBorders>
              <w:top w:val="single" w:sz="6" w:space="0" w:color="auto"/>
              <w:left w:val="nil"/>
              <w:bottom w:val="single" w:sz="6" w:space="0" w:color="auto"/>
              <w:right w:val="single" w:sz="6" w:space="0" w:color="auto"/>
            </w:tcBorders>
            <w:shd w:val="clear" w:color="auto" w:fill="C6EFCE"/>
            <w:vAlign w:val="center"/>
          </w:tcPr>
          <w:p w14:paraId="22E638EB" w14:textId="77777777" w:rsidR="003A3D51" w:rsidRDefault="0002775A">
            <w:pPr>
              <w:pStyle w:val="P68B1DB1-Normal64"/>
              <w:spacing w:after="0" w:line="240" w:lineRule="auto"/>
              <w:jc w:val="center"/>
              <w:textAlignment w:val="baseline"/>
              <w:rPr>
                <w:noProof/>
              </w:rPr>
            </w:pPr>
            <w:r>
              <w:rPr>
                <w:noProof/>
              </w:rPr>
              <w:t>Delbetalning, belopp</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5226383" w14:textId="77777777" w:rsidR="003A3D51" w:rsidRDefault="0002775A">
            <w:pPr>
              <w:pStyle w:val="P68B1DB1-Normal64"/>
              <w:spacing w:after="0" w:line="240" w:lineRule="auto"/>
              <w:textAlignment w:val="baseline"/>
              <w:rPr>
                <w:noProof/>
              </w:rPr>
            </w:pPr>
            <w:r>
              <w:rPr>
                <w:noProof/>
              </w:rPr>
              <w:t>804 597 701 EUR</w:t>
            </w:r>
          </w:p>
        </w:tc>
      </w:tr>
    </w:tbl>
    <w:p w14:paraId="133BE70E"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7C1BB9A8" w14:textId="77777777" w:rsidR="003A3D51" w:rsidRDefault="003A3D51">
      <w:pPr>
        <w:spacing w:after="0" w:line="240" w:lineRule="auto"/>
        <w:jc w:val="both"/>
        <w:textAlignment w:val="baseline"/>
        <w:rPr>
          <w:rFonts w:ascii="Segoe UI" w:eastAsia="Times New Roman" w:hAnsi="Segoe UI" w:cs="Segoe UI"/>
          <w:noProof/>
          <w:sz w:val="18"/>
        </w:rPr>
      </w:pPr>
    </w:p>
    <w:p w14:paraId="4EAE5D5D" w14:textId="77777777" w:rsidR="003A3D51" w:rsidRDefault="003A3D51">
      <w:pPr>
        <w:spacing w:after="0" w:line="240" w:lineRule="auto"/>
        <w:jc w:val="both"/>
        <w:textAlignment w:val="baseline"/>
        <w:rPr>
          <w:rFonts w:ascii="Segoe UI" w:eastAsia="Times New Roman" w:hAnsi="Segoe UI" w:cs="Segoe UI"/>
          <w:noProof/>
          <w:sz w:val="18"/>
        </w:rPr>
      </w:pPr>
    </w:p>
    <w:p w14:paraId="12409207" w14:textId="77777777" w:rsidR="003A3D51" w:rsidRDefault="0002775A">
      <w:pPr>
        <w:pStyle w:val="P68B1DB1-Normal11"/>
        <w:numPr>
          <w:ilvl w:val="0"/>
          <w:numId w:val="49"/>
        </w:numPr>
        <w:spacing w:line="240" w:lineRule="auto"/>
        <w:ind w:firstLine="0"/>
        <w:jc w:val="both"/>
        <w:textAlignment w:val="baseline"/>
        <w:rPr>
          <w:noProof/>
        </w:rPr>
      </w:pPr>
      <w:r>
        <w:rPr>
          <w:noProof/>
        </w:rPr>
        <w:t>Tredje delbetalningen (icke återbetalningspliktigt stöd):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5"/>
        <w:gridCol w:w="1274"/>
        <w:gridCol w:w="5349"/>
      </w:tblGrid>
      <w:tr w:rsidR="003A3D51" w14:paraId="345F1BE1" w14:textId="77777777">
        <w:trPr>
          <w:trHeight w:val="450"/>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22ED6D5"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9F47D5F"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37A971A"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87" w:type="dxa"/>
            <w:vMerge w:val="restart"/>
            <w:tcBorders>
              <w:top w:val="single" w:sz="6" w:space="0" w:color="auto"/>
              <w:left w:val="nil"/>
              <w:bottom w:val="single" w:sz="6" w:space="0" w:color="000000"/>
              <w:right w:val="single" w:sz="6" w:space="0" w:color="auto"/>
            </w:tcBorders>
            <w:shd w:val="clear" w:color="auto" w:fill="BDD7EE"/>
            <w:vAlign w:val="center"/>
            <w:hideMark/>
          </w:tcPr>
          <w:p w14:paraId="7103A85E"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66F43526"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FBD58C9"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03ECE3" w14:textId="77777777" w:rsidR="003A3D51" w:rsidRDefault="003A3D51">
            <w:pPr>
              <w:spacing w:after="0" w:line="240" w:lineRule="auto"/>
              <w:rPr>
                <w:rFonts w:ascii="Times New Roman" w:eastAsia="Times New Roman" w:hAnsi="Times New Roman" w:cs="Times New Roman"/>
                <w:noProof/>
                <w:sz w:val="20"/>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7A3A072" w14:textId="77777777" w:rsidR="003A3D51" w:rsidRDefault="003A3D51">
            <w:pPr>
              <w:spacing w:after="0" w:line="240" w:lineRule="auto"/>
              <w:rPr>
                <w:rFonts w:ascii="Times New Roman" w:eastAsia="Times New Roman" w:hAnsi="Times New Roman" w:cs="Times New Roman"/>
                <w:noProof/>
                <w:sz w:val="20"/>
              </w:rPr>
            </w:pPr>
          </w:p>
        </w:tc>
        <w:tc>
          <w:tcPr>
            <w:tcW w:w="5387" w:type="dxa"/>
            <w:vMerge/>
            <w:tcBorders>
              <w:top w:val="single" w:sz="6" w:space="0" w:color="auto"/>
              <w:left w:val="nil"/>
              <w:bottom w:val="single" w:sz="6" w:space="0" w:color="000000"/>
              <w:right w:val="single" w:sz="6" w:space="0" w:color="auto"/>
            </w:tcBorders>
            <w:shd w:val="clear" w:color="auto" w:fill="auto"/>
            <w:vAlign w:val="center"/>
            <w:hideMark/>
          </w:tcPr>
          <w:p w14:paraId="3B4F2967" w14:textId="77777777" w:rsidR="003A3D51" w:rsidRDefault="003A3D51">
            <w:pPr>
              <w:spacing w:after="0" w:line="240" w:lineRule="auto"/>
              <w:rPr>
                <w:rFonts w:ascii="Times New Roman" w:eastAsia="Times New Roman" w:hAnsi="Times New Roman" w:cs="Times New Roman"/>
                <w:noProof/>
                <w:sz w:val="20"/>
              </w:rPr>
            </w:pPr>
          </w:p>
        </w:tc>
      </w:tr>
      <w:tr w:rsidR="003A3D51" w14:paraId="36FF4B80"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1A7DFC0" w14:textId="77777777" w:rsidR="003A3D51" w:rsidRDefault="0002775A">
            <w:pPr>
              <w:pStyle w:val="P68B1DB1-Normal64"/>
              <w:spacing w:after="0" w:line="240" w:lineRule="auto"/>
              <w:jc w:val="center"/>
              <w:textAlignment w:val="baseline"/>
              <w:rPr>
                <w:rFonts w:eastAsia="Times New Roman"/>
                <w:noProof/>
              </w:rPr>
            </w:pPr>
            <w:r>
              <w:rPr>
                <w:noProof/>
              </w:rPr>
              <w:t>1</w:t>
            </w:r>
          </w:p>
        </w:tc>
        <w:tc>
          <w:tcPr>
            <w:tcW w:w="1642" w:type="dxa"/>
            <w:tcBorders>
              <w:top w:val="nil"/>
              <w:left w:val="nil"/>
              <w:bottom w:val="single" w:sz="6" w:space="0" w:color="auto"/>
              <w:right w:val="single" w:sz="6" w:space="0" w:color="auto"/>
            </w:tcBorders>
            <w:shd w:val="clear" w:color="auto" w:fill="C6EFCE"/>
            <w:vAlign w:val="center"/>
            <w:hideMark/>
          </w:tcPr>
          <w:p w14:paraId="603FA6A2" w14:textId="77777777" w:rsidR="003A3D51" w:rsidRDefault="0002775A">
            <w:pPr>
              <w:pStyle w:val="P68B1DB1-Normal64"/>
              <w:spacing w:after="0" w:line="240" w:lineRule="auto"/>
              <w:jc w:val="center"/>
              <w:textAlignment w:val="baseline"/>
              <w:rPr>
                <w:rFonts w:eastAsia="Times New Roman"/>
                <w:noProof/>
              </w:rPr>
            </w:pPr>
            <w:r>
              <w:rPr>
                <w:noProof/>
              </w:rPr>
              <w:t>C1.1.1 R1</w:t>
            </w:r>
          </w:p>
        </w:tc>
        <w:tc>
          <w:tcPr>
            <w:tcW w:w="1276" w:type="dxa"/>
            <w:tcBorders>
              <w:top w:val="nil"/>
              <w:left w:val="nil"/>
              <w:bottom w:val="single" w:sz="6" w:space="0" w:color="auto"/>
              <w:right w:val="single" w:sz="6" w:space="0" w:color="auto"/>
            </w:tcBorders>
            <w:shd w:val="clear" w:color="auto" w:fill="C6EFCE"/>
            <w:vAlign w:val="center"/>
            <w:hideMark/>
          </w:tcPr>
          <w:p w14:paraId="04E8858C"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87" w:type="dxa"/>
            <w:tcBorders>
              <w:top w:val="nil"/>
              <w:left w:val="nil"/>
              <w:bottom w:val="single" w:sz="6" w:space="0" w:color="auto"/>
              <w:right w:val="single" w:sz="6" w:space="0" w:color="auto"/>
            </w:tcBorders>
            <w:shd w:val="clear" w:color="auto" w:fill="C6EFCE"/>
            <w:vAlign w:val="center"/>
            <w:hideMark/>
          </w:tcPr>
          <w:p w14:paraId="67580687" w14:textId="77777777" w:rsidR="003A3D51" w:rsidRDefault="0002775A">
            <w:pPr>
              <w:pStyle w:val="P68B1DB1-Normal64"/>
              <w:spacing w:after="0" w:line="240" w:lineRule="auto"/>
              <w:textAlignment w:val="baseline"/>
              <w:rPr>
                <w:rFonts w:eastAsia="Times New Roman"/>
                <w:noProof/>
              </w:rPr>
            </w:pPr>
            <w:r>
              <w:rPr>
                <w:noProof/>
              </w:rPr>
              <w:t xml:space="preserve">Den kroatiska regeringens antagande av strategin för utvärdering av de ekonomiska effekterna av förordningen om små och medelstora företag och den åtföljande handlingsplanen </w:t>
            </w:r>
          </w:p>
        </w:tc>
      </w:tr>
      <w:tr w:rsidR="003A3D51" w14:paraId="1A56E67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7B003AE6" w14:textId="77777777" w:rsidR="003A3D51" w:rsidRDefault="0002775A">
            <w:pPr>
              <w:pStyle w:val="P68B1DB1-Normal64"/>
              <w:spacing w:after="0" w:line="240" w:lineRule="auto"/>
              <w:jc w:val="center"/>
              <w:textAlignment w:val="baseline"/>
              <w:rPr>
                <w:rFonts w:eastAsia="Times New Roman"/>
                <w:noProof/>
              </w:rPr>
            </w:pPr>
            <w:r>
              <w:rPr>
                <w:noProof/>
              </w:rPr>
              <w:t>7</w:t>
            </w:r>
          </w:p>
        </w:tc>
        <w:tc>
          <w:tcPr>
            <w:tcW w:w="1642" w:type="dxa"/>
            <w:tcBorders>
              <w:top w:val="single" w:sz="6" w:space="0" w:color="auto"/>
              <w:left w:val="nil"/>
              <w:bottom w:val="single" w:sz="6" w:space="0" w:color="auto"/>
              <w:right w:val="single" w:sz="6" w:space="0" w:color="auto"/>
            </w:tcBorders>
            <w:shd w:val="clear" w:color="auto" w:fill="C6EFCE"/>
            <w:vAlign w:val="center"/>
            <w:hideMark/>
          </w:tcPr>
          <w:p w14:paraId="52E07BBF" w14:textId="77777777" w:rsidR="003A3D51" w:rsidRDefault="0002775A">
            <w:pPr>
              <w:pStyle w:val="P68B1DB1-Normal64"/>
              <w:spacing w:after="0" w:line="240" w:lineRule="auto"/>
              <w:jc w:val="center"/>
              <w:textAlignment w:val="baseline"/>
              <w:rPr>
                <w:rFonts w:eastAsia="Times New Roman"/>
                <w:noProof/>
              </w:rPr>
            </w:pPr>
            <w:r>
              <w:rPr>
                <w:noProof/>
              </w:rPr>
              <w:t>C1.1.1 R1-I2</w:t>
            </w:r>
          </w:p>
        </w:tc>
        <w:tc>
          <w:tcPr>
            <w:tcW w:w="1276" w:type="dxa"/>
            <w:tcBorders>
              <w:top w:val="single" w:sz="6" w:space="0" w:color="auto"/>
              <w:left w:val="nil"/>
              <w:bottom w:val="single" w:sz="6" w:space="0" w:color="auto"/>
              <w:right w:val="single" w:sz="6" w:space="0" w:color="auto"/>
            </w:tcBorders>
            <w:shd w:val="clear" w:color="auto" w:fill="C6EFCE"/>
            <w:vAlign w:val="center"/>
            <w:hideMark/>
          </w:tcPr>
          <w:p w14:paraId="08F82156"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hideMark/>
          </w:tcPr>
          <w:p w14:paraId="322396A4" w14:textId="77777777" w:rsidR="003A3D51" w:rsidRDefault="0002775A">
            <w:pPr>
              <w:pStyle w:val="P68B1DB1-Normal64"/>
              <w:spacing w:after="0" w:line="240" w:lineRule="auto"/>
              <w:textAlignment w:val="baseline"/>
              <w:rPr>
                <w:rFonts w:eastAsia="Times New Roman"/>
                <w:noProof/>
              </w:rPr>
            </w:pPr>
            <w:r>
              <w:rPr>
                <w:noProof/>
              </w:rPr>
              <w:t>Genomförande av åtgärder i handlingsplanerna för att minska den administrativa bördan för ekonomin 2018, 2019, 2020</w:t>
            </w:r>
          </w:p>
        </w:tc>
      </w:tr>
      <w:tr w:rsidR="003A3D51" w14:paraId="1818FB0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2D48215" w14:textId="77777777" w:rsidR="003A3D51" w:rsidRDefault="0002775A">
            <w:pPr>
              <w:pStyle w:val="P68B1DB1-Normal64"/>
              <w:spacing w:after="0" w:line="240" w:lineRule="auto"/>
              <w:jc w:val="center"/>
              <w:textAlignment w:val="baseline"/>
              <w:rPr>
                <w:noProof/>
              </w:rPr>
            </w:pPr>
            <w:r>
              <w:rPr>
                <w:noProof/>
              </w:rPr>
              <w:t>23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D8F1619" w14:textId="77777777" w:rsidR="003A3D51" w:rsidRDefault="0002775A">
            <w:pPr>
              <w:pStyle w:val="P68B1DB1-Normal64"/>
              <w:spacing w:after="0" w:line="240" w:lineRule="auto"/>
              <w:jc w:val="center"/>
              <w:textAlignment w:val="baseline"/>
              <w:rPr>
                <w:noProof/>
              </w:rPr>
            </w:pPr>
            <w:r>
              <w:rPr>
                <w:noProof/>
              </w:rPr>
              <w:t>C1.1.1 R5-I1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54FBF4E"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F6B07DA" w14:textId="77777777" w:rsidR="003A3D51" w:rsidRDefault="0002775A">
            <w:pPr>
              <w:pStyle w:val="P68B1DB1-Normal64"/>
              <w:spacing w:after="0" w:line="240" w:lineRule="auto"/>
              <w:textAlignment w:val="baseline"/>
              <w:rPr>
                <w:noProof/>
              </w:rPr>
            </w:pPr>
            <w:r>
              <w:rPr>
                <w:noProof/>
              </w:rPr>
              <w:t xml:space="preserve">Inrättande av ett finansieringsinstrument med eget kapital eller kapital likställt med eget kapital </w:t>
            </w:r>
          </w:p>
        </w:tc>
      </w:tr>
      <w:tr w:rsidR="003A3D51" w14:paraId="139B3B9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1641F28" w14:textId="77777777" w:rsidR="003A3D51" w:rsidRDefault="0002775A">
            <w:pPr>
              <w:pStyle w:val="P68B1DB1-Normal64"/>
              <w:spacing w:after="0" w:line="240" w:lineRule="auto"/>
              <w:jc w:val="center"/>
              <w:textAlignment w:val="baseline"/>
              <w:rPr>
                <w:noProof/>
              </w:rPr>
            </w:pPr>
            <w:r>
              <w:rPr>
                <w:noProof/>
              </w:rPr>
              <w:t>37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90BF78E" w14:textId="77777777" w:rsidR="003A3D51" w:rsidRDefault="0002775A">
            <w:pPr>
              <w:pStyle w:val="P68B1DB1-Normal64"/>
              <w:spacing w:after="0" w:line="240" w:lineRule="auto"/>
              <w:jc w:val="center"/>
              <w:textAlignment w:val="baseline"/>
              <w:rPr>
                <w:noProof/>
              </w:rPr>
            </w:pPr>
            <w:r>
              <w:rPr>
                <w:noProof/>
              </w:rPr>
              <w:t>C1.2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B24DB00"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FF275B9" w14:textId="77777777" w:rsidR="003A3D51" w:rsidRDefault="0002775A">
            <w:pPr>
              <w:pStyle w:val="P68B1DB1-Normal64"/>
              <w:spacing w:after="0" w:line="240" w:lineRule="auto"/>
              <w:textAlignment w:val="baseline"/>
              <w:rPr>
                <w:noProof/>
              </w:rPr>
            </w:pPr>
            <w:r>
              <w:rPr>
                <w:noProof/>
              </w:rPr>
              <w:t>Ikraftträdande av lagstiftning och/eller reglering för att förbättra användningen av förnybara energikällor, inbegripet införande av ett premiebaserat system för stöd till förnybara energikällor.</w:t>
            </w:r>
          </w:p>
        </w:tc>
      </w:tr>
      <w:tr w:rsidR="003A3D51" w14:paraId="6C592A1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54A9DD2" w14:textId="77777777" w:rsidR="003A3D51" w:rsidRDefault="0002775A">
            <w:pPr>
              <w:pStyle w:val="P68B1DB1-Normal64"/>
              <w:spacing w:after="0" w:line="240" w:lineRule="auto"/>
              <w:jc w:val="center"/>
              <w:textAlignment w:val="baseline"/>
              <w:rPr>
                <w:noProof/>
              </w:rPr>
            </w:pPr>
            <w:r>
              <w:rPr>
                <w:noProof/>
              </w:rPr>
              <w:t>60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A956C6F" w14:textId="77777777" w:rsidR="003A3D51" w:rsidRDefault="0002775A">
            <w:pPr>
              <w:pStyle w:val="P68B1DB1-Normal64"/>
              <w:spacing w:after="0" w:line="240" w:lineRule="auto"/>
              <w:jc w:val="center"/>
              <w:textAlignment w:val="baseline"/>
              <w:rPr>
                <w:noProof/>
              </w:rPr>
            </w:pPr>
            <w:r>
              <w:rPr>
                <w:noProof/>
              </w:rPr>
              <w:t>C1.3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16DD4C9"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D890387" w14:textId="77777777" w:rsidR="003A3D51" w:rsidRDefault="0002775A">
            <w:pPr>
              <w:pStyle w:val="P68B1DB1-Normal64"/>
              <w:spacing w:after="0" w:line="240" w:lineRule="auto"/>
              <w:textAlignment w:val="baseline"/>
              <w:rPr>
                <w:noProof/>
              </w:rPr>
            </w:pPr>
            <w:r>
              <w:rPr>
                <w:noProof/>
              </w:rPr>
              <w:t xml:space="preserve">Ändringar av den rättsliga ramen för vattensektorn </w:t>
            </w:r>
          </w:p>
        </w:tc>
      </w:tr>
      <w:tr w:rsidR="003A3D51" w14:paraId="1AC1E7E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3B051E1" w14:textId="77777777" w:rsidR="003A3D51" w:rsidRDefault="0002775A">
            <w:pPr>
              <w:pStyle w:val="P68B1DB1-Normal64"/>
              <w:spacing w:after="0" w:line="240" w:lineRule="auto"/>
              <w:jc w:val="center"/>
              <w:textAlignment w:val="baseline"/>
              <w:rPr>
                <w:noProof/>
              </w:rPr>
            </w:pPr>
            <w:r>
              <w:rPr>
                <w:noProof/>
              </w:rPr>
              <w:t>69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E41EE19" w14:textId="77777777" w:rsidR="003A3D51" w:rsidRDefault="0002775A">
            <w:pPr>
              <w:pStyle w:val="P68B1DB1-Normal64"/>
              <w:spacing w:after="0" w:line="240" w:lineRule="auto"/>
              <w:jc w:val="center"/>
              <w:textAlignment w:val="baseline"/>
              <w:rPr>
                <w:noProof/>
              </w:rPr>
            </w:pPr>
            <w:r>
              <w:rPr>
                <w:noProof/>
              </w:rPr>
              <w:t>C1.3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257E1E4"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081B321" w14:textId="77777777" w:rsidR="003A3D51" w:rsidRDefault="0002775A">
            <w:pPr>
              <w:pStyle w:val="P68B1DB1-Normal64"/>
              <w:spacing w:after="0" w:line="240" w:lineRule="auto"/>
              <w:textAlignment w:val="baseline"/>
              <w:rPr>
                <w:noProof/>
              </w:rPr>
            </w:pPr>
            <w:r>
              <w:rPr>
                <w:noProof/>
              </w:rPr>
              <w:t xml:space="preserve">Vattenmätare installerade på platser för vattenuttag </w:t>
            </w:r>
          </w:p>
        </w:tc>
      </w:tr>
      <w:tr w:rsidR="003A3D51" w14:paraId="11FA23D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E99C59" w14:textId="77777777" w:rsidR="003A3D51" w:rsidRDefault="0002775A">
            <w:pPr>
              <w:pStyle w:val="P68B1DB1-Normal64"/>
              <w:spacing w:after="0" w:line="240" w:lineRule="auto"/>
              <w:jc w:val="center"/>
              <w:textAlignment w:val="baseline"/>
              <w:rPr>
                <w:noProof/>
              </w:rPr>
            </w:pPr>
            <w:r>
              <w:rPr>
                <w:noProof/>
              </w:rPr>
              <w:t>74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C1FD49A" w14:textId="77777777" w:rsidR="003A3D51" w:rsidRDefault="0002775A">
            <w:pPr>
              <w:pStyle w:val="P68B1DB1-Normal64"/>
              <w:spacing w:after="0" w:line="240" w:lineRule="auto"/>
              <w:jc w:val="center"/>
              <w:textAlignment w:val="baseline"/>
              <w:rPr>
                <w:noProof/>
              </w:rPr>
            </w:pPr>
            <w:r>
              <w:rPr>
                <w:noProof/>
              </w:rPr>
              <w:t>C1.3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C2C02B8"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F712089" w14:textId="77777777" w:rsidR="003A3D51" w:rsidRDefault="0002775A">
            <w:pPr>
              <w:pStyle w:val="P68B1DB1-Normal64"/>
              <w:spacing w:after="0" w:line="240" w:lineRule="auto"/>
              <w:textAlignment w:val="baseline"/>
              <w:rPr>
                <w:noProof/>
              </w:rPr>
            </w:pPr>
            <w:r>
              <w:rPr>
                <w:noProof/>
              </w:rPr>
              <w:t xml:space="preserve">Entreprenadkontrakt för översvämningsskyddsprojekt </w:t>
            </w:r>
          </w:p>
        </w:tc>
      </w:tr>
      <w:tr w:rsidR="003A3D51" w14:paraId="0D9372A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43E343E" w14:textId="77777777" w:rsidR="003A3D51" w:rsidRDefault="0002775A">
            <w:pPr>
              <w:pStyle w:val="P68B1DB1-Normal64"/>
              <w:spacing w:after="0" w:line="240" w:lineRule="auto"/>
              <w:jc w:val="center"/>
              <w:textAlignment w:val="baseline"/>
              <w:rPr>
                <w:noProof/>
              </w:rPr>
            </w:pPr>
            <w:r>
              <w:rPr>
                <w:noProof/>
              </w:rPr>
              <w:t>75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1670465" w14:textId="77777777" w:rsidR="003A3D51" w:rsidRDefault="0002775A">
            <w:pPr>
              <w:pStyle w:val="P68B1DB1-Normal64"/>
              <w:spacing w:after="0" w:line="240" w:lineRule="auto"/>
              <w:jc w:val="center"/>
              <w:textAlignment w:val="baseline"/>
              <w:rPr>
                <w:noProof/>
              </w:rPr>
            </w:pPr>
            <w:r>
              <w:rPr>
                <w:noProof/>
              </w:rPr>
              <w:t>C1.3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8205051"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AB5DAB0" w14:textId="77777777" w:rsidR="003A3D51" w:rsidRDefault="0002775A">
            <w:pPr>
              <w:pStyle w:val="P68B1DB1-Normal64"/>
              <w:spacing w:after="0" w:line="240" w:lineRule="auto"/>
              <w:textAlignment w:val="baseline"/>
              <w:rPr>
                <w:noProof/>
              </w:rPr>
            </w:pPr>
            <w:r>
              <w:rPr>
                <w:noProof/>
              </w:rPr>
              <w:t xml:space="preserve">Anläggning av översvämningsskydd </w:t>
            </w:r>
          </w:p>
        </w:tc>
      </w:tr>
      <w:tr w:rsidR="003A3D51" w14:paraId="6D45558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CA2F710" w14:textId="77777777" w:rsidR="003A3D51" w:rsidRDefault="0002775A">
            <w:pPr>
              <w:pStyle w:val="P68B1DB1-Normal64"/>
              <w:spacing w:after="0" w:line="240" w:lineRule="auto"/>
              <w:jc w:val="center"/>
              <w:textAlignment w:val="baseline"/>
              <w:rPr>
                <w:noProof/>
              </w:rPr>
            </w:pPr>
            <w:r>
              <w:rPr>
                <w:noProof/>
              </w:rPr>
              <w:t>76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2ED2510" w14:textId="77777777" w:rsidR="003A3D51" w:rsidRDefault="0002775A">
            <w:pPr>
              <w:pStyle w:val="P68B1DB1-Normal64"/>
              <w:spacing w:after="0" w:line="240" w:lineRule="auto"/>
              <w:jc w:val="center"/>
              <w:textAlignment w:val="baseline"/>
              <w:rPr>
                <w:noProof/>
              </w:rPr>
            </w:pPr>
            <w:r>
              <w:rPr>
                <w:noProof/>
              </w:rPr>
              <w:t>C1.3 R1-I3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EB3A138"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C3CA2FB" w14:textId="77777777" w:rsidR="003A3D51" w:rsidRDefault="0002775A">
            <w:pPr>
              <w:pStyle w:val="P68B1DB1-Normal64"/>
              <w:spacing w:after="0" w:line="240" w:lineRule="auto"/>
              <w:textAlignment w:val="baseline"/>
              <w:rPr>
                <w:noProof/>
              </w:rPr>
            </w:pPr>
            <w:r>
              <w:rPr>
                <w:noProof/>
              </w:rPr>
              <w:t xml:space="preserve">Vitaliserade vattendrag </w:t>
            </w:r>
          </w:p>
        </w:tc>
      </w:tr>
      <w:tr w:rsidR="003A3D51" w14:paraId="0801358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EE9D2B" w14:textId="77777777" w:rsidR="003A3D51" w:rsidRDefault="0002775A">
            <w:pPr>
              <w:pStyle w:val="P68B1DB1-Normal64"/>
              <w:spacing w:after="0" w:line="240" w:lineRule="auto"/>
              <w:jc w:val="center"/>
              <w:textAlignment w:val="baseline"/>
              <w:rPr>
                <w:noProof/>
              </w:rPr>
            </w:pPr>
            <w:r>
              <w:rPr>
                <w:noProof/>
              </w:rPr>
              <w:t>83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81049F9" w14:textId="77777777" w:rsidR="003A3D51" w:rsidRDefault="0002775A">
            <w:pPr>
              <w:pStyle w:val="P68B1DB1-Normal64"/>
              <w:spacing w:after="0" w:line="240" w:lineRule="auto"/>
              <w:jc w:val="center"/>
              <w:textAlignment w:val="baseline"/>
              <w:rPr>
                <w:noProof/>
              </w:rPr>
            </w:pPr>
            <w:r>
              <w:rPr>
                <w:noProof/>
              </w:rPr>
              <w:t>C1.3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3F296A5"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C8A12D4" w14:textId="77777777" w:rsidR="003A3D51" w:rsidRDefault="0002775A">
            <w:pPr>
              <w:pStyle w:val="P68B1DB1-Normal64"/>
              <w:spacing w:after="0" w:line="240" w:lineRule="auto"/>
              <w:textAlignment w:val="baseline"/>
              <w:rPr>
                <w:noProof/>
              </w:rPr>
            </w:pPr>
            <w:r>
              <w:rPr>
                <w:noProof/>
              </w:rPr>
              <w:t>Antagande av Republiken Kroatiens avfallshanteringsplan för perioden 2023–2029</w:t>
            </w:r>
          </w:p>
        </w:tc>
      </w:tr>
      <w:tr w:rsidR="003A3D51" w14:paraId="4BCBC6F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16EF560" w14:textId="77777777" w:rsidR="003A3D51" w:rsidRDefault="0002775A">
            <w:pPr>
              <w:pStyle w:val="P68B1DB1-Normal64"/>
              <w:spacing w:after="0" w:line="240" w:lineRule="auto"/>
              <w:jc w:val="center"/>
              <w:textAlignment w:val="baseline"/>
              <w:rPr>
                <w:noProof/>
              </w:rPr>
            </w:pPr>
            <w:r>
              <w:rPr>
                <w:noProof/>
              </w:rPr>
              <w:t>84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8C83759" w14:textId="77777777" w:rsidR="003A3D51" w:rsidRDefault="0002775A">
            <w:pPr>
              <w:pStyle w:val="P68B1DB1-Normal64"/>
              <w:spacing w:after="0" w:line="240" w:lineRule="auto"/>
              <w:jc w:val="center"/>
              <w:textAlignment w:val="baseline"/>
              <w:rPr>
                <w:noProof/>
              </w:rPr>
            </w:pPr>
            <w:r>
              <w:rPr>
                <w:noProof/>
              </w:rPr>
              <w:t>C1.3 R2-I1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4001226"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1C4F3DB" w14:textId="77777777" w:rsidR="003A3D51" w:rsidRDefault="0002775A">
            <w:pPr>
              <w:pStyle w:val="P68B1DB1-Normal64"/>
              <w:spacing w:after="0" w:line="240" w:lineRule="auto"/>
              <w:textAlignment w:val="baseline"/>
              <w:rPr>
                <w:noProof/>
              </w:rPr>
            </w:pPr>
            <w:r>
              <w:rPr>
                <w:noProof/>
              </w:rPr>
              <w:t>Minskning av andelen kommunalt avfall som skickas för bortskaffande (49 %)</w:t>
            </w:r>
          </w:p>
        </w:tc>
      </w:tr>
      <w:tr w:rsidR="003A3D51" w14:paraId="6ED2AFB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39BCFBC" w14:textId="77777777" w:rsidR="003A3D51" w:rsidRDefault="0002775A">
            <w:pPr>
              <w:pStyle w:val="P68B1DB1-Normal64"/>
              <w:spacing w:after="0" w:line="240" w:lineRule="auto"/>
              <w:jc w:val="center"/>
              <w:textAlignment w:val="baseline"/>
              <w:rPr>
                <w:noProof/>
              </w:rPr>
            </w:pPr>
            <w:r>
              <w:rPr>
                <w:noProof/>
              </w:rPr>
              <w:t>99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B7D445F" w14:textId="77777777" w:rsidR="003A3D51" w:rsidRDefault="0002775A">
            <w:pPr>
              <w:pStyle w:val="P68B1DB1-Normal64"/>
              <w:spacing w:after="0" w:line="240" w:lineRule="auto"/>
              <w:jc w:val="center"/>
              <w:textAlignment w:val="baseline"/>
              <w:rPr>
                <w:noProof/>
              </w:rPr>
            </w:pPr>
            <w:r>
              <w:rPr>
                <w:noProof/>
              </w:rPr>
              <w:t>C1.4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FB4F1FD"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BB44BF5" w14:textId="77777777" w:rsidR="003A3D51" w:rsidRDefault="0002775A">
            <w:pPr>
              <w:pStyle w:val="P68B1DB1-Normal64"/>
              <w:spacing w:after="0" w:line="240" w:lineRule="auto"/>
              <w:textAlignment w:val="baseline"/>
              <w:rPr>
                <w:noProof/>
              </w:rPr>
            </w:pPr>
            <w:r>
              <w:rPr>
                <w:noProof/>
              </w:rPr>
              <w:t>Den nationella planen för utveckling av järnvägsinfrastruktur och den nationella förvaltningsplanen för järnvägsinfrastruktur och serviceanläggningar</w:t>
            </w:r>
          </w:p>
        </w:tc>
      </w:tr>
      <w:tr w:rsidR="003A3D51" w14:paraId="13E7315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AB3AA0" w14:textId="77777777" w:rsidR="003A3D51" w:rsidRDefault="0002775A">
            <w:pPr>
              <w:pStyle w:val="P68B1DB1-Normal64"/>
              <w:spacing w:after="0" w:line="240" w:lineRule="auto"/>
              <w:jc w:val="center"/>
              <w:textAlignment w:val="baseline"/>
              <w:rPr>
                <w:noProof/>
              </w:rPr>
            </w:pPr>
            <w:r>
              <w:rPr>
                <w:noProof/>
              </w:rPr>
              <w:t>111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AF4C272" w14:textId="77777777" w:rsidR="003A3D51" w:rsidRDefault="0002775A">
            <w:pPr>
              <w:pStyle w:val="P68B1DB1-Normal64"/>
              <w:spacing w:after="0" w:line="240" w:lineRule="auto"/>
              <w:jc w:val="center"/>
              <w:textAlignment w:val="baseline"/>
              <w:rPr>
                <w:noProof/>
              </w:rPr>
            </w:pPr>
            <w:r>
              <w:rPr>
                <w:noProof/>
              </w:rPr>
              <w:t>C1.4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AD483B5"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5CD66A2" w14:textId="77777777" w:rsidR="003A3D51" w:rsidRDefault="0002775A">
            <w:pPr>
              <w:pStyle w:val="P68B1DB1-Normal64"/>
              <w:spacing w:after="0" w:line="240" w:lineRule="auto"/>
              <w:textAlignment w:val="baseline"/>
              <w:rPr>
                <w:noProof/>
              </w:rPr>
            </w:pPr>
            <w:r>
              <w:rPr>
                <w:noProof/>
              </w:rPr>
              <w:t>Den nya lagen om havsområden och kusthamnar</w:t>
            </w:r>
          </w:p>
        </w:tc>
      </w:tr>
      <w:tr w:rsidR="003A3D51" w14:paraId="23F567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75BA973" w14:textId="77777777" w:rsidR="003A3D51" w:rsidRDefault="0002775A">
            <w:pPr>
              <w:pStyle w:val="P68B1DB1-Normal64"/>
              <w:spacing w:after="0" w:line="240" w:lineRule="auto"/>
              <w:jc w:val="center"/>
              <w:textAlignment w:val="baseline"/>
              <w:rPr>
                <w:noProof/>
              </w:rPr>
            </w:pPr>
            <w:r>
              <w:rPr>
                <w:noProof/>
              </w:rPr>
              <w:t>114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2805D06" w14:textId="77777777" w:rsidR="003A3D51" w:rsidRDefault="0002775A">
            <w:pPr>
              <w:pStyle w:val="P68B1DB1-Normal64"/>
              <w:spacing w:after="0" w:line="240" w:lineRule="auto"/>
              <w:jc w:val="center"/>
              <w:textAlignment w:val="baseline"/>
              <w:rPr>
                <w:noProof/>
              </w:rPr>
            </w:pPr>
            <w:r>
              <w:rPr>
                <w:noProof/>
              </w:rPr>
              <w:t>C1.4 R3-I3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17D6428"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278161F" w14:textId="77777777" w:rsidR="003A3D51" w:rsidRDefault="0002775A">
            <w:pPr>
              <w:pStyle w:val="P68B1DB1-Normal64"/>
              <w:spacing w:after="0" w:line="240" w:lineRule="auto"/>
              <w:textAlignment w:val="baseline"/>
              <w:rPr>
                <w:noProof/>
              </w:rPr>
            </w:pPr>
            <w:r>
              <w:rPr>
                <w:noProof/>
              </w:rPr>
              <w:t>Ny kabelfärja ”Križnica” som är i drift över floden Drava i kommunen Pitomača</w:t>
            </w:r>
          </w:p>
        </w:tc>
      </w:tr>
      <w:tr w:rsidR="003A3D51" w14:paraId="6686DBE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894253D" w14:textId="77777777" w:rsidR="003A3D51" w:rsidRDefault="0002775A">
            <w:pPr>
              <w:pStyle w:val="P68B1DB1-Normal64"/>
              <w:spacing w:after="0" w:line="240" w:lineRule="auto"/>
              <w:jc w:val="center"/>
              <w:textAlignment w:val="baseline"/>
              <w:rPr>
                <w:noProof/>
              </w:rPr>
            </w:pPr>
            <w:r>
              <w:rPr>
                <w:noProof/>
              </w:rPr>
              <w:t>141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66541AC" w14:textId="77777777" w:rsidR="003A3D51" w:rsidRDefault="0002775A">
            <w:pPr>
              <w:pStyle w:val="P68B1DB1-Normal64"/>
              <w:spacing w:after="0" w:line="240" w:lineRule="auto"/>
              <w:jc w:val="center"/>
              <w:textAlignment w:val="baseline"/>
              <w:rPr>
                <w:noProof/>
              </w:rPr>
            </w:pPr>
            <w:r>
              <w:rPr>
                <w:noProof/>
              </w:rPr>
              <w:t>C1.6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59512E9"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3037405" w14:textId="77777777" w:rsidR="003A3D51" w:rsidRDefault="0002775A">
            <w:pPr>
              <w:pStyle w:val="P68B1DB1-Normal64"/>
              <w:spacing w:after="0" w:line="240" w:lineRule="auto"/>
              <w:textAlignment w:val="baseline"/>
              <w:rPr>
                <w:noProof/>
              </w:rPr>
            </w:pPr>
            <w:r>
              <w:rPr>
                <w:noProof/>
              </w:rPr>
              <w:t xml:space="preserve">Antagande av strategin för utveckling av hållbar turism senast 2030 av Republiken Kroatiens regering  </w:t>
            </w:r>
          </w:p>
        </w:tc>
      </w:tr>
      <w:tr w:rsidR="003A3D51" w14:paraId="139357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AFF387" w14:textId="77777777" w:rsidR="003A3D51" w:rsidRDefault="0002775A">
            <w:pPr>
              <w:pStyle w:val="P68B1DB1-Normal64"/>
              <w:spacing w:after="0" w:line="240" w:lineRule="auto"/>
              <w:jc w:val="center"/>
              <w:textAlignment w:val="baseline"/>
              <w:rPr>
                <w:noProof/>
              </w:rPr>
            </w:pPr>
            <w:r>
              <w:rPr>
                <w:noProof/>
              </w:rPr>
              <w:t>144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F1E797B" w14:textId="77777777" w:rsidR="003A3D51" w:rsidRDefault="0002775A">
            <w:pPr>
              <w:pStyle w:val="P68B1DB1-Normal64"/>
              <w:spacing w:after="0" w:line="240" w:lineRule="auto"/>
              <w:jc w:val="center"/>
              <w:textAlignment w:val="baseline"/>
              <w:rPr>
                <w:noProof/>
              </w:rPr>
            </w:pPr>
            <w:r>
              <w:rPr>
                <w:noProof/>
              </w:rPr>
              <w:t>C1.6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F272BB0"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CC3EE21" w14:textId="77777777" w:rsidR="003A3D51" w:rsidRDefault="0002775A">
            <w:pPr>
              <w:pStyle w:val="P68B1DB1-Normal64"/>
              <w:spacing w:after="0" w:line="240" w:lineRule="auto"/>
              <w:textAlignment w:val="baseline"/>
              <w:rPr>
                <w:noProof/>
              </w:rPr>
            </w:pPr>
            <w:r>
              <w:rPr>
                <w:noProof/>
              </w:rPr>
              <w:t>Inleda offentliga ansökningsomgångar för en grön och digital omställning av befintlig offentlig turisminfrastruktur och utveckling av offentlig turisminfrastruktur utanför de viktigaste turist- och kustområdena</w:t>
            </w:r>
          </w:p>
        </w:tc>
      </w:tr>
      <w:tr w:rsidR="003A3D51" w14:paraId="0491CFB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6818EF6" w14:textId="77777777" w:rsidR="003A3D51" w:rsidRDefault="0002775A">
            <w:pPr>
              <w:pStyle w:val="P68B1DB1-Normal64"/>
              <w:spacing w:after="0" w:line="240" w:lineRule="auto"/>
              <w:jc w:val="center"/>
              <w:textAlignment w:val="baseline"/>
              <w:rPr>
                <w:noProof/>
              </w:rPr>
            </w:pPr>
            <w:r>
              <w:rPr>
                <w:noProof/>
              </w:rPr>
              <w:t>146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3563948" w14:textId="77777777" w:rsidR="003A3D51" w:rsidRDefault="0002775A">
            <w:pPr>
              <w:pStyle w:val="P68B1DB1-Normal64"/>
              <w:spacing w:after="0" w:line="240" w:lineRule="auto"/>
              <w:jc w:val="center"/>
              <w:textAlignment w:val="baseline"/>
              <w:rPr>
                <w:noProof/>
              </w:rPr>
            </w:pPr>
            <w:r>
              <w:rPr>
                <w:noProof/>
              </w:rPr>
              <w:t>C1.6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DE01E54"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9F84592" w14:textId="77777777" w:rsidR="003A3D51" w:rsidRDefault="0002775A">
            <w:pPr>
              <w:pStyle w:val="P68B1DB1-Normal64"/>
              <w:spacing w:after="0" w:line="240" w:lineRule="auto"/>
              <w:textAlignment w:val="baseline"/>
              <w:rPr>
                <w:noProof/>
              </w:rPr>
            </w:pPr>
            <w:r>
              <w:rPr>
                <w:noProof/>
              </w:rPr>
              <w:t>Inleda offentliga ansökningsomgångar för att stärka hållbarheten och främja den gröna och digitala omställningen för turistföretagare, med minst 50 % av de totala investeringarna till stöd för den gröna omställningen.</w:t>
            </w:r>
          </w:p>
        </w:tc>
      </w:tr>
      <w:tr w:rsidR="003A3D51" w14:paraId="729A14D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DD6426F" w14:textId="0378E065" w:rsidR="003A3D51" w:rsidRDefault="0002775A">
            <w:pPr>
              <w:pStyle w:val="P68B1DB1-Normal64"/>
              <w:spacing w:after="0" w:line="240" w:lineRule="auto"/>
              <w:jc w:val="center"/>
              <w:textAlignment w:val="baseline"/>
              <w:rPr>
                <w:noProof/>
              </w:rPr>
            </w:pPr>
            <w:r>
              <w:rPr>
                <w:noProof/>
              </w:rPr>
              <w:t>150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FBF7FE6" w14:textId="065191AF" w:rsidR="003A3D51" w:rsidRDefault="0002775A">
            <w:pPr>
              <w:pStyle w:val="P68B1DB1-Normal64"/>
              <w:spacing w:after="0" w:line="240" w:lineRule="auto"/>
              <w:jc w:val="center"/>
              <w:textAlignment w:val="baseline"/>
              <w:rPr>
                <w:noProof/>
              </w:rPr>
            </w:pPr>
            <w:r>
              <w:rPr>
                <w:noProof/>
              </w:rPr>
              <w:t>C2.1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09AAA1D" w14:textId="024E87FF"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F3D35DE" w14:textId="77777777" w:rsidR="003A3D51" w:rsidRDefault="0002775A">
            <w:pPr>
              <w:pStyle w:val="P68B1DB1-Normal64"/>
              <w:spacing w:after="0" w:line="240" w:lineRule="auto"/>
              <w:textAlignment w:val="baseline"/>
              <w:rPr>
                <w:noProof/>
              </w:rPr>
            </w:pPr>
            <w:r>
              <w:rPr>
                <w:noProof/>
              </w:rPr>
              <w:t xml:space="preserve">Ändringar i lagen om systemet för strategisk planering och </w:t>
            </w:r>
          </w:p>
          <w:p w14:paraId="787D1BA2" w14:textId="4A486615" w:rsidR="003A3D51" w:rsidRDefault="0002775A">
            <w:pPr>
              <w:pStyle w:val="P68B1DB1-Normal64"/>
              <w:spacing w:after="0" w:line="240" w:lineRule="auto"/>
              <w:textAlignment w:val="baseline"/>
              <w:rPr>
                <w:noProof/>
              </w:rPr>
            </w:pPr>
            <w:r>
              <w:rPr>
                <w:noProof/>
              </w:rPr>
              <w:t>Förvaltning av Kroatiens utveckling och stadgar</w:t>
            </w:r>
          </w:p>
        </w:tc>
      </w:tr>
      <w:tr w:rsidR="003A3D51" w14:paraId="70C0103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939DFB8" w14:textId="77777777" w:rsidR="003A3D51" w:rsidRDefault="0002775A">
            <w:pPr>
              <w:pStyle w:val="P68B1DB1-Normal64"/>
              <w:spacing w:after="0" w:line="240" w:lineRule="auto"/>
              <w:jc w:val="center"/>
              <w:textAlignment w:val="baseline"/>
              <w:rPr>
                <w:noProof/>
              </w:rPr>
            </w:pPr>
            <w:r>
              <w:rPr>
                <w:noProof/>
              </w:rPr>
              <w:t>161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C485D3F" w14:textId="77777777" w:rsidR="003A3D51" w:rsidRDefault="0002775A">
            <w:pPr>
              <w:pStyle w:val="P68B1DB1-Normal64"/>
              <w:spacing w:after="0" w:line="240" w:lineRule="auto"/>
              <w:jc w:val="center"/>
              <w:textAlignment w:val="baseline"/>
              <w:rPr>
                <w:noProof/>
              </w:rPr>
            </w:pPr>
            <w:r>
              <w:rPr>
                <w:noProof/>
              </w:rPr>
              <w:t>C2.1 R2-I1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F2E3E0F"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C0FAF2D" w14:textId="77777777" w:rsidR="003A3D51" w:rsidRDefault="0002775A">
            <w:pPr>
              <w:pStyle w:val="P68B1DB1-Normal64"/>
              <w:spacing w:after="0" w:line="240" w:lineRule="auto"/>
              <w:textAlignment w:val="baseline"/>
              <w:rPr>
                <w:noProof/>
              </w:rPr>
            </w:pPr>
            <w:r>
              <w:rPr>
                <w:noProof/>
              </w:rPr>
              <w:t>Utarbetande av teknisk projektdokumentation för projekt för grön och digital omställning</w:t>
            </w:r>
          </w:p>
        </w:tc>
      </w:tr>
      <w:tr w:rsidR="003A3D51" w14:paraId="2065BA8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3AD0AB" w14:textId="77777777" w:rsidR="003A3D51" w:rsidRDefault="0002775A">
            <w:pPr>
              <w:pStyle w:val="P68B1DB1-Normal64"/>
              <w:spacing w:after="0" w:line="240" w:lineRule="auto"/>
              <w:jc w:val="center"/>
              <w:textAlignment w:val="baseline"/>
              <w:rPr>
                <w:noProof/>
              </w:rPr>
            </w:pPr>
            <w:r>
              <w:rPr>
                <w:noProof/>
              </w:rPr>
              <w:t>165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263FD12" w14:textId="77777777" w:rsidR="003A3D51" w:rsidRDefault="0002775A">
            <w:pPr>
              <w:pStyle w:val="P68B1DB1-Normal64"/>
              <w:spacing w:after="0" w:line="240" w:lineRule="auto"/>
              <w:jc w:val="center"/>
              <w:textAlignment w:val="baseline"/>
              <w:rPr>
                <w:noProof/>
              </w:rPr>
            </w:pPr>
            <w:r>
              <w:rPr>
                <w:noProof/>
              </w:rPr>
              <w:t>C2.2 R1-I2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0F08A48"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6F5D7D5" w14:textId="77777777" w:rsidR="003A3D51" w:rsidRDefault="0002775A">
            <w:pPr>
              <w:pStyle w:val="P68B1DB1-Normal64"/>
              <w:spacing w:after="0" w:line="240" w:lineRule="auto"/>
              <w:textAlignment w:val="baseline"/>
              <w:rPr>
                <w:noProof/>
              </w:rPr>
            </w:pPr>
            <w:r>
              <w:rPr>
                <w:noProof/>
              </w:rPr>
              <w:t xml:space="preserve">100 % av de tjänstemän vid alla offentliga institutioner som måste klara den statliga examen, digitalt klarar den statliga examen på grundval av en ny examensmodell.  </w:t>
            </w:r>
          </w:p>
        </w:tc>
      </w:tr>
      <w:tr w:rsidR="003A3D51" w14:paraId="660506B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B1B710" w14:textId="77777777" w:rsidR="003A3D51" w:rsidRDefault="0002775A">
            <w:pPr>
              <w:pStyle w:val="P68B1DB1-Normal64"/>
              <w:spacing w:after="0" w:line="240" w:lineRule="auto"/>
              <w:jc w:val="center"/>
              <w:textAlignment w:val="baseline"/>
              <w:rPr>
                <w:noProof/>
              </w:rPr>
            </w:pPr>
            <w:r>
              <w:rPr>
                <w:noProof/>
              </w:rPr>
              <w:t>176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1C8E1D7" w14:textId="77777777" w:rsidR="003A3D51" w:rsidRDefault="0002775A">
            <w:pPr>
              <w:pStyle w:val="P68B1DB1-Normal64"/>
              <w:spacing w:after="0" w:line="240" w:lineRule="auto"/>
              <w:jc w:val="center"/>
              <w:textAlignment w:val="baseline"/>
              <w:rPr>
                <w:noProof/>
              </w:rPr>
            </w:pPr>
            <w:r>
              <w:rPr>
                <w:noProof/>
              </w:rPr>
              <w:t>C2.3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28CC6DB"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DB5798D" w14:textId="77777777" w:rsidR="003A3D51" w:rsidRDefault="0002775A">
            <w:pPr>
              <w:pStyle w:val="P68B1DB1-Normal64"/>
              <w:spacing w:after="0" w:line="240" w:lineRule="auto"/>
              <w:textAlignment w:val="baseline"/>
              <w:rPr>
                <w:noProof/>
              </w:rPr>
            </w:pPr>
            <w:r>
              <w:rPr>
                <w:noProof/>
              </w:rPr>
              <w:t xml:space="preserve"> Strategin för ett digitalt Kroatien </w:t>
            </w:r>
          </w:p>
        </w:tc>
      </w:tr>
      <w:tr w:rsidR="003A3D51" w14:paraId="069F27D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9DE976E" w14:textId="77777777" w:rsidR="003A3D51" w:rsidRDefault="0002775A">
            <w:pPr>
              <w:pStyle w:val="P68B1DB1-Normal64"/>
              <w:spacing w:after="0" w:line="240" w:lineRule="auto"/>
              <w:jc w:val="center"/>
              <w:textAlignment w:val="baseline"/>
              <w:rPr>
                <w:noProof/>
              </w:rPr>
            </w:pPr>
            <w:r>
              <w:rPr>
                <w:noProof/>
              </w:rPr>
              <w:t>177</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B643CB7" w14:textId="77777777" w:rsidR="003A3D51" w:rsidRDefault="0002775A">
            <w:pPr>
              <w:pStyle w:val="P68B1DB1-Normal64"/>
              <w:spacing w:after="0" w:line="240" w:lineRule="auto"/>
              <w:jc w:val="center"/>
              <w:textAlignment w:val="baseline"/>
              <w:rPr>
                <w:noProof/>
              </w:rPr>
            </w:pPr>
            <w:r>
              <w:rPr>
                <w:noProof/>
              </w:rPr>
              <w:t>C2.3 R2</w:t>
            </w:r>
            <w:r>
              <w:rPr>
                <w:noProof/>
              </w:rPr>
              <w:br/>
              <w:t>C2.3 R2.I2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F7A0594"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734FB72" w14:textId="77777777" w:rsidR="003A3D51" w:rsidRDefault="0002775A">
            <w:pPr>
              <w:pStyle w:val="P68B1DB1-Normal64"/>
              <w:spacing w:after="0" w:line="240" w:lineRule="auto"/>
              <w:textAlignment w:val="baseline"/>
              <w:rPr>
                <w:noProof/>
              </w:rPr>
            </w:pPr>
            <w:r>
              <w:rPr>
                <w:noProof/>
              </w:rPr>
              <w:t xml:space="preserve">Inrättande av plattformar för det centrala interoperabilitetssystemet </w:t>
            </w:r>
          </w:p>
        </w:tc>
      </w:tr>
      <w:tr w:rsidR="003A3D51" w14:paraId="1D32273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C864BC" w14:textId="77777777" w:rsidR="003A3D51" w:rsidRDefault="0002775A">
            <w:pPr>
              <w:pStyle w:val="P68B1DB1-Normal64"/>
              <w:spacing w:after="0" w:line="240" w:lineRule="auto"/>
              <w:jc w:val="center"/>
              <w:textAlignment w:val="baseline"/>
              <w:rPr>
                <w:noProof/>
              </w:rPr>
            </w:pPr>
            <w:r>
              <w:rPr>
                <w:noProof/>
              </w:rPr>
              <w:t>179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CCD3CE9" w14:textId="77777777" w:rsidR="003A3D51" w:rsidRDefault="0002775A">
            <w:pPr>
              <w:pStyle w:val="P68B1DB1-Normal64"/>
              <w:spacing w:after="0" w:line="240" w:lineRule="auto"/>
              <w:jc w:val="center"/>
              <w:textAlignment w:val="baseline"/>
              <w:rPr>
                <w:noProof/>
              </w:rPr>
            </w:pPr>
            <w:r>
              <w:rPr>
                <w:noProof/>
              </w:rPr>
              <w:t>C2.3 R3-I1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8A6B4D2"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5E73D7FE" w14:textId="77777777" w:rsidR="003A3D51" w:rsidRDefault="0002775A">
            <w:pPr>
              <w:pStyle w:val="P68B1DB1-Normal64"/>
              <w:spacing w:after="0" w:line="240" w:lineRule="auto"/>
              <w:textAlignment w:val="baseline"/>
              <w:rPr>
                <w:noProof/>
              </w:rPr>
            </w:pPr>
            <w:r>
              <w:rPr>
                <w:noProof/>
              </w:rPr>
              <w:t xml:space="preserve">Uppgradering av det statliga molnet </w:t>
            </w:r>
          </w:p>
        </w:tc>
      </w:tr>
      <w:tr w:rsidR="003A3D51" w14:paraId="24E2E76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16E05E" w14:textId="77777777" w:rsidR="003A3D51" w:rsidRDefault="0002775A">
            <w:pPr>
              <w:pStyle w:val="P68B1DB1-Normal64"/>
              <w:spacing w:after="0" w:line="240" w:lineRule="auto"/>
              <w:jc w:val="center"/>
              <w:textAlignment w:val="baseline"/>
              <w:rPr>
                <w:noProof/>
              </w:rPr>
            </w:pPr>
            <w:r>
              <w:rPr>
                <w:noProof/>
              </w:rPr>
              <w:t>195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0AA2DE6" w14:textId="77777777" w:rsidR="003A3D51" w:rsidRDefault="0002775A">
            <w:pPr>
              <w:pStyle w:val="P68B1DB1-Normal64"/>
              <w:spacing w:after="0" w:line="240" w:lineRule="auto"/>
              <w:jc w:val="center"/>
              <w:textAlignment w:val="baseline"/>
              <w:rPr>
                <w:noProof/>
              </w:rPr>
            </w:pPr>
            <w:r>
              <w:rPr>
                <w:noProof/>
              </w:rPr>
              <w:t>C2.3 R3-I12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BAF896C"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837EF44" w14:textId="77777777" w:rsidR="003A3D51" w:rsidRDefault="0002775A">
            <w:pPr>
              <w:pStyle w:val="P68B1DB1-Normal64"/>
              <w:spacing w:after="0" w:line="240" w:lineRule="auto"/>
              <w:textAlignment w:val="baseline"/>
              <w:rPr>
                <w:noProof/>
              </w:rPr>
            </w:pPr>
            <w:r>
              <w:rPr>
                <w:noProof/>
              </w:rPr>
              <w:t>Det kroatiska pensionsförsäkringsinstitutets (HZMO) digitala arkiv</w:t>
            </w:r>
          </w:p>
        </w:tc>
      </w:tr>
      <w:tr w:rsidR="003A3D51" w14:paraId="5249A2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FD55E19" w14:textId="77777777" w:rsidR="003A3D51" w:rsidRDefault="0002775A">
            <w:pPr>
              <w:pStyle w:val="P68B1DB1-Normal64"/>
              <w:spacing w:after="0" w:line="240" w:lineRule="auto"/>
              <w:jc w:val="center"/>
              <w:textAlignment w:val="baseline"/>
              <w:rPr>
                <w:noProof/>
              </w:rPr>
            </w:pPr>
            <w:r>
              <w:rPr>
                <w:noProof/>
              </w:rPr>
              <w:t>229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787B794" w14:textId="77777777" w:rsidR="003A3D51" w:rsidRDefault="0002775A">
            <w:pPr>
              <w:pStyle w:val="P68B1DB1-Normal64"/>
              <w:spacing w:after="0" w:line="240" w:lineRule="auto"/>
              <w:jc w:val="center"/>
              <w:textAlignment w:val="baseline"/>
              <w:rPr>
                <w:noProof/>
              </w:rPr>
            </w:pPr>
            <w:r>
              <w:rPr>
                <w:noProof/>
              </w:rPr>
              <w:t>C2.5 R1-I6</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C9A8215"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E7D26E2" w14:textId="77777777" w:rsidR="003A3D51" w:rsidRDefault="0002775A">
            <w:pPr>
              <w:pStyle w:val="P68B1DB1-Normal64"/>
              <w:spacing w:after="0" w:line="240" w:lineRule="auto"/>
              <w:textAlignment w:val="baseline"/>
              <w:rPr>
                <w:noProof/>
              </w:rPr>
            </w:pPr>
            <w:r>
              <w:rPr>
                <w:noProof/>
              </w:rPr>
              <w:t>Alla domstolar i första instans är utrustade och uppfyller villkoren för att höras på distans.</w:t>
            </w:r>
          </w:p>
        </w:tc>
      </w:tr>
      <w:tr w:rsidR="003A3D51" w14:paraId="5DCB812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E5AF5B" w14:textId="77777777" w:rsidR="003A3D51" w:rsidRDefault="0002775A">
            <w:pPr>
              <w:pStyle w:val="P68B1DB1-Normal64"/>
              <w:spacing w:after="0" w:line="240" w:lineRule="auto"/>
              <w:jc w:val="center"/>
              <w:textAlignment w:val="baseline"/>
              <w:rPr>
                <w:noProof/>
              </w:rPr>
            </w:pPr>
            <w:r>
              <w:rPr>
                <w:noProof/>
              </w:rPr>
              <w:t>233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F852867" w14:textId="77777777" w:rsidR="003A3D51" w:rsidRDefault="0002775A">
            <w:pPr>
              <w:pStyle w:val="P68B1DB1-Normal64"/>
              <w:spacing w:after="0" w:line="240" w:lineRule="auto"/>
              <w:jc w:val="center"/>
              <w:textAlignment w:val="baseline"/>
              <w:rPr>
                <w:noProof/>
              </w:rPr>
            </w:pPr>
            <w:r>
              <w:rPr>
                <w:noProof/>
              </w:rPr>
              <w:t>C2.6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26BB216"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89BD874" w14:textId="77777777" w:rsidR="003A3D51" w:rsidRDefault="0002775A">
            <w:pPr>
              <w:pStyle w:val="P68B1DB1-Normal64"/>
              <w:spacing w:after="0" w:line="240" w:lineRule="auto"/>
              <w:textAlignment w:val="baseline"/>
              <w:rPr>
                <w:noProof/>
              </w:rPr>
            </w:pPr>
            <w:r>
              <w:rPr>
                <w:noProof/>
              </w:rPr>
              <w:t>Antagande av ändringar i lagen om skydd för personer som anmäler oegentligheter</w:t>
            </w:r>
          </w:p>
        </w:tc>
      </w:tr>
      <w:tr w:rsidR="003A3D51" w14:paraId="1BE8758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3278D89" w14:textId="77777777" w:rsidR="003A3D51" w:rsidRDefault="0002775A">
            <w:pPr>
              <w:pStyle w:val="P68B1DB1-Normal64"/>
              <w:spacing w:after="0" w:line="240" w:lineRule="auto"/>
              <w:jc w:val="center"/>
              <w:textAlignment w:val="baseline"/>
              <w:rPr>
                <w:noProof/>
              </w:rPr>
            </w:pPr>
            <w:r>
              <w:rPr>
                <w:noProof/>
              </w:rPr>
              <w:t>249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F6DBA13" w14:textId="77777777" w:rsidR="003A3D51" w:rsidRDefault="0002775A">
            <w:pPr>
              <w:pStyle w:val="P68B1DB1-Normal64"/>
              <w:spacing w:after="0" w:line="240" w:lineRule="auto"/>
              <w:jc w:val="center"/>
              <w:textAlignment w:val="baseline"/>
              <w:rPr>
                <w:noProof/>
              </w:rPr>
            </w:pPr>
            <w:r>
              <w:rPr>
                <w:noProof/>
              </w:rPr>
              <w:t>C2.7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F886E07"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FF1D797" w14:textId="77777777" w:rsidR="003A3D51" w:rsidRDefault="0002775A">
            <w:pPr>
              <w:pStyle w:val="P68B1DB1-Normal64"/>
              <w:spacing w:after="0" w:line="240" w:lineRule="auto"/>
              <w:textAlignment w:val="baseline"/>
              <w:rPr>
                <w:noProof/>
              </w:rPr>
            </w:pPr>
            <w:r>
              <w:rPr>
                <w:noProof/>
              </w:rPr>
              <w:t>Utveckling av en strukturell makroekonomisk modell för Kroatiens ekonomi för att ta fram makroekonomiska prognoser på medellång sikt, budgetplanering</w:t>
            </w:r>
            <w:r>
              <w:rPr>
                <w:noProof/>
              </w:rPr>
              <w:br/>
              <w:t>och analyser av den ekonomiska politiken</w:t>
            </w:r>
          </w:p>
        </w:tc>
      </w:tr>
      <w:tr w:rsidR="003A3D51" w14:paraId="1F3B23E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F276D1" w14:textId="77777777" w:rsidR="003A3D51" w:rsidRDefault="0002775A">
            <w:pPr>
              <w:pStyle w:val="P68B1DB1-Normal64"/>
              <w:spacing w:after="0" w:line="240" w:lineRule="auto"/>
              <w:jc w:val="center"/>
              <w:textAlignment w:val="baseline"/>
              <w:rPr>
                <w:noProof/>
              </w:rPr>
            </w:pPr>
            <w:r>
              <w:rPr>
                <w:noProof/>
              </w:rPr>
              <w:t>256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3C50C89" w14:textId="77777777" w:rsidR="003A3D51" w:rsidRDefault="0002775A">
            <w:pPr>
              <w:pStyle w:val="P68B1DB1-Normal64"/>
              <w:spacing w:after="0" w:line="240" w:lineRule="auto"/>
              <w:jc w:val="center"/>
              <w:textAlignment w:val="baseline"/>
              <w:rPr>
                <w:noProof/>
              </w:rPr>
            </w:pPr>
            <w:r>
              <w:rPr>
                <w:noProof/>
              </w:rPr>
              <w:t>C2.9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97ED117"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12839B9" w14:textId="77777777" w:rsidR="003A3D51" w:rsidRDefault="0002775A">
            <w:pPr>
              <w:pStyle w:val="P68B1DB1-Normal64"/>
              <w:spacing w:after="0" w:line="240" w:lineRule="auto"/>
              <w:textAlignment w:val="baseline"/>
              <w:rPr>
                <w:noProof/>
              </w:rPr>
            </w:pPr>
            <w:r>
              <w:rPr>
                <w:noProof/>
              </w:rPr>
              <w:t xml:space="preserve">Vägledning för att förbättra små och medelstora företags deltagande i och sammanslagning av förfaranden för offentlig upphandling </w:t>
            </w:r>
          </w:p>
        </w:tc>
      </w:tr>
      <w:tr w:rsidR="003A3D51" w14:paraId="03CA3F0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ADE445E" w14:textId="77777777" w:rsidR="003A3D51" w:rsidRDefault="0002775A">
            <w:pPr>
              <w:pStyle w:val="P68B1DB1-Normal64"/>
              <w:spacing w:after="0" w:line="240" w:lineRule="auto"/>
              <w:jc w:val="center"/>
              <w:textAlignment w:val="baseline"/>
              <w:rPr>
                <w:noProof/>
              </w:rPr>
            </w:pPr>
            <w:r>
              <w:rPr>
                <w:noProof/>
              </w:rPr>
              <w:t>259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BF19AFE" w14:textId="77777777" w:rsidR="003A3D51" w:rsidRDefault="0002775A">
            <w:pPr>
              <w:pStyle w:val="P68B1DB1-Normal64"/>
              <w:spacing w:after="0" w:line="240" w:lineRule="auto"/>
              <w:jc w:val="center"/>
              <w:textAlignment w:val="baseline"/>
              <w:rPr>
                <w:noProof/>
              </w:rPr>
            </w:pPr>
            <w:r>
              <w:rPr>
                <w:noProof/>
              </w:rPr>
              <w:t>C2.9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ED40219"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66174CA" w14:textId="77777777" w:rsidR="003A3D51" w:rsidRDefault="0002775A">
            <w:pPr>
              <w:pStyle w:val="P68B1DB1-Normal64"/>
              <w:spacing w:after="0" w:line="240" w:lineRule="auto"/>
              <w:textAlignment w:val="baseline"/>
              <w:rPr>
                <w:noProof/>
              </w:rPr>
            </w:pPr>
            <w:r>
              <w:rPr>
                <w:noProof/>
              </w:rPr>
              <w:t>Offentliggörande av oberoende analyser och konkreta rekommendationer för att förbättra hanteringen av bördorna för all personal vid centrala institutioner i upphandlingssystemet (MINGOR, SAFU, DKOM).</w:t>
            </w:r>
          </w:p>
        </w:tc>
      </w:tr>
      <w:tr w:rsidR="003A3D51" w14:paraId="3E11363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0E0BAA0" w14:textId="77777777" w:rsidR="003A3D51" w:rsidRDefault="0002775A">
            <w:pPr>
              <w:pStyle w:val="P68B1DB1-Normal64"/>
              <w:spacing w:after="0" w:line="240" w:lineRule="auto"/>
              <w:jc w:val="center"/>
              <w:textAlignment w:val="baseline"/>
              <w:rPr>
                <w:noProof/>
              </w:rPr>
            </w:pPr>
            <w:r>
              <w:rPr>
                <w:noProof/>
              </w:rPr>
              <w:t>260</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8643FC0" w14:textId="77777777" w:rsidR="003A3D51" w:rsidRDefault="0002775A">
            <w:pPr>
              <w:pStyle w:val="P68B1DB1-Normal64"/>
              <w:spacing w:after="0" w:line="240" w:lineRule="auto"/>
              <w:jc w:val="center"/>
              <w:textAlignment w:val="baseline"/>
              <w:rPr>
                <w:noProof/>
              </w:rPr>
            </w:pPr>
            <w:r>
              <w:rPr>
                <w:noProof/>
              </w:rPr>
              <w:t>C2.9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8EE885C"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1F20E0A" w14:textId="77777777" w:rsidR="003A3D51" w:rsidRDefault="0002775A">
            <w:pPr>
              <w:pStyle w:val="P68B1DB1-Normal64"/>
              <w:spacing w:after="0" w:line="240" w:lineRule="auto"/>
              <w:textAlignment w:val="baseline"/>
              <w:rPr>
                <w:noProof/>
              </w:rPr>
            </w:pPr>
            <w:r>
              <w:rPr>
                <w:noProof/>
              </w:rPr>
              <w:t>Ändring av den rättsliga ramen för offentlig upphandling som gör användningen av e-överklagande till ett obligatoriskt sätt att överklaga</w:t>
            </w:r>
          </w:p>
        </w:tc>
      </w:tr>
      <w:tr w:rsidR="003A3D51" w14:paraId="01EF85C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5A2970" w14:textId="77777777" w:rsidR="003A3D51" w:rsidRDefault="0002775A">
            <w:pPr>
              <w:pStyle w:val="P68B1DB1-Normal64"/>
              <w:spacing w:after="0" w:line="240" w:lineRule="auto"/>
              <w:jc w:val="center"/>
              <w:textAlignment w:val="baseline"/>
              <w:rPr>
                <w:noProof/>
              </w:rPr>
            </w:pPr>
            <w:r>
              <w:rPr>
                <w:noProof/>
              </w:rPr>
              <w:t>273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EF47A6A" w14:textId="77777777" w:rsidR="003A3D51" w:rsidRDefault="0002775A">
            <w:pPr>
              <w:pStyle w:val="P68B1DB1-Normal64"/>
              <w:spacing w:after="0" w:line="240" w:lineRule="auto"/>
              <w:jc w:val="center"/>
              <w:textAlignment w:val="baseline"/>
              <w:rPr>
                <w:noProof/>
              </w:rPr>
            </w:pPr>
            <w:r>
              <w:rPr>
                <w:noProof/>
              </w:rPr>
              <w:t>C3.1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64090E58"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4A783E01" w14:textId="77777777" w:rsidR="003A3D51" w:rsidRDefault="0002775A">
            <w:pPr>
              <w:pStyle w:val="P68B1DB1-Normal64"/>
              <w:spacing w:after="0" w:line="240" w:lineRule="auto"/>
              <w:textAlignment w:val="baseline"/>
              <w:rPr>
                <w:noProof/>
              </w:rPr>
            </w:pPr>
            <w:r>
              <w:rPr>
                <w:noProof/>
              </w:rPr>
              <w:t xml:space="preserve">Antagande av den nya lagen om vetenskaplig verksamhet och högre utbildning </w:t>
            </w:r>
          </w:p>
        </w:tc>
      </w:tr>
      <w:tr w:rsidR="003A3D51" w14:paraId="060CCE2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CEB0B56" w14:textId="77777777" w:rsidR="003A3D51" w:rsidRDefault="0002775A">
            <w:pPr>
              <w:pStyle w:val="P68B1DB1-Normal64"/>
              <w:spacing w:after="0" w:line="240" w:lineRule="auto"/>
              <w:jc w:val="center"/>
              <w:textAlignment w:val="baseline"/>
              <w:rPr>
                <w:noProof/>
              </w:rPr>
            </w:pPr>
            <w:r>
              <w:rPr>
                <w:noProof/>
              </w:rPr>
              <w:t>275</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01ED45C" w14:textId="77777777" w:rsidR="003A3D51" w:rsidRDefault="0002775A">
            <w:pPr>
              <w:pStyle w:val="P68B1DB1-Normal64"/>
              <w:spacing w:after="0" w:line="240" w:lineRule="auto"/>
              <w:jc w:val="center"/>
              <w:textAlignment w:val="baseline"/>
              <w:rPr>
                <w:noProof/>
              </w:rPr>
            </w:pPr>
            <w:r>
              <w:rPr>
                <w:noProof/>
              </w:rPr>
              <w:t>C3.2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9C5B066"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00D373C" w14:textId="77777777" w:rsidR="003A3D51" w:rsidRDefault="0002775A">
            <w:pPr>
              <w:pStyle w:val="P68B1DB1-Normal64"/>
              <w:spacing w:after="0" w:line="240" w:lineRule="auto"/>
              <w:textAlignment w:val="baseline"/>
              <w:rPr>
                <w:noProof/>
              </w:rPr>
            </w:pPr>
            <w:r>
              <w:rPr>
                <w:noProof/>
              </w:rPr>
              <w:t>Ny lag om vetenskap och högre utbildning</w:t>
            </w:r>
          </w:p>
        </w:tc>
      </w:tr>
      <w:tr w:rsidR="003A3D51" w14:paraId="77BCFB9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44D10A6" w14:textId="77777777" w:rsidR="003A3D51" w:rsidRDefault="0002775A">
            <w:pPr>
              <w:pStyle w:val="P68B1DB1-Normal64"/>
              <w:spacing w:after="0" w:line="240" w:lineRule="auto"/>
              <w:jc w:val="center"/>
              <w:textAlignment w:val="baseline"/>
              <w:rPr>
                <w:noProof/>
              </w:rPr>
            </w:pPr>
            <w:r>
              <w:rPr>
                <w:noProof/>
              </w:rPr>
              <w:t>281</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B84746B" w14:textId="77777777" w:rsidR="003A3D51" w:rsidRDefault="0002775A">
            <w:pPr>
              <w:pStyle w:val="P68B1DB1-Normal64"/>
              <w:spacing w:after="0" w:line="240" w:lineRule="auto"/>
              <w:jc w:val="center"/>
              <w:textAlignment w:val="baseline"/>
              <w:rPr>
                <w:noProof/>
              </w:rPr>
            </w:pPr>
            <w:r>
              <w:rPr>
                <w:noProof/>
              </w:rPr>
              <w:t>C3.2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372E49D"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9B960A3" w14:textId="77777777" w:rsidR="003A3D51" w:rsidRDefault="0002775A">
            <w:pPr>
              <w:pStyle w:val="P68B1DB1-Normal64"/>
              <w:spacing w:after="0" w:line="240" w:lineRule="auto"/>
              <w:textAlignment w:val="baseline"/>
              <w:rPr>
                <w:noProof/>
              </w:rPr>
            </w:pPr>
            <w:r>
              <w:rPr>
                <w:noProof/>
              </w:rPr>
              <w:t xml:space="preserve">Ny rättslig ram som reglerar kvalitetskrav för studieprogram, doktorandstudier och arbetsvillkor för vetenskapliga institutioner </w:t>
            </w:r>
          </w:p>
        </w:tc>
      </w:tr>
      <w:tr w:rsidR="003A3D51" w14:paraId="38946FA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0CE0C5" w14:textId="77777777" w:rsidR="003A3D51" w:rsidRDefault="0002775A">
            <w:pPr>
              <w:pStyle w:val="P68B1DB1-Normal64"/>
              <w:spacing w:after="0" w:line="240" w:lineRule="auto"/>
              <w:jc w:val="center"/>
              <w:textAlignment w:val="baseline"/>
              <w:rPr>
                <w:noProof/>
              </w:rPr>
            </w:pPr>
            <w:r>
              <w:rPr>
                <w:noProof/>
              </w:rPr>
              <w:t>284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117A46F" w14:textId="77777777" w:rsidR="003A3D51" w:rsidRDefault="0002775A">
            <w:pPr>
              <w:pStyle w:val="P68B1DB1-Normal64"/>
              <w:spacing w:after="0" w:line="240" w:lineRule="auto"/>
              <w:jc w:val="center"/>
              <w:textAlignment w:val="baseline"/>
              <w:rPr>
                <w:noProof/>
              </w:rPr>
            </w:pPr>
            <w:r>
              <w:rPr>
                <w:noProof/>
              </w:rPr>
              <w:t>C3.2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30BF902"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D5CB4E5" w14:textId="77777777" w:rsidR="003A3D51" w:rsidRDefault="0002775A">
            <w:pPr>
              <w:pStyle w:val="P68B1DB1-Normal64"/>
              <w:spacing w:after="0" w:line="240" w:lineRule="auto"/>
              <w:textAlignment w:val="baseline"/>
              <w:rPr>
                <w:noProof/>
              </w:rPr>
            </w:pPr>
            <w:r>
              <w:rPr>
                <w:noProof/>
              </w:rPr>
              <w:t>Ny lag om Kroatiens vetenskapsstiftelse</w:t>
            </w:r>
          </w:p>
        </w:tc>
      </w:tr>
      <w:tr w:rsidR="003A3D51" w14:paraId="17FEBD9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18B8DC4" w14:textId="77777777" w:rsidR="003A3D51" w:rsidRDefault="0002775A">
            <w:pPr>
              <w:pStyle w:val="P68B1DB1-Normal64"/>
              <w:spacing w:after="0" w:line="240" w:lineRule="auto"/>
              <w:jc w:val="center"/>
              <w:textAlignment w:val="baseline"/>
              <w:rPr>
                <w:noProof/>
              </w:rPr>
            </w:pPr>
            <w:r>
              <w:rPr>
                <w:noProof/>
              </w:rPr>
              <w:t>294</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51CA71F7" w14:textId="77777777" w:rsidR="003A3D51" w:rsidRDefault="0002775A">
            <w:pPr>
              <w:pStyle w:val="P68B1DB1-Normal64"/>
              <w:spacing w:after="0" w:line="240" w:lineRule="auto"/>
              <w:jc w:val="center"/>
              <w:textAlignment w:val="baseline"/>
              <w:rPr>
                <w:noProof/>
              </w:rPr>
            </w:pPr>
            <w:r>
              <w:rPr>
                <w:noProof/>
              </w:rPr>
              <w:t>C4.1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5E8301CC"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2E8CC9E" w14:textId="77777777" w:rsidR="003A3D51" w:rsidRDefault="0002775A">
            <w:pPr>
              <w:pStyle w:val="P68B1DB1-Normal64"/>
              <w:spacing w:after="0" w:line="240" w:lineRule="auto"/>
              <w:textAlignment w:val="baseline"/>
              <w:rPr>
                <w:noProof/>
              </w:rPr>
            </w:pPr>
            <w:r>
              <w:rPr>
                <w:noProof/>
              </w:rPr>
              <w:t>Antagande av lagen om bekämpande av odeklarerat arbete och den nya arbetslagen</w:t>
            </w:r>
          </w:p>
        </w:tc>
      </w:tr>
      <w:tr w:rsidR="003A3D51" w14:paraId="110BDF8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BCFF50" w14:textId="77777777" w:rsidR="003A3D51" w:rsidRDefault="0002775A">
            <w:pPr>
              <w:pStyle w:val="P68B1DB1-Normal64"/>
              <w:spacing w:after="0" w:line="240" w:lineRule="auto"/>
              <w:jc w:val="center"/>
              <w:textAlignment w:val="baseline"/>
              <w:rPr>
                <w:noProof/>
              </w:rPr>
            </w:pPr>
            <w:r>
              <w:rPr>
                <w:noProof/>
              </w:rPr>
              <w:t>313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479B5A48" w14:textId="77777777" w:rsidR="003A3D51" w:rsidRDefault="0002775A">
            <w:pPr>
              <w:pStyle w:val="P68B1DB1-Normal64"/>
              <w:spacing w:after="0" w:line="240" w:lineRule="auto"/>
              <w:jc w:val="center"/>
              <w:textAlignment w:val="baseline"/>
              <w:rPr>
                <w:noProof/>
              </w:rPr>
            </w:pPr>
            <w:r>
              <w:rPr>
                <w:noProof/>
              </w:rPr>
              <w:t>C4.3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2DE35B2B"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062D4064" w14:textId="77777777" w:rsidR="003A3D51" w:rsidRDefault="0002775A">
            <w:pPr>
              <w:pStyle w:val="P68B1DB1-Normal64"/>
              <w:spacing w:after="0" w:line="240" w:lineRule="auto"/>
              <w:textAlignment w:val="baseline"/>
              <w:rPr>
                <w:noProof/>
              </w:rPr>
            </w:pPr>
            <w:r>
              <w:rPr>
                <w:noProof/>
              </w:rPr>
              <w:t xml:space="preserve">Antagande av standarder för behandling av familjeassistenter </w:t>
            </w:r>
          </w:p>
        </w:tc>
      </w:tr>
      <w:tr w:rsidR="003A3D51" w14:paraId="56DC67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8BBF93" w14:textId="77777777" w:rsidR="003A3D51" w:rsidRDefault="0002775A">
            <w:pPr>
              <w:pStyle w:val="P68B1DB1-Normal64"/>
              <w:spacing w:after="0" w:line="240" w:lineRule="auto"/>
              <w:jc w:val="center"/>
              <w:textAlignment w:val="baseline"/>
              <w:rPr>
                <w:noProof/>
              </w:rPr>
            </w:pPr>
            <w:r>
              <w:rPr>
                <w:noProof/>
              </w:rPr>
              <w:t>318</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F412957" w14:textId="77777777" w:rsidR="003A3D51" w:rsidRDefault="0002775A">
            <w:pPr>
              <w:pStyle w:val="P68B1DB1-Normal64"/>
              <w:spacing w:after="0" w:line="240" w:lineRule="auto"/>
              <w:jc w:val="center"/>
              <w:textAlignment w:val="baseline"/>
              <w:rPr>
                <w:noProof/>
              </w:rPr>
            </w:pPr>
            <w:r>
              <w:rPr>
                <w:noProof/>
              </w:rPr>
              <w:t>C5.1 R1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1DBDEA1"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AF868E1" w14:textId="77777777" w:rsidR="003A3D51" w:rsidRDefault="0002775A">
            <w:pPr>
              <w:pStyle w:val="P68B1DB1-Normal64"/>
              <w:spacing w:after="0" w:line="240" w:lineRule="auto"/>
              <w:textAlignment w:val="baseline"/>
              <w:rPr>
                <w:noProof/>
              </w:rPr>
            </w:pPr>
            <w:r>
              <w:rPr>
                <w:noProof/>
              </w:rPr>
              <w:t xml:space="preserve">Antagande av ramen för resultatutvärdering av hälso- och sjukvårdssystemen </w:t>
            </w:r>
          </w:p>
        </w:tc>
      </w:tr>
      <w:tr w:rsidR="003A3D51" w14:paraId="7951048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03661" w14:textId="10DEFCA4" w:rsidR="003A3D51" w:rsidRDefault="0002775A">
            <w:pPr>
              <w:pStyle w:val="P68B1DB1-Normal64"/>
              <w:spacing w:after="0" w:line="240" w:lineRule="auto"/>
              <w:jc w:val="center"/>
              <w:textAlignment w:val="baseline"/>
              <w:rPr>
                <w:noProof/>
              </w:rPr>
            </w:pPr>
            <w:r>
              <w:rPr>
                <w:noProof/>
              </w:rPr>
              <w:t>323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AF2DEE9" w14:textId="6C7FB966" w:rsidR="003A3D51" w:rsidRDefault="0002775A">
            <w:pPr>
              <w:pStyle w:val="P68B1DB1-Normal64"/>
              <w:spacing w:after="0" w:line="240" w:lineRule="auto"/>
              <w:jc w:val="center"/>
              <w:textAlignment w:val="baseline"/>
              <w:rPr>
                <w:noProof/>
              </w:rPr>
            </w:pPr>
            <w:r>
              <w:rPr>
                <w:noProof/>
              </w:rPr>
              <w:t>C5.1 R1-I4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25E68E9" w14:textId="7AF87291"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9E326DD" w14:textId="77777777" w:rsidR="003A3D51" w:rsidRDefault="0002775A">
            <w:pPr>
              <w:pStyle w:val="P68B1DB1-Normal64"/>
              <w:spacing w:after="0" w:line="240" w:lineRule="auto"/>
              <w:textAlignment w:val="baseline"/>
              <w:rPr>
                <w:noProof/>
              </w:rPr>
            </w:pPr>
            <w:r>
              <w:rPr>
                <w:noProof/>
              </w:rPr>
              <w:t xml:space="preserve">Modernisering av hälso- och sjukvården vid det kliniska sjukhuset KBC </w:t>
            </w:r>
          </w:p>
          <w:p w14:paraId="3AEB8B6F" w14:textId="0A56C5C1" w:rsidR="003A3D51" w:rsidRDefault="0002775A">
            <w:pPr>
              <w:pStyle w:val="P68B1DB1-Normal64"/>
              <w:spacing w:after="0" w:line="240" w:lineRule="auto"/>
              <w:textAlignment w:val="baseline"/>
              <w:rPr>
                <w:noProof/>
              </w:rPr>
            </w:pPr>
            <w:r>
              <w:rPr>
                <w:noProof/>
              </w:rPr>
              <w:t>Uppdelning</w:t>
            </w:r>
          </w:p>
        </w:tc>
      </w:tr>
      <w:tr w:rsidR="003A3D51" w14:paraId="0D8A9BC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8A72D0" w14:textId="77777777" w:rsidR="003A3D51" w:rsidRDefault="0002775A">
            <w:pPr>
              <w:pStyle w:val="P68B1DB1-Normal64"/>
              <w:spacing w:after="0" w:line="240" w:lineRule="auto"/>
              <w:jc w:val="center"/>
              <w:textAlignment w:val="baseline"/>
              <w:rPr>
                <w:noProof/>
              </w:rPr>
            </w:pPr>
            <w:r>
              <w:rPr>
                <w:noProof/>
              </w:rPr>
              <w:t>336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A637F5D" w14:textId="77777777" w:rsidR="003A3D51" w:rsidRDefault="0002775A">
            <w:pPr>
              <w:pStyle w:val="P68B1DB1-Normal64"/>
              <w:spacing w:after="0" w:line="240" w:lineRule="auto"/>
              <w:jc w:val="center"/>
              <w:textAlignment w:val="baseline"/>
              <w:rPr>
                <w:noProof/>
              </w:rPr>
            </w:pPr>
            <w:r>
              <w:rPr>
                <w:noProof/>
              </w:rPr>
              <w:t>C5.1 R4</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619D88C"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8952A74" w14:textId="77777777" w:rsidR="003A3D51" w:rsidRDefault="0002775A">
            <w:pPr>
              <w:pStyle w:val="P68B1DB1-Normal64"/>
              <w:spacing w:after="0" w:line="240" w:lineRule="auto"/>
              <w:textAlignment w:val="baseline"/>
              <w:rPr>
                <w:noProof/>
              </w:rPr>
            </w:pPr>
            <w:r>
              <w:rPr>
                <w:noProof/>
              </w:rPr>
              <w:t>Ändring av lagen om hälso- och sjukvård och lagen om obligatorisk sjukförsäkring</w:t>
            </w:r>
          </w:p>
        </w:tc>
      </w:tr>
      <w:tr w:rsidR="003A3D51" w14:paraId="0C4DC6A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87E476" w14:textId="77777777" w:rsidR="003A3D51" w:rsidRDefault="0002775A">
            <w:pPr>
              <w:pStyle w:val="P68B1DB1-Normal64"/>
              <w:spacing w:after="0" w:line="240" w:lineRule="auto"/>
              <w:jc w:val="center"/>
              <w:textAlignment w:val="baseline"/>
              <w:rPr>
                <w:noProof/>
              </w:rPr>
            </w:pPr>
            <w:r>
              <w:rPr>
                <w:noProof/>
              </w:rPr>
              <w:t>346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0D54464E" w14:textId="77777777" w:rsidR="003A3D51" w:rsidRDefault="0002775A">
            <w:pPr>
              <w:pStyle w:val="P68B1DB1-Normal64"/>
              <w:spacing w:after="0" w:line="240" w:lineRule="auto"/>
              <w:jc w:val="center"/>
              <w:textAlignment w:val="baseline"/>
              <w:rPr>
                <w:noProof/>
              </w:rPr>
            </w:pPr>
            <w:r>
              <w:rPr>
                <w:noProof/>
              </w:rPr>
              <w:t>C5.1 R5</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7519E417"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7D504AAD" w14:textId="77777777" w:rsidR="003A3D51" w:rsidRDefault="0002775A">
            <w:pPr>
              <w:pStyle w:val="P68B1DB1-Normal64"/>
              <w:spacing w:after="0" w:line="240" w:lineRule="auto"/>
              <w:textAlignment w:val="baseline"/>
              <w:rPr>
                <w:noProof/>
              </w:rPr>
            </w:pPr>
            <w:r>
              <w:rPr>
                <w:noProof/>
              </w:rPr>
              <w:t>Förbättring och utvidgning av telemedicinska tjänster</w:t>
            </w:r>
          </w:p>
        </w:tc>
      </w:tr>
      <w:tr w:rsidR="003A3D51" w14:paraId="472EA1C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CB05F5" w14:textId="77777777" w:rsidR="003A3D51" w:rsidRDefault="0002775A">
            <w:pPr>
              <w:pStyle w:val="P68B1DB1-Normal64"/>
              <w:spacing w:after="0" w:line="240" w:lineRule="auto"/>
              <w:jc w:val="center"/>
              <w:textAlignment w:val="baseline"/>
              <w:rPr>
                <w:noProof/>
              </w:rPr>
            </w:pPr>
            <w:r>
              <w:rPr>
                <w:noProof/>
              </w:rPr>
              <w:t>349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6DB04332" w14:textId="77777777" w:rsidR="003A3D51" w:rsidRDefault="0002775A">
            <w:pPr>
              <w:pStyle w:val="P68B1DB1-Normal64"/>
              <w:spacing w:after="0" w:line="240" w:lineRule="auto"/>
              <w:jc w:val="center"/>
              <w:textAlignment w:val="baseline"/>
              <w:rPr>
                <w:noProof/>
              </w:rPr>
            </w:pPr>
            <w:r>
              <w:rPr>
                <w:noProof/>
              </w:rPr>
              <w:t>C5.1 R5-I3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E0EC20A"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736AA43" w14:textId="77777777" w:rsidR="003A3D51" w:rsidRDefault="0002775A">
            <w:pPr>
              <w:pStyle w:val="P68B1DB1-Normal64"/>
              <w:spacing w:after="0" w:line="240" w:lineRule="auto"/>
              <w:textAlignment w:val="baseline"/>
              <w:rPr>
                <w:noProof/>
              </w:rPr>
            </w:pPr>
            <w:r>
              <w:rPr>
                <w:noProof/>
              </w:rPr>
              <w:t xml:space="preserve">Teletransfusionstjänster </w:t>
            </w:r>
          </w:p>
        </w:tc>
      </w:tr>
      <w:tr w:rsidR="003A3D51" w14:paraId="77482A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3006C03" w14:textId="77777777" w:rsidR="003A3D51" w:rsidRDefault="0002775A">
            <w:pPr>
              <w:pStyle w:val="P68B1DB1-Normal64"/>
              <w:spacing w:after="0" w:line="240" w:lineRule="auto"/>
              <w:jc w:val="center"/>
              <w:textAlignment w:val="baseline"/>
              <w:rPr>
                <w:noProof/>
              </w:rPr>
            </w:pPr>
            <w:r>
              <w:rPr>
                <w:noProof/>
              </w:rPr>
              <w:t>353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223C9572" w14:textId="77777777" w:rsidR="003A3D51" w:rsidRDefault="0002775A">
            <w:pPr>
              <w:pStyle w:val="P68B1DB1-Normal64"/>
              <w:spacing w:after="0" w:line="240" w:lineRule="auto"/>
              <w:jc w:val="center"/>
              <w:textAlignment w:val="baseline"/>
              <w:rPr>
                <w:noProof/>
              </w:rPr>
            </w:pPr>
            <w:r>
              <w:rPr>
                <w:noProof/>
              </w:rPr>
              <w:t>C6.1 R1-I1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093DEE8A"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27F4D97C" w14:textId="77777777" w:rsidR="003A3D51" w:rsidRDefault="0002775A">
            <w:pPr>
              <w:pStyle w:val="P68B1DB1-Normal64"/>
              <w:spacing w:after="0" w:line="240" w:lineRule="auto"/>
              <w:textAlignment w:val="baseline"/>
              <w:rPr>
                <w:noProof/>
              </w:rPr>
            </w:pPr>
            <w:r>
              <w:rPr>
                <w:noProof/>
              </w:rPr>
              <w:t xml:space="preserve">Undertecknade avtal för energirenovering av offentliga byggnader och flerbostadshus </w:t>
            </w:r>
          </w:p>
        </w:tc>
      </w:tr>
      <w:tr w:rsidR="003A3D51" w14:paraId="61963AB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8459A0" w14:textId="77777777" w:rsidR="003A3D51" w:rsidRDefault="0002775A">
            <w:pPr>
              <w:pStyle w:val="P68B1DB1-Normal64"/>
              <w:spacing w:after="0" w:line="240" w:lineRule="auto"/>
              <w:jc w:val="center"/>
              <w:textAlignment w:val="baseline"/>
              <w:rPr>
                <w:noProof/>
              </w:rPr>
            </w:pPr>
            <w:r>
              <w:rPr>
                <w:noProof/>
              </w:rPr>
              <w:t>359</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3E6F26DE" w14:textId="77777777" w:rsidR="003A3D51" w:rsidRDefault="0002775A">
            <w:pPr>
              <w:pStyle w:val="P68B1DB1-Normal64"/>
              <w:spacing w:after="0" w:line="240" w:lineRule="auto"/>
              <w:jc w:val="center"/>
              <w:textAlignment w:val="baseline"/>
              <w:rPr>
                <w:noProof/>
              </w:rPr>
            </w:pPr>
            <w:r>
              <w:rPr>
                <w:noProof/>
              </w:rPr>
              <w:t>C6.1 R2</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4932E106"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3FEF7CDF" w14:textId="77777777" w:rsidR="003A3D51" w:rsidRDefault="0002775A">
            <w:pPr>
              <w:pStyle w:val="P68B1DB1-Normal64"/>
              <w:spacing w:after="0" w:line="240" w:lineRule="auto"/>
              <w:textAlignment w:val="baseline"/>
              <w:rPr>
                <w:noProof/>
              </w:rPr>
            </w:pPr>
            <w:r>
              <w:rPr>
                <w:noProof/>
              </w:rPr>
              <w:t>Antagande av den nationella kompetensutvecklingsplanen mot bakgrund av gröna jobb i samband med energieffektivitet och återuppbyggnad efter jordbävningen</w:t>
            </w:r>
          </w:p>
        </w:tc>
      </w:tr>
      <w:tr w:rsidR="003A3D51" w14:paraId="793CAD4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589304" w14:textId="77777777" w:rsidR="003A3D51" w:rsidRDefault="0002775A">
            <w:pPr>
              <w:pStyle w:val="P68B1DB1-Normal64"/>
              <w:spacing w:after="0" w:line="240" w:lineRule="auto"/>
              <w:jc w:val="center"/>
              <w:textAlignment w:val="baseline"/>
              <w:rPr>
                <w:noProof/>
              </w:rPr>
            </w:pPr>
            <w:r>
              <w:rPr>
                <w:noProof/>
              </w:rPr>
              <w:t>363</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700CF44A" w14:textId="77777777" w:rsidR="003A3D51" w:rsidRDefault="0002775A">
            <w:pPr>
              <w:pStyle w:val="P68B1DB1-Normal64"/>
              <w:spacing w:after="0" w:line="240" w:lineRule="auto"/>
              <w:jc w:val="center"/>
              <w:textAlignment w:val="baseline"/>
              <w:rPr>
                <w:noProof/>
              </w:rPr>
            </w:pPr>
            <w:r>
              <w:rPr>
                <w:noProof/>
              </w:rPr>
              <w:t>C6.1 R3</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3C04B40B" w14:textId="77777777" w:rsidR="003A3D51" w:rsidRDefault="0002775A">
            <w:pPr>
              <w:pStyle w:val="P68B1DB1-Normal64"/>
              <w:spacing w:after="0" w:line="240" w:lineRule="auto"/>
              <w:jc w:val="center"/>
              <w:textAlignment w:val="baseline"/>
              <w:rPr>
                <w:noProof/>
              </w:rPr>
            </w:pPr>
            <w:r>
              <w:rPr>
                <w:noProof/>
              </w:rPr>
              <w:t>M</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B7BD8E6" w14:textId="77777777" w:rsidR="003A3D51" w:rsidRDefault="0002775A">
            <w:pPr>
              <w:pStyle w:val="P68B1DB1-Normal64"/>
              <w:spacing w:after="0" w:line="240" w:lineRule="auto"/>
              <w:textAlignment w:val="baseline"/>
              <w:rPr>
                <w:noProof/>
              </w:rPr>
            </w:pPr>
            <w:r>
              <w:rPr>
                <w:noProof/>
              </w:rPr>
              <w:t xml:space="preserve">Inrättande och drift av en enda kontaktpunkt online för energirenovering och jordbävningsförstärkning </w:t>
            </w:r>
          </w:p>
        </w:tc>
      </w:tr>
      <w:tr w:rsidR="003A3D51" w14:paraId="3BAEE1C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7D109DD" w14:textId="77777777" w:rsidR="003A3D51" w:rsidRDefault="0002775A">
            <w:pPr>
              <w:pStyle w:val="P68B1DB1-Normal64"/>
              <w:spacing w:after="0" w:line="240" w:lineRule="auto"/>
              <w:jc w:val="center"/>
              <w:textAlignment w:val="baseline"/>
              <w:rPr>
                <w:noProof/>
              </w:rPr>
            </w:pPr>
            <w:r>
              <w:rPr>
                <w:noProof/>
              </w:rPr>
              <w:t>366</w:t>
            </w:r>
          </w:p>
        </w:tc>
        <w:tc>
          <w:tcPr>
            <w:tcW w:w="1642" w:type="dxa"/>
            <w:tcBorders>
              <w:top w:val="single" w:sz="6" w:space="0" w:color="auto"/>
              <w:left w:val="nil"/>
              <w:bottom w:val="single" w:sz="6" w:space="0" w:color="auto"/>
              <w:right w:val="single" w:sz="6" w:space="0" w:color="auto"/>
            </w:tcBorders>
            <w:shd w:val="clear" w:color="auto" w:fill="C6EFCE"/>
            <w:vAlign w:val="center"/>
          </w:tcPr>
          <w:p w14:paraId="19742141" w14:textId="77777777" w:rsidR="003A3D51" w:rsidRDefault="0002775A">
            <w:pPr>
              <w:pStyle w:val="P68B1DB1-Normal64"/>
              <w:spacing w:after="0" w:line="240" w:lineRule="auto"/>
              <w:jc w:val="center"/>
              <w:textAlignment w:val="baseline"/>
              <w:rPr>
                <w:noProof/>
              </w:rPr>
            </w:pPr>
            <w:r>
              <w:rPr>
                <w:noProof/>
              </w:rPr>
              <w:t>C6.1 R4-I1</w:t>
            </w:r>
          </w:p>
        </w:tc>
        <w:tc>
          <w:tcPr>
            <w:tcW w:w="1276" w:type="dxa"/>
            <w:tcBorders>
              <w:top w:val="single" w:sz="6" w:space="0" w:color="auto"/>
              <w:left w:val="nil"/>
              <w:bottom w:val="single" w:sz="6" w:space="0" w:color="auto"/>
              <w:right w:val="single" w:sz="6" w:space="0" w:color="auto"/>
            </w:tcBorders>
            <w:shd w:val="clear" w:color="auto" w:fill="C6EFCE"/>
            <w:vAlign w:val="center"/>
          </w:tcPr>
          <w:p w14:paraId="172C7669" w14:textId="77777777" w:rsidR="003A3D51" w:rsidRDefault="0002775A">
            <w:pPr>
              <w:pStyle w:val="P68B1DB1-Normal64"/>
              <w:spacing w:after="0" w:line="240" w:lineRule="auto"/>
              <w:jc w:val="center"/>
              <w:textAlignment w:val="baseline"/>
              <w:rPr>
                <w:noProof/>
              </w:rPr>
            </w:pPr>
            <w:r>
              <w:rPr>
                <w:noProof/>
              </w:rPr>
              <w:t>T</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1FC74BAD" w14:textId="77777777" w:rsidR="003A3D51" w:rsidRDefault="0002775A">
            <w:pPr>
              <w:pStyle w:val="P68B1DB1-Normal64"/>
              <w:spacing w:after="0" w:line="240" w:lineRule="auto"/>
              <w:textAlignment w:val="baseline"/>
              <w:rPr>
                <w:noProof/>
              </w:rPr>
            </w:pPr>
            <w:r>
              <w:rPr>
                <w:noProof/>
              </w:rPr>
              <w:t xml:space="preserve">Upphandlade seismiska utrustningsenheter </w:t>
            </w:r>
          </w:p>
        </w:tc>
      </w:tr>
      <w:tr w:rsidR="003A3D51" w14:paraId="3CDA48C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19208F"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42" w:type="dxa"/>
            <w:tcBorders>
              <w:top w:val="single" w:sz="6" w:space="0" w:color="auto"/>
              <w:left w:val="nil"/>
              <w:bottom w:val="single" w:sz="6" w:space="0" w:color="auto"/>
              <w:right w:val="single" w:sz="6" w:space="0" w:color="auto"/>
            </w:tcBorders>
            <w:shd w:val="clear" w:color="auto" w:fill="C6EFCE"/>
            <w:vAlign w:val="center"/>
          </w:tcPr>
          <w:p w14:paraId="4202D26F"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276" w:type="dxa"/>
            <w:tcBorders>
              <w:top w:val="single" w:sz="6" w:space="0" w:color="auto"/>
              <w:left w:val="nil"/>
              <w:bottom w:val="single" w:sz="6" w:space="0" w:color="auto"/>
              <w:right w:val="single" w:sz="6" w:space="0" w:color="auto"/>
            </w:tcBorders>
            <w:shd w:val="clear" w:color="auto" w:fill="C6EFCE"/>
            <w:vAlign w:val="center"/>
          </w:tcPr>
          <w:p w14:paraId="014FC6EB" w14:textId="77777777" w:rsidR="003A3D51" w:rsidRDefault="0002775A">
            <w:pPr>
              <w:pStyle w:val="P68B1DB1-Normal64"/>
              <w:spacing w:after="0" w:line="240" w:lineRule="auto"/>
              <w:jc w:val="center"/>
              <w:textAlignment w:val="baseline"/>
              <w:rPr>
                <w:noProof/>
              </w:rPr>
            </w:pPr>
            <w:r>
              <w:rPr>
                <w:noProof/>
              </w:rPr>
              <w:t>Delbetalning, belopp</w:t>
            </w:r>
          </w:p>
        </w:tc>
        <w:tc>
          <w:tcPr>
            <w:tcW w:w="5387" w:type="dxa"/>
            <w:tcBorders>
              <w:top w:val="single" w:sz="6" w:space="0" w:color="auto"/>
              <w:left w:val="nil"/>
              <w:bottom w:val="single" w:sz="6" w:space="0" w:color="auto"/>
              <w:right w:val="single" w:sz="6" w:space="0" w:color="auto"/>
            </w:tcBorders>
            <w:shd w:val="clear" w:color="auto" w:fill="C6EFCE"/>
            <w:vAlign w:val="center"/>
          </w:tcPr>
          <w:p w14:paraId="6C8EC9A2" w14:textId="77777777" w:rsidR="003A3D51" w:rsidRDefault="0002775A">
            <w:pPr>
              <w:pStyle w:val="P68B1DB1-Normal64"/>
              <w:spacing w:after="0" w:line="240" w:lineRule="auto"/>
              <w:textAlignment w:val="baseline"/>
              <w:rPr>
                <w:noProof/>
              </w:rPr>
            </w:pPr>
            <w:r>
              <w:rPr>
                <w:noProof/>
              </w:rPr>
              <w:t>804 597 701 EUR</w:t>
            </w:r>
          </w:p>
        </w:tc>
      </w:tr>
    </w:tbl>
    <w:p w14:paraId="56B18197" w14:textId="77777777" w:rsidR="003A3D51" w:rsidRDefault="003A3D51">
      <w:pPr>
        <w:rPr>
          <w:noProof/>
          <w:sz w:val="20"/>
        </w:rPr>
      </w:pPr>
    </w:p>
    <w:p w14:paraId="7353BE09" w14:textId="77777777" w:rsidR="003A3D51" w:rsidRDefault="003A3D51">
      <w:pPr>
        <w:spacing w:line="240" w:lineRule="auto"/>
        <w:ind w:left="720"/>
        <w:jc w:val="both"/>
        <w:textAlignment w:val="baseline"/>
        <w:rPr>
          <w:rFonts w:ascii="Times New Roman" w:eastAsia="Times New Roman" w:hAnsi="Times New Roman" w:cs="Times New Roman"/>
          <w:noProof/>
          <w:sz w:val="24"/>
        </w:rPr>
      </w:pPr>
    </w:p>
    <w:p w14:paraId="6EAE555B" w14:textId="77777777" w:rsidR="003A3D51" w:rsidRDefault="0002775A">
      <w:pPr>
        <w:pStyle w:val="P68B1DB1-ListParagraph65"/>
        <w:numPr>
          <w:ilvl w:val="0"/>
          <w:numId w:val="49"/>
        </w:numPr>
        <w:spacing w:line="240" w:lineRule="auto"/>
        <w:jc w:val="both"/>
        <w:textAlignment w:val="baseline"/>
        <w:rPr>
          <w:noProof/>
        </w:rPr>
      </w:pPr>
      <w:r>
        <w:rPr>
          <w:noProof/>
        </w:rPr>
        <w:t> Fjärde inbetalningen (icke återbetalningspliktigt stöd):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2"/>
        <w:gridCol w:w="1272"/>
        <w:gridCol w:w="5309"/>
      </w:tblGrid>
      <w:tr w:rsidR="003A3D51" w14:paraId="55843BDB" w14:textId="77777777">
        <w:trPr>
          <w:trHeight w:val="450"/>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10D6817"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A5F00B6"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9AB3576"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182EC690"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61E9446F"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F92D94"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E566B9F"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46B78F9"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4A0CA380" w14:textId="77777777" w:rsidR="003A3D51" w:rsidRDefault="003A3D51">
            <w:pPr>
              <w:spacing w:after="0" w:line="240" w:lineRule="auto"/>
              <w:rPr>
                <w:rFonts w:ascii="Times New Roman" w:eastAsia="Times New Roman" w:hAnsi="Times New Roman" w:cs="Times New Roman"/>
                <w:noProof/>
                <w:sz w:val="20"/>
              </w:rPr>
            </w:pPr>
          </w:p>
        </w:tc>
      </w:tr>
      <w:tr w:rsidR="003A3D51" w14:paraId="2C1B4230"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CF3357C" w14:textId="77777777" w:rsidR="003A3D51" w:rsidRDefault="0002775A">
            <w:pPr>
              <w:pStyle w:val="P68B1DB1-Normal64"/>
              <w:spacing w:after="0" w:line="240" w:lineRule="auto"/>
              <w:jc w:val="center"/>
              <w:textAlignment w:val="baseline"/>
              <w:rPr>
                <w:rFonts w:eastAsia="Times New Roman"/>
                <w:noProof/>
              </w:rPr>
            </w:pPr>
            <w:r>
              <w:rPr>
                <w:noProof/>
              </w:rPr>
              <w:t>39</w:t>
            </w:r>
          </w:p>
        </w:tc>
        <w:tc>
          <w:tcPr>
            <w:tcW w:w="1639" w:type="dxa"/>
            <w:tcBorders>
              <w:top w:val="nil"/>
              <w:left w:val="nil"/>
              <w:bottom w:val="single" w:sz="6" w:space="0" w:color="auto"/>
              <w:right w:val="single" w:sz="6" w:space="0" w:color="auto"/>
            </w:tcBorders>
            <w:shd w:val="clear" w:color="auto" w:fill="C6EFCE"/>
            <w:vAlign w:val="center"/>
            <w:hideMark/>
          </w:tcPr>
          <w:p w14:paraId="2957A3C0" w14:textId="77777777" w:rsidR="003A3D51" w:rsidRDefault="0002775A">
            <w:pPr>
              <w:pStyle w:val="P68B1DB1-Normal64"/>
              <w:spacing w:after="0" w:line="240" w:lineRule="auto"/>
              <w:jc w:val="center"/>
              <w:textAlignment w:val="baseline"/>
              <w:rPr>
                <w:rFonts w:eastAsia="Times New Roman"/>
                <w:noProof/>
              </w:rPr>
            </w:pPr>
            <w:r>
              <w:rPr>
                <w:noProof/>
              </w:rPr>
              <w:t>C1.2 R1-I1</w:t>
            </w:r>
          </w:p>
        </w:tc>
        <w:tc>
          <w:tcPr>
            <w:tcW w:w="1274" w:type="dxa"/>
            <w:tcBorders>
              <w:top w:val="nil"/>
              <w:left w:val="nil"/>
              <w:bottom w:val="single" w:sz="6" w:space="0" w:color="auto"/>
              <w:right w:val="single" w:sz="6" w:space="0" w:color="auto"/>
            </w:tcBorders>
            <w:shd w:val="clear" w:color="auto" w:fill="C6EFCE"/>
            <w:vAlign w:val="center"/>
            <w:hideMark/>
          </w:tcPr>
          <w:p w14:paraId="2231BE17"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nil"/>
              <w:left w:val="nil"/>
              <w:bottom w:val="single" w:sz="6" w:space="0" w:color="auto"/>
              <w:right w:val="single" w:sz="6" w:space="0" w:color="auto"/>
            </w:tcBorders>
            <w:shd w:val="clear" w:color="auto" w:fill="C6EFCE"/>
            <w:vAlign w:val="center"/>
            <w:hideMark/>
          </w:tcPr>
          <w:p w14:paraId="69563AD1" w14:textId="77777777" w:rsidR="003A3D51" w:rsidRDefault="0002775A">
            <w:pPr>
              <w:pStyle w:val="P68B1DB1-Normal64"/>
              <w:spacing w:after="0" w:line="240" w:lineRule="auto"/>
              <w:textAlignment w:val="baseline"/>
              <w:rPr>
                <w:rFonts w:eastAsia="Times New Roman"/>
                <w:noProof/>
              </w:rPr>
            </w:pPr>
            <w:r>
              <w:rPr>
                <w:noProof/>
              </w:rPr>
              <w:t>Bygglov beviljat för uppgradering av högspänningsnätet</w:t>
            </w:r>
          </w:p>
        </w:tc>
      </w:tr>
      <w:tr w:rsidR="003A3D51" w14:paraId="22B97EF1"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2CC6F23F" w14:textId="77777777" w:rsidR="003A3D51" w:rsidRDefault="0002775A">
            <w:pPr>
              <w:pStyle w:val="P68B1DB1-Normal64"/>
              <w:spacing w:after="0" w:line="240" w:lineRule="auto"/>
              <w:jc w:val="center"/>
              <w:textAlignment w:val="baseline"/>
              <w:rPr>
                <w:rFonts w:eastAsia="Times New Roman"/>
                <w:noProof/>
              </w:rPr>
            </w:pPr>
            <w:r>
              <w:rPr>
                <w:noProof/>
              </w:rPr>
              <w:t>163</w:t>
            </w:r>
          </w:p>
        </w:tc>
        <w:tc>
          <w:tcPr>
            <w:tcW w:w="1639" w:type="dxa"/>
            <w:tcBorders>
              <w:top w:val="nil"/>
              <w:left w:val="nil"/>
              <w:bottom w:val="single" w:sz="6" w:space="0" w:color="auto"/>
              <w:right w:val="single" w:sz="6" w:space="0" w:color="auto"/>
            </w:tcBorders>
            <w:shd w:val="clear" w:color="auto" w:fill="C6EFCE"/>
            <w:vAlign w:val="center"/>
            <w:hideMark/>
          </w:tcPr>
          <w:p w14:paraId="67482750" w14:textId="77777777" w:rsidR="003A3D51" w:rsidRDefault="0002775A">
            <w:pPr>
              <w:pStyle w:val="P68B1DB1-Normal64"/>
              <w:spacing w:after="0" w:line="240" w:lineRule="auto"/>
              <w:jc w:val="center"/>
              <w:textAlignment w:val="baseline"/>
              <w:rPr>
                <w:rFonts w:eastAsia="Times New Roman"/>
                <w:noProof/>
              </w:rPr>
            </w:pPr>
            <w:r>
              <w:rPr>
                <w:noProof/>
              </w:rPr>
              <w:t>C2.2 R1</w:t>
            </w:r>
          </w:p>
        </w:tc>
        <w:tc>
          <w:tcPr>
            <w:tcW w:w="1274" w:type="dxa"/>
            <w:tcBorders>
              <w:top w:val="nil"/>
              <w:left w:val="nil"/>
              <w:bottom w:val="single" w:sz="6" w:space="0" w:color="auto"/>
              <w:right w:val="single" w:sz="6" w:space="0" w:color="auto"/>
            </w:tcBorders>
            <w:shd w:val="clear" w:color="auto" w:fill="C6EFCE"/>
            <w:vAlign w:val="center"/>
            <w:hideMark/>
          </w:tcPr>
          <w:p w14:paraId="56190C64"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nil"/>
              <w:left w:val="nil"/>
              <w:bottom w:val="single" w:sz="6" w:space="0" w:color="auto"/>
              <w:right w:val="single" w:sz="6" w:space="0" w:color="auto"/>
            </w:tcBorders>
            <w:shd w:val="clear" w:color="auto" w:fill="C6EFCE"/>
            <w:vAlign w:val="center"/>
            <w:hideMark/>
          </w:tcPr>
          <w:p w14:paraId="19FD3A7D" w14:textId="77777777" w:rsidR="003A3D51" w:rsidRDefault="0002775A">
            <w:pPr>
              <w:pStyle w:val="P68B1DB1-Normal64"/>
              <w:spacing w:after="0" w:line="240" w:lineRule="auto"/>
              <w:textAlignment w:val="baseline"/>
              <w:rPr>
                <w:rFonts w:eastAsia="Times New Roman"/>
                <w:noProof/>
              </w:rPr>
            </w:pPr>
            <w:r>
              <w:rPr>
                <w:noProof/>
              </w:rPr>
              <w:t>Ändrad rättslig ram för ett centraliserat urvalssystem inom den statliga förvaltningen, fastställande av tjänstemännens nödvändiga kvalifikationer och inrättande av ett modernt rekryteringssystem</w:t>
            </w:r>
          </w:p>
        </w:tc>
      </w:tr>
      <w:tr w:rsidR="003A3D51" w14:paraId="20ABEF6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1479980" w14:textId="77777777" w:rsidR="003A3D51" w:rsidRDefault="0002775A">
            <w:pPr>
              <w:pStyle w:val="P68B1DB1-Normal64"/>
              <w:spacing w:after="0" w:line="240" w:lineRule="auto"/>
              <w:jc w:val="center"/>
              <w:textAlignment w:val="baseline"/>
              <w:rPr>
                <w:rFonts w:eastAsia="Times New Roman"/>
                <w:noProof/>
              </w:rPr>
            </w:pPr>
            <w:r>
              <w:rPr>
                <w:noProof/>
              </w:rPr>
              <w:t>166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72D894F2" w14:textId="77777777" w:rsidR="003A3D51" w:rsidRDefault="0002775A">
            <w:pPr>
              <w:pStyle w:val="P68B1DB1-Normal64"/>
              <w:spacing w:after="0" w:line="240" w:lineRule="auto"/>
              <w:jc w:val="center"/>
              <w:textAlignment w:val="baseline"/>
              <w:rPr>
                <w:rFonts w:eastAsia="Times New Roman"/>
                <w:noProof/>
              </w:rPr>
            </w:pPr>
            <w:r>
              <w:rPr>
                <w:noProof/>
              </w:rPr>
              <w:t>C2.2 R2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79D6F2C2"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62BFD94" w14:textId="77777777" w:rsidR="003A3D51" w:rsidRDefault="0002775A">
            <w:pPr>
              <w:pStyle w:val="P68B1DB1-Normal64"/>
              <w:spacing w:after="0" w:line="240" w:lineRule="auto"/>
              <w:textAlignment w:val="baseline"/>
              <w:rPr>
                <w:rFonts w:eastAsia="Times New Roman"/>
                <w:noProof/>
              </w:rPr>
            </w:pPr>
            <w:r>
              <w:rPr>
                <w:noProof/>
              </w:rPr>
              <w:t>Ikraftträdande av lagar om löner inom statlig förvaltning och offentliga tjänster samt av bestämmelser om rörlighet</w:t>
            </w:r>
          </w:p>
        </w:tc>
      </w:tr>
      <w:tr w:rsidR="003A3D51" w14:paraId="2D77C3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F0C3E0C" w14:textId="77777777" w:rsidR="003A3D51" w:rsidRDefault="0002775A">
            <w:pPr>
              <w:pStyle w:val="P68B1DB1-Normal64"/>
              <w:spacing w:after="0" w:line="240" w:lineRule="auto"/>
              <w:jc w:val="center"/>
              <w:textAlignment w:val="baseline"/>
              <w:rPr>
                <w:noProof/>
              </w:rPr>
            </w:pPr>
            <w:r>
              <w:rPr>
                <w:noProof/>
              </w:rPr>
              <w:t>205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3B54753" w14:textId="77777777" w:rsidR="003A3D51" w:rsidRDefault="0002775A">
            <w:pPr>
              <w:pStyle w:val="P68B1DB1-Normal64"/>
              <w:spacing w:after="0" w:line="240" w:lineRule="auto"/>
              <w:jc w:val="center"/>
              <w:textAlignment w:val="baseline"/>
              <w:rPr>
                <w:noProof/>
              </w:rPr>
            </w:pPr>
            <w:r>
              <w:rPr>
                <w:noProof/>
              </w:rPr>
              <w:t>C2.3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C7E0376"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9578434" w14:textId="77777777" w:rsidR="003A3D51" w:rsidRDefault="0002775A">
            <w:pPr>
              <w:pStyle w:val="P68B1DB1-Normal64"/>
              <w:spacing w:after="0" w:line="240" w:lineRule="auto"/>
              <w:textAlignment w:val="baseline"/>
              <w:rPr>
                <w:noProof/>
              </w:rPr>
            </w:pPr>
            <w:r>
              <w:rPr>
                <w:noProof/>
              </w:rPr>
              <w:t>Bidragsavtal undertecknat för uppförande av passiv infrastruktur för elektronisk kommunikation</w:t>
            </w:r>
          </w:p>
        </w:tc>
      </w:tr>
      <w:tr w:rsidR="003A3D51" w14:paraId="000F0F9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A2C530" w14:textId="77777777" w:rsidR="003A3D51" w:rsidRDefault="0002775A">
            <w:pPr>
              <w:pStyle w:val="P68B1DB1-Normal64"/>
              <w:spacing w:after="0" w:line="240" w:lineRule="auto"/>
              <w:jc w:val="center"/>
              <w:textAlignment w:val="baseline"/>
              <w:rPr>
                <w:noProof/>
              </w:rPr>
            </w:pPr>
            <w:r>
              <w:rPr>
                <w:noProof/>
              </w:rPr>
              <w:t>217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D73A798"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8F12DF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7C211C" w14:textId="77777777" w:rsidR="003A3D51" w:rsidRDefault="0002775A">
            <w:pPr>
              <w:pStyle w:val="P68B1DB1-Normal64"/>
              <w:spacing w:after="0" w:line="240" w:lineRule="auto"/>
              <w:textAlignment w:val="baseline"/>
              <w:rPr>
                <w:noProof/>
              </w:rPr>
            </w:pPr>
            <w:r>
              <w:rPr>
                <w:noProof/>
              </w:rPr>
              <w:t>Nya utbildningsprogram som införts inom ramen för programmet för rättslig utbildning</w:t>
            </w:r>
          </w:p>
        </w:tc>
      </w:tr>
      <w:tr w:rsidR="003A3D51" w14:paraId="2225C8A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CD67E61" w14:textId="77777777" w:rsidR="003A3D51" w:rsidRDefault="0002775A">
            <w:pPr>
              <w:pStyle w:val="P68B1DB1-Normal64"/>
              <w:spacing w:after="0" w:line="240" w:lineRule="auto"/>
              <w:jc w:val="center"/>
              <w:textAlignment w:val="baseline"/>
              <w:rPr>
                <w:noProof/>
              </w:rPr>
            </w:pPr>
            <w:r>
              <w:rPr>
                <w:noProof/>
              </w:rPr>
              <w:t>218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BB3D9C"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376024"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C701014" w14:textId="77777777" w:rsidR="003A3D51" w:rsidRDefault="0002775A">
            <w:pPr>
              <w:pStyle w:val="P68B1DB1-Normal64"/>
              <w:spacing w:after="0" w:line="240" w:lineRule="auto"/>
              <w:textAlignment w:val="baseline"/>
              <w:rPr>
                <w:noProof/>
              </w:rPr>
            </w:pPr>
            <w:r>
              <w:rPr>
                <w:noProof/>
              </w:rPr>
              <w:t>Antagande av ändringar av den rättsliga ramen på det rättsliga området genom den nya lagen om rättsvårdsärenden.</w:t>
            </w:r>
          </w:p>
        </w:tc>
      </w:tr>
      <w:tr w:rsidR="003A3D51" w14:paraId="7DF23E8E" w14:textId="77777777">
        <w:trPr>
          <w:trHeight w:val="269"/>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8F6C09" w14:textId="77777777" w:rsidR="003A3D51" w:rsidRDefault="0002775A">
            <w:pPr>
              <w:pStyle w:val="P68B1DB1-Normal64"/>
              <w:spacing w:after="0" w:line="240" w:lineRule="auto"/>
              <w:jc w:val="center"/>
              <w:textAlignment w:val="baseline"/>
              <w:rPr>
                <w:noProof/>
              </w:rPr>
            </w:pPr>
            <w:r>
              <w:rPr>
                <w:noProof/>
              </w:rPr>
              <w:t>219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F30660A"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EC7867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7F692A" w14:textId="77777777" w:rsidR="003A3D51" w:rsidRDefault="0002775A">
            <w:pPr>
              <w:pStyle w:val="P68B1DB1-Normal64"/>
              <w:spacing w:after="0" w:line="240" w:lineRule="auto"/>
              <w:textAlignment w:val="baseline"/>
              <w:rPr>
                <w:noProof/>
              </w:rPr>
            </w:pPr>
            <w:r>
              <w:rPr>
                <w:noProof/>
              </w:rPr>
              <w:t>Inrätta fyra medlingscentrum vid handelsdomstolarna i Zagreb, Split, Osijek och Rijeka och antog ändringar av medlingslagen.</w:t>
            </w:r>
          </w:p>
        </w:tc>
      </w:tr>
      <w:tr w:rsidR="003A3D51" w14:paraId="0D8EAA9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156C6AB" w14:textId="77777777" w:rsidR="003A3D51" w:rsidRDefault="0002775A">
            <w:pPr>
              <w:pStyle w:val="P68B1DB1-Normal64"/>
              <w:spacing w:after="0" w:line="240" w:lineRule="auto"/>
              <w:jc w:val="center"/>
              <w:textAlignment w:val="baseline"/>
              <w:rPr>
                <w:noProof/>
              </w:rPr>
            </w:pPr>
            <w:r>
              <w:rPr>
                <w:noProof/>
              </w:rPr>
              <w:t>257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9107C58" w14:textId="77777777" w:rsidR="003A3D51" w:rsidRDefault="0002775A">
            <w:pPr>
              <w:pStyle w:val="P68B1DB1-Normal64"/>
              <w:spacing w:after="0" w:line="240" w:lineRule="auto"/>
              <w:jc w:val="center"/>
              <w:textAlignment w:val="baseline"/>
              <w:rPr>
                <w:noProof/>
              </w:rPr>
            </w:pPr>
            <w:r>
              <w:rPr>
                <w:noProof/>
              </w:rPr>
              <w:t>C2.9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87EF6DC"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D14D49" w14:textId="77777777" w:rsidR="003A3D51" w:rsidRDefault="0002775A">
            <w:pPr>
              <w:pStyle w:val="P68B1DB1-Normal64"/>
              <w:spacing w:after="0" w:line="240" w:lineRule="auto"/>
              <w:textAlignment w:val="baseline"/>
              <w:rPr>
                <w:noProof/>
              </w:rPr>
            </w:pPr>
            <w:r>
              <w:rPr>
                <w:noProof/>
              </w:rPr>
              <w:t>Ändring av bestämmelserna om utbildning i offentlig upphandling</w:t>
            </w:r>
          </w:p>
        </w:tc>
      </w:tr>
      <w:tr w:rsidR="003A3D51" w14:paraId="4A4DDF2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31FCE7" w14:textId="77777777" w:rsidR="003A3D51" w:rsidRDefault="0002775A">
            <w:pPr>
              <w:pStyle w:val="P68B1DB1-Normal64"/>
              <w:spacing w:after="0" w:line="240" w:lineRule="auto"/>
              <w:jc w:val="center"/>
              <w:textAlignment w:val="baseline"/>
              <w:rPr>
                <w:noProof/>
              </w:rPr>
            </w:pPr>
            <w:r>
              <w:rPr>
                <w:noProof/>
              </w:rPr>
              <w:t>267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BFF24C" w14:textId="77777777" w:rsidR="003A3D51" w:rsidRDefault="0002775A">
            <w:pPr>
              <w:pStyle w:val="P68B1DB1-Normal64"/>
              <w:spacing w:after="0" w:line="240" w:lineRule="auto"/>
              <w:jc w:val="center"/>
              <w:textAlignment w:val="baseline"/>
              <w:rPr>
                <w:noProof/>
              </w:rPr>
            </w:pPr>
            <w:r>
              <w:rPr>
                <w:noProof/>
              </w:rPr>
              <w:t>C3.1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3BF3948"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A0559AB" w14:textId="77777777" w:rsidR="003A3D51" w:rsidRDefault="0002775A">
            <w:pPr>
              <w:pStyle w:val="P68B1DB1-Normal64"/>
              <w:spacing w:after="0" w:line="240" w:lineRule="auto"/>
              <w:textAlignment w:val="baseline"/>
              <w:rPr>
                <w:noProof/>
              </w:rPr>
            </w:pPr>
            <w:r>
              <w:rPr>
                <w:noProof/>
              </w:rPr>
              <w:t>Antagande av modellen för finansiering av förskoleverksamhet och barnomsorg</w:t>
            </w:r>
          </w:p>
        </w:tc>
      </w:tr>
      <w:tr w:rsidR="003A3D51" w14:paraId="02DDAA9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76691B" w14:textId="77777777" w:rsidR="003A3D51" w:rsidRDefault="0002775A">
            <w:pPr>
              <w:pStyle w:val="P68B1DB1-Normal64"/>
              <w:spacing w:after="0" w:line="240" w:lineRule="auto"/>
              <w:jc w:val="center"/>
              <w:textAlignment w:val="baseline"/>
              <w:rPr>
                <w:noProof/>
              </w:rPr>
            </w:pPr>
            <w:r>
              <w:rPr>
                <w:noProof/>
              </w:rPr>
              <w:t>276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1AB0267" w14:textId="77777777" w:rsidR="003A3D51" w:rsidRDefault="0002775A">
            <w:pPr>
              <w:pStyle w:val="P68B1DB1-Normal64"/>
              <w:spacing w:after="0" w:line="240" w:lineRule="auto"/>
              <w:jc w:val="center"/>
              <w:textAlignment w:val="baseline"/>
              <w:rPr>
                <w:noProof/>
              </w:rPr>
            </w:pPr>
            <w:r>
              <w:rPr>
                <w:noProof/>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88223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94F73D" w14:textId="77777777" w:rsidR="003A3D51" w:rsidRDefault="0002775A">
            <w:pPr>
              <w:pStyle w:val="P68B1DB1-Normal64"/>
              <w:spacing w:after="0" w:line="240" w:lineRule="auto"/>
              <w:textAlignment w:val="baseline"/>
              <w:rPr>
                <w:noProof/>
              </w:rPr>
            </w:pPr>
            <w:r>
              <w:rPr>
                <w:noProof/>
              </w:rPr>
              <w:t>Finansiering av forskningsprojekt på grundval av interna ansökningsomgångar från forskningsorganisationer under den första tvåårsperioden av programavtalens genomförande</w:t>
            </w:r>
          </w:p>
        </w:tc>
      </w:tr>
      <w:tr w:rsidR="003A3D51" w14:paraId="7A72972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E71F81" w14:textId="77777777" w:rsidR="003A3D51" w:rsidRDefault="0002775A">
            <w:pPr>
              <w:pStyle w:val="P68B1DB1-Normal64"/>
              <w:spacing w:after="0" w:line="240" w:lineRule="auto"/>
              <w:jc w:val="center"/>
              <w:textAlignment w:val="baseline"/>
              <w:rPr>
                <w:noProof/>
              </w:rPr>
            </w:pPr>
            <w:r>
              <w:rPr>
                <w:noProof/>
              </w:rPr>
              <w:t>297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B062DF" w14:textId="77777777" w:rsidR="003A3D51" w:rsidRDefault="0002775A">
            <w:pPr>
              <w:pStyle w:val="P68B1DB1-Normal64"/>
              <w:spacing w:after="0" w:line="240" w:lineRule="auto"/>
              <w:jc w:val="center"/>
              <w:textAlignment w:val="baseline"/>
              <w:rPr>
                <w:noProof/>
              </w:rPr>
            </w:pPr>
            <w:r>
              <w:rPr>
                <w:noProof/>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ECDC8A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797ED2C" w14:textId="77777777" w:rsidR="003A3D51" w:rsidRDefault="0002775A">
            <w:pPr>
              <w:pStyle w:val="P68B1DB1-Normal64"/>
              <w:spacing w:after="0" w:line="240" w:lineRule="auto"/>
              <w:textAlignment w:val="baseline"/>
              <w:rPr>
                <w:noProof/>
              </w:rPr>
            </w:pPr>
            <w:r>
              <w:rPr>
                <w:noProof/>
              </w:rPr>
              <w:t>Antagande av ändringar av pensionsförsäkringslagen</w:t>
            </w:r>
          </w:p>
        </w:tc>
      </w:tr>
      <w:tr w:rsidR="003A3D51" w14:paraId="482900C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1D6D04" w14:textId="77777777" w:rsidR="003A3D51" w:rsidRDefault="0002775A">
            <w:pPr>
              <w:pStyle w:val="P68B1DB1-Normal64"/>
              <w:spacing w:after="0" w:line="240" w:lineRule="auto"/>
              <w:jc w:val="center"/>
              <w:textAlignment w:val="baseline"/>
              <w:rPr>
                <w:noProof/>
              </w:rPr>
            </w:pPr>
            <w:r>
              <w:rPr>
                <w:noProof/>
              </w:rPr>
              <w:t>316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8EBEEA0" w14:textId="77777777" w:rsidR="003A3D51" w:rsidRDefault="0002775A">
            <w:pPr>
              <w:pStyle w:val="P68B1DB1-Normal64"/>
              <w:spacing w:after="0" w:line="240" w:lineRule="auto"/>
              <w:jc w:val="center"/>
              <w:textAlignment w:val="baseline"/>
              <w:rPr>
                <w:noProof/>
              </w:rPr>
            </w:pPr>
            <w:r>
              <w:rPr>
                <w:noProof/>
              </w:rPr>
              <w:t>C4.3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2E1E2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46C60F" w14:textId="77777777" w:rsidR="003A3D51" w:rsidRDefault="0002775A">
            <w:pPr>
              <w:pStyle w:val="P68B1DB1-Normal64"/>
              <w:spacing w:after="0" w:line="240" w:lineRule="auto"/>
              <w:textAlignment w:val="baseline"/>
              <w:rPr>
                <w:noProof/>
              </w:rPr>
            </w:pPr>
            <w:r>
              <w:rPr>
                <w:noProof/>
              </w:rPr>
              <w:t>It-system för beräkning av priser för sociala tjänster och tjänsteleverantörer i nätverket</w:t>
            </w:r>
          </w:p>
        </w:tc>
      </w:tr>
      <w:tr w:rsidR="003A3D51" w14:paraId="703D4FA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80F5ECE" w14:textId="77777777" w:rsidR="003A3D51" w:rsidRDefault="0002775A">
            <w:pPr>
              <w:pStyle w:val="P68B1DB1-Normal64"/>
              <w:spacing w:after="0" w:line="240" w:lineRule="auto"/>
              <w:jc w:val="center"/>
              <w:textAlignment w:val="baseline"/>
              <w:rPr>
                <w:noProof/>
              </w:rPr>
            </w:pPr>
            <w:r>
              <w:rPr>
                <w:noProof/>
              </w:rPr>
              <w:t>325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0B4EB7D" w14:textId="77777777" w:rsidR="003A3D51" w:rsidRDefault="0002775A">
            <w:pPr>
              <w:pStyle w:val="P68B1DB1-Normal64"/>
              <w:spacing w:after="0" w:line="240" w:lineRule="auto"/>
              <w:jc w:val="center"/>
              <w:textAlignment w:val="baseline"/>
              <w:rPr>
                <w:noProof/>
              </w:rPr>
            </w:pPr>
            <w:r>
              <w:rPr>
                <w:noProof/>
              </w:rPr>
              <w:t>C5.1 R1-I6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7BAEE6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958D702" w14:textId="77777777" w:rsidR="003A3D51" w:rsidRDefault="0002775A">
            <w:pPr>
              <w:pStyle w:val="P68B1DB1-Normal64"/>
              <w:spacing w:after="0" w:line="240" w:lineRule="auto"/>
              <w:textAlignment w:val="baseline"/>
              <w:rPr>
                <w:noProof/>
              </w:rPr>
            </w:pPr>
            <w:r>
              <w:rPr>
                <w:noProof/>
              </w:rPr>
              <w:t>Medicintekniska produkter för diagnostik på kliniska sjukhus (KB) Dubrava</w:t>
            </w:r>
          </w:p>
        </w:tc>
      </w:tr>
      <w:tr w:rsidR="003A3D51" w14:paraId="43C130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259108" w14:textId="77777777" w:rsidR="003A3D51" w:rsidRDefault="0002775A">
            <w:pPr>
              <w:pStyle w:val="P68B1DB1-Normal64"/>
              <w:spacing w:after="0" w:line="240" w:lineRule="auto"/>
              <w:jc w:val="center"/>
              <w:textAlignment w:val="baseline"/>
              <w:rPr>
                <w:noProof/>
              </w:rPr>
            </w:pPr>
            <w:r>
              <w:rPr>
                <w:noProof/>
              </w:rPr>
              <w:t>327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39D850" w14:textId="77777777" w:rsidR="003A3D51" w:rsidRDefault="0002775A">
            <w:pPr>
              <w:pStyle w:val="P68B1DB1-Normal64"/>
              <w:spacing w:after="0" w:line="240" w:lineRule="auto"/>
              <w:jc w:val="center"/>
              <w:textAlignment w:val="baseline"/>
              <w:rPr>
                <w:noProof/>
              </w:rPr>
            </w:pPr>
            <w:r>
              <w:rPr>
                <w:noProof/>
              </w:rPr>
              <w:t>C5.1 R1-I8</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52C715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5060A2D" w14:textId="77777777" w:rsidR="003A3D51" w:rsidRDefault="0002775A">
            <w:pPr>
              <w:pStyle w:val="P68B1DB1-Normal64"/>
              <w:spacing w:after="0" w:line="240" w:lineRule="auto"/>
              <w:textAlignment w:val="baseline"/>
              <w:rPr>
                <w:noProof/>
              </w:rPr>
            </w:pPr>
            <w:r>
              <w:rPr>
                <w:noProof/>
              </w:rPr>
              <w:t>Medicintekniska produkter för operativ behandling och behandling av patienter med farmakoresistent epilepsi på kliniska sjukhus (KB) Dubrava</w:t>
            </w:r>
          </w:p>
        </w:tc>
      </w:tr>
      <w:tr w:rsidR="003A3D51" w14:paraId="60AB682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57AC546" w14:textId="77777777" w:rsidR="003A3D51" w:rsidRDefault="0002775A">
            <w:pPr>
              <w:pStyle w:val="P68B1DB1-Normal64"/>
              <w:spacing w:after="0" w:line="240" w:lineRule="auto"/>
              <w:jc w:val="center"/>
              <w:textAlignment w:val="baseline"/>
              <w:rPr>
                <w:noProof/>
              </w:rPr>
            </w:pPr>
            <w:r>
              <w:rPr>
                <w:noProof/>
              </w:rPr>
              <w:t>343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1EEF83B" w14:textId="77777777" w:rsidR="003A3D51" w:rsidRDefault="0002775A">
            <w:pPr>
              <w:pStyle w:val="P68B1DB1-Normal64"/>
              <w:spacing w:after="0" w:line="240" w:lineRule="auto"/>
              <w:jc w:val="center"/>
              <w:textAlignment w:val="baseline"/>
              <w:rPr>
                <w:noProof/>
              </w:rPr>
            </w:pPr>
            <w:r>
              <w:rPr>
                <w:noProof/>
              </w:rPr>
              <w:t>C5.1 R4-I5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7B5B53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0F4F6C3" w14:textId="77777777" w:rsidR="003A3D51" w:rsidRDefault="0002775A">
            <w:pPr>
              <w:pStyle w:val="P68B1DB1-Normal64"/>
              <w:spacing w:after="0" w:line="240" w:lineRule="auto"/>
              <w:textAlignment w:val="baseline"/>
              <w:rPr>
                <w:noProof/>
              </w:rPr>
            </w:pPr>
            <w:r>
              <w:rPr>
                <w:noProof/>
              </w:rPr>
              <w:t>Diagnosenheter Clinical Hospital Centre (KBC) Merkur</w:t>
            </w:r>
          </w:p>
        </w:tc>
      </w:tr>
      <w:tr w:rsidR="003A3D51" w14:paraId="498D42C2" w14:textId="77777777">
        <w:trPr>
          <w:trHeight w:val="42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6E3A1" w14:textId="77777777" w:rsidR="003A3D51" w:rsidRDefault="0002775A">
            <w:pPr>
              <w:pStyle w:val="P68B1DB1-Normal64"/>
              <w:spacing w:after="0" w:line="240" w:lineRule="auto"/>
              <w:jc w:val="center"/>
              <w:textAlignment w:val="baseline"/>
              <w:rPr>
                <w:noProof/>
              </w:rPr>
            </w:pPr>
            <w:r>
              <w:rPr>
                <w:noProof/>
              </w:rPr>
              <w:t>348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1753F5" w14:textId="77777777" w:rsidR="003A3D51" w:rsidRDefault="0002775A">
            <w:pPr>
              <w:pStyle w:val="P68B1DB1-Normal64"/>
              <w:spacing w:after="0" w:line="240" w:lineRule="auto"/>
              <w:jc w:val="center"/>
              <w:textAlignment w:val="baseline"/>
              <w:rPr>
                <w:noProof/>
              </w:rPr>
            </w:pPr>
            <w:r>
              <w:rPr>
                <w:noProof/>
              </w:rPr>
              <w:t>C5.1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8FCA7E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FC166B0" w14:textId="77777777" w:rsidR="003A3D51" w:rsidRDefault="0002775A">
            <w:pPr>
              <w:pStyle w:val="P68B1DB1-Normal64"/>
              <w:spacing w:after="0" w:line="240" w:lineRule="auto"/>
              <w:textAlignment w:val="baseline"/>
              <w:rPr>
                <w:noProof/>
              </w:rPr>
            </w:pPr>
            <w:r>
              <w:rPr>
                <w:noProof/>
              </w:rPr>
              <w:t>Telekardiologiska tjänster</w:t>
            </w:r>
          </w:p>
        </w:tc>
      </w:tr>
      <w:tr w:rsidR="003A3D51" w14:paraId="135EE96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4B46D7A1"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tcPr>
          <w:p w14:paraId="77CB1C71" w14:textId="77777777" w:rsidR="003A3D51" w:rsidRDefault="003A3D51">
            <w:pPr>
              <w:spacing w:after="0" w:line="240" w:lineRule="auto"/>
              <w:jc w:val="both"/>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tcPr>
          <w:p w14:paraId="460F1CE7" w14:textId="77777777" w:rsidR="003A3D51" w:rsidRDefault="0002775A">
            <w:pPr>
              <w:pStyle w:val="P68B1DB1-Normal64"/>
              <w:spacing w:after="0" w:line="240" w:lineRule="auto"/>
              <w:jc w:val="both"/>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D49B84" w14:textId="754C641B" w:rsidR="003A3D51" w:rsidRDefault="0002775A">
            <w:pPr>
              <w:pStyle w:val="P68B1DB1-Normal64"/>
              <w:spacing w:after="0" w:line="240" w:lineRule="auto"/>
              <w:jc w:val="both"/>
              <w:textAlignment w:val="baseline"/>
              <w:rPr>
                <w:noProof/>
              </w:rPr>
            </w:pPr>
            <w:r>
              <w:rPr>
                <w:noProof/>
              </w:rPr>
              <w:t>306 166 382 EUR</w:t>
            </w:r>
          </w:p>
        </w:tc>
      </w:tr>
    </w:tbl>
    <w:p w14:paraId="3B2BDA39" w14:textId="77777777" w:rsidR="003A3D51" w:rsidRDefault="003A3D51">
      <w:pPr>
        <w:spacing w:after="0" w:line="240" w:lineRule="auto"/>
        <w:jc w:val="both"/>
        <w:textAlignment w:val="baseline"/>
        <w:rPr>
          <w:rFonts w:ascii="Segoe UI" w:eastAsia="Times New Roman" w:hAnsi="Segoe UI" w:cs="Segoe UI"/>
          <w:noProof/>
          <w:sz w:val="18"/>
        </w:rPr>
      </w:pPr>
    </w:p>
    <w:p w14:paraId="1C5F8816" w14:textId="77777777" w:rsidR="003A3D51" w:rsidRDefault="0002775A">
      <w:pPr>
        <w:pStyle w:val="P68B1DB1-ListParagraph65"/>
        <w:numPr>
          <w:ilvl w:val="0"/>
          <w:numId w:val="49"/>
        </w:numPr>
        <w:spacing w:line="240" w:lineRule="auto"/>
        <w:jc w:val="both"/>
        <w:textAlignment w:val="baseline"/>
        <w:rPr>
          <w:noProof/>
        </w:rPr>
      </w:pPr>
      <w:r>
        <w:rPr>
          <w:noProof/>
        </w:rPr>
        <w:t>Femte inbetalningen (icke återbetalningspliktigt stöd):</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2"/>
        <w:gridCol w:w="1272"/>
        <w:gridCol w:w="5309"/>
      </w:tblGrid>
      <w:tr w:rsidR="003A3D51" w14:paraId="1E78B3AC" w14:textId="77777777">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7F4837E"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A6547E6"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A841534"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782E2CC7"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2BC9AB72"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919E2F"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86E3C9A"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817BD61"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51C91F7C" w14:textId="77777777" w:rsidR="003A3D51" w:rsidRDefault="003A3D51">
            <w:pPr>
              <w:spacing w:after="0" w:line="240" w:lineRule="auto"/>
              <w:rPr>
                <w:rFonts w:ascii="Times New Roman" w:eastAsia="Times New Roman" w:hAnsi="Times New Roman" w:cs="Times New Roman"/>
                <w:noProof/>
                <w:sz w:val="20"/>
              </w:rPr>
            </w:pPr>
          </w:p>
        </w:tc>
      </w:tr>
      <w:tr w:rsidR="003A3D51" w14:paraId="2CEE4818"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2C2EE42" w14:textId="77777777" w:rsidR="003A3D51" w:rsidRDefault="0002775A">
            <w:pPr>
              <w:pStyle w:val="P68B1DB1-Normal64"/>
              <w:spacing w:after="0" w:line="240" w:lineRule="auto"/>
              <w:jc w:val="center"/>
              <w:textAlignment w:val="baseline"/>
              <w:rPr>
                <w:rFonts w:eastAsia="Times New Roman"/>
                <w:noProof/>
              </w:rPr>
            </w:pPr>
            <w:r>
              <w:rPr>
                <w:noProof/>
              </w:rPr>
              <w:t>8</w:t>
            </w:r>
          </w:p>
        </w:tc>
        <w:tc>
          <w:tcPr>
            <w:tcW w:w="1639" w:type="dxa"/>
            <w:tcBorders>
              <w:top w:val="nil"/>
              <w:left w:val="nil"/>
              <w:bottom w:val="single" w:sz="6" w:space="0" w:color="auto"/>
              <w:right w:val="single" w:sz="6" w:space="0" w:color="auto"/>
            </w:tcBorders>
            <w:shd w:val="clear" w:color="auto" w:fill="C6EFCE"/>
            <w:vAlign w:val="center"/>
            <w:hideMark/>
          </w:tcPr>
          <w:p w14:paraId="3B3B3C82" w14:textId="77777777" w:rsidR="003A3D51" w:rsidRDefault="0002775A">
            <w:pPr>
              <w:pStyle w:val="P68B1DB1-Normal64"/>
              <w:spacing w:after="0" w:line="240" w:lineRule="auto"/>
              <w:jc w:val="center"/>
              <w:textAlignment w:val="baseline"/>
              <w:rPr>
                <w:rFonts w:eastAsia="Times New Roman"/>
                <w:noProof/>
              </w:rPr>
            </w:pPr>
            <w:r>
              <w:rPr>
                <w:noProof/>
              </w:rPr>
              <w:t>C1.1.1 R1-I2</w:t>
            </w:r>
          </w:p>
        </w:tc>
        <w:tc>
          <w:tcPr>
            <w:tcW w:w="1274" w:type="dxa"/>
            <w:tcBorders>
              <w:top w:val="nil"/>
              <w:left w:val="nil"/>
              <w:bottom w:val="single" w:sz="6" w:space="0" w:color="auto"/>
              <w:right w:val="single" w:sz="6" w:space="0" w:color="auto"/>
            </w:tcBorders>
            <w:shd w:val="clear" w:color="auto" w:fill="C6EFCE"/>
            <w:vAlign w:val="center"/>
            <w:hideMark/>
          </w:tcPr>
          <w:p w14:paraId="6A8D1BAB"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nil"/>
              <w:left w:val="nil"/>
              <w:bottom w:val="single" w:sz="6" w:space="0" w:color="auto"/>
              <w:right w:val="single" w:sz="6" w:space="0" w:color="auto"/>
            </w:tcBorders>
            <w:shd w:val="clear" w:color="auto" w:fill="C6EFCE"/>
            <w:vAlign w:val="center"/>
            <w:hideMark/>
          </w:tcPr>
          <w:p w14:paraId="426B6429" w14:textId="77777777" w:rsidR="003A3D51" w:rsidRDefault="0002775A">
            <w:pPr>
              <w:pStyle w:val="P68B1DB1-Normal64"/>
              <w:spacing w:after="0" w:line="240" w:lineRule="auto"/>
              <w:jc w:val="both"/>
              <w:textAlignment w:val="baseline"/>
              <w:rPr>
                <w:rFonts w:eastAsia="Times New Roman"/>
                <w:noProof/>
              </w:rPr>
            </w:pPr>
            <w:r>
              <w:rPr>
                <w:noProof/>
              </w:rPr>
              <w:t>Digitalisering av konsekvensbedömningen för små och medelstora företag genom utveckling av en digital plattform för samordnarnas samarbete, onlineutbildning och ömsesidig kommunikation</w:t>
            </w:r>
          </w:p>
        </w:tc>
      </w:tr>
      <w:tr w:rsidR="003A3D51" w14:paraId="49CF8056"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C509A55" w14:textId="77777777" w:rsidR="003A3D51" w:rsidRDefault="0002775A">
            <w:pPr>
              <w:pStyle w:val="P68B1DB1-Normal64"/>
              <w:spacing w:after="0" w:line="240" w:lineRule="auto"/>
              <w:jc w:val="center"/>
              <w:textAlignment w:val="baseline"/>
              <w:rPr>
                <w:rFonts w:eastAsia="Times New Roman"/>
                <w:noProof/>
              </w:rPr>
            </w:pPr>
            <w:r>
              <w:rPr>
                <w:noProof/>
              </w:rPr>
              <w:t>9</w:t>
            </w:r>
          </w:p>
        </w:tc>
        <w:tc>
          <w:tcPr>
            <w:tcW w:w="1639" w:type="dxa"/>
            <w:tcBorders>
              <w:top w:val="nil"/>
              <w:left w:val="nil"/>
              <w:bottom w:val="single" w:sz="6" w:space="0" w:color="auto"/>
              <w:right w:val="single" w:sz="6" w:space="0" w:color="auto"/>
            </w:tcBorders>
            <w:shd w:val="clear" w:color="auto" w:fill="C6EFCE"/>
            <w:vAlign w:val="center"/>
            <w:hideMark/>
          </w:tcPr>
          <w:p w14:paraId="4B3D9202" w14:textId="77777777" w:rsidR="003A3D51" w:rsidRDefault="0002775A">
            <w:pPr>
              <w:pStyle w:val="P68B1DB1-Normal64"/>
              <w:spacing w:after="0" w:line="240" w:lineRule="auto"/>
              <w:jc w:val="center"/>
              <w:textAlignment w:val="baseline"/>
              <w:rPr>
                <w:rFonts w:eastAsia="Times New Roman"/>
                <w:noProof/>
              </w:rPr>
            </w:pPr>
            <w:r>
              <w:rPr>
                <w:noProof/>
              </w:rPr>
              <w:t>C1.1.1 R1-I2</w:t>
            </w:r>
          </w:p>
        </w:tc>
        <w:tc>
          <w:tcPr>
            <w:tcW w:w="1274" w:type="dxa"/>
            <w:tcBorders>
              <w:top w:val="nil"/>
              <w:left w:val="nil"/>
              <w:bottom w:val="single" w:sz="6" w:space="0" w:color="auto"/>
              <w:right w:val="single" w:sz="6" w:space="0" w:color="auto"/>
            </w:tcBorders>
            <w:shd w:val="clear" w:color="auto" w:fill="C6EFCE"/>
            <w:vAlign w:val="center"/>
            <w:hideMark/>
          </w:tcPr>
          <w:p w14:paraId="14173C7B"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5A7807C9" w14:textId="77777777" w:rsidR="003A3D51" w:rsidRDefault="0002775A">
            <w:pPr>
              <w:pStyle w:val="P68B1DB1-Normal64"/>
              <w:spacing w:after="0" w:line="240" w:lineRule="auto"/>
              <w:jc w:val="both"/>
              <w:textAlignment w:val="baseline"/>
              <w:rPr>
                <w:rFonts w:eastAsia="Times New Roman"/>
                <w:noProof/>
              </w:rPr>
            </w:pPr>
            <w:r>
              <w:rPr>
                <w:noProof/>
              </w:rPr>
              <w:t xml:space="preserve">Genomförande av åtgärderna i den nya handlingsplanen för att minska icke-skattemässiga och skatteliknande avgifter </w:t>
            </w:r>
          </w:p>
        </w:tc>
      </w:tr>
      <w:tr w:rsidR="003A3D51" w14:paraId="48132EF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87B46AC" w14:textId="77777777" w:rsidR="003A3D51" w:rsidRDefault="0002775A">
            <w:pPr>
              <w:pStyle w:val="P68B1DB1-Normal64"/>
              <w:spacing w:after="0" w:line="240" w:lineRule="auto"/>
              <w:jc w:val="center"/>
              <w:textAlignment w:val="baseline"/>
              <w:rPr>
                <w:rFonts w:eastAsia="Times New Roman"/>
                <w:noProof/>
              </w:rPr>
            </w:pPr>
            <w:r>
              <w:rPr>
                <w:noProof/>
              </w:rPr>
              <w:t>38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6C530FBF" w14:textId="77777777" w:rsidR="003A3D51" w:rsidRDefault="0002775A">
            <w:pPr>
              <w:pStyle w:val="P68B1DB1-Normal64"/>
              <w:spacing w:after="0" w:line="240" w:lineRule="auto"/>
              <w:jc w:val="center"/>
              <w:textAlignment w:val="baseline"/>
              <w:rPr>
                <w:rFonts w:eastAsia="Times New Roman"/>
                <w:noProof/>
              </w:rPr>
            </w:pPr>
            <w:r>
              <w:rPr>
                <w:noProof/>
              </w:rPr>
              <w:t>C1.2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98FF55E"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2C4EF0A" w14:textId="77777777" w:rsidR="003A3D51" w:rsidRDefault="0002775A">
            <w:pPr>
              <w:pStyle w:val="P68B1DB1-Normal64"/>
              <w:spacing w:after="0" w:line="240" w:lineRule="auto"/>
              <w:jc w:val="both"/>
              <w:textAlignment w:val="baseline"/>
              <w:rPr>
                <w:rFonts w:eastAsia="Times New Roman"/>
                <w:noProof/>
              </w:rPr>
            </w:pPr>
            <w:r>
              <w:rPr>
                <w:noProof/>
              </w:rPr>
              <w:t>Plinacro-certifiering av Kroatiens nationella energitillsynsmyndighet (Hera)</w:t>
            </w:r>
          </w:p>
        </w:tc>
      </w:tr>
      <w:tr w:rsidR="003A3D51" w14:paraId="74319CE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FCCB5D" w14:textId="77777777" w:rsidR="003A3D51" w:rsidRDefault="0002775A">
            <w:pPr>
              <w:pStyle w:val="P68B1DB1-Normal64"/>
              <w:spacing w:after="0" w:line="240" w:lineRule="auto"/>
              <w:jc w:val="center"/>
              <w:textAlignment w:val="baseline"/>
              <w:rPr>
                <w:noProof/>
              </w:rPr>
            </w:pPr>
            <w:r>
              <w:rPr>
                <w:noProof/>
              </w:rPr>
              <w:t>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127345" w14:textId="77777777" w:rsidR="003A3D51" w:rsidRDefault="0002775A">
            <w:pPr>
              <w:pStyle w:val="P68B1DB1-Normal64"/>
              <w:spacing w:after="0" w:line="240" w:lineRule="auto"/>
              <w:jc w:val="center"/>
              <w:textAlignment w:val="baseline"/>
              <w:rPr>
                <w:noProof/>
              </w:rPr>
            </w:pPr>
            <w:r>
              <w:rPr>
                <w:noProof/>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9DCF8A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D3C0FA9" w14:textId="77777777" w:rsidR="003A3D51" w:rsidRDefault="0002775A">
            <w:pPr>
              <w:pStyle w:val="P68B1DB1-Normal64"/>
              <w:spacing w:after="0" w:line="240" w:lineRule="auto"/>
              <w:jc w:val="both"/>
              <w:textAlignment w:val="baseline"/>
              <w:rPr>
                <w:noProof/>
              </w:rPr>
            </w:pPr>
            <w:r>
              <w:rPr>
                <w:noProof/>
              </w:rPr>
              <w:t xml:space="preserve">Bygg- och anläggningskontrakt som ingåtts för infrastrukturprojekt för avloppsvatten </w:t>
            </w:r>
          </w:p>
        </w:tc>
      </w:tr>
      <w:tr w:rsidR="003A3D51" w14:paraId="1ACC3CD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E5E7529" w14:textId="77777777" w:rsidR="003A3D51" w:rsidRDefault="0002775A">
            <w:pPr>
              <w:pStyle w:val="P68B1DB1-Normal64"/>
              <w:spacing w:after="0" w:line="240" w:lineRule="auto"/>
              <w:jc w:val="center"/>
              <w:textAlignment w:val="baseline"/>
              <w:rPr>
                <w:noProof/>
              </w:rPr>
            </w:pPr>
            <w:r>
              <w:rPr>
                <w:noProof/>
              </w:rPr>
              <w:t>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8C174F1" w14:textId="77777777" w:rsidR="003A3D51" w:rsidRDefault="0002775A">
            <w:pPr>
              <w:pStyle w:val="P68B1DB1-Normal64"/>
              <w:spacing w:after="0" w:line="240" w:lineRule="auto"/>
              <w:jc w:val="center"/>
              <w:textAlignment w:val="baseline"/>
              <w:rPr>
                <w:noProof/>
              </w:rPr>
            </w:pPr>
            <w:r>
              <w:rPr>
                <w:noProof/>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0B0339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2B81360" w14:textId="77777777" w:rsidR="003A3D51" w:rsidRDefault="0002775A">
            <w:pPr>
              <w:pStyle w:val="P68B1DB1-Normal64"/>
              <w:spacing w:after="0" w:line="240" w:lineRule="auto"/>
              <w:jc w:val="both"/>
              <w:textAlignment w:val="baseline"/>
              <w:rPr>
                <w:noProof/>
              </w:rPr>
            </w:pPr>
            <w:r>
              <w:rPr>
                <w:noProof/>
              </w:rPr>
              <w:t xml:space="preserve">Bygg- och anläggningskontrakt för vattenförsörjningsprojekt </w:t>
            </w:r>
          </w:p>
        </w:tc>
      </w:tr>
      <w:tr w:rsidR="003A3D51" w14:paraId="1F08A5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45E9FB" w14:textId="77777777" w:rsidR="003A3D51" w:rsidRDefault="0002775A">
            <w:pPr>
              <w:pStyle w:val="P68B1DB1-Normal64"/>
              <w:spacing w:after="0" w:line="240" w:lineRule="auto"/>
              <w:jc w:val="center"/>
              <w:textAlignment w:val="baseline"/>
              <w:rPr>
                <w:noProof/>
              </w:rPr>
            </w:pPr>
            <w:r>
              <w:rPr>
                <w:noProof/>
              </w:rPr>
              <w:t>71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D2E03AC" w14:textId="77777777" w:rsidR="003A3D51" w:rsidRDefault="0002775A">
            <w:pPr>
              <w:pStyle w:val="P68B1DB1-Normal64"/>
              <w:spacing w:after="0" w:line="240" w:lineRule="auto"/>
              <w:jc w:val="center"/>
              <w:textAlignment w:val="baseline"/>
              <w:rPr>
                <w:noProof/>
              </w:rPr>
            </w:pPr>
            <w:r>
              <w:rPr>
                <w:noProof/>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94FADE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0CE8D1E" w14:textId="77777777" w:rsidR="003A3D51" w:rsidRDefault="0002775A">
            <w:pPr>
              <w:pStyle w:val="P68B1DB1-Normal64"/>
              <w:spacing w:after="0" w:line="240" w:lineRule="auto"/>
              <w:jc w:val="both"/>
              <w:textAlignment w:val="baseline"/>
              <w:rPr>
                <w:noProof/>
              </w:rPr>
            </w:pPr>
            <w:r>
              <w:rPr>
                <w:noProof/>
              </w:rPr>
              <w:t xml:space="preserve">Allmänt vattenförsörjningsnät konstruerat eller ombyggt </w:t>
            </w:r>
          </w:p>
        </w:tc>
      </w:tr>
      <w:tr w:rsidR="003A3D51" w14:paraId="39D5B7E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9CE2EAD" w14:textId="77777777" w:rsidR="003A3D51" w:rsidRDefault="0002775A">
            <w:pPr>
              <w:pStyle w:val="P68B1DB1-Normal64"/>
              <w:spacing w:after="0" w:line="240" w:lineRule="auto"/>
              <w:jc w:val="center"/>
              <w:textAlignment w:val="baseline"/>
              <w:rPr>
                <w:noProof/>
              </w:rPr>
            </w:pPr>
            <w:r>
              <w:rPr>
                <w:noProof/>
              </w:rPr>
              <w:t>94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5E15DF7" w14:textId="77777777" w:rsidR="003A3D51" w:rsidRDefault="0002775A">
            <w:pPr>
              <w:pStyle w:val="P68B1DB1-Normal64"/>
              <w:spacing w:after="0" w:line="240" w:lineRule="auto"/>
              <w:jc w:val="center"/>
              <w:textAlignment w:val="baseline"/>
              <w:rPr>
                <w:noProof/>
              </w:rPr>
            </w:pPr>
            <w:r>
              <w:rPr>
                <w:noProof/>
              </w:rPr>
              <w:t>C1.4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1DEB2A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777CBE4" w14:textId="77777777" w:rsidR="003A3D51" w:rsidRDefault="0002775A">
            <w:pPr>
              <w:pStyle w:val="P68B1DB1-Normal64"/>
              <w:spacing w:after="0" w:line="240" w:lineRule="auto"/>
              <w:jc w:val="both"/>
              <w:textAlignment w:val="baseline"/>
              <w:rPr>
                <w:noProof/>
              </w:rPr>
            </w:pPr>
            <w:r>
              <w:rPr>
                <w:noProof/>
              </w:rPr>
              <w:t>Inrättande av ett funktionellt system för utövande av rättigheter för personer med funktionsnedsättning när det gäller rörlighet</w:t>
            </w:r>
          </w:p>
        </w:tc>
      </w:tr>
      <w:tr w:rsidR="003A3D51" w14:paraId="6676A60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FCFD19" w14:textId="77777777" w:rsidR="003A3D51" w:rsidRDefault="0002775A">
            <w:pPr>
              <w:pStyle w:val="P68B1DB1-Normal64"/>
              <w:spacing w:after="0" w:line="240" w:lineRule="auto"/>
              <w:jc w:val="center"/>
              <w:textAlignment w:val="baseline"/>
              <w:rPr>
                <w:noProof/>
              </w:rPr>
            </w:pPr>
            <w:r>
              <w:rPr>
                <w:noProof/>
              </w:rPr>
              <w:t>127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2867C4D" w14:textId="77777777" w:rsidR="003A3D51" w:rsidRDefault="0002775A">
            <w:pPr>
              <w:pStyle w:val="P68B1DB1-Normal64"/>
              <w:spacing w:after="0" w:line="240" w:lineRule="auto"/>
              <w:jc w:val="center"/>
              <w:textAlignment w:val="baseline"/>
              <w:rPr>
                <w:noProof/>
              </w:rPr>
            </w:pPr>
            <w:r>
              <w:rPr>
                <w:noProof/>
              </w:rPr>
              <w:t>C1.5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C5B761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BCEC560" w14:textId="77777777" w:rsidR="003A3D51" w:rsidRDefault="0002775A">
            <w:pPr>
              <w:pStyle w:val="P68B1DB1-Normal64"/>
              <w:spacing w:after="0" w:line="240" w:lineRule="auto"/>
              <w:jc w:val="both"/>
              <w:textAlignment w:val="baseline"/>
              <w:rPr>
                <w:noProof/>
              </w:rPr>
            </w:pPr>
            <w:r>
              <w:rPr>
                <w:noProof/>
              </w:rPr>
              <w:t>Ett logistikdistributionscentrum som byggs och är i drift.</w:t>
            </w:r>
          </w:p>
        </w:tc>
      </w:tr>
      <w:tr w:rsidR="003A3D51" w14:paraId="4C5CB10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CB3BB1" w14:textId="77777777" w:rsidR="003A3D51" w:rsidRDefault="0002775A">
            <w:pPr>
              <w:pStyle w:val="P68B1DB1-Normal64"/>
              <w:spacing w:after="0" w:line="240" w:lineRule="auto"/>
              <w:jc w:val="center"/>
              <w:textAlignment w:val="baseline"/>
              <w:rPr>
                <w:noProof/>
              </w:rPr>
            </w:pPr>
            <w:r>
              <w:rPr>
                <w:noProof/>
              </w:rPr>
              <w:t>139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FBDF282" w14:textId="77777777" w:rsidR="003A3D51" w:rsidRDefault="0002775A">
            <w:pPr>
              <w:pStyle w:val="P68B1DB1-Normal64"/>
              <w:spacing w:after="0" w:line="240" w:lineRule="auto"/>
              <w:jc w:val="center"/>
              <w:textAlignment w:val="baseline"/>
              <w:rPr>
                <w:noProof/>
              </w:rPr>
            </w:pPr>
            <w:r>
              <w:rPr>
                <w:noProof/>
              </w:rPr>
              <w:t>C1.5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50D2CC8"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7BE068" w14:textId="77777777" w:rsidR="003A3D51" w:rsidRDefault="0002775A">
            <w:pPr>
              <w:pStyle w:val="P68B1DB1-Normal64"/>
              <w:spacing w:after="0" w:line="240" w:lineRule="auto"/>
              <w:jc w:val="both"/>
              <w:textAlignment w:val="baseline"/>
              <w:rPr>
                <w:noProof/>
              </w:rPr>
            </w:pPr>
            <w:r>
              <w:rPr>
                <w:noProof/>
              </w:rPr>
              <w:t>Stödsystem för infrastruktur för livsmedelsbanker och livsmedelsmellanhänder i livsmedelskedjan</w:t>
            </w:r>
          </w:p>
        </w:tc>
      </w:tr>
      <w:tr w:rsidR="003A3D51" w14:paraId="51D84D6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010D33" w14:textId="77777777" w:rsidR="003A3D51" w:rsidRDefault="0002775A">
            <w:pPr>
              <w:pStyle w:val="P68B1DB1-Normal64"/>
              <w:spacing w:after="0" w:line="240" w:lineRule="auto"/>
              <w:jc w:val="center"/>
              <w:textAlignment w:val="baseline"/>
              <w:rPr>
                <w:noProof/>
              </w:rPr>
            </w:pPr>
            <w:r>
              <w:rPr>
                <w:noProof/>
              </w:rPr>
              <w:t>142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2643054" w14:textId="77777777" w:rsidR="003A3D51" w:rsidRDefault="0002775A">
            <w:pPr>
              <w:pStyle w:val="P68B1DB1-Normal64"/>
              <w:spacing w:after="0" w:line="240" w:lineRule="auto"/>
              <w:jc w:val="center"/>
              <w:textAlignment w:val="baseline"/>
              <w:rPr>
                <w:noProof/>
              </w:rPr>
            </w:pPr>
            <w:r>
              <w:rPr>
                <w:noProof/>
              </w:rPr>
              <w:t>C1.6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89EAEFB"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AB89F4" w14:textId="77777777" w:rsidR="003A3D51" w:rsidRDefault="0002775A">
            <w:pPr>
              <w:pStyle w:val="P68B1DB1-Normal64"/>
              <w:spacing w:after="0" w:line="240" w:lineRule="auto"/>
              <w:jc w:val="both"/>
              <w:textAlignment w:val="baseline"/>
              <w:rPr>
                <w:noProof/>
              </w:rPr>
            </w:pPr>
            <w:r>
              <w:rPr>
                <w:noProof/>
              </w:rPr>
              <w:t>Utarbetande av metodologiska ramar för Republiken Kroatiens satellitkonto för hållbar turism</w:t>
            </w:r>
          </w:p>
        </w:tc>
      </w:tr>
      <w:tr w:rsidR="003A3D51" w14:paraId="3D5A858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21D3FC0" w14:textId="77777777" w:rsidR="003A3D51" w:rsidRDefault="0002775A">
            <w:pPr>
              <w:pStyle w:val="P68B1DB1-Normal64"/>
              <w:spacing w:after="0" w:line="240" w:lineRule="auto"/>
              <w:jc w:val="center"/>
              <w:textAlignment w:val="baseline"/>
              <w:rPr>
                <w:noProof/>
              </w:rPr>
            </w:pPr>
            <w:r>
              <w:rPr>
                <w:noProof/>
              </w:rPr>
              <w:t>143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723ADD2" w14:textId="77777777" w:rsidR="003A3D51" w:rsidRDefault="0002775A">
            <w:pPr>
              <w:pStyle w:val="P68B1DB1-Normal64"/>
              <w:spacing w:after="0" w:line="240" w:lineRule="auto"/>
              <w:jc w:val="center"/>
              <w:textAlignment w:val="baseline"/>
              <w:rPr>
                <w:noProof/>
              </w:rPr>
            </w:pPr>
            <w:r>
              <w:rPr>
                <w:noProof/>
              </w:rPr>
              <w:t>C1.6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ED041E8"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67D3B58" w14:textId="77777777" w:rsidR="003A3D51" w:rsidRDefault="0002775A">
            <w:pPr>
              <w:pStyle w:val="P68B1DB1-Normal64"/>
              <w:spacing w:after="0" w:line="240" w:lineRule="auto"/>
              <w:jc w:val="both"/>
              <w:textAlignment w:val="baseline"/>
              <w:rPr>
                <w:noProof/>
              </w:rPr>
            </w:pPr>
            <w:r>
              <w:rPr>
                <w:noProof/>
              </w:rPr>
              <w:t>Turismlagen om inrättande av en ram för övervakning och utveckling av turistnäringen</w:t>
            </w:r>
          </w:p>
        </w:tc>
      </w:tr>
      <w:tr w:rsidR="003A3D51" w14:paraId="6111161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C218F6" w14:textId="77777777" w:rsidR="003A3D51" w:rsidRDefault="0002775A">
            <w:pPr>
              <w:pStyle w:val="P68B1DB1-Normal64"/>
              <w:spacing w:after="0" w:line="240" w:lineRule="auto"/>
              <w:jc w:val="center"/>
              <w:textAlignment w:val="baseline"/>
              <w:rPr>
                <w:noProof/>
              </w:rPr>
            </w:pPr>
            <w:r>
              <w:rPr>
                <w:noProof/>
              </w:rPr>
              <w:t>151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5446BB0" w14:textId="77777777" w:rsidR="003A3D51" w:rsidRDefault="0002775A">
            <w:pPr>
              <w:pStyle w:val="P68B1DB1-Normal64"/>
              <w:spacing w:after="0" w:line="240" w:lineRule="auto"/>
              <w:jc w:val="center"/>
              <w:textAlignment w:val="baseline"/>
              <w:rPr>
                <w:noProof/>
              </w:rPr>
            </w:pPr>
            <w:r>
              <w:rPr>
                <w:noProof/>
              </w:rPr>
              <w:t>C2.1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E3FC0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1478DA0" w14:textId="77777777" w:rsidR="003A3D51" w:rsidRDefault="0002775A">
            <w:pPr>
              <w:pStyle w:val="P68B1DB1-Normal64"/>
              <w:spacing w:after="0" w:line="240" w:lineRule="auto"/>
              <w:jc w:val="both"/>
              <w:textAlignment w:val="baseline"/>
              <w:rPr>
                <w:noProof/>
              </w:rPr>
            </w:pPr>
            <w:r>
              <w:rPr>
                <w:noProof/>
              </w:rPr>
              <w:t>Ändringar i lagen om konsekvensbedömning av lagstiftning</w:t>
            </w:r>
          </w:p>
        </w:tc>
      </w:tr>
      <w:tr w:rsidR="003A3D51" w14:paraId="4DE913A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89E1B3" w14:textId="77777777" w:rsidR="003A3D51" w:rsidRDefault="0002775A">
            <w:pPr>
              <w:pStyle w:val="P68B1DB1-Normal64"/>
              <w:spacing w:after="0" w:line="240" w:lineRule="auto"/>
              <w:jc w:val="center"/>
              <w:textAlignment w:val="baseline"/>
              <w:rPr>
                <w:noProof/>
              </w:rPr>
            </w:pPr>
            <w:r>
              <w:rPr>
                <w:noProof/>
              </w:rPr>
              <w:t>168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FA46C57" w14:textId="77777777" w:rsidR="003A3D51" w:rsidRDefault="0002775A">
            <w:pPr>
              <w:pStyle w:val="P68B1DB1-Normal64"/>
              <w:spacing w:after="0" w:line="240" w:lineRule="auto"/>
              <w:jc w:val="center"/>
              <w:textAlignment w:val="baseline"/>
              <w:rPr>
                <w:noProof/>
              </w:rPr>
            </w:pPr>
            <w:r>
              <w:rPr>
                <w:noProof/>
              </w:rPr>
              <w:t>C2.2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1DD170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9CA3892" w14:textId="77777777" w:rsidR="003A3D51" w:rsidRDefault="0002775A">
            <w:pPr>
              <w:pStyle w:val="P68B1DB1-Normal64"/>
              <w:spacing w:after="0" w:line="240" w:lineRule="auto"/>
              <w:jc w:val="both"/>
              <w:textAlignment w:val="baseline"/>
              <w:rPr>
                <w:noProof/>
              </w:rPr>
            </w:pPr>
            <w:r>
              <w:rPr>
                <w:noProof/>
              </w:rPr>
              <w:t>Minst 20 % av de offentliganställda arbetar enligt modellen för smart arbete</w:t>
            </w:r>
          </w:p>
        </w:tc>
      </w:tr>
      <w:tr w:rsidR="003A3D51" w14:paraId="73A4149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1A2D21F" w14:textId="77777777" w:rsidR="003A3D51" w:rsidRDefault="0002775A">
            <w:pPr>
              <w:pStyle w:val="P68B1DB1-Normal64"/>
              <w:spacing w:after="0" w:line="240" w:lineRule="auto"/>
              <w:jc w:val="center"/>
              <w:textAlignment w:val="baseline"/>
              <w:rPr>
                <w:noProof/>
              </w:rPr>
            </w:pPr>
            <w:r>
              <w:rPr>
                <w:noProof/>
              </w:rPr>
              <w:t>169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E639F70" w14:textId="77777777" w:rsidR="003A3D51" w:rsidRDefault="0002775A">
            <w:pPr>
              <w:pStyle w:val="P68B1DB1-Normal64"/>
              <w:spacing w:after="0" w:line="240" w:lineRule="auto"/>
              <w:jc w:val="center"/>
              <w:textAlignment w:val="baseline"/>
              <w:rPr>
                <w:noProof/>
              </w:rPr>
            </w:pPr>
            <w:r>
              <w:rPr>
                <w:noProof/>
              </w:rPr>
              <w:t>C2.2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E8840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91DB48C" w14:textId="77777777" w:rsidR="003A3D51" w:rsidRDefault="0002775A">
            <w:pPr>
              <w:pStyle w:val="P68B1DB1-Normal64"/>
              <w:spacing w:after="0" w:line="240" w:lineRule="auto"/>
              <w:jc w:val="both"/>
              <w:textAlignment w:val="baseline"/>
              <w:rPr>
                <w:noProof/>
              </w:rPr>
            </w:pPr>
            <w:r>
              <w:rPr>
                <w:noProof/>
              </w:rPr>
              <w:t>Minst 60 % av de offentliganställda som utbildats i smart arbetsmetod</w:t>
            </w:r>
          </w:p>
        </w:tc>
      </w:tr>
      <w:tr w:rsidR="003A3D51" w14:paraId="206E57B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B67B08" w14:textId="77777777" w:rsidR="003A3D51" w:rsidRDefault="0002775A">
            <w:pPr>
              <w:pStyle w:val="P68B1DB1-Normal64"/>
              <w:spacing w:after="0" w:line="240" w:lineRule="auto"/>
              <w:jc w:val="center"/>
              <w:textAlignment w:val="baseline"/>
              <w:rPr>
                <w:noProof/>
              </w:rPr>
            </w:pPr>
            <w:r>
              <w:rPr>
                <w:noProof/>
              </w:rPr>
              <w:t>170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B9AD91F" w14:textId="77777777" w:rsidR="003A3D51" w:rsidRDefault="0002775A">
            <w:pPr>
              <w:pStyle w:val="P68B1DB1-Normal64"/>
              <w:spacing w:after="0" w:line="240" w:lineRule="auto"/>
              <w:jc w:val="center"/>
              <w:textAlignment w:val="baseline"/>
              <w:rPr>
                <w:noProof/>
              </w:rPr>
            </w:pPr>
            <w:r>
              <w:rPr>
                <w:noProof/>
              </w:rPr>
              <w:t>C2.2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E882D70"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943FDD9" w14:textId="77777777" w:rsidR="003A3D51" w:rsidRDefault="0002775A">
            <w:pPr>
              <w:pStyle w:val="P68B1DB1-Normal64"/>
              <w:spacing w:after="0" w:line="240" w:lineRule="auto"/>
              <w:jc w:val="both"/>
              <w:textAlignment w:val="baseline"/>
              <w:rPr>
                <w:noProof/>
              </w:rPr>
            </w:pPr>
            <w:r>
              <w:rPr>
                <w:noProof/>
              </w:rPr>
              <w:t>Inrättande av en e-bevarandetjänst</w:t>
            </w:r>
          </w:p>
        </w:tc>
      </w:tr>
      <w:tr w:rsidR="003A3D51" w14:paraId="487A8D3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427877B" w14:textId="77777777" w:rsidR="003A3D51" w:rsidRDefault="0002775A">
            <w:pPr>
              <w:pStyle w:val="P68B1DB1-Normal64"/>
              <w:spacing w:after="0" w:line="240" w:lineRule="auto"/>
              <w:jc w:val="center"/>
              <w:textAlignment w:val="baseline"/>
              <w:rPr>
                <w:noProof/>
              </w:rPr>
            </w:pPr>
            <w:r>
              <w:rPr>
                <w:noProof/>
              </w:rPr>
              <w:t>181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B855386" w14:textId="77777777" w:rsidR="003A3D51" w:rsidRDefault="0002775A">
            <w:pPr>
              <w:pStyle w:val="P68B1DB1-Normal64"/>
              <w:spacing w:after="0" w:line="240" w:lineRule="auto"/>
              <w:jc w:val="center"/>
              <w:textAlignment w:val="baseline"/>
              <w:rPr>
                <w:noProof/>
              </w:rPr>
            </w:pPr>
            <w:r>
              <w:rPr>
                <w:noProof/>
              </w:rPr>
              <w:t>C2.3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4E20D5B"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F270F15" w14:textId="77777777" w:rsidR="003A3D51" w:rsidRDefault="0002775A">
            <w:pPr>
              <w:pStyle w:val="P68B1DB1-Normal64"/>
              <w:spacing w:after="0" w:line="240" w:lineRule="auto"/>
              <w:jc w:val="both"/>
              <w:textAlignment w:val="baseline"/>
              <w:rPr>
                <w:noProof/>
              </w:rPr>
            </w:pPr>
            <w:r>
              <w:rPr>
                <w:noProof/>
              </w:rPr>
              <w:t>Pilotprojekt om cybersäkerhet</w:t>
            </w:r>
          </w:p>
        </w:tc>
      </w:tr>
      <w:tr w:rsidR="003A3D51" w14:paraId="1EF35BB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0886919" w14:textId="77777777" w:rsidR="003A3D51" w:rsidRDefault="0002775A">
            <w:pPr>
              <w:pStyle w:val="P68B1DB1-Normal64"/>
              <w:spacing w:after="0" w:line="240" w:lineRule="auto"/>
              <w:jc w:val="center"/>
              <w:textAlignment w:val="baseline"/>
              <w:rPr>
                <w:noProof/>
              </w:rPr>
            </w:pPr>
            <w:r>
              <w:rPr>
                <w:noProof/>
              </w:rPr>
              <w:t>183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34B010" w14:textId="77777777" w:rsidR="003A3D51" w:rsidRDefault="0002775A">
            <w:pPr>
              <w:pStyle w:val="P68B1DB1-Normal64"/>
              <w:spacing w:after="0" w:line="240" w:lineRule="auto"/>
              <w:jc w:val="center"/>
              <w:textAlignment w:val="baseline"/>
              <w:rPr>
                <w:noProof/>
              </w:rPr>
            </w:pPr>
            <w:r>
              <w:rPr>
                <w:noProof/>
              </w:rPr>
              <w:t>C2.3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C531054"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A66167" w14:textId="77777777" w:rsidR="003A3D51" w:rsidRDefault="0002775A">
            <w:pPr>
              <w:pStyle w:val="P68B1DB1-Normal64"/>
              <w:spacing w:after="0" w:line="240" w:lineRule="auto"/>
              <w:jc w:val="both"/>
              <w:textAlignment w:val="baseline"/>
              <w:rPr>
                <w:noProof/>
              </w:rPr>
            </w:pPr>
            <w:r>
              <w:rPr>
                <w:noProof/>
              </w:rPr>
              <w:t>Inrättande av en enda kontaktpunkt</w:t>
            </w:r>
          </w:p>
        </w:tc>
      </w:tr>
      <w:tr w:rsidR="003A3D51" w14:paraId="29A5AF2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11AD1A" w14:textId="77777777" w:rsidR="003A3D51" w:rsidRDefault="0002775A">
            <w:pPr>
              <w:pStyle w:val="P68B1DB1-Normal64"/>
              <w:spacing w:after="0" w:line="240" w:lineRule="auto"/>
              <w:jc w:val="center"/>
              <w:textAlignment w:val="baseline"/>
              <w:rPr>
                <w:noProof/>
              </w:rPr>
            </w:pPr>
            <w:r>
              <w:rPr>
                <w:noProof/>
              </w:rPr>
              <w:t>191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62ABECC" w14:textId="77777777" w:rsidR="003A3D51" w:rsidRDefault="0002775A">
            <w:pPr>
              <w:pStyle w:val="P68B1DB1-Normal64"/>
              <w:spacing w:after="0" w:line="240" w:lineRule="auto"/>
              <w:jc w:val="center"/>
              <w:textAlignment w:val="baseline"/>
              <w:rPr>
                <w:noProof/>
              </w:rPr>
            </w:pPr>
            <w:r>
              <w:rPr>
                <w:noProof/>
              </w:rPr>
              <w:t>C2.3 R3-I9</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0E677CC"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48E7EDD" w14:textId="77777777" w:rsidR="003A3D51" w:rsidRDefault="0002775A">
            <w:pPr>
              <w:pStyle w:val="P68B1DB1-Normal64"/>
              <w:spacing w:after="0" w:line="240" w:lineRule="auto"/>
              <w:jc w:val="both"/>
              <w:textAlignment w:val="baseline"/>
              <w:rPr>
                <w:noProof/>
              </w:rPr>
            </w:pPr>
            <w:r>
              <w:rPr>
                <w:noProof/>
              </w:rPr>
              <w:t>Inrättande av en ny plattform för offentlig upphandling och mobilapplikation</w:t>
            </w:r>
          </w:p>
        </w:tc>
      </w:tr>
      <w:tr w:rsidR="003A3D51" w14:paraId="6D48335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3CBD29" w14:textId="77777777" w:rsidR="003A3D51" w:rsidRDefault="0002775A">
            <w:pPr>
              <w:pStyle w:val="P68B1DB1-Normal64"/>
              <w:spacing w:after="0" w:line="240" w:lineRule="auto"/>
              <w:jc w:val="center"/>
              <w:textAlignment w:val="baseline"/>
              <w:rPr>
                <w:noProof/>
              </w:rPr>
            </w:pPr>
            <w:r>
              <w:rPr>
                <w:noProof/>
              </w:rPr>
              <w:t>192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931B9DE" w14:textId="77777777" w:rsidR="003A3D51" w:rsidRDefault="0002775A">
            <w:pPr>
              <w:pStyle w:val="P68B1DB1-Normal64"/>
              <w:spacing w:after="0" w:line="240" w:lineRule="auto"/>
              <w:jc w:val="center"/>
              <w:textAlignment w:val="baseline"/>
              <w:rPr>
                <w:noProof/>
              </w:rPr>
            </w:pPr>
            <w:r>
              <w:rPr>
                <w:noProof/>
              </w:rPr>
              <w:t>C2.3 R3-I10</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B449AC"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67B2505" w14:textId="77777777" w:rsidR="003A3D51" w:rsidRDefault="0002775A">
            <w:pPr>
              <w:pStyle w:val="P68B1DB1-Normal64"/>
              <w:spacing w:after="0" w:line="240" w:lineRule="auto"/>
              <w:jc w:val="both"/>
              <w:textAlignment w:val="baseline"/>
              <w:rPr>
                <w:noProof/>
              </w:rPr>
            </w:pPr>
            <w:r>
              <w:rPr>
                <w:noProof/>
              </w:rPr>
              <w:t>CES:s system för digital identitet och personalförvaltning</w:t>
            </w:r>
          </w:p>
        </w:tc>
      </w:tr>
      <w:tr w:rsidR="003A3D51" w14:paraId="788CDB6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5E67AA2" w14:textId="77777777" w:rsidR="003A3D51" w:rsidRDefault="0002775A">
            <w:pPr>
              <w:pStyle w:val="P68B1DB1-Normal64"/>
              <w:spacing w:after="0" w:line="240" w:lineRule="auto"/>
              <w:jc w:val="center"/>
              <w:textAlignment w:val="baseline"/>
              <w:rPr>
                <w:noProof/>
              </w:rPr>
            </w:pPr>
            <w:r>
              <w:rPr>
                <w:noProof/>
              </w:rPr>
              <w:t>203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5FB4D39" w14:textId="77777777" w:rsidR="003A3D51" w:rsidRDefault="0002775A">
            <w:pPr>
              <w:pStyle w:val="P68B1DB1-Normal64"/>
              <w:spacing w:after="0" w:line="240" w:lineRule="auto"/>
              <w:jc w:val="center"/>
              <w:textAlignment w:val="baseline"/>
              <w:rPr>
                <w:noProof/>
              </w:rPr>
            </w:pPr>
            <w:r>
              <w:rPr>
                <w:noProof/>
              </w:rPr>
              <w:t>C2.3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CE82A3"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17675AA" w14:textId="77777777" w:rsidR="003A3D51" w:rsidRDefault="0002775A">
            <w:pPr>
              <w:pStyle w:val="P68B1DB1-Normal64"/>
              <w:spacing w:after="0" w:line="240" w:lineRule="auto"/>
              <w:jc w:val="both"/>
              <w:textAlignment w:val="baseline"/>
              <w:rPr>
                <w:noProof/>
              </w:rPr>
            </w:pPr>
            <w:r>
              <w:rPr>
                <w:noProof/>
              </w:rPr>
              <w:t>Bidragsavtal som undertecknats för genomförande av projekt inom ramen för den nationella ramen för utveckling av infrastruktur för bredbandstillgång (ONP)</w:t>
            </w:r>
          </w:p>
        </w:tc>
      </w:tr>
      <w:tr w:rsidR="003A3D51" w14:paraId="7C813B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ECA577C" w14:textId="77777777" w:rsidR="003A3D51" w:rsidRDefault="0002775A">
            <w:pPr>
              <w:pStyle w:val="P68B1DB1-Normal64"/>
              <w:spacing w:after="0" w:line="240" w:lineRule="auto"/>
              <w:jc w:val="center"/>
              <w:textAlignment w:val="baseline"/>
              <w:rPr>
                <w:noProof/>
              </w:rPr>
            </w:pPr>
            <w:r>
              <w:rPr>
                <w:noProof/>
              </w:rPr>
              <w:t>220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8B1221"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434CE9"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5EA6714" w14:textId="77777777" w:rsidR="003A3D51" w:rsidRDefault="0002775A">
            <w:pPr>
              <w:pStyle w:val="P68B1DB1-Normal64"/>
              <w:spacing w:after="0" w:line="240" w:lineRule="auto"/>
              <w:jc w:val="both"/>
              <w:textAlignment w:val="baseline"/>
              <w:rPr>
                <w:noProof/>
              </w:rPr>
            </w:pPr>
            <w:r>
              <w:rPr>
                <w:noProof/>
              </w:rPr>
              <w:t>Nya referensramar för domarnas arbete har antagits och ett aktivt verktyg för hantering av rättsliga mål har införts</w:t>
            </w:r>
          </w:p>
        </w:tc>
      </w:tr>
      <w:tr w:rsidR="003A3D51" w14:paraId="20F5922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CE409E" w14:textId="77777777" w:rsidR="003A3D51" w:rsidRDefault="0002775A">
            <w:pPr>
              <w:pStyle w:val="P68B1DB1-Normal64"/>
              <w:spacing w:after="0" w:line="240" w:lineRule="auto"/>
              <w:jc w:val="center"/>
              <w:textAlignment w:val="baseline"/>
              <w:rPr>
                <w:noProof/>
              </w:rPr>
            </w:pPr>
            <w:r>
              <w:rPr>
                <w:noProof/>
              </w:rPr>
              <w:t>234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7918FF0" w14:textId="77777777" w:rsidR="003A3D51" w:rsidRDefault="0002775A">
            <w:pPr>
              <w:pStyle w:val="P68B1DB1-Normal64"/>
              <w:spacing w:after="0" w:line="240" w:lineRule="auto"/>
              <w:jc w:val="center"/>
              <w:textAlignment w:val="baseline"/>
              <w:rPr>
                <w:noProof/>
              </w:rPr>
            </w:pPr>
            <w:r>
              <w:rPr>
                <w:noProof/>
              </w:rPr>
              <w:t>C2.6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4BE047"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E7C175" w14:textId="77777777" w:rsidR="003A3D51" w:rsidRDefault="0002775A">
            <w:pPr>
              <w:pStyle w:val="P68B1DB1-Normal64"/>
              <w:spacing w:after="0" w:line="240" w:lineRule="auto"/>
              <w:jc w:val="both"/>
              <w:textAlignment w:val="baseline"/>
              <w:rPr>
                <w:noProof/>
              </w:rPr>
            </w:pPr>
            <w:r>
              <w:rPr>
                <w:noProof/>
              </w:rPr>
              <w:t>Antagande av etiska regler för parlamentsledamöter och etiska regler för tjänstemän i den verkställande makten</w:t>
            </w:r>
          </w:p>
        </w:tc>
      </w:tr>
      <w:tr w:rsidR="003A3D51" w14:paraId="0C3B12F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7F4A42F" w14:textId="77777777" w:rsidR="003A3D51" w:rsidRDefault="0002775A">
            <w:pPr>
              <w:pStyle w:val="P68B1DB1-Normal64"/>
              <w:spacing w:after="0" w:line="240" w:lineRule="auto"/>
              <w:jc w:val="center"/>
              <w:textAlignment w:val="baseline"/>
              <w:rPr>
                <w:noProof/>
              </w:rPr>
            </w:pPr>
            <w:r>
              <w:rPr>
                <w:noProof/>
              </w:rPr>
              <w:t>243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F4B5386" w14:textId="77777777" w:rsidR="003A3D51" w:rsidRDefault="0002775A">
            <w:pPr>
              <w:pStyle w:val="P68B1DB1-Normal64"/>
              <w:spacing w:after="0" w:line="240" w:lineRule="auto"/>
              <w:jc w:val="center"/>
              <w:textAlignment w:val="baseline"/>
              <w:rPr>
                <w:noProof/>
              </w:rPr>
            </w:pPr>
            <w:r>
              <w:rPr>
                <w:noProof/>
              </w:rPr>
              <w:t>C2.6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7D01B37"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5B0D729" w14:textId="77777777" w:rsidR="003A3D51" w:rsidRDefault="0002775A">
            <w:pPr>
              <w:pStyle w:val="P68B1DB1-Normal64"/>
              <w:spacing w:after="0" w:line="240" w:lineRule="auto"/>
              <w:jc w:val="both"/>
              <w:textAlignment w:val="baseline"/>
              <w:rPr>
                <w:noProof/>
              </w:rPr>
            </w:pPr>
            <w:r>
              <w:rPr>
                <w:noProof/>
              </w:rPr>
              <w:t>Utvärdering av lagens effekter på rätten till tillgång till information</w:t>
            </w:r>
          </w:p>
        </w:tc>
      </w:tr>
      <w:tr w:rsidR="003A3D51" w14:paraId="5CCD527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1545E9B" w14:textId="77777777" w:rsidR="003A3D51" w:rsidRDefault="0002775A">
            <w:pPr>
              <w:pStyle w:val="P68B1DB1-Normal64"/>
              <w:spacing w:after="0" w:line="240" w:lineRule="auto"/>
              <w:jc w:val="center"/>
              <w:textAlignment w:val="baseline"/>
              <w:rPr>
                <w:noProof/>
              </w:rPr>
            </w:pPr>
            <w:r>
              <w:rPr>
                <w:noProof/>
              </w:rPr>
              <w:t xml:space="preserve">254 </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BE5353" w14:textId="77777777" w:rsidR="003A3D51" w:rsidRDefault="0002775A">
            <w:pPr>
              <w:pStyle w:val="P68B1DB1-Normal64"/>
              <w:spacing w:after="0" w:line="240" w:lineRule="auto"/>
              <w:jc w:val="center"/>
              <w:textAlignment w:val="baseline"/>
              <w:rPr>
                <w:noProof/>
              </w:rPr>
            </w:pPr>
            <w:r>
              <w:rPr>
                <w:noProof/>
              </w:rPr>
              <w:t>C2.8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8F6A07"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4E33DF9" w14:textId="77777777" w:rsidR="003A3D51" w:rsidRDefault="0002775A">
            <w:pPr>
              <w:pStyle w:val="P68B1DB1-Normal64"/>
              <w:spacing w:after="0" w:line="240" w:lineRule="auto"/>
              <w:jc w:val="both"/>
              <w:textAlignment w:val="baseline"/>
              <w:rPr>
                <w:noProof/>
              </w:rPr>
            </w:pPr>
            <w:r>
              <w:rPr>
                <w:noProof/>
              </w:rPr>
              <w:t>Stärka tillsynen av den finansiella sektorn på grundval av en riskbedömning på området för bekämpning av penningtvätt och finansiering av terrorism</w:t>
            </w:r>
          </w:p>
        </w:tc>
      </w:tr>
      <w:tr w:rsidR="003A3D51" w14:paraId="5DE1026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BE1BDB4" w14:textId="77777777" w:rsidR="003A3D51" w:rsidRDefault="0002775A">
            <w:pPr>
              <w:pStyle w:val="P68B1DB1-Normal64"/>
              <w:spacing w:after="0" w:line="240" w:lineRule="auto"/>
              <w:jc w:val="center"/>
              <w:textAlignment w:val="baseline"/>
              <w:rPr>
                <w:noProof/>
              </w:rPr>
            </w:pPr>
            <w:r>
              <w:rPr>
                <w:noProof/>
              </w:rPr>
              <w:t>258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E3782C0" w14:textId="77777777" w:rsidR="003A3D51" w:rsidRDefault="0002775A">
            <w:pPr>
              <w:pStyle w:val="P68B1DB1-Normal64"/>
              <w:spacing w:after="0" w:line="240" w:lineRule="auto"/>
              <w:jc w:val="center"/>
              <w:textAlignment w:val="baseline"/>
              <w:rPr>
                <w:noProof/>
              </w:rPr>
            </w:pPr>
            <w:r>
              <w:rPr>
                <w:noProof/>
              </w:rPr>
              <w:t>C2.9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29FC9DB"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70FA2AF" w14:textId="77777777" w:rsidR="003A3D51" w:rsidRDefault="0002775A">
            <w:pPr>
              <w:pStyle w:val="P68B1DB1-Normal64"/>
              <w:spacing w:after="0" w:line="240" w:lineRule="auto"/>
              <w:jc w:val="both"/>
              <w:textAlignment w:val="baseline"/>
              <w:rPr>
                <w:noProof/>
              </w:rPr>
            </w:pPr>
            <w:r>
              <w:rPr>
                <w:noProof/>
              </w:rPr>
              <w:t>Integrering av en skräddarsydd ram för fortbildning av upphandlingsansvariga inom ProcurCompEU i det obligatoriska utbildnings- och certifieringssystemet för offentlig upphandling.</w:t>
            </w:r>
          </w:p>
        </w:tc>
      </w:tr>
      <w:tr w:rsidR="003A3D51" w14:paraId="6CD6C5F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C25A8F9" w14:textId="77777777" w:rsidR="003A3D51" w:rsidRDefault="0002775A">
            <w:pPr>
              <w:pStyle w:val="P68B1DB1-Normal64"/>
              <w:spacing w:after="0" w:line="240" w:lineRule="auto"/>
              <w:jc w:val="center"/>
              <w:textAlignment w:val="baseline"/>
              <w:rPr>
                <w:noProof/>
              </w:rPr>
            </w:pPr>
            <w:r>
              <w:rPr>
                <w:noProof/>
              </w:rPr>
              <w:t>268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D0087C" w14:textId="77777777" w:rsidR="003A3D51" w:rsidRDefault="0002775A">
            <w:pPr>
              <w:pStyle w:val="P68B1DB1-Normal64"/>
              <w:spacing w:after="0" w:line="240" w:lineRule="auto"/>
              <w:jc w:val="center"/>
              <w:textAlignment w:val="baseline"/>
              <w:rPr>
                <w:noProof/>
              </w:rPr>
            </w:pPr>
            <w:r>
              <w:rPr>
                <w:noProof/>
              </w:rPr>
              <w:t>C3.1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E2677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6A7578E" w14:textId="77777777" w:rsidR="003A3D51" w:rsidRDefault="0002775A">
            <w:pPr>
              <w:pStyle w:val="P68B1DB1-Normal64"/>
              <w:spacing w:after="0" w:line="240" w:lineRule="auto"/>
              <w:jc w:val="both"/>
              <w:textAlignment w:val="baseline"/>
              <w:rPr>
                <w:noProof/>
              </w:rPr>
            </w:pPr>
            <w:r>
              <w:rPr>
                <w:noProof/>
              </w:rPr>
              <w:t>Antagande av ändringsförslagen till en modell för heldagsundervisning</w:t>
            </w:r>
          </w:p>
        </w:tc>
      </w:tr>
      <w:tr w:rsidR="003A3D51" w14:paraId="7FA5F33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67482D9" w14:textId="77777777" w:rsidR="003A3D51" w:rsidRDefault="0002775A">
            <w:pPr>
              <w:pStyle w:val="P68B1DB1-Normal64"/>
              <w:spacing w:after="0" w:line="240" w:lineRule="auto"/>
              <w:jc w:val="center"/>
              <w:textAlignment w:val="baseline"/>
              <w:rPr>
                <w:noProof/>
              </w:rPr>
            </w:pPr>
            <w:r>
              <w:rPr>
                <w:noProof/>
              </w:rPr>
              <w:t>319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CC7FA5" w14:textId="77777777" w:rsidR="003A3D51" w:rsidRDefault="0002775A">
            <w:pPr>
              <w:pStyle w:val="P68B1DB1-Normal64"/>
              <w:spacing w:after="0" w:line="240" w:lineRule="auto"/>
              <w:jc w:val="center"/>
              <w:textAlignment w:val="baseline"/>
              <w:rPr>
                <w:noProof/>
              </w:rPr>
            </w:pPr>
            <w:r>
              <w:rPr>
                <w:noProof/>
              </w:rPr>
              <w:t>C5.1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649BB5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A54071" w14:textId="77777777" w:rsidR="003A3D51" w:rsidRDefault="0002775A">
            <w:pPr>
              <w:pStyle w:val="P68B1DB1-Normal64"/>
              <w:spacing w:after="0" w:line="240" w:lineRule="auto"/>
              <w:jc w:val="both"/>
              <w:textAlignment w:val="baseline"/>
              <w:rPr>
                <w:noProof/>
              </w:rPr>
            </w:pPr>
            <w:r>
              <w:rPr>
                <w:noProof/>
              </w:rPr>
              <w:t>Optimerad tid för diagnostisk behandling – väntelistor</w:t>
            </w:r>
          </w:p>
        </w:tc>
      </w:tr>
      <w:tr w:rsidR="003A3D51" w14:paraId="2F6C685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C7129E1" w14:textId="77777777" w:rsidR="003A3D51" w:rsidRDefault="0002775A">
            <w:pPr>
              <w:pStyle w:val="P68B1DB1-Normal64"/>
              <w:spacing w:after="0" w:line="240" w:lineRule="auto"/>
              <w:jc w:val="center"/>
              <w:textAlignment w:val="baseline"/>
              <w:rPr>
                <w:noProof/>
              </w:rPr>
            </w:pPr>
            <w:r>
              <w:rPr>
                <w:noProof/>
              </w:rPr>
              <w:t>337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C605190" w14:textId="77777777" w:rsidR="003A3D51" w:rsidRDefault="0002775A">
            <w:pPr>
              <w:pStyle w:val="P68B1DB1-Normal64"/>
              <w:spacing w:after="0" w:line="240" w:lineRule="auto"/>
              <w:jc w:val="center"/>
              <w:textAlignment w:val="baseline"/>
              <w:rPr>
                <w:noProof/>
              </w:rPr>
            </w:pPr>
            <w:r>
              <w:rPr>
                <w:noProof/>
              </w:rPr>
              <w:t>C5.1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25DD5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A89518" w14:textId="77777777" w:rsidR="003A3D51" w:rsidRDefault="0002775A">
            <w:pPr>
              <w:pStyle w:val="P68B1DB1-Normal64"/>
              <w:spacing w:after="0" w:line="240" w:lineRule="auto"/>
              <w:jc w:val="both"/>
              <w:textAlignment w:val="baseline"/>
              <w:rPr>
                <w:noProof/>
              </w:rPr>
            </w:pPr>
            <w:r>
              <w:rPr>
                <w:noProof/>
              </w:rPr>
              <w:t>Funktionell integrering av sjukhus</w:t>
            </w:r>
          </w:p>
        </w:tc>
      </w:tr>
      <w:tr w:rsidR="003A3D51" w14:paraId="6CF2C78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CEB113D" w14:textId="77777777" w:rsidR="003A3D51" w:rsidRDefault="0002775A">
            <w:pPr>
              <w:pStyle w:val="P68B1DB1-Normal64"/>
              <w:spacing w:after="0" w:line="240" w:lineRule="auto"/>
              <w:jc w:val="center"/>
              <w:textAlignment w:val="baseline"/>
              <w:rPr>
                <w:noProof/>
              </w:rPr>
            </w:pPr>
            <w:r>
              <w:rPr>
                <w:noProof/>
              </w:rPr>
              <w:t>338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101503E" w14:textId="77777777" w:rsidR="003A3D51" w:rsidRDefault="0002775A">
            <w:pPr>
              <w:pStyle w:val="P68B1DB1-Normal64"/>
              <w:spacing w:after="0" w:line="240" w:lineRule="auto"/>
              <w:jc w:val="center"/>
              <w:textAlignment w:val="baseline"/>
              <w:rPr>
                <w:noProof/>
              </w:rPr>
            </w:pPr>
            <w:r>
              <w:rPr>
                <w:noProof/>
              </w:rPr>
              <w:t>C5.1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A70106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831E389" w14:textId="77777777" w:rsidR="003A3D51" w:rsidRDefault="0002775A">
            <w:pPr>
              <w:pStyle w:val="P68B1DB1-Normal64"/>
              <w:spacing w:after="0" w:line="240" w:lineRule="auto"/>
              <w:jc w:val="both"/>
              <w:textAlignment w:val="baseline"/>
              <w:rPr>
                <w:noProof/>
              </w:rPr>
            </w:pPr>
            <w:r>
              <w:rPr>
                <w:noProof/>
              </w:rPr>
              <w:t>Gemensamt upphandlingsförfarande för hälso- och sjukvårdsinstitutioner</w:t>
            </w:r>
          </w:p>
        </w:tc>
      </w:tr>
      <w:tr w:rsidR="003A3D51" w14:paraId="72CE17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8DD47D5" w14:textId="77777777" w:rsidR="003A3D51" w:rsidRDefault="0002775A">
            <w:pPr>
              <w:pStyle w:val="P68B1DB1-Normal64"/>
              <w:spacing w:after="0" w:line="240" w:lineRule="auto"/>
              <w:jc w:val="center"/>
              <w:textAlignment w:val="baseline"/>
              <w:rPr>
                <w:noProof/>
              </w:rPr>
            </w:pPr>
            <w:r>
              <w:rPr>
                <w:noProof/>
              </w:rPr>
              <w:t>369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C197C70" w14:textId="77777777" w:rsidR="003A3D51" w:rsidRDefault="0002775A">
            <w:pPr>
              <w:pStyle w:val="P68B1DB1-Normal64"/>
              <w:spacing w:after="0" w:line="240" w:lineRule="auto"/>
              <w:jc w:val="center"/>
              <w:textAlignment w:val="baseline"/>
              <w:rPr>
                <w:noProof/>
              </w:rPr>
            </w:pPr>
            <w:r>
              <w:rPr>
                <w:noProof/>
              </w:rPr>
              <w:t>C6.1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8C7A82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E8AEDB5" w14:textId="77777777" w:rsidR="003A3D51" w:rsidRDefault="0002775A">
            <w:pPr>
              <w:pStyle w:val="P68B1DB1-Normal64"/>
              <w:spacing w:after="0" w:line="240" w:lineRule="auto"/>
              <w:jc w:val="both"/>
              <w:textAlignment w:val="baseline"/>
              <w:rPr>
                <w:noProof/>
              </w:rPr>
            </w:pPr>
            <w:r>
              <w:rPr>
                <w:noProof/>
              </w:rPr>
              <w:t>Antagande av strategier för grön stadsförnyelse</w:t>
            </w:r>
          </w:p>
        </w:tc>
      </w:tr>
      <w:tr w:rsidR="003A3D51" w14:paraId="7AC50D3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5B7B00" w14:textId="77777777" w:rsidR="003A3D51" w:rsidRDefault="0002775A">
            <w:pPr>
              <w:pStyle w:val="P68B1DB1-Normal64"/>
              <w:spacing w:after="0" w:line="240" w:lineRule="auto"/>
              <w:jc w:val="center"/>
              <w:textAlignment w:val="baseline"/>
              <w:rPr>
                <w:noProof/>
              </w:rPr>
            </w:pPr>
            <w:r>
              <w:rPr>
                <w:noProof/>
              </w:rPr>
              <w:t>371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B8A99A0" w14:textId="77777777" w:rsidR="003A3D51" w:rsidRDefault="0002775A">
            <w:pPr>
              <w:pStyle w:val="P68B1DB1-Normal64"/>
              <w:spacing w:after="0" w:line="240" w:lineRule="auto"/>
              <w:jc w:val="center"/>
              <w:textAlignment w:val="baseline"/>
              <w:rPr>
                <w:noProof/>
              </w:rPr>
            </w:pPr>
            <w:r>
              <w:rPr>
                <w:noProof/>
              </w:rPr>
              <w:t>C6.1 R6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F3454CF"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5A66031" w14:textId="77777777" w:rsidR="003A3D51" w:rsidRDefault="0002775A">
            <w:pPr>
              <w:pStyle w:val="P68B1DB1-Normal64"/>
              <w:spacing w:after="0" w:line="240" w:lineRule="auto"/>
              <w:jc w:val="both"/>
              <w:textAlignment w:val="baseline"/>
              <w:rPr>
                <w:noProof/>
              </w:rPr>
            </w:pPr>
            <w:r>
              <w:rPr>
                <w:noProof/>
              </w:rPr>
              <w:t>Framgångsrikt slutfört ett pilotprojekt för systematisk energiförvaltning i syfte att testa en ny finansieringsmodell för energieffektivitetsrenovering</w:t>
            </w:r>
          </w:p>
        </w:tc>
      </w:tr>
      <w:tr w:rsidR="003A3D51" w14:paraId="223B08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498F9E1" w14:textId="0AF8024F" w:rsidR="003A3D51" w:rsidRDefault="0002775A">
            <w:pPr>
              <w:pStyle w:val="P68B1DB1-Normal64"/>
              <w:spacing w:after="0" w:line="240" w:lineRule="auto"/>
              <w:jc w:val="center"/>
              <w:textAlignment w:val="baseline"/>
              <w:rPr>
                <w:noProof/>
              </w:rPr>
            </w:pPr>
            <w:r>
              <w:rPr>
                <w:noProof/>
              </w:rPr>
              <w:t>398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B7132B" w14:textId="77777777" w:rsidR="003A3D51" w:rsidRDefault="0002775A">
            <w:pPr>
              <w:pStyle w:val="P68B1DB1-Normal64"/>
              <w:spacing w:after="0" w:line="240" w:lineRule="auto"/>
              <w:jc w:val="center"/>
              <w:textAlignment w:val="baseline"/>
              <w:rPr>
                <w:noProof/>
              </w:rPr>
            </w:pPr>
            <w:r>
              <w:rPr>
                <w:noProof/>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96717C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3085894" w14:textId="21DD000B" w:rsidR="003A3D51" w:rsidRDefault="0002775A">
            <w:pPr>
              <w:pStyle w:val="P68B1DB1-Normal64"/>
              <w:spacing w:after="0" w:line="240" w:lineRule="auto"/>
              <w:jc w:val="both"/>
              <w:textAlignment w:val="baseline"/>
              <w:rPr>
                <w:noProof/>
              </w:rPr>
            </w:pPr>
            <w:r>
              <w:rPr>
                <w:noProof/>
              </w:rPr>
              <w:t>Ikraftträdande av ändringarna i socialskyddslagen och antagande av beslutet om garanterad minimiförmån</w:t>
            </w:r>
          </w:p>
        </w:tc>
      </w:tr>
      <w:tr w:rsidR="003A3D51" w14:paraId="5DCE19F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DBFDFCB" w14:textId="386A982E" w:rsidR="003A3D51" w:rsidRDefault="0002775A">
            <w:pPr>
              <w:pStyle w:val="P68B1DB1-Normal64"/>
              <w:spacing w:after="0" w:line="240" w:lineRule="auto"/>
              <w:jc w:val="center"/>
              <w:textAlignment w:val="baseline"/>
              <w:rPr>
                <w:noProof/>
              </w:rPr>
            </w:pPr>
            <w:r>
              <w:rPr>
                <w:noProof/>
              </w:rPr>
              <w:t>399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4F95B8B" w14:textId="77777777" w:rsidR="003A3D51" w:rsidRDefault="0002775A">
            <w:pPr>
              <w:pStyle w:val="P68B1DB1-Normal64"/>
              <w:spacing w:after="0" w:line="240" w:lineRule="auto"/>
              <w:jc w:val="center"/>
              <w:textAlignment w:val="baseline"/>
              <w:rPr>
                <w:noProof/>
              </w:rPr>
            </w:pPr>
            <w:r>
              <w:rPr>
                <w:noProof/>
              </w:rPr>
              <w:t>C5.1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D39B371"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9A5EEFD" w14:textId="77777777" w:rsidR="003A3D51" w:rsidRDefault="0002775A">
            <w:pPr>
              <w:pStyle w:val="P68B1DB1-Normal64"/>
              <w:spacing w:after="0" w:line="240" w:lineRule="auto"/>
              <w:jc w:val="both"/>
              <w:textAlignment w:val="baseline"/>
              <w:rPr>
                <w:noProof/>
              </w:rPr>
            </w:pPr>
            <w:r>
              <w:rPr>
                <w:noProof/>
              </w:rPr>
              <w:t>Inrättande av ett centraliserat finansieringssystem för specialistläkarutbildning</w:t>
            </w:r>
          </w:p>
        </w:tc>
      </w:tr>
      <w:tr w:rsidR="003A3D51" w14:paraId="3ED19B8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6C78342"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vAlign w:val="center"/>
          </w:tcPr>
          <w:p w14:paraId="6F0342FB"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vAlign w:val="center"/>
          </w:tcPr>
          <w:p w14:paraId="6B2D8660" w14:textId="77777777" w:rsidR="003A3D51" w:rsidRDefault="0002775A">
            <w:pPr>
              <w:pStyle w:val="P68B1DB1-Normal64"/>
              <w:spacing w:after="0" w:line="240" w:lineRule="auto"/>
              <w:jc w:val="center"/>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88FFFE" w14:textId="77777777" w:rsidR="003A3D51" w:rsidRDefault="0002775A">
            <w:pPr>
              <w:pStyle w:val="P68B1DB1-Normal64"/>
              <w:spacing w:after="0" w:line="240" w:lineRule="auto"/>
              <w:jc w:val="both"/>
              <w:textAlignment w:val="baseline"/>
              <w:rPr>
                <w:noProof/>
              </w:rPr>
            </w:pPr>
            <w:r>
              <w:rPr>
                <w:noProof/>
              </w:rPr>
              <w:t>642 949 403 EUR</w:t>
            </w:r>
          </w:p>
        </w:tc>
      </w:tr>
    </w:tbl>
    <w:p w14:paraId="0A474A61"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6BFD2CA6"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6AA6CC18" w14:textId="77777777" w:rsidR="003A3D51" w:rsidRDefault="0002775A">
      <w:pPr>
        <w:pStyle w:val="P68B1DB1-ListParagraph65"/>
        <w:numPr>
          <w:ilvl w:val="0"/>
          <w:numId w:val="49"/>
        </w:numPr>
        <w:spacing w:line="240" w:lineRule="auto"/>
        <w:jc w:val="both"/>
        <w:textAlignment w:val="baseline"/>
        <w:rPr>
          <w:noProof/>
        </w:rPr>
      </w:pPr>
      <w:r>
        <w:rPr>
          <w:noProof/>
        </w:rPr>
        <w:t>Sjätte delbetalningen (icke återbetalningspliktigt stöd):</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2"/>
        <w:gridCol w:w="1272"/>
        <w:gridCol w:w="5309"/>
      </w:tblGrid>
      <w:tr w:rsidR="003A3D51" w14:paraId="16A934B8" w14:textId="77777777">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BF0B539"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C6512E3"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4C927DBC"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2AEE6519"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284A719F"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4583901"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78FC41C"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16363FA"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3CFF46C3" w14:textId="77777777" w:rsidR="003A3D51" w:rsidRDefault="003A3D51">
            <w:pPr>
              <w:spacing w:after="0" w:line="240" w:lineRule="auto"/>
              <w:rPr>
                <w:rFonts w:ascii="Times New Roman" w:eastAsia="Times New Roman" w:hAnsi="Times New Roman" w:cs="Times New Roman"/>
                <w:noProof/>
                <w:sz w:val="20"/>
              </w:rPr>
            </w:pPr>
          </w:p>
        </w:tc>
      </w:tr>
      <w:tr w:rsidR="003A3D51" w14:paraId="2CCE560C"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AF59EE0" w14:textId="77777777" w:rsidR="003A3D51" w:rsidRDefault="0002775A">
            <w:pPr>
              <w:pStyle w:val="P68B1DB1-Normal64"/>
              <w:spacing w:after="0" w:line="240" w:lineRule="auto"/>
              <w:jc w:val="center"/>
              <w:textAlignment w:val="baseline"/>
              <w:rPr>
                <w:rFonts w:eastAsia="Times New Roman"/>
                <w:noProof/>
              </w:rPr>
            </w:pPr>
            <w:r>
              <w:rPr>
                <w:noProof/>
              </w:rPr>
              <w:t>40</w:t>
            </w:r>
          </w:p>
        </w:tc>
        <w:tc>
          <w:tcPr>
            <w:tcW w:w="1639" w:type="dxa"/>
            <w:tcBorders>
              <w:top w:val="nil"/>
              <w:left w:val="nil"/>
              <w:bottom w:val="single" w:sz="6" w:space="0" w:color="auto"/>
              <w:right w:val="single" w:sz="6" w:space="0" w:color="auto"/>
            </w:tcBorders>
            <w:shd w:val="clear" w:color="auto" w:fill="C6EFCE"/>
            <w:vAlign w:val="center"/>
            <w:hideMark/>
          </w:tcPr>
          <w:p w14:paraId="4BDCE778" w14:textId="77777777" w:rsidR="003A3D51" w:rsidRDefault="0002775A">
            <w:pPr>
              <w:pStyle w:val="P68B1DB1-Normal64"/>
              <w:spacing w:after="0" w:line="240" w:lineRule="auto"/>
              <w:jc w:val="center"/>
              <w:textAlignment w:val="baseline"/>
              <w:rPr>
                <w:rFonts w:eastAsia="Times New Roman"/>
                <w:noProof/>
              </w:rPr>
            </w:pPr>
            <w:r>
              <w:rPr>
                <w:noProof/>
              </w:rPr>
              <w:t>C1.2 R1-I1</w:t>
            </w:r>
          </w:p>
        </w:tc>
        <w:tc>
          <w:tcPr>
            <w:tcW w:w="1274" w:type="dxa"/>
            <w:tcBorders>
              <w:top w:val="nil"/>
              <w:left w:val="nil"/>
              <w:bottom w:val="single" w:sz="6" w:space="0" w:color="auto"/>
              <w:right w:val="single" w:sz="6" w:space="0" w:color="auto"/>
            </w:tcBorders>
            <w:shd w:val="clear" w:color="auto" w:fill="C6EFCE"/>
            <w:vAlign w:val="center"/>
            <w:hideMark/>
          </w:tcPr>
          <w:p w14:paraId="74A8B63D"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07644597" w14:textId="77777777" w:rsidR="003A3D51" w:rsidRDefault="0002775A">
            <w:pPr>
              <w:pStyle w:val="P68B1DB1-Normal64"/>
              <w:spacing w:after="0" w:line="240" w:lineRule="auto"/>
              <w:jc w:val="both"/>
              <w:textAlignment w:val="baseline"/>
              <w:rPr>
                <w:rFonts w:eastAsia="Times New Roman"/>
                <w:noProof/>
              </w:rPr>
            </w:pPr>
            <w:r>
              <w:rPr>
                <w:noProof/>
              </w:rPr>
              <w:t xml:space="preserve">Uppgradering av underjordiska kablar som förbinder 6 öar med fastlandsnätet slutförd </w:t>
            </w:r>
          </w:p>
        </w:tc>
      </w:tr>
      <w:tr w:rsidR="003A3D51" w14:paraId="31955815" w14:textId="77777777">
        <w:trPr>
          <w:trHeight w:val="353"/>
        </w:trPr>
        <w:tc>
          <w:tcPr>
            <w:tcW w:w="1096" w:type="dxa"/>
            <w:tcBorders>
              <w:top w:val="nil"/>
              <w:left w:val="single" w:sz="6" w:space="0" w:color="auto"/>
              <w:bottom w:val="single" w:sz="6" w:space="0" w:color="auto"/>
              <w:right w:val="single" w:sz="6" w:space="0" w:color="auto"/>
            </w:tcBorders>
            <w:shd w:val="clear" w:color="auto" w:fill="C6EFCE"/>
            <w:vAlign w:val="center"/>
          </w:tcPr>
          <w:p w14:paraId="02C7D9F0" w14:textId="77777777" w:rsidR="003A3D51" w:rsidRDefault="0002775A">
            <w:pPr>
              <w:pStyle w:val="P68B1DB1-Normal64"/>
              <w:spacing w:after="0" w:line="240" w:lineRule="auto"/>
              <w:jc w:val="center"/>
              <w:textAlignment w:val="baseline"/>
              <w:rPr>
                <w:noProof/>
              </w:rPr>
            </w:pPr>
            <w:r>
              <w:rPr>
                <w:noProof/>
              </w:rPr>
              <w:t>77</w:t>
            </w:r>
          </w:p>
        </w:tc>
        <w:tc>
          <w:tcPr>
            <w:tcW w:w="1639" w:type="dxa"/>
            <w:tcBorders>
              <w:top w:val="nil"/>
              <w:left w:val="nil"/>
              <w:bottom w:val="single" w:sz="6" w:space="0" w:color="auto"/>
              <w:right w:val="single" w:sz="6" w:space="0" w:color="auto"/>
            </w:tcBorders>
            <w:shd w:val="clear" w:color="auto" w:fill="C6EFCE"/>
            <w:vAlign w:val="center"/>
          </w:tcPr>
          <w:p w14:paraId="48007BEB" w14:textId="77777777" w:rsidR="003A3D51" w:rsidRDefault="0002775A">
            <w:pPr>
              <w:pStyle w:val="P68B1DB1-Normal64"/>
              <w:spacing w:after="0" w:line="240" w:lineRule="auto"/>
              <w:jc w:val="center"/>
              <w:textAlignment w:val="baseline"/>
              <w:rPr>
                <w:noProof/>
              </w:rPr>
            </w:pPr>
            <w:r>
              <w:rPr>
                <w:noProof/>
              </w:rPr>
              <w:t>C1.3 R1- I3</w:t>
            </w:r>
          </w:p>
        </w:tc>
        <w:tc>
          <w:tcPr>
            <w:tcW w:w="1274" w:type="dxa"/>
            <w:tcBorders>
              <w:top w:val="nil"/>
              <w:left w:val="nil"/>
              <w:bottom w:val="single" w:sz="6" w:space="0" w:color="auto"/>
              <w:right w:val="single" w:sz="6" w:space="0" w:color="auto"/>
            </w:tcBorders>
            <w:shd w:val="clear" w:color="auto" w:fill="C6EFCE"/>
            <w:vAlign w:val="center"/>
          </w:tcPr>
          <w:p w14:paraId="559EB4E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tcPr>
          <w:p w14:paraId="448EB3D2" w14:textId="77777777" w:rsidR="003A3D51" w:rsidRDefault="0002775A">
            <w:pPr>
              <w:pStyle w:val="P68B1DB1-Normal64"/>
              <w:spacing w:after="0" w:line="240" w:lineRule="auto"/>
              <w:jc w:val="both"/>
              <w:textAlignment w:val="baseline"/>
              <w:rPr>
                <w:noProof/>
              </w:rPr>
            </w:pPr>
            <w:r>
              <w:rPr>
                <w:noProof/>
              </w:rPr>
              <w:t>Anläggning av översvämningsskydd</w:t>
            </w:r>
          </w:p>
        </w:tc>
      </w:tr>
      <w:tr w:rsidR="003A3D51" w14:paraId="71EA0BD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960DA78" w14:textId="77777777" w:rsidR="003A3D51" w:rsidRDefault="0002775A">
            <w:pPr>
              <w:pStyle w:val="P68B1DB1-Normal64"/>
              <w:spacing w:after="0" w:line="240" w:lineRule="auto"/>
              <w:jc w:val="center"/>
              <w:textAlignment w:val="baseline"/>
              <w:rPr>
                <w:rFonts w:eastAsia="Times New Roman"/>
                <w:noProof/>
              </w:rPr>
            </w:pPr>
            <w:r>
              <w:rPr>
                <w:noProof/>
              </w:rPr>
              <w:t>120</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23AA1A51" w14:textId="77777777" w:rsidR="003A3D51" w:rsidRDefault="0002775A">
            <w:pPr>
              <w:pStyle w:val="P68B1DB1-Normal64"/>
              <w:spacing w:after="0" w:line="240" w:lineRule="auto"/>
              <w:jc w:val="center"/>
              <w:textAlignment w:val="baseline"/>
              <w:rPr>
                <w:rFonts w:eastAsia="Times New Roman"/>
                <w:noProof/>
              </w:rPr>
            </w:pPr>
            <w:r>
              <w:rPr>
                <w:noProof/>
              </w:rPr>
              <w:t>C1.4 R5-I2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FC05E68"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21F2927A" w14:textId="77777777" w:rsidR="003A3D51" w:rsidRDefault="0002775A">
            <w:pPr>
              <w:pStyle w:val="P68B1DB1-Normal64"/>
              <w:spacing w:after="0" w:line="240" w:lineRule="auto"/>
              <w:jc w:val="both"/>
              <w:textAlignment w:val="baseline"/>
              <w:rPr>
                <w:rFonts w:eastAsia="Times New Roman"/>
                <w:noProof/>
              </w:rPr>
            </w:pPr>
            <w:r>
              <w:rPr>
                <w:noProof/>
              </w:rPr>
              <w:t>Ny lagstiftning om självkörande bilar</w:t>
            </w:r>
          </w:p>
        </w:tc>
      </w:tr>
      <w:tr w:rsidR="003A3D51" w14:paraId="57949E7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AD60A4E" w14:textId="77777777" w:rsidR="003A3D51" w:rsidRDefault="0002775A">
            <w:pPr>
              <w:pStyle w:val="P68B1DB1-Normal64"/>
              <w:spacing w:after="0" w:line="240" w:lineRule="auto"/>
              <w:jc w:val="center"/>
              <w:textAlignment w:val="baseline"/>
              <w:rPr>
                <w:noProof/>
              </w:rPr>
            </w:pPr>
            <w:r>
              <w:rPr>
                <w:noProof/>
              </w:rPr>
              <w:t>171</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0563744" w14:textId="77777777" w:rsidR="003A3D51" w:rsidRDefault="0002775A">
            <w:pPr>
              <w:pStyle w:val="P68B1DB1-Normal64"/>
              <w:spacing w:after="0" w:line="240" w:lineRule="auto"/>
              <w:jc w:val="center"/>
              <w:textAlignment w:val="baseline"/>
              <w:rPr>
                <w:noProof/>
              </w:rPr>
            </w:pPr>
            <w:r>
              <w:rPr>
                <w:noProof/>
              </w:rPr>
              <w:t>C2.2 R3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692F8E1"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F62AD07" w14:textId="77777777" w:rsidR="003A3D51" w:rsidRDefault="0002775A">
            <w:pPr>
              <w:pStyle w:val="P68B1DB1-Normal64"/>
              <w:spacing w:after="0" w:line="240" w:lineRule="auto"/>
              <w:jc w:val="both"/>
              <w:textAlignment w:val="baseline"/>
              <w:rPr>
                <w:noProof/>
              </w:rPr>
            </w:pPr>
            <w:r>
              <w:rPr>
                <w:noProof/>
              </w:rPr>
              <w:t>Inrättande av ett nationellt arkivinformationssystem</w:t>
            </w:r>
          </w:p>
        </w:tc>
      </w:tr>
      <w:tr w:rsidR="003A3D51" w14:paraId="5A6932BC"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7B90FD0B" w14:textId="77777777" w:rsidR="003A3D51" w:rsidRDefault="0002775A">
            <w:pPr>
              <w:pStyle w:val="P68B1DB1-Normal64"/>
              <w:spacing w:after="0" w:line="240" w:lineRule="auto"/>
              <w:jc w:val="center"/>
              <w:textAlignment w:val="baseline"/>
              <w:rPr>
                <w:noProof/>
              </w:rPr>
            </w:pPr>
            <w:r>
              <w:rPr>
                <w:noProof/>
              </w:rPr>
              <w:t>182</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44894D2" w14:textId="77777777" w:rsidR="003A3D51" w:rsidRDefault="0002775A">
            <w:pPr>
              <w:pStyle w:val="P68B1DB1-Normal64"/>
              <w:spacing w:after="0" w:line="240" w:lineRule="auto"/>
              <w:jc w:val="center"/>
              <w:textAlignment w:val="baseline"/>
              <w:rPr>
                <w:noProof/>
              </w:rPr>
            </w:pPr>
            <w:r>
              <w:rPr>
                <w:noProof/>
              </w:rPr>
              <w:t>C2.3 R3-I2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6F81FFA6"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9396875" w14:textId="77777777" w:rsidR="003A3D51" w:rsidRDefault="0002775A">
            <w:pPr>
              <w:pStyle w:val="P68B1DB1-Normal64"/>
              <w:spacing w:after="0" w:line="240" w:lineRule="auto"/>
              <w:jc w:val="both"/>
              <w:textAlignment w:val="baseline"/>
              <w:rPr>
                <w:noProof/>
              </w:rPr>
            </w:pPr>
            <w:r>
              <w:rPr>
                <w:noProof/>
              </w:rPr>
              <w:t>Offentlig kampanj för att förebygga it-säkerhet</w:t>
            </w:r>
          </w:p>
        </w:tc>
      </w:tr>
      <w:tr w:rsidR="003A3D51" w14:paraId="185E0DFF"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0CC3529" w14:textId="77777777" w:rsidR="003A3D51" w:rsidRDefault="0002775A">
            <w:pPr>
              <w:pStyle w:val="P68B1DB1-Normal64"/>
              <w:spacing w:after="0" w:line="240" w:lineRule="auto"/>
              <w:jc w:val="center"/>
              <w:textAlignment w:val="baseline"/>
              <w:rPr>
                <w:noProof/>
              </w:rPr>
            </w:pPr>
            <w:r>
              <w:rPr>
                <w:noProof/>
              </w:rPr>
              <w:t>184</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52017BA" w14:textId="77777777" w:rsidR="003A3D51" w:rsidRDefault="0002775A">
            <w:pPr>
              <w:pStyle w:val="P68B1DB1-Normal64"/>
              <w:spacing w:after="0" w:line="240" w:lineRule="auto"/>
              <w:jc w:val="center"/>
              <w:textAlignment w:val="baseline"/>
              <w:rPr>
                <w:noProof/>
              </w:rPr>
            </w:pPr>
            <w:r>
              <w:rPr>
                <w:noProof/>
              </w:rPr>
              <w:t>C2.3 R3-I4</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B3AE608"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5D9781DE" w14:textId="77777777" w:rsidR="003A3D51" w:rsidRDefault="0002775A">
            <w:pPr>
              <w:pStyle w:val="P68B1DB1-Normal64"/>
              <w:spacing w:after="0" w:line="240" w:lineRule="auto"/>
              <w:jc w:val="both"/>
              <w:textAlignment w:val="baseline"/>
              <w:rPr>
                <w:noProof/>
              </w:rPr>
            </w:pPr>
            <w:r>
              <w:rPr>
                <w:noProof/>
              </w:rPr>
              <w:t>It-systemet CEZIH</w:t>
            </w:r>
          </w:p>
        </w:tc>
      </w:tr>
      <w:tr w:rsidR="003A3D51" w14:paraId="77AE219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B4BBC23" w14:textId="77777777" w:rsidR="003A3D51" w:rsidRDefault="0002775A">
            <w:pPr>
              <w:pStyle w:val="P68B1DB1-Normal64"/>
              <w:spacing w:after="0" w:line="240" w:lineRule="auto"/>
              <w:jc w:val="center"/>
              <w:textAlignment w:val="baseline"/>
              <w:rPr>
                <w:noProof/>
              </w:rPr>
            </w:pPr>
            <w:r>
              <w:rPr>
                <w:noProof/>
              </w:rPr>
              <w:t>208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537D7603" w14:textId="77777777" w:rsidR="003A3D51" w:rsidRDefault="0002775A">
            <w:pPr>
              <w:pStyle w:val="P68B1DB1-Normal64"/>
              <w:spacing w:after="0" w:line="240" w:lineRule="auto"/>
              <w:jc w:val="center"/>
              <w:textAlignment w:val="baseline"/>
              <w:rPr>
                <w:noProof/>
              </w:rPr>
            </w:pPr>
            <w:r>
              <w:rPr>
                <w:noProof/>
              </w:rPr>
              <w:t>C2.4 R2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0F252F21"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208DB6E5" w14:textId="77777777" w:rsidR="003A3D51" w:rsidRDefault="0002775A">
            <w:pPr>
              <w:pStyle w:val="P68B1DB1-Normal64"/>
              <w:spacing w:after="0" w:line="240" w:lineRule="auto"/>
              <w:jc w:val="both"/>
              <w:textAlignment w:val="baseline"/>
              <w:rPr>
                <w:noProof/>
              </w:rPr>
            </w:pPr>
            <w:r>
              <w:rPr>
                <w:noProof/>
              </w:rPr>
              <w:t>Ny rättslig ram för statsägda företag, som införlivar OECD:s rekommendationer.</w:t>
            </w:r>
          </w:p>
        </w:tc>
      </w:tr>
      <w:tr w:rsidR="003A3D51" w14:paraId="7EF06283"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E4C8D9A" w14:textId="77777777" w:rsidR="003A3D51" w:rsidRDefault="0002775A">
            <w:pPr>
              <w:pStyle w:val="P68B1DB1-Normal64"/>
              <w:spacing w:after="0" w:line="240" w:lineRule="auto"/>
              <w:jc w:val="center"/>
              <w:textAlignment w:val="baseline"/>
              <w:rPr>
                <w:noProof/>
              </w:rPr>
            </w:pPr>
            <w:r>
              <w:rPr>
                <w:noProof/>
              </w:rPr>
              <w:t>228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9E139AB" w14:textId="77777777" w:rsidR="003A3D51" w:rsidRDefault="0002775A">
            <w:pPr>
              <w:pStyle w:val="P68B1DB1-Normal64"/>
              <w:spacing w:after="0" w:line="240" w:lineRule="auto"/>
              <w:jc w:val="center"/>
              <w:textAlignment w:val="baseline"/>
              <w:rPr>
                <w:noProof/>
              </w:rPr>
            </w:pPr>
            <w:r>
              <w:rPr>
                <w:noProof/>
              </w:rPr>
              <w:t>C2.5 R1-I5</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06E1E2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B888202" w14:textId="77777777" w:rsidR="003A3D51" w:rsidRDefault="0002775A">
            <w:pPr>
              <w:pStyle w:val="P68B1DB1-Normal64"/>
              <w:spacing w:after="0" w:line="240" w:lineRule="auto"/>
              <w:jc w:val="both"/>
              <w:textAlignment w:val="baseline"/>
              <w:rPr>
                <w:noProof/>
              </w:rPr>
            </w:pPr>
            <w:r>
              <w:rPr>
                <w:noProof/>
              </w:rPr>
              <w:t>Nyrenoverade domstolsbyggnader som uppfyller de tekniska föreskrifterna om rationell energianvändning och värmeskydd i byggnader</w:t>
            </w:r>
          </w:p>
        </w:tc>
      </w:tr>
      <w:tr w:rsidR="003A3D51" w14:paraId="36C0A2D0"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670028FC" w14:textId="77777777" w:rsidR="003A3D51" w:rsidRDefault="0002775A">
            <w:pPr>
              <w:pStyle w:val="P68B1DB1-Normal64"/>
              <w:spacing w:after="0" w:line="240" w:lineRule="auto"/>
              <w:jc w:val="center"/>
              <w:textAlignment w:val="baseline"/>
              <w:rPr>
                <w:noProof/>
              </w:rPr>
            </w:pPr>
            <w:r>
              <w:rPr>
                <w:noProof/>
              </w:rPr>
              <w:t>235</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0C312CE2" w14:textId="77777777" w:rsidR="003A3D51" w:rsidRDefault="0002775A">
            <w:pPr>
              <w:pStyle w:val="P68B1DB1-Normal64"/>
              <w:spacing w:after="0" w:line="240" w:lineRule="auto"/>
              <w:jc w:val="center"/>
              <w:textAlignment w:val="baseline"/>
              <w:rPr>
                <w:noProof/>
              </w:rPr>
            </w:pPr>
            <w:r>
              <w:rPr>
                <w:noProof/>
              </w:rPr>
              <w:t>C2.6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5938BB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18635BAC" w14:textId="77777777" w:rsidR="003A3D51" w:rsidRDefault="0002775A">
            <w:pPr>
              <w:pStyle w:val="P68B1DB1-Normal64"/>
              <w:spacing w:after="0" w:line="240" w:lineRule="auto"/>
              <w:jc w:val="both"/>
              <w:textAlignment w:val="baseline"/>
              <w:rPr>
                <w:noProof/>
              </w:rPr>
            </w:pPr>
            <w:r>
              <w:rPr>
                <w:noProof/>
              </w:rPr>
              <w:t>Öka personalbudgeten för anställda vid korruptionsbekämpande organ inom rättsväsendet.</w:t>
            </w:r>
          </w:p>
        </w:tc>
      </w:tr>
      <w:tr w:rsidR="003A3D51" w14:paraId="11339379"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732CA6D" w14:textId="77777777" w:rsidR="003A3D51" w:rsidRDefault="0002775A">
            <w:pPr>
              <w:pStyle w:val="P68B1DB1-Normal64"/>
              <w:spacing w:after="0" w:line="240" w:lineRule="auto"/>
              <w:jc w:val="center"/>
              <w:textAlignment w:val="baseline"/>
              <w:rPr>
                <w:noProof/>
              </w:rPr>
            </w:pPr>
            <w:r>
              <w:rPr>
                <w:noProof/>
              </w:rPr>
              <w:t>236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128C684E" w14:textId="77777777" w:rsidR="003A3D51" w:rsidRDefault="0002775A">
            <w:pPr>
              <w:pStyle w:val="P68B1DB1-Normal64"/>
              <w:spacing w:after="0" w:line="240" w:lineRule="auto"/>
              <w:jc w:val="center"/>
              <w:textAlignment w:val="baseline"/>
              <w:rPr>
                <w:noProof/>
              </w:rPr>
            </w:pPr>
            <w:r>
              <w:rPr>
                <w:noProof/>
              </w:rPr>
              <w:t>C2.6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F8A2E5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32157D6" w14:textId="77777777" w:rsidR="003A3D51" w:rsidRDefault="0002775A">
            <w:pPr>
              <w:pStyle w:val="P68B1DB1-Normal64"/>
              <w:spacing w:after="0" w:line="240" w:lineRule="auto"/>
              <w:jc w:val="both"/>
              <w:textAlignment w:val="baseline"/>
              <w:rPr>
                <w:noProof/>
              </w:rPr>
            </w:pPr>
            <w:r>
              <w:rPr>
                <w:noProof/>
              </w:rPr>
              <w:t>Öka budgeten för rättsliga myndigheters inköp av it-verktyg och it-utrustning för att utreda korruption och organiserad brottslighet.</w:t>
            </w:r>
          </w:p>
        </w:tc>
      </w:tr>
      <w:tr w:rsidR="003A3D51" w14:paraId="17526527"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2AD3D90" w14:textId="77777777" w:rsidR="003A3D51" w:rsidRDefault="0002775A">
            <w:pPr>
              <w:pStyle w:val="P68B1DB1-Normal64"/>
              <w:spacing w:after="0" w:line="240" w:lineRule="auto"/>
              <w:jc w:val="center"/>
              <w:textAlignment w:val="baseline"/>
              <w:rPr>
                <w:noProof/>
              </w:rPr>
            </w:pPr>
            <w:r>
              <w:rPr>
                <w:noProof/>
              </w:rPr>
              <w:t>241</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B1F5E0E" w14:textId="77777777" w:rsidR="003A3D51" w:rsidRDefault="0002775A">
            <w:pPr>
              <w:pStyle w:val="P68B1DB1-Normal64"/>
              <w:spacing w:after="0" w:line="240" w:lineRule="auto"/>
              <w:jc w:val="center"/>
              <w:textAlignment w:val="baseline"/>
              <w:rPr>
                <w:noProof/>
              </w:rPr>
            </w:pPr>
            <w:r>
              <w:rPr>
                <w:noProof/>
              </w:rPr>
              <w:t>C2.6 R1-I3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0D682764"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FBBEBCF" w14:textId="77777777" w:rsidR="003A3D51" w:rsidRDefault="0002775A">
            <w:pPr>
              <w:pStyle w:val="P68B1DB1-Normal64"/>
              <w:spacing w:after="0" w:line="240" w:lineRule="auto"/>
              <w:jc w:val="both"/>
              <w:textAlignment w:val="baseline"/>
              <w:rPr>
                <w:noProof/>
              </w:rPr>
            </w:pPr>
            <w:r>
              <w:rPr>
                <w:noProof/>
              </w:rPr>
              <w:t>Förbättrade informationssystem för redovisning av tillgångar för statliga tjänstemän och tjänstemän inom rättsväsendet</w:t>
            </w:r>
          </w:p>
        </w:tc>
      </w:tr>
      <w:tr w:rsidR="003A3D51" w14:paraId="360000CB"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EFF53DF" w14:textId="77777777" w:rsidR="003A3D51" w:rsidRDefault="0002775A">
            <w:pPr>
              <w:pStyle w:val="P68B1DB1-Normal64"/>
              <w:spacing w:after="0" w:line="240" w:lineRule="auto"/>
              <w:jc w:val="center"/>
              <w:textAlignment w:val="baseline"/>
              <w:rPr>
                <w:noProof/>
              </w:rPr>
            </w:pPr>
            <w:r>
              <w:rPr>
                <w:noProof/>
              </w:rPr>
              <w:t>244</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34416F86" w14:textId="77777777" w:rsidR="003A3D51" w:rsidRDefault="0002775A">
            <w:pPr>
              <w:pStyle w:val="P68B1DB1-Normal64"/>
              <w:spacing w:after="0" w:line="240" w:lineRule="auto"/>
              <w:jc w:val="center"/>
              <w:textAlignment w:val="baseline"/>
              <w:rPr>
                <w:noProof/>
              </w:rPr>
            </w:pPr>
            <w:r>
              <w:rPr>
                <w:noProof/>
              </w:rPr>
              <w:t>C2.6 R3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D603588"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7EF271AD" w14:textId="77777777" w:rsidR="003A3D51" w:rsidRDefault="0002775A">
            <w:pPr>
              <w:pStyle w:val="P68B1DB1-Normal64"/>
              <w:spacing w:after="0" w:line="240" w:lineRule="auto"/>
              <w:jc w:val="both"/>
              <w:textAlignment w:val="baseline"/>
              <w:rPr>
                <w:noProof/>
              </w:rPr>
            </w:pPr>
            <w:r>
              <w:rPr>
                <w:noProof/>
              </w:rPr>
              <w:t>Tillämpning av OECD:s rekommendationer om bolagsstyrning på majoritetsägande av lokala och regionala enheter</w:t>
            </w:r>
          </w:p>
        </w:tc>
      </w:tr>
      <w:tr w:rsidR="003A3D51" w14:paraId="13625BFE"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92B4AD5" w14:textId="77777777" w:rsidR="003A3D51" w:rsidRDefault="0002775A">
            <w:pPr>
              <w:pStyle w:val="P68B1DB1-Normal64"/>
              <w:spacing w:after="0" w:line="240" w:lineRule="auto"/>
              <w:jc w:val="center"/>
              <w:textAlignment w:val="baseline"/>
              <w:rPr>
                <w:noProof/>
              </w:rPr>
            </w:pPr>
            <w:r>
              <w:rPr>
                <w:noProof/>
              </w:rPr>
              <w:t>246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CE2941C" w14:textId="77777777" w:rsidR="003A3D51" w:rsidRDefault="0002775A">
            <w:pPr>
              <w:pStyle w:val="P68B1DB1-Normal64"/>
              <w:spacing w:after="0" w:line="240" w:lineRule="auto"/>
              <w:jc w:val="center"/>
              <w:textAlignment w:val="baseline"/>
              <w:rPr>
                <w:noProof/>
              </w:rPr>
            </w:pPr>
            <w:r>
              <w:rPr>
                <w:noProof/>
              </w:rPr>
              <w:t>C2.6 R4</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B58E1F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BE2B5BA" w14:textId="77777777" w:rsidR="003A3D51" w:rsidRDefault="0002775A">
            <w:pPr>
              <w:pStyle w:val="P68B1DB1-Normal64"/>
              <w:spacing w:after="0" w:line="240" w:lineRule="auto"/>
              <w:jc w:val="both"/>
              <w:textAlignment w:val="baseline"/>
              <w:rPr>
                <w:noProof/>
              </w:rPr>
            </w:pPr>
            <w:r>
              <w:rPr>
                <w:noProof/>
              </w:rPr>
              <w:t>Utbildning av domare om hantering av korruptionsrisker vid offentlig upphandling och rättsligt skydd i förfaranden för offentlig upphandling</w:t>
            </w:r>
          </w:p>
        </w:tc>
      </w:tr>
      <w:tr w:rsidR="003A3D51" w14:paraId="2B9C4833"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3F6FD453" w14:textId="77777777" w:rsidR="003A3D51" w:rsidRDefault="0002775A">
            <w:pPr>
              <w:pStyle w:val="P68B1DB1-Normal64"/>
              <w:spacing w:after="0" w:line="240" w:lineRule="auto"/>
              <w:jc w:val="center"/>
              <w:textAlignment w:val="baseline"/>
              <w:rPr>
                <w:noProof/>
              </w:rPr>
            </w:pPr>
            <w:r>
              <w:rPr>
                <w:noProof/>
              </w:rPr>
              <w:t>263</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0313EB5" w14:textId="77777777" w:rsidR="003A3D51" w:rsidRDefault="0002775A">
            <w:pPr>
              <w:pStyle w:val="P68B1DB1-Normal64"/>
              <w:spacing w:after="0" w:line="240" w:lineRule="auto"/>
              <w:jc w:val="center"/>
              <w:textAlignment w:val="baseline"/>
              <w:rPr>
                <w:noProof/>
              </w:rPr>
            </w:pPr>
            <w:r>
              <w:rPr>
                <w:noProof/>
              </w:rPr>
              <w:t>C2.9 R3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C3F7554"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984ED9B" w14:textId="77777777" w:rsidR="003A3D51" w:rsidRDefault="0002775A">
            <w:pPr>
              <w:pStyle w:val="P68B1DB1-Normal64"/>
              <w:spacing w:after="0" w:line="240" w:lineRule="auto"/>
              <w:jc w:val="both"/>
              <w:textAlignment w:val="baseline"/>
              <w:rPr>
                <w:noProof/>
              </w:rPr>
            </w:pPr>
            <w:r>
              <w:rPr>
                <w:noProof/>
              </w:rPr>
              <w:t>Program och verksamheter som syftar till att utforma och förvalta innovativ offentlig upphandling</w:t>
            </w:r>
          </w:p>
        </w:tc>
      </w:tr>
      <w:tr w:rsidR="003A3D51" w14:paraId="5C220268"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258A8DCB" w14:textId="77777777" w:rsidR="003A3D51" w:rsidRDefault="0002775A">
            <w:pPr>
              <w:pStyle w:val="P68B1DB1-Normal64"/>
              <w:spacing w:after="0" w:line="240" w:lineRule="auto"/>
              <w:jc w:val="center"/>
              <w:textAlignment w:val="baseline"/>
              <w:rPr>
                <w:noProof/>
              </w:rPr>
            </w:pPr>
            <w:r>
              <w:rPr>
                <w:noProof/>
              </w:rPr>
              <w:t>298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F6E603D" w14:textId="77777777" w:rsidR="003A3D51" w:rsidRDefault="0002775A">
            <w:pPr>
              <w:pStyle w:val="P68B1DB1-Normal64"/>
              <w:spacing w:after="0" w:line="240" w:lineRule="auto"/>
              <w:jc w:val="center"/>
              <w:textAlignment w:val="baseline"/>
              <w:rPr>
                <w:noProof/>
              </w:rPr>
            </w:pPr>
            <w:r>
              <w:rPr>
                <w:noProof/>
              </w:rPr>
              <w:t>C4.2 R1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86EE68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18F28EE" w14:textId="77777777" w:rsidR="003A3D51" w:rsidRDefault="0002775A">
            <w:pPr>
              <w:pStyle w:val="P68B1DB1-Normal64"/>
              <w:spacing w:after="0" w:line="240" w:lineRule="auto"/>
              <w:jc w:val="both"/>
              <w:textAlignment w:val="baseline"/>
              <w:rPr>
                <w:noProof/>
              </w:rPr>
            </w:pPr>
            <w:r>
              <w:rPr>
                <w:noProof/>
              </w:rPr>
              <w:t>Antagande av slutsatserna om godtagande av rapporten om kostnadseffektivitetsanalyser av obligatoriska pensionsfonders investeringar i statsägda företag.</w:t>
            </w:r>
          </w:p>
        </w:tc>
      </w:tr>
      <w:tr w:rsidR="003A3D51" w14:paraId="3E8564A4"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FC348B8" w14:textId="77777777" w:rsidR="003A3D51" w:rsidRDefault="0002775A">
            <w:pPr>
              <w:pStyle w:val="P68B1DB1-Normal64"/>
              <w:spacing w:after="0" w:line="240" w:lineRule="auto"/>
              <w:jc w:val="center"/>
              <w:textAlignment w:val="baseline"/>
              <w:rPr>
                <w:noProof/>
              </w:rPr>
            </w:pPr>
            <w:r>
              <w:rPr>
                <w:noProof/>
              </w:rPr>
              <w:t>326</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21C974C4" w14:textId="77777777" w:rsidR="003A3D51" w:rsidRDefault="0002775A">
            <w:pPr>
              <w:pStyle w:val="P68B1DB1-Normal64"/>
              <w:spacing w:after="0" w:line="240" w:lineRule="auto"/>
              <w:jc w:val="center"/>
              <w:textAlignment w:val="baseline"/>
              <w:rPr>
                <w:noProof/>
              </w:rPr>
            </w:pPr>
            <w:r>
              <w:rPr>
                <w:noProof/>
              </w:rPr>
              <w:t>C5.1 R1-I7</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891465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84447DB" w14:textId="77777777" w:rsidR="003A3D51" w:rsidRDefault="0002775A">
            <w:pPr>
              <w:pStyle w:val="P68B1DB1-Normal64"/>
              <w:spacing w:after="0" w:line="240" w:lineRule="auto"/>
              <w:jc w:val="both"/>
              <w:textAlignment w:val="baseline"/>
              <w:rPr>
                <w:noProof/>
              </w:rPr>
            </w:pPr>
            <w:r>
              <w:rPr>
                <w:noProof/>
              </w:rPr>
              <w:t>Nya anläggningar vid KBC Sestre Milosrdnice</w:t>
            </w:r>
          </w:p>
        </w:tc>
      </w:tr>
      <w:tr w:rsidR="003A3D51" w14:paraId="1A85889C"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E72B761" w14:textId="77777777" w:rsidR="003A3D51" w:rsidRDefault="0002775A">
            <w:pPr>
              <w:pStyle w:val="P68B1DB1-Normal64"/>
              <w:spacing w:after="0" w:line="240" w:lineRule="auto"/>
              <w:jc w:val="center"/>
              <w:textAlignment w:val="baseline"/>
              <w:rPr>
                <w:noProof/>
              </w:rPr>
            </w:pPr>
            <w:r>
              <w:rPr>
                <w:noProof/>
              </w:rPr>
              <w:t>347</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31F1C8E0" w14:textId="77777777" w:rsidR="003A3D51" w:rsidRDefault="0002775A">
            <w:pPr>
              <w:pStyle w:val="P68B1DB1-Normal64"/>
              <w:spacing w:after="0" w:line="240" w:lineRule="auto"/>
              <w:jc w:val="center"/>
              <w:textAlignment w:val="baseline"/>
              <w:rPr>
                <w:noProof/>
              </w:rPr>
            </w:pPr>
            <w:r>
              <w:rPr>
                <w:noProof/>
              </w:rPr>
              <w:t>C5.1 R5-I1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23B3FB8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AC59F85" w14:textId="77777777" w:rsidR="003A3D51" w:rsidRDefault="0002775A">
            <w:pPr>
              <w:pStyle w:val="P68B1DB1-Normal64"/>
              <w:spacing w:after="0" w:line="240" w:lineRule="auto"/>
              <w:jc w:val="both"/>
              <w:textAlignment w:val="baseline"/>
              <w:rPr>
                <w:noProof/>
              </w:rPr>
            </w:pPr>
            <w:r>
              <w:rPr>
                <w:noProof/>
              </w:rPr>
              <w:t>Digitaliserade, integrerade driftshallar (Firule och Križine) och robotsystem vid Firule installerade och funktionella</w:t>
            </w:r>
          </w:p>
        </w:tc>
      </w:tr>
      <w:tr w:rsidR="003A3D51" w14:paraId="1CCA4638"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FD6939A" w14:textId="77777777" w:rsidR="003A3D51" w:rsidRDefault="0002775A">
            <w:pPr>
              <w:pStyle w:val="P68B1DB1-Normal64"/>
              <w:spacing w:after="0" w:line="240" w:lineRule="auto"/>
              <w:jc w:val="center"/>
              <w:textAlignment w:val="baseline"/>
              <w:rPr>
                <w:noProof/>
              </w:rPr>
            </w:pPr>
            <w:r>
              <w:rPr>
                <w:noProof/>
              </w:rPr>
              <w:t>350</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35E94700" w14:textId="77777777" w:rsidR="003A3D51" w:rsidRDefault="0002775A">
            <w:pPr>
              <w:pStyle w:val="P68B1DB1-Normal64"/>
              <w:spacing w:after="0" w:line="240" w:lineRule="auto"/>
              <w:jc w:val="center"/>
              <w:textAlignment w:val="baseline"/>
              <w:rPr>
                <w:noProof/>
              </w:rPr>
            </w:pPr>
            <w:r>
              <w:rPr>
                <w:noProof/>
              </w:rPr>
              <w:t>C5.1 R5-I4</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1558C7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59FB67CF" w14:textId="77777777" w:rsidR="003A3D51" w:rsidRDefault="0002775A">
            <w:pPr>
              <w:pStyle w:val="P68B1DB1-Normal64"/>
              <w:spacing w:after="0" w:line="240" w:lineRule="auto"/>
              <w:jc w:val="both"/>
              <w:textAlignment w:val="baseline"/>
              <w:rPr>
                <w:noProof/>
              </w:rPr>
            </w:pPr>
            <w:r>
              <w:rPr>
                <w:noProof/>
              </w:rPr>
              <w:t>Operationsteatrar Clinical Hospital Centre (KBC) Sestre milosrdnice med robotkirurgi</w:t>
            </w:r>
          </w:p>
        </w:tc>
      </w:tr>
      <w:tr w:rsidR="003A3D51" w14:paraId="036E840A"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16F499E7" w14:textId="62565C81" w:rsidR="003A3D51" w:rsidRDefault="0002775A">
            <w:pPr>
              <w:pStyle w:val="P68B1DB1-Normal64"/>
              <w:spacing w:after="0" w:line="240" w:lineRule="auto"/>
              <w:jc w:val="center"/>
              <w:textAlignment w:val="baseline"/>
              <w:rPr>
                <w:noProof/>
              </w:rPr>
            </w:pPr>
            <w:r>
              <w:rPr>
                <w:noProof/>
              </w:rPr>
              <w:t>407</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0C0F84D" w14:textId="1AEE642D" w:rsidR="003A3D51" w:rsidRDefault="0002775A">
            <w:pPr>
              <w:pStyle w:val="P68B1DB1-Normal64"/>
              <w:spacing w:after="0" w:line="240" w:lineRule="auto"/>
              <w:jc w:val="center"/>
              <w:textAlignment w:val="baseline"/>
              <w:rPr>
                <w:noProof/>
              </w:rPr>
            </w:pPr>
            <w:r>
              <w:rPr>
                <w:noProof/>
              </w:rPr>
              <w:t>C7.1 R1-I2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6028374"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6979DF0A" w14:textId="77777777" w:rsidR="003A3D51" w:rsidRDefault="0002775A">
            <w:pPr>
              <w:pStyle w:val="P68B1DB1-Normal64"/>
              <w:spacing w:after="0" w:line="240" w:lineRule="auto"/>
              <w:jc w:val="both"/>
              <w:textAlignment w:val="baseline"/>
              <w:rPr>
                <w:noProof/>
              </w:rPr>
            </w:pPr>
            <w:r>
              <w:rPr>
                <w:noProof/>
              </w:rPr>
              <w:t>Samordningsorganet för vätgas</w:t>
            </w:r>
          </w:p>
        </w:tc>
      </w:tr>
      <w:tr w:rsidR="003A3D51" w14:paraId="7C986B9F"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41CC1B58" w14:textId="500DEFC8" w:rsidR="003A3D51" w:rsidRDefault="0002775A">
            <w:pPr>
              <w:pStyle w:val="P68B1DB1-Normal64"/>
              <w:spacing w:after="0" w:line="240" w:lineRule="auto"/>
              <w:jc w:val="center"/>
              <w:textAlignment w:val="baseline"/>
              <w:rPr>
                <w:noProof/>
              </w:rPr>
            </w:pPr>
            <w:r>
              <w:rPr>
                <w:noProof/>
              </w:rPr>
              <w:t>412</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E41E326" w14:textId="0691053D" w:rsidR="003A3D51" w:rsidRDefault="0002775A">
            <w:pPr>
              <w:pStyle w:val="P68B1DB1-Normal64"/>
              <w:spacing w:after="0" w:line="240" w:lineRule="auto"/>
              <w:jc w:val="center"/>
              <w:textAlignment w:val="baseline"/>
              <w:rPr>
                <w:noProof/>
              </w:rPr>
            </w:pPr>
            <w:r>
              <w:rPr>
                <w:noProof/>
              </w:rPr>
              <w:t>C7.1 R1-I3</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50B3FD06"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23FEAF51" w14:textId="77777777" w:rsidR="003A3D51" w:rsidRDefault="0002775A">
            <w:pPr>
              <w:pStyle w:val="P68B1DB1-Normal64"/>
              <w:spacing w:after="0" w:line="240" w:lineRule="auto"/>
              <w:jc w:val="both"/>
              <w:textAlignment w:val="baseline"/>
              <w:rPr>
                <w:noProof/>
              </w:rPr>
            </w:pPr>
            <w:r>
              <w:rPr>
                <w:noProof/>
              </w:rPr>
              <w:t>Utvecklingsplan för geotermisk potential</w:t>
            </w:r>
          </w:p>
        </w:tc>
      </w:tr>
      <w:tr w:rsidR="003A3D51" w14:paraId="5E8E7AED" w14:textId="77777777">
        <w:trPr>
          <w:trHeight w:val="433"/>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7E65B19D"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1E5BC1CF"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4126D9B9" w14:textId="77777777" w:rsidR="003A3D51" w:rsidRDefault="0002775A">
            <w:pPr>
              <w:pStyle w:val="P68B1DB1-Normal64"/>
              <w:spacing w:after="0" w:line="240" w:lineRule="auto"/>
              <w:jc w:val="center"/>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A7B588A" w14:textId="77777777" w:rsidR="003A3D51" w:rsidRDefault="0002775A">
            <w:pPr>
              <w:pStyle w:val="P68B1DB1-Normal64"/>
              <w:spacing w:after="0" w:line="240" w:lineRule="auto"/>
              <w:jc w:val="both"/>
              <w:textAlignment w:val="baseline"/>
              <w:rPr>
                <w:noProof/>
              </w:rPr>
            </w:pPr>
            <w:r>
              <w:rPr>
                <w:noProof/>
              </w:rPr>
              <w:t>505 174 531 EUR</w:t>
            </w:r>
          </w:p>
          <w:p w14:paraId="390060CD" w14:textId="77777777" w:rsidR="003A3D51" w:rsidRDefault="003A3D51">
            <w:pPr>
              <w:spacing w:after="0" w:line="240" w:lineRule="auto"/>
              <w:jc w:val="both"/>
              <w:textAlignment w:val="baseline"/>
              <w:rPr>
                <w:rFonts w:ascii="Times New Roman" w:hAnsi="Times New Roman" w:cs="Times New Roman"/>
                <w:noProof/>
                <w:color w:val="000000"/>
                <w:sz w:val="20"/>
              </w:rPr>
            </w:pPr>
          </w:p>
        </w:tc>
      </w:tr>
    </w:tbl>
    <w:p w14:paraId="1B0EC9DD" w14:textId="77777777" w:rsidR="003A3D51" w:rsidRDefault="003A3D51">
      <w:pPr>
        <w:rPr>
          <w:noProof/>
        </w:rPr>
      </w:pPr>
    </w:p>
    <w:p w14:paraId="2162EF1D"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6B7BFE7A" w14:textId="77777777" w:rsidR="003A3D51" w:rsidRDefault="0002775A">
      <w:pPr>
        <w:pStyle w:val="P68B1DB1-ListParagraph65"/>
        <w:numPr>
          <w:ilvl w:val="0"/>
          <w:numId w:val="49"/>
        </w:numPr>
        <w:spacing w:line="240" w:lineRule="auto"/>
        <w:jc w:val="both"/>
        <w:textAlignment w:val="baseline"/>
        <w:rPr>
          <w:noProof/>
        </w:rPr>
      </w:pPr>
      <w:r>
        <w:rPr>
          <w:noProof/>
        </w:rPr>
        <w:t>Sjunde delbetalningen (icke återbetalningspliktigt stöd):</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2"/>
        <w:gridCol w:w="1272"/>
        <w:gridCol w:w="5309"/>
      </w:tblGrid>
      <w:tr w:rsidR="003A3D51" w14:paraId="7C3803E4" w14:textId="77777777">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EDE9173"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B7E9776"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12854391"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1D7DBFE9"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1A2DBE73"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BFA2F27"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EF9F3F"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BCF094"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11663C8E" w14:textId="77777777" w:rsidR="003A3D51" w:rsidRDefault="003A3D51">
            <w:pPr>
              <w:spacing w:after="0" w:line="240" w:lineRule="auto"/>
              <w:rPr>
                <w:rFonts w:ascii="Times New Roman" w:eastAsia="Times New Roman" w:hAnsi="Times New Roman" w:cs="Times New Roman"/>
                <w:noProof/>
                <w:sz w:val="20"/>
              </w:rPr>
            </w:pPr>
          </w:p>
        </w:tc>
      </w:tr>
      <w:tr w:rsidR="003A3D51" w14:paraId="0EDFD086"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67EFF15B" w14:textId="77777777" w:rsidR="003A3D51" w:rsidRDefault="0002775A">
            <w:pPr>
              <w:pStyle w:val="P68B1DB1-Normal64"/>
              <w:spacing w:after="0" w:line="240" w:lineRule="auto"/>
              <w:jc w:val="center"/>
              <w:textAlignment w:val="baseline"/>
              <w:rPr>
                <w:rFonts w:eastAsia="Times New Roman"/>
                <w:noProof/>
              </w:rPr>
            </w:pPr>
            <w:r>
              <w:rPr>
                <w:noProof/>
              </w:rPr>
              <w:t>3</w:t>
            </w:r>
          </w:p>
        </w:tc>
        <w:tc>
          <w:tcPr>
            <w:tcW w:w="1639" w:type="dxa"/>
            <w:tcBorders>
              <w:top w:val="nil"/>
              <w:left w:val="nil"/>
              <w:bottom w:val="single" w:sz="6" w:space="0" w:color="auto"/>
              <w:right w:val="single" w:sz="6" w:space="0" w:color="auto"/>
            </w:tcBorders>
            <w:shd w:val="clear" w:color="auto" w:fill="C6EFCE"/>
            <w:vAlign w:val="center"/>
            <w:hideMark/>
          </w:tcPr>
          <w:p w14:paraId="7B0B1702" w14:textId="77777777" w:rsidR="003A3D51" w:rsidRDefault="0002775A">
            <w:pPr>
              <w:pStyle w:val="P68B1DB1-Normal64"/>
              <w:spacing w:after="0" w:line="240" w:lineRule="auto"/>
              <w:jc w:val="center"/>
              <w:textAlignment w:val="baseline"/>
              <w:rPr>
                <w:rFonts w:eastAsia="Times New Roman"/>
                <w:noProof/>
              </w:rPr>
            </w:pPr>
            <w:r>
              <w:rPr>
                <w:noProof/>
              </w:rPr>
              <w:t>C1.1.1 R1-I1</w:t>
            </w:r>
          </w:p>
        </w:tc>
        <w:tc>
          <w:tcPr>
            <w:tcW w:w="1274" w:type="dxa"/>
            <w:tcBorders>
              <w:top w:val="nil"/>
              <w:left w:val="nil"/>
              <w:bottom w:val="single" w:sz="6" w:space="0" w:color="auto"/>
              <w:right w:val="single" w:sz="6" w:space="0" w:color="auto"/>
            </w:tcBorders>
            <w:shd w:val="clear" w:color="auto" w:fill="C6EFCE"/>
            <w:vAlign w:val="center"/>
            <w:hideMark/>
          </w:tcPr>
          <w:p w14:paraId="737E9797"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nil"/>
              <w:left w:val="nil"/>
              <w:bottom w:val="single" w:sz="6" w:space="0" w:color="auto"/>
              <w:right w:val="single" w:sz="6" w:space="0" w:color="auto"/>
            </w:tcBorders>
            <w:shd w:val="clear" w:color="auto" w:fill="C6EFCE"/>
            <w:vAlign w:val="center"/>
            <w:hideMark/>
          </w:tcPr>
          <w:p w14:paraId="5A8A8366" w14:textId="77777777" w:rsidR="003A3D51" w:rsidRDefault="0002775A">
            <w:pPr>
              <w:pStyle w:val="P68B1DB1-Normal64"/>
              <w:spacing w:after="0" w:line="240" w:lineRule="auto"/>
              <w:textAlignment w:val="baseline"/>
              <w:rPr>
                <w:rFonts w:eastAsia="Times New Roman"/>
                <w:noProof/>
              </w:rPr>
            </w:pPr>
            <w:r>
              <w:rPr>
                <w:noProof/>
              </w:rPr>
              <w:t>Uppgradering av Start-system</w:t>
            </w:r>
          </w:p>
        </w:tc>
      </w:tr>
      <w:tr w:rsidR="003A3D51" w14:paraId="564DE77E"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3B4F70CF" w14:textId="77777777" w:rsidR="003A3D51" w:rsidRDefault="0002775A">
            <w:pPr>
              <w:pStyle w:val="P68B1DB1-Normal64"/>
              <w:spacing w:after="0" w:line="240" w:lineRule="auto"/>
              <w:jc w:val="center"/>
              <w:textAlignment w:val="baseline"/>
              <w:rPr>
                <w:rFonts w:eastAsia="Times New Roman"/>
                <w:noProof/>
              </w:rPr>
            </w:pPr>
            <w:r>
              <w:rPr>
                <w:noProof/>
              </w:rPr>
              <w:t>4</w:t>
            </w:r>
          </w:p>
        </w:tc>
        <w:tc>
          <w:tcPr>
            <w:tcW w:w="1639" w:type="dxa"/>
            <w:tcBorders>
              <w:top w:val="nil"/>
              <w:left w:val="nil"/>
              <w:bottom w:val="single" w:sz="6" w:space="0" w:color="auto"/>
              <w:right w:val="single" w:sz="6" w:space="0" w:color="auto"/>
            </w:tcBorders>
            <w:shd w:val="clear" w:color="auto" w:fill="C6EFCE"/>
            <w:vAlign w:val="center"/>
            <w:hideMark/>
          </w:tcPr>
          <w:p w14:paraId="71A77DA7" w14:textId="77777777" w:rsidR="003A3D51" w:rsidRDefault="0002775A">
            <w:pPr>
              <w:pStyle w:val="P68B1DB1-Normal64"/>
              <w:spacing w:after="0" w:line="240" w:lineRule="auto"/>
              <w:jc w:val="center"/>
              <w:textAlignment w:val="baseline"/>
              <w:rPr>
                <w:rFonts w:eastAsia="Times New Roman"/>
                <w:noProof/>
              </w:rPr>
            </w:pPr>
            <w:r>
              <w:rPr>
                <w:noProof/>
              </w:rPr>
              <w:t>C1.1.1 R1-I1</w:t>
            </w:r>
          </w:p>
        </w:tc>
        <w:tc>
          <w:tcPr>
            <w:tcW w:w="1274" w:type="dxa"/>
            <w:tcBorders>
              <w:top w:val="nil"/>
              <w:left w:val="nil"/>
              <w:bottom w:val="single" w:sz="6" w:space="0" w:color="auto"/>
              <w:right w:val="single" w:sz="6" w:space="0" w:color="auto"/>
            </w:tcBorders>
            <w:shd w:val="clear" w:color="auto" w:fill="C6EFCE"/>
            <w:vAlign w:val="center"/>
            <w:hideMark/>
          </w:tcPr>
          <w:p w14:paraId="418C624F"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41A4473E" w14:textId="77777777" w:rsidR="003A3D51" w:rsidRDefault="0002775A">
            <w:pPr>
              <w:pStyle w:val="P68B1DB1-Normal64"/>
              <w:spacing w:after="0" w:line="240" w:lineRule="auto"/>
              <w:textAlignment w:val="baseline"/>
              <w:rPr>
                <w:rFonts w:eastAsia="Times New Roman"/>
                <w:noProof/>
              </w:rPr>
            </w:pPr>
            <w:r>
              <w:rPr>
                <w:noProof/>
              </w:rPr>
              <w:t>Inrättande av fysiska åtkomstpunkter till Start-plattformen</w:t>
            </w:r>
          </w:p>
        </w:tc>
      </w:tr>
      <w:tr w:rsidR="003A3D51" w14:paraId="1B8F68E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5B6C20A" w14:textId="77777777" w:rsidR="003A3D51" w:rsidRDefault="0002775A">
            <w:pPr>
              <w:pStyle w:val="P68B1DB1-Normal64"/>
              <w:spacing w:after="0" w:line="240" w:lineRule="auto"/>
              <w:jc w:val="center"/>
              <w:textAlignment w:val="baseline"/>
              <w:rPr>
                <w:rFonts w:eastAsia="Times New Roman"/>
                <w:noProof/>
              </w:rPr>
            </w:pPr>
            <w:r>
              <w:rPr>
                <w:noProof/>
              </w:rPr>
              <w:t>5</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F3EB760" w14:textId="77777777" w:rsidR="003A3D51" w:rsidRDefault="0002775A">
            <w:pPr>
              <w:pStyle w:val="P68B1DB1-Normal64"/>
              <w:spacing w:after="0" w:line="240" w:lineRule="auto"/>
              <w:jc w:val="center"/>
              <w:textAlignment w:val="baseline"/>
              <w:rPr>
                <w:rFonts w:eastAsia="Times New Roman"/>
                <w:noProof/>
              </w:rPr>
            </w:pPr>
            <w:r>
              <w:rPr>
                <w:noProof/>
              </w:rPr>
              <w:t>C1.1.1 R1-I1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40DAB21" w14:textId="77777777" w:rsidR="003A3D51" w:rsidRDefault="0002775A">
            <w:pPr>
              <w:pStyle w:val="P68B1DB1-Normal64"/>
              <w:spacing w:after="0" w:line="240" w:lineRule="auto"/>
              <w:jc w:val="center"/>
              <w:textAlignment w:val="baseline"/>
              <w:rPr>
                <w:rFonts w:eastAsia="Times New Roman"/>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0B6ACEE2" w14:textId="77777777" w:rsidR="003A3D51" w:rsidRDefault="0002775A">
            <w:pPr>
              <w:pStyle w:val="P68B1DB1-Normal64"/>
              <w:spacing w:after="0" w:line="240" w:lineRule="auto"/>
              <w:textAlignment w:val="baseline"/>
              <w:rPr>
                <w:rFonts w:eastAsia="Times New Roman"/>
                <w:noProof/>
              </w:rPr>
            </w:pPr>
            <w:r>
              <w:rPr>
                <w:noProof/>
              </w:rPr>
              <w:t>Digitalisering av MINGOR:s riktade processer enligt Republiken Kroatiens lag om strategiska investeringsprojekt, lagen om främjande av investeringar och lagen om statligt stöd till forsknings- och utvecklingsprojekt samt ytterligare digitalisering och nätverksbyggande av systemet för gemensam forskning och innovation</w:t>
            </w:r>
          </w:p>
        </w:tc>
      </w:tr>
      <w:tr w:rsidR="003A3D51" w14:paraId="42F83D6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B9281C" w14:textId="77777777" w:rsidR="003A3D51" w:rsidRDefault="0002775A">
            <w:pPr>
              <w:pStyle w:val="P68B1DB1-Normal64"/>
              <w:spacing w:after="0" w:line="240" w:lineRule="auto"/>
              <w:jc w:val="center"/>
              <w:textAlignment w:val="baseline"/>
              <w:rPr>
                <w:noProof/>
              </w:rPr>
            </w:pPr>
            <w:r>
              <w:rPr>
                <w:noProof/>
              </w:rPr>
              <w:t>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544961C" w14:textId="77777777" w:rsidR="003A3D51" w:rsidRDefault="0002775A">
            <w:pPr>
              <w:pStyle w:val="P68B1DB1-Normal64"/>
              <w:spacing w:after="0" w:line="240" w:lineRule="auto"/>
              <w:jc w:val="center"/>
              <w:textAlignment w:val="baseline"/>
              <w:rPr>
                <w:noProof/>
              </w:rPr>
            </w:pPr>
            <w:r>
              <w:rPr>
                <w:noProof/>
              </w:rPr>
              <w:t>C1.1.1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33F852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6E38F2A" w14:textId="77777777" w:rsidR="003A3D51" w:rsidRDefault="0002775A">
            <w:pPr>
              <w:pStyle w:val="P68B1DB1-Normal64"/>
              <w:spacing w:after="0" w:line="240" w:lineRule="auto"/>
              <w:textAlignment w:val="baseline"/>
              <w:rPr>
                <w:noProof/>
              </w:rPr>
            </w:pPr>
            <w:r>
              <w:rPr>
                <w:noProof/>
              </w:rPr>
              <w:t>Genomförande av den första uppsättningen åtgärder i den nya/femte handlingsplanen för minskning av den administrativa bördan för entreprenörer</w:t>
            </w:r>
          </w:p>
        </w:tc>
      </w:tr>
      <w:tr w:rsidR="003A3D51" w14:paraId="1FA8C7A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58C859" w14:textId="77777777" w:rsidR="003A3D51" w:rsidRDefault="0002775A">
            <w:pPr>
              <w:pStyle w:val="P68B1DB1-Normal64"/>
              <w:spacing w:after="0" w:line="240" w:lineRule="auto"/>
              <w:jc w:val="center"/>
              <w:textAlignment w:val="baseline"/>
              <w:rPr>
                <w:noProof/>
              </w:rPr>
            </w:pPr>
            <w:r>
              <w:rPr>
                <w:noProof/>
              </w:rPr>
              <w:t>12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10AEB0E" w14:textId="77777777" w:rsidR="003A3D51" w:rsidRDefault="0002775A">
            <w:pPr>
              <w:pStyle w:val="P68B1DB1-Normal64"/>
              <w:spacing w:after="0" w:line="240" w:lineRule="auto"/>
              <w:jc w:val="center"/>
              <w:textAlignment w:val="baseline"/>
              <w:rPr>
                <w:noProof/>
              </w:rPr>
            </w:pPr>
            <w:r>
              <w:rPr>
                <w:noProof/>
              </w:rPr>
              <w:t>C1.1.1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AE8411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B14FFDE" w14:textId="77777777" w:rsidR="003A3D51" w:rsidRDefault="0002775A">
            <w:pPr>
              <w:pStyle w:val="P68B1DB1-Normal64"/>
              <w:spacing w:after="0" w:line="240" w:lineRule="auto"/>
              <w:textAlignment w:val="baseline"/>
              <w:rPr>
                <w:noProof/>
              </w:rPr>
            </w:pPr>
            <w:r>
              <w:rPr>
                <w:noProof/>
              </w:rPr>
              <w:t>Förenkling eller avskaffande av minst 50 lagstadgade krav för yrkesmässiga tjänster</w:t>
            </w:r>
          </w:p>
        </w:tc>
      </w:tr>
      <w:tr w:rsidR="003A3D51" w14:paraId="1207276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FF5F8E" w14:textId="77777777" w:rsidR="003A3D51" w:rsidRDefault="0002775A">
            <w:pPr>
              <w:pStyle w:val="P68B1DB1-Normal64"/>
              <w:spacing w:after="0" w:line="240" w:lineRule="auto"/>
              <w:jc w:val="center"/>
              <w:textAlignment w:val="baseline"/>
              <w:rPr>
                <w:noProof/>
              </w:rPr>
            </w:pPr>
            <w:r>
              <w:rPr>
                <w:noProof/>
              </w:rPr>
              <w:t>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8018BEC" w14:textId="77777777" w:rsidR="003A3D51" w:rsidRDefault="0002775A">
            <w:pPr>
              <w:pStyle w:val="P68B1DB1-Normal64"/>
              <w:spacing w:after="0" w:line="240" w:lineRule="auto"/>
              <w:jc w:val="center"/>
              <w:textAlignment w:val="baseline"/>
              <w:rPr>
                <w:noProof/>
              </w:rPr>
            </w:pPr>
            <w:r>
              <w:rPr>
                <w:noProof/>
              </w:rPr>
              <w:t>C1.1.1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E61C590"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7E4DD36" w14:textId="77777777" w:rsidR="003A3D51" w:rsidRDefault="0002775A">
            <w:pPr>
              <w:pStyle w:val="P68B1DB1-Normal64"/>
              <w:spacing w:after="0" w:line="240" w:lineRule="auto"/>
              <w:textAlignment w:val="baseline"/>
              <w:rPr>
                <w:noProof/>
              </w:rPr>
            </w:pPr>
            <w:r>
              <w:rPr>
                <w:noProof/>
              </w:rPr>
              <w:br/>
              <w:t>Om upprättande av en strategisk ram för främjande av privata investeringar</w:t>
            </w:r>
          </w:p>
        </w:tc>
      </w:tr>
      <w:tr w:rsidR="003A3D51" w14:paraId="780A9D1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804D06" w14:textId="77777777" w:rsidR="003A3D51" w:rsidRDefault="0002775A">
            <w:pPr>
              <w:pStyle w:val="P68B1DB1-Normal64"/>
              <w:spacing w:after="0" w:line="240" w:lineRule="auto"/>
              <w:jc w:val="center"/>
              <w:textAlignment w:val="baseline"/>
              <w:rPr>
                <w:noProof/>
              </w:rPr>
            </w:pPr>
            <w:r>
              <w:rPr>
                <w:noProof/>
              </w:rPr>
              <w:t>28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017C382" w14:textId="77777777" w:rsidR="003A3D51" w:rsidRDefault="0002775A">
            <w:pPr>
              <w:pStyle w:val="P68B1DB1-Normal64"/>
              <w:spacing w:after="0" w:line="240" w:lineRule="auto"/>
              <w:jc w:val="center"/>
              <w:textAlignment w:val="baseline"/>
              <w:rPr>
                <w:noProof/>
              </w:rPr>
            </w:pPr>
            <w:r>
              <w:rPr>
                <w:noProof/>
              </w:rPr>
              <w:t>C1.1.2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AB4346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E4A6B7E" w14:textId="77777777" w:rsidR="003A3D51" w:rsidRDefault="0002775A">
            <w:pPr>
              <w:pStyle w:val="P68B1DB1-Normal64"/>
              <w:spacing w:after="0" w:line="240" w:lineRule="auto"/>
              <w:textAlignment w:val="baseline"/>
              <w:rPr>
                <w:noProof/>
              </w:rPr>
            </w:pPr>
            <w:r>
              <w:rPr>
                <w:noProof/>
              </w:rPr>
              <w:t>Ändring och komplettering av den rättsliga ramen för skatteincitament för FoU</w:t>
            </w:r>
          </w:p>
        </w:tc>
      </w:tr>
      <w:tr w:rsidR="003A3D51" w14:paraId="14E9547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A392670" w14:textId="77777777" w:rsidR="003A3D51" w:rsidRDefault="0002775A">
            <w:pPr>
              <w:pStyle w:val="P68B1DB1-Normal64"/>
              <w:spacing w:after="0" w:line="240" w:lineRule="auto"/>
              <w:jc w:val="center"/>
              <w:textAlignment w:val="baseline"/>
              <w:rPr>
                <w:noProof/>
              </w:rPr>
            </w:pPr>
            <w:r>
              <w:rPr>
                <w:noProof/>
              </w:rPr>
              <w:t>32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D84819D" w14:textId="77777777" w:rsidR="003A3D51" w:rsidRDefault="0002775A">
            <w:pPr>
              <w:pStyle w:val="P68B1DB1-Normal64"/>
              <w:spacing w:after="0" w:line="240" w:lineRule="auto"/>
              <w:jc w:val="center"/>
              <w:textAlignment w:val="baseline"/>
              <w:rPr>
                <w:noProof/>
              </w:rPr>
            </w:pPr>
            <w:r>
              <w:rPr>
                <w:noProof/>
              </w:rPr>
              <w:t>C1.1.2 R2-I5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F6D1F3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853E0F2" w14:textId="77777777" w:rsidR="003A3D51" w:rsidRDefault="0002775A">
            <w:pPr>
              <w:pStyle w:val="P68B1DB1-Normal64"/>
              <w:spacing w:after="0" w:line="240" w:lineRule="auto"/>
              <w:textAlignment w:val="baseline"/>
              <w:rPr>
                <w:noProof/>
              </w:rPr>
            </w:pPr>
            <w:r>
              <w:rPr>
                <w:noProof/>
              </w:rPr>
              <w:t>Stöd till projekt för kommersialisering av innovation</w:t>
            </w:r>
          </w:p>
        </w:tc>
      </w:tr>
      <w:tr w:rsidR="003A3D51" w14:paraId="57F31B3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5A4E0B" w14:textId="77777777" w:rsidR="003A3D51" w:rsidRDefault="0002775A">
            <w:pPr>
              <w:pStyle w:val="P68B1DB1-Normal64"/>
              <w:spacing w:after="0" w:line="240" w:lineRule="auto"/>
              <w:jc w:val="center"/>
              <w:textAlignment w:val="baseline"/>
              <w:rPr>
                <w:noProof/>
              </w:rPr>
            </w:pPr>
            <w:r>
              <w:rPr>
                <w:noProof/>
              </w:rPr>
              <w:t>41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170DCA7" w14:textId="77777777" w:rsidR="003A3D51" w:rsidRDefault="0002775A">
            <w:pPr>
              <w:pStyle w:val="P68B1DB1-Normal64"/>
              <w:spacing w:after="0" w:line="240" w:lineRule="auto"/>
              <w:jc w:val="center"/>
              <w:textAlignment w:val="baseline"/>
              <w:rPr>
                <w:noProof/>
              </w:rPr>
            </w:pPr>
            <w:r>
              <w:rPr>
                <w:noProof/>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CDD8A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0FD13F3" w14:textId="77777777" w:rsidR="003A3D51" w:rsidRDefault="0002775A">
            <w:pPr>
              <w:pStyle w:val="P68B1DB1-Normal64"/>
              <w:spacing w:after="0" w:line="240" w:lineRule="auto"/>
              <w:textAlignment w:val="baseline"/>
              <w:rPr>
                <w:noProof/>
              </w:rPr>
            </w:pPr>
            <w:r>
              <w:rPr>
                <w:noProof/>
              </w:rPr>
              <w:t>Uppgraderingen av högspänningsnätet (220/110 kV) slutförd</w:t>
            </w:r>
          </w:p>
        </w:tc>
      </w:tr>
      <w:tr w:rsidR="003A3D51" w14:paraId="54D97F9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688AFD" w14:textId="77777777" w:rsidR="003A3D51" w:rsidRDefault="0002775A">
            <w:pPr>
              <w:pStyle w:val="P68B1DB1-Normal64"/>
              <w:spacing w:after="0" w:line="240" w:lineRule="auto"/>
              <w:jc w:val="center"/>
              <w:textAlignment w:val="baseline"/>
              <w:rPr>
                <w:noProof/>
              </w:rPr>
            </w:pPr>
            <w:r>
              <w:rPr>
                <w:noProof/>
              </w:rPr>
              <w:t>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A8DC9B" w14:textId="77777777" w:rsidR="003A3D51" w:rsidRDefault="0002775A">
            <w:pPr>
              <w:pStyle w:val="P68B1DB1-Normal64"/>
              <w:spacing w:after="0" w:line="240" w:lineRule="auto"/>
              <w:jc w:val="center"/>
              <w:textAlignment w:val="baseline"/>
              <w:rPr>
                <w:noProof/>
              </w:rPr>
            </w:pPr>
            <w:r>
              <w:rPr>
                <w:noProof/>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E24183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9C139F7" w14:textId="77777777" w:rsidR="003A3D51" w:rsidRDefault="0002775A">
            <w:pPr>
              <w:pStyle w:val="P68B1DB1-Normal64"/>
              <w:spacing w:after="0" w:line="240" w:lineRule="auto"/>
              <w:textAlignment w:val="baseline"/>
              <w:rPr>
                <w:noProof/>
              </w:rPr>
            </w:pPr>
            <w:r>
              <w:rPr>
                <w:noProof/>
              </w:rPr>
              <w:t>Ytterligare 1 500 MW kapacitet för förnybara energikällor som är ansluten till nätet.</w:t>
            </w:r>
          </w:p>
        </w:tc>
      </w:tr>
      <w:tr w:rsidR="003A3D51" w14:paraId="5697BE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017D6E" w14:textId="77777777" w:rsidR="003A3D51" w:rsidRDefault="0002775A">
            <w:pPr>
              <w:pStyle w:val="P68B1DB1-Normal64"/>
              <w:spacing w:after="0" w:line="240" w:lineRule="auto"/>
              <w:jc w:val="center"/>
              <w:textAlignment w:val="baseline"/>
              <w:rPr>
                <w:noProof/>
              </w:rPr>
            </w:pPr>
            <w:r>
              <w:rPr>
                <w:noProof/>
              </w:rPr>
              <w:t>43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F35C52B" w14:textId="77777777" w:rsidR="003A3D51" w:rsidRDefault="0002775A">
            <w:pPr>
              <w:pStyle w:val="P68B1DB1-Normal64"/>
              <w:spacing w:after="0" w:line="240" w:lineRule="auto"/>
              <w:jc w:val="center"/>
              <w:textAlignment w:val="baseline"/>
              <w:rPr>
                <w:noProof/>
              </w:rPr>
            </w:pPr>
            <w:r>
              <w:rPr>
                <w:noProof/>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CD9E52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E38DD8A" w14:textId="77777777" w:rsidR="003A3D51" w:rsidRDefault="0002775A">
            <w:pPr>
              <w:pStyle w:val="P68B1DB1-Normal64"/>
              <w:spacing w:after="0" w:line="240" w:lineRule="auto"/>
              <w:textAlignment w:val="baseline"/>
              <w:rPr>
                <w:noProof/>
              </w:rPr>
            </w:pPr>
            <w:r>
              <w:rPr>
                <w:noProof/>
              </w:rPr>
              <w:t>Antal nya konsumenter som är anslutna till det smarta nätet</w:t>
            </w:r>
          </w:p>
        </w:tc>
      </w:tr>
      <w:tr w:rsidR="003A3D51" w14:paraId="56F7C7F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681116E" w14:textId="77777777" w:rsidR="003A3D51" w:rsidRDefault="0002775A">
            <w:pPr>
              <w:pStyle w:val="P68B1DB1-Normal64"/>
              <w:spacing w:after="0" w:line="240" w:lineRule="auto"/>
              <w:jc w:val="center"/>
              <w:textAlignment w:val="baseline"/>
              <w:rPr>
                <w:noProof/>
              </w:rPr>
            </w:pPr>
            <w:r>
              <w:rPr>
                <w:noProof/>
              </w:rPr>
              <w:t>47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0865BD6" w14:textId="77777777" w:rsidR="003A3D51" w:rsidRDefault="0002775A">
            <w:pPr>
              <w:pStyle w:val="P68B1DB1-Normal64"/>
              <w:spacing w:after="0" w:line="240" w:lineRule="auto"/>
              <w:jc w:val="center"/>
              <w:textAlignment w:val="baseline"/>
              <w:rPr>
                <w:noProof/>
              </w:rPr>
            </w:pPr>
            <w:r>
              <w:rPr>
                <w:noProof/>
              </w:rPr>
              <w:t>C1.2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D7E076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6EE81D7" w14:textId="77777777" w:rsidR="003A3D51" w:rsidRDefault="0002775A">
            <w:pPr>
              <w:pStyle w:val="P68B1DB1-Normal64"/>
              <w:spacing w:after="0" w:line="240" w:lineRule="auto"/>
              <w:textAlignment w:val="baseline"/>
              <w:rPr>
                <w:noProof/>
              </w:rPr>
            </w:pPr>
            <w:r>
              <w:rPr>
                <w:noProof/>
              </w:rPr>
              <w:t>Undertecknade kontrakt för undersökning av geotermisk potential i fjärrvärme</w:t>
            </w:r>
          </w:p>
        </w:tc>
      </w:tr>
      <w:tr w:rsidR="003A3D51" w14:paraId="2D6865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ABFCED5" w14:textId="77777777" w:rsidR="003A3D51" w:rsidRDefault="0002775A">
            <w:pPr>
              <w:pStyle w:val="P68B1DB1-Normal64"/>
              <w:spacing w:after="0" w:line="240" w:lineRule="auto"/>
              <w:jc w:val="center"/>
              <w:textAlignment w:val="baseline"/>
              <w:rPr>
                <w:noProof/>
              </w:rPr>
            </w:pPr>
            <w:r>
              <w:rPr>
                <w:noProof/>
              </w:rPr>
              <w:t>61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6EBBBD" w14:textId="77777777" w:rsidR="003A3D51" w:rsidRDefault="0002775A">
            <w:pPr>
              <w:pStyle w:val="P68B1DB1-Normal64"/>
              <w:spacing w:after="0" w:line="240" w:lineRule="auto"/>
              <w:jc w:val="center"/>
              <w:textAlignment w:val="baseline"/>
              <w:rPr>
                <w:noProof/>
              </w:rPr>
            </w:pPr>
            <w:r>
              <w:rPr>
                <w:noProof/>
              </w:rPr>
              <w:t>C1.3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2250CF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26F2842" w14:textId="77777777" w:rsidR="003A3D51" w:rsidRDefault="0002775A">
            <w:pPr>
              <w:pStyle w:val="P68B1DB1-Normal64"/>
              <w:spacing w:after="0" w:line="240" w:lineRule="auto"/>
              <w:textAlignment w:val="baseline"/>
              <w:rPr>
                <w:noProof/>
              </w:rPr>
            </w:pPr>
            <w:r>
              <w:rPr>
                <w:noProof/>
              </w:rPr>
              <w:t xml:space="preserve">Integrering av leverantörer av vattentjänster  </w:t>
            </w:r>
          </w:p>
        </w:tc>
      </w:tr>
      <w:tr w:rsidR="003A3D51" w14:paraId="6F37BB3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0DFDD7" w14:textId="77777777" w:rsidR="003A3D51" w:rsidRDefault="0002775A">
            <w:pPr>
              <w:pStyle w:val="P68B1DB1-Normal64"/>
              <w:spacing w:after="0" w:line="240" w:lineRule="auto"/>
              <w:jc w:val="center"/>
              <w:textAlignment w:val="baseline"/>
              <w:rPr>
                <w:noProof/>
              </w:rPr>
            </w:pPr>
            <w:r>
              <w:rPr>
                <w:noProof/>
              </w:rPr>
              <w:t>85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8CFEC7C"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BB0208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EDD69FB" w14:textId="77777777" w:rsidR="003A3D51" w:rsidRDefault="0002775A">
            <w:pPr>
              <w:pStyle w:val="P68B1DB1-Normal64"/>
              <w:spacing w:after="0" w:line="240" w:lineRule="auto"/>
              <w:textAlignment w:val="baseline"/>
              <w:rPr>
                <w:noProof/>
              </w:rPr>
            </w:pPr>
            <w:r>
              <w:rPr>
                <w:noProof/>
              </w:rPr>
              <w:t>Minskning av andelen kommunalt avfall som skickas för bortskaffande (51 %)</w:t>
            </w:r>
          </w:p>
        </w:tc>
      </w:tr>
      <w:tr w:rsidR="003A3D51" w14:paraId="694AE7C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152E0D" w14:textId="77777777" w:rsidR="003A3D51" w:rsidRDefault="0002775A">
            <w:pPr>
              <w:pStyle w:val="P68B1DB1-Normal64"/>
              <w:spacing w:after="0" w:line="240" w:lineRule="auto"/>
              <w:jc w:val="center"/>
              <w:textAlignment w:val="baseline"/>
              <w:rPr>
                <w:noProof/>
              </w:rPr>
            </w:pPr>
            <w:r>
              <w:rPr>
                <w:noProof/>
              </w:rPr>
              <w:t>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F948E3F" w14:textId="77777777" w:rsidR="003A3D51" w:rsidRDefault="0002775A">
            <w:pPr>
              <w:pStyle w:val="P68B1DB1-Normal64"/>
              <w:spacing w:after="0" w:line="240" w:lineRule="auto"/>
              <w:jc w:val="center"/>
              <w:textAlignment w:val="baseline"/>
              <w:rPr>
                <w:noProof/>
              </w:rPr>
            </w:pPr>
            <w:r>
              <w:rPr>
                <w:noProof/>
              </w:rPr>
              <w:t>C1.4 R1-I4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1220BD0"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22BE709" w14:textId="77777777" w:rsidR="003A3D51" w:rsidRDefault="0002775A">
            <w:pPr>
              <w:pStyle w:val="P68B1DB1-Normal64"/>
              <w:spacing w:after="0" w:line="240" w:lineRule="auto"/>
              <w:textAlignment w:val="baseline"/>
              <w:rPr>
                <w:noProof/>
              </w:rPr>
            </w:pPr>
            <w:r>
              <w:rPr>
                <w:noProof/>
              </w:rPr>
              <w:t>Inrättande av ett välfungerande system för rapporteringskontroll för person- och godstransporter på väg</w:t>
            </w:r>
          </w:p>
        </w:tc>
      </w:tr>
      <w:tr w:rsidR="003A3D51" w14:paraId="6E3A81E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AAE79B" w14:textId="77777777" w:rsidR="003A3D51" w:rsidRDefault="0002775A">
            <w:pPr>
              <w:pStyle w:val="P68B1DB1-Normal64"/>
              <w:spacing w:after="0" w:line="240" w:lineRule="auto"/>
              <w:jc w:val="center"/>
              <w:textAlignment w:val="baseline"/>
              <w:rPr>
                <w:noProof/>
              </w:rPr>
            </w:pPr>
            <w:r>
              <w:rPr>
                <w:noProof/>
              </w:rPr>
              <w:t>97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841122" w14:textId="77777777" w:rsidR="003A3D51" w:rsidRDefault="0002775A">
            <w:pPr>
              <w:pStyle w:val="P68B1DB1-Normal64"/>
              <w:spacing w:after="0" w:line="240" w:lineRule="auto"/>
              <w:jc w:val="center"/>
              <w:textAlignment w:val="baseline"/>
              <w:rPr>
                <w:noProof/>
              </w:rPr>
            </w:pPr>
            <w:r>
              <w:rPr>
                <w:noProof/>
              </w:rPr>
              <w:t>C1.4 R1-I5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1920783"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371557" w14:textId="77777777" w:rsidR="003A3D51" w:rsidRDefault="0002775A">
            <w:pPr>
              <w:pStyle w:val="P68B1DB1-Normal64"/>
              <w:spacing w:after="0" w:line="240" w:lineRule="auto"/>
              <w:textAlignment w:val="baseline"/>
              <w:rPr>
                <w:noProof/>
              </w:rPr>
            </w:pPr>
            <w:r>
              <w:rPr>
                <w:noProof/>
              </w:rPr>
              <w:t>Utveckling av ett övervakningssystem för vägtransporter av farligt gods (e-ADR)</w:t>
            </w:r>
          </w:p>
        </w:tc>
      </w:tr>
      <w:tr w:rsidR="003A3D51" w14:paraId="3CB927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5961F7B" w14:textId="77777777" w:rsidR="003A3D51" w:rsidRDefault="0002775A">
            <w:pPr>
              <w:pStyle w:val="P68B1DB1-Normal64"/>
              <w:spacing w:after="0" w:line="240" w:lineRule="auto"/>
              <w:jc w:val="center"/>
              <w:textAlignment w:val="baseline"/>
              <w:rPr>
                <w:noProof/>
              </w:rPr>
            </w:pPr>
            <w:r>
              <w:rPr>
                <w:noProof/>
              </w:rPr>
              <w:t>100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42A419" w14:textId="77777777" w:rsidR="003A3D51" w:rsidRDefault="0002775A">
            <w:pPr>
              <w:pStyle w:val="P68B1DB1-Normal64"/>
              <w:spacing w:after="0" w:line="240" w:lineRule="auto"/>
              <w:jc w:val="center"/>
              <w:textAlignment w:val="baseline"/>
              <w:rPr>
                <w:noProof/>
              </w:rPr>
            </w:pPr>
            <w:r>
              <w:rPr>
                <w:noProof/>
              </w:rPr>
              <w:t>C1.4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69E3AEF"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F47B35F" w14:textId="77777777" w:rsidR="003A3D51" w:rsidRDefault="0002775A">
            <w:pPr>
              <w:pStyle w:val="P68B1DB1-Normal64"/>
              <w:spacing w:after="0" w:line="240" w:lineRule="auto"/>
              <w:textAlignment w:val="baseline"/>
              <w:rPr>
                <w:noProof/>
              </w:rPr>
            </w:pPr>
            <w:r>
              <w:rPr>
                <w:noProof/>
              </w:rPr>
              <w:t>Omorganisation av järnvägsföretagen och företagsledningen</w:t>
            </w:r>
          </w:p>
        </w:tc>
      </w:tr>
      <w:tr w:rsidR="003A3D51" w14:paraId="0166619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62BE5E9" w14:textId="77777777" w:rsidR="003A3D51" w:rsidRDefault="0002775A">
            <w:pPr>
              <w:pStyle w:val="P68B1DB1-Normal64"/>
              <w:spacing w:after="0" w:line="240" w:lineRule="auto"/>
              <w:jc w:val="center"/>
              <w:textAlignment w:val="baseline"/>
              <w:rPr>
                <w:noProof/>
              </w:rPr>
            </w:pPr>
            <w:r>
              <w:rPr>
                <w:noProof/>
              </w:rPr>
              <w:t>137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D1FE1C6" w14:textId="77777777" w:rsidR="003A3D51" w:rsidRDefault="0002775A">
            <w:pPr>
              <w:pStyle w:val="P68B1DB1-Normal64"/>
              <w:spacing w:after="0" w:line="240" w:lineRule="auto"/>
              <w:jc w:val="center"/>
              <w:textAlignment w:val="baseline"/>
              <w:rPr>
                <w:noProof/>
              </w:rPr>
            </w:pPr>
            <w:r>
              <w:rPr>
                <w:noProof/>
              </w:rPr>
              <w:t>C1.5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B2569BB"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5560E10" w14:textId="77777777" w:rsidR="003A3D51" w:rsidRDefault="0002775A">
            <w:pPr>
              <w:pStyle w:val="P68B1DB1-Normal64"/>
              <w:spacing w:after="0" w:line="240" w:lineRule="auto"/>
              <w:textAlignment w:val="baseline"/>
              <w:rPr>
                <w:noProof/>
              </w:rPr>
            </w:pPr>
            <w:r>
              <w:rPr>
                <w:noProof/>
              </w:rPr>
              <w:t>Inrättande av ett informationssystem för spårbarhet</w:t>
            </w:r>
          </w:p>
        </w:tc>
      </w:tr>
      <w:tr w:rsidR="003A3D51" w14:paraId="5B5C6AB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FB9C4ED" w14:textId="77777777" w:rsidR="003A3D51" w:rsidRDefault="0002775A">
            <w:pPr>
              <w:pStyle w:val="P68B1DB1-Normal64"/>
              <w:spacing w:after="0" w:line="240" w:lineRule="auto"/>
              <w:jc w:val="center"/>
              <w:textAlignment w:val="baseline"/>
              <w:rPr>
                <w:noProof/>
              </w:rPr>
            </w:pPr>
            <w:r>
              <w:rPr>
                <w:noProof/>
              </w:rPr>
              <w:t>148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4C49C5B" w14:textId="77777777" w:rsidR="003A3D51" w:rsidRDefault="0002775A">
            <w:pPr>
              <w:pStyle w:val="P68B1DB1-Normal64"/>
              <w:spacing w:after="0" w:line="240" w:lineRule="auto"/>
              <w:jc w:val="center"/>
              <w:textAlignment w:val="baseline"/>
              <w:rPr>
                <w:noProof/>
              </w:rPr>
            </w:pPr>
            <w:r>
              <w:rPr>
                <w:noProof/>
              </w:rPr>
              <w:t>C1.6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5AF0F59"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7EC9D54" w14:textId="77777777" w:rsidR="003A3D51" w:rsidRDefault="0002775A">
            <w:pPr>
              <w:pStyle w:val="P68B1DB1-Normal64"/>
              <w:spacing w:after="0" w:line="240" w:lineRule="auto"/>
              <w:textAlignment w:val="baseline"/>
              <w:rPr>
                <w:noProof/>
              </w:rPr>
            </w:pPr>
            <w:r>
              <w:rPr>
                <w:noProof/>
              </w:rPr>
              <w:t>Utbildningsprogram för att stärka kunskaper och färdigheter inom turism</w:t>
            </w:r>
          </w:p>
        </w:tc>
      </w:tr>
      <w:tr w:rsidR="003A3D51" w14:paraId="4C0C2B7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377E2F4" w14:textId="77777777" w:rsidR="003A3D51" w:rsidRDefault="0002775A">
            <w:pPr>
              <w:pStyle w:val="P68B1DB1-Normal64"/>
              <w:spacing w:after="0" w:line="240" w:lineRule="auto"/>
              <w:jc w:val="center"/>
              <w:textAlignment w:val="baseline"/>
              <w:rPr>
                <w:noProof/>
              </w:rPr>
            </w:pPr>
            <w:r>
              <w:rPr>
                <w:noProof/>
              </w:rPr>
              <w:t>164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4A5BA5" w14:textId="77777777" w:rsidR="003A3D51" w:rsidRDefault="0002775A">
            <w:pPr>
              <w:pStyle w:val="P68B1DB1-Normal64"/>
              <w:spacing w:after="0" w:line="240" w:lineRule="auto"/>
              <w:jc w:val="center"/>
              <w:textAlignment w:val="baseline"/>
              <w:rPr>
                <w:noProof/>
              </w:rPr>
            </w:pPr>
            <w:r>
              <w:rPr>
                <w:noProof/>
              </w:rPr>
              <w:t>C2.2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4AA9AD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002F209" w14:textId="77777777" w:rsidR="003A3D51" w:rsidRDefault="0002775A">
            <w:pPr>
              <w:pStyle w:val="P68B1DB1-Normal64"/>
              <w:spacing w:after="0" w:line="240" w:lineRule="auto"/>
              <w:textAlignment w:val="baseline"/>
              <w:rPr>
                <w:noProof/>
              </w:rPr>
            </w:pPr>
            <w:r>
              <w:rPr>
                <w:noProof/>
              </w:rPr>
              <w:t>100 % av alla nyrekryterade, fast anställda tjänstemän i offentliga organ anställs uteslutande genom ett nytt centraliserat, digitaliserat och standardiserat urvals- och rekryteringssystem som finns tillgängligt via en nyutvecklad it-plattform.</w:t>
            </w:r>
          </w:p>
        </w:tc>
      </w:tr>
      <w:tr w:rsidR="003A3D51" w14:paraId="5BADA5F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9ED7404" w14:textId="77777777" w:rsidR="003A3D51" w:rsidRDefault="0002775A">
            <w:pPr>
              <w:pStyle w:val="P68B1DB1-Normal64"/>
              <w:spacing w:after="0" w:line="240" w:lineRule="auto"/>
              <w:jc w:val="center"/>
              <w:textAlignment w:val="baseline"/>
              <w:rPr>
                <w:noProof/>
              </w:rPr>
            </w:pPr>
            <w:r>
              <w:rPr>
                <w:noProof/>
              </w:rPr>
              <w:t>178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5887EDD" w14:textId="77777777" w:rsidR="003A3D51" w:rsidRDefault="0002775A">
            <w:pPr>
              <w:pStyle w:val="P68B1DB1-Normal64"/>
              <w:spacing w:after="0" w:line="240" w:lineRule="auto"/>
              <w:jc w:val="center"/>
              <w:textAlignment w:val="baseline"/>
              <w:rPr>
                <w:noProof/>
              </w:rPr>
            </w:pPr>
            <w:r>
              <w:rPr>
                <w:noProof/>
              </w:rPr>
              <w:t>C2.3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077D415"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00FDD67" w14:textId="77777777" w:rsidR="003A3D51" w:rsidRDefault="0002775A">
            <w:pPr>
              <w:pStyle w:val="P68B1DB1-Normal64"/>
              <w:spacing w:after="0" w:line="240" w:lineRule="auto"/>
              <w:textAlignment w:val="baseline"/>
              <w:rPr>
                <w:noProof/>
              </w:rPr>
            </w:pPr>
            <w:r>
              <w:rPr>
                <w:noProof/>
              </w:rPr>
              <w:t>Inrättande av det centrala interoperabilitetssystemet</w:t>
            </w:r>
          </w:p>
        </w:tc>
      </w:tr>
      <w:tr w:rsidR="003A3D51" w14:paraId="405F908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FC4BDA3" w14:textId="77777777" w:rsidR="003A3D51" w:rsidRDefault="0002775A">
            <w:pPr>
              <w:pStyle w:val="P68B1DB1-Normal64"/>
              <w:spacing w:after="0" w:line="240" w:lineRule="auto"/>
              <w:jc w:val="center"/>
              <w:textAlignment w:val="baseline"/>
              <w:rPr>
                <w:noProof/>
              </w:rPr>
            </w:pPr>
            <w:r>
              <w:rPr>
                <w:noProof/>
              </w:rPr>
              <w:t>185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ABE5F1" w14:textId="77777777" w:rsidR="003A3D51" w:rsidRDefault="0002775A">
            <w:pPr>
              <w:pStyle w:val="P68B1DB1-Normal64"/>
              <w:spacing w:after="0" w:line="240" w:lineRule="auto"/>
              <w:jc w:val="center"/>
              <w:textAlignment w:val="baseline"/>
              <w:rPr>
                <w:noProof/>
              </w:rPr>
            </w:pPr>
            <w:r>
              <w:rPr>
                <w:noProof/>
              </w:rPr>
              <w:t>C2.3 R3-I5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2A10C3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75E86A1" w14:textId="77777777" w:rsidR="003A3D51" w:rsidRDefault="0002775A">
            <w:pPr>
              <w:pStyle w:val="P68B1DB1-Normal64"/>
              <w:spacing w:after="0" w:line="240" w:lineRule="auto"/>
              <w:textAlignment w:val="baseline"/>
              <w:rPr>
                <w:noProof/>
              </w:rPr>
            </w:pPr>
            <w:r>
              <w:rPr>
                <w:noProof/>
              </w:rPr>
              <w:t>E-signatur för digitala identitetskort</w:t>
            </w:r>
          </w:p>
        </w:tc>
      </w:tr>
      <w:tr w:rsidR="003A3D51" w14:paraId="03995E8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375951" w14:textId="77777777" w:rsidR="003A3D51" w:rsidRDefault="0002775A">
            <w:pPr>
              <w:pStyle w:val="P68B1DB1-Normal64"/>
              <w:spacing w:after="0" w:line="240" w:lineRule="auto"/>
              <w:jc w:val="center"/>
              <w:textAlignment w:val="baseline"/>
              <w:rPr>
                <w:noProof/>
              </w:rPr>
            </w:pPr>
            <w:r>
              <w:rPr>
                <w:noProof/>
              </w:rPr>
              <w:t>186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F6A3199" w14:textId="77777777" w:rsidR="003A3D51" w:rsidRDefault="0002775A">
            <w:pPr>
              <w:pStyle w:val="P68B1DB1-Normal64"/>
              <w:spacing w:after="0" w:line="240" w:lineRule="auto"/>
              <w:jc w:val="center"/>
              <w:textAlignment w:val="baseline"/>
              <w:rPr>
                <w:noProof/>
              </w:rPr>
            </w:pPr>
            <w:r>
              <w:rPr>
                <w:noProof/>
              </w:rPr>
              <w:t>C2.3 R3-I6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7FD84C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3DAFFF0" w14:textId="77777777" w:rsidR="003A3D51" w:rsidRDefault="0002775A">
            <w:pPr>
              <w:pStyle w:val="P68B1DB1-Normal64"/>
              <w:spacing w:after="0" w:line="240" w:lineRule="auto"/>
              <w:textAlignment w:val="baseline"/>
              <w:rPr>
                <w:noProof/>
              </w:rPr>
            </w:pPr>
            <w:r>
              <w:rPr>
                <w:noProof/>
              </w:rPr>
              <w:t>Inrättande av det statliga informationsnätet (DII)</w:t>
            </w:r>
          </w:p>
        </w:tc>
      </w:tr>
      <w:tr w:rsidR="003A3D51" w14:paraId="5CBE81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CC0755" w14:textId="77777777" w:rsidR="003A3D51" w:rsidRDefault="0002775A">
            <w:pPr>
              <w:pStyle w:val="P68B1DB1-Normal64"/>
              <w:spacing w:after="0" w:line="240" w:lineRule="auto"/>
              <w:jc w:val="center"/>
              <w:textAlignment w:val="baseline"/>
              <w:rPr>
                <w:noProof/>
              </w:rPr>
            </w:pPr>
            <w:r>
              <w:rPr>
                <w:noProof/>
              </w:rPr>
              <w:t>190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7421AC1" w14:textId="77777777" w:rsidR="003A3D51" w:rsidRDefault="0002775A">
            <w:pPr>
              <w:pStyle w:val="P68B1DB1-Normal64"/>
              <w:spacing w:after="0" w:line="240" w:lineRule="auto"/>
              <w:jc w:val="center"/>
              <w:textAlignment w:val="baseline"/>
              <w:rPr>
                <w:noProof/>
              </w:rPr>
            </w:pPr>
            <w:r>
              <w:rPr>
                <w:noProof/>
              </w:rPr>
              <w:t>C2.3 R3-I8</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E090D8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C596684" w14:textId="77777777" w:rsidR="003A3D51" w:rsidRDefault="0002775A">
            <w:pPr>
              <w:pStyle w:val="P68B1DB1-Normal64"/>
              <w:spacing w:after="0" w:line="240" w:lineRule="auto"/>
              <w:textAlignment w:val="baseline"/>
              <w:rPr>
                <w:noProof/>
              </w:rPr>
            </w:pPr>
            <w:r>
              <w:rPr>
                <w:noProof/>
              </w:rPr>
              <w:t xml:space="preserve">Digitala e-offentliga tjänster som är integrerade i den nya mobila plattformen </w:t>
            </w:r>
          </w:p>
        </w:tc>
      </w:tr>
      <w:tr w:rsidR="003A3D51" w14:paraId="724DBDF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74A09A" w14:textId="77777777" w:rsidR="003A3D51" w:rsidRDefault="0002775A">
            <w:pPr>
              <w:pStyle w:val="P68B1DB1-Normal64"/>
              <w:spacing w:after="0" w:line="240" w:lineRule="auto"/>
              <w:jc w:val="center"/>
              <w:textAlignment w:val="baseline"/>
              <w:rPr>
                <w:noProof/>
              </w:rPr>
            </w:pPr>
            <w:r>
              <w:rPr>
                <w:noProof/>
              </w:rPr>
              <w:t>199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C41FE0C" w14:textId="77777777" w:rsidR="003A3D51" w:rsidRDefault="0002775A">
            <w:pPr>
              <w:pStyle w:val="P68B1DB1-Normal64"/>
              <w:spacing w:after="0" w:line="240" w:lineRule="auto"/>
              <w:jc w:val="center"/>
              <w:textAlignment w:val="baseline"/>
              <w:rPr>
                <w:noProof/>
              </w:rPr>
            </w:pPr>
            <w:r>
              <w:rPr>
                <w:noProof/>
              </w:rPr>
              <w:t>C2.3 R3-I14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ABC04D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12E7A6" w14:textId="77777777" w:rsidR="003A3D51" w:rsidRDefault="0002775A">
            <w:pPr>
              <w:pStyle w:val="P68B1DB1-Normal64"/>
              <w:spacing w:after="0" w:line="240" w:lineRule="auto"/>
              <w:textAlignment w:val="baseline"/>
              <w:rPr>
                <w:noProof/>
              </w:rPr>
            </w:pPr>
            <w:r>
              <w:rPr>
                <w:noProof/>
              </w:rPr>
              <w:t xml:space="preserve">System för e-fakturor och momsredovisning online </w:t>
            </w:r>
          </w:p>
        </w:tc>
      </w:tr>
      <w:tr w:rsidR="003A3D51" w14:paraId="782FD67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B7CC34F" w14:textId="77777777" w:rsidR="003A3D51" w:rsidRDefault="0002775A">
            <w:pPr>
              <w:pStyle w:val="P68B1DB1-Normal64"/>
              <w:spacing w:after="0" w:line="240" w:lineRule="auto"/>
              <w:jc w:val="center"/>
              <w:textAlignment w:val="baseline"/>
              <w:rPr>
                <w:noProof/>
              </w:rPr>
            </w:pPr>
            <w:r>
              <w:rPr>
                <w:noProof/>
              </w:rPr>
              <w:t>212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C5D71CF" w14:textId="77777777" w:rsidR="003A3D51" w:rsidRDefault="0002775A">
            <w:pPr>
              <w:pStyle w:val="P68B1DB1-Normal64"/>
              <w:spacing w:after="0" w:line="240" w:lineRule="auto"/>
              <w:jc w:val="center"/>
              <w:textAlignment w:val="baseline"/>
              <w:rPr>
                <w:noProof/>
              </w:rPr>
            </w:pPr>
            <w:r>
              <w:rPr>
                <w:noProof/>
              </w:rPr>
              <w:t>C2.4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7E3F04F"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E86E5EE" w14:textId="77777777" w:rsidR="003A3D51" w:rsidRDefault="0002775A">
            <w:pPr>
              <w:pStyle w:val="P68B1DB1-Normal64"/>
              <w:spacing w:after="0" w:line="240" w:lineRule="auto"/>
              <w:textAlignment w:val="baseline"/>
              <w:rPr>
                <w:noProof/>
              </w:rPr>
            </w:pPr>
            <w:r>
              <w:rPr>
                <w:noProof/>
              </w:rPr>
              <w:t xml:space="preserve">Utveckla ett it-system och en metod för minskning av statsägda fastighetsportföljer och snabbare och effektivare aktivering av outnyttjade statliga tillgångar. </w:t>
            </w:r>
          </w:p>
        </w:tc>
      </w:tr>
      <w:tr w:rsidR="003A3D51" w14:paraId="3E43710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44835A" w14:textId="77777777" w:rsidR="003A3D51" w:rsidRDefault="0002775A">
            <w:pPr>
              <w:pStyle w:val="P68B1DB1-Normal64"/>
              <w:spacing w:after="0" w:line="240" w:lineRule="auto"/>
              <w:jc w:val="center"/>
              <w:textAlignment w:val="baseline"/>
              <w:rPr>
                <w:noProof/>
              </w:rPr>
            </w:pPr>
            <w:r>
              <w:rPr>
                <w:noProof/>
              </w:rPr>
              <w:t>224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6FFCF9" w14:textId="77777777" w:rsidR="003A3D51" w:rsidRDefault="0002775A">
            <w:pPr>
              <w:pStyle w:val="P68B1DB1-Normal64"/>
              <w:spacing w:after="0" w:line="240" w:lineRule="auto"/>
              <w:jc w:val="center"/>
              <w:textAlignment w:val="baseline"/>
              <w:rPr>
                <w:noProof/>
              </w:rPr>
            </w:pPr>
            <w:r>
              <w:rPr>
                <w:noProof/>
              </w:rPr>
              <w:t>C2.5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44897CD"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FF467EA" w14:textId="77777777" w:rsidR="003A3D51" w:rsidRDefault="0002775A">
            <w:pPr>
              <w:pStyle w:val="P68B1DB1-Normal64"/>
              <w:spacing w:after="0" w:line="240" w:lineRule="auto"/>
              <w:textAlignment w:val="baseline"/>
              <w:rPr>
                <w:noProof/>
              </w:rPr>
            </w:pPr>
            <w:r>
              <w:rPr>
                <w:noProof/>
              </w:rPr>
              <w:t>Alla nya domstolsbeslut i första och andra instans som avslutar förfaranden anonymiseras och offentliggörs på portalen.</w:t>
            </w:r>
          </w:p>
        </w:tc>
      </w:tr>
      <w:tr w:rsidR="003A3D51" w14:paraId="103CA9F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C54A88F" w14:textId="77777777" w:rsidR="003A3D51" w:rsidRDefault="0002775A">
            <w:pPr>
              <w:pStyle w:val="P68B1DB1-Normal64"/>
              <w:spacing w:after="0" w:line="240" w:lineRule="auto"/>
              <w:jc w:val="center"/>
              <w:textAlignment w:val="baseline"/>
              <w:rPr>
                <w:noProof/>
              </w:rPr>
            </w:pPr>
            <w:r>
              <w:rPr>
                <w:noProof/>
              </w:rPr>
              <w:t>226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6D34F91" w14:textId="77777777" w:rsidR="003A3D51" w:rsidRDefault="0002775A">
            <w:pPr>
              <w:pStyle w:val="P68B1DB1-Normal64"/>
              <w:spacing w:after="0" w:line="240" w:lineRule="auto"/>
              <w:jc w:val="center"/>
              <w:textAlignment w:val="baseline"/>
              <w:rPr>
                <w:noProof/>
              </w:rPr>
            </w:pPr>
            <w:r>
              <w:rPr>
                <w:noProof/>
              </w:rPr>
              <w:t>C2.5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A02A71"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28916CD" w14:textId="77777777" w:rsidR="003A3D51" w:rsidRDefault="0002775A">
            <w:pPr>
              <w:pStyle w:val="P68B1DB1-Normal64"/>
              <w:spacing w:after="0" w:line="240" w:lineRule="auto"/>
              <w:textAlignment w:val="baseline"/>
              <w:rPr>
                <w:noProof/>
              </w:rPr>
            </w:pPr>
            <w:r>
              <w:rPr>
                <w:noProof/>
              </w:rPr>
              <w:t>Uppgraderat eSpis-system med nya funktioner och ny arkitektur som är integrerad i det delade servicecentret (CDU)</w:t>
            </w:r>
          </w:p>
        </w:tc>
      </w:tr>
      <w:tr w:rsidR="003A3D51" w14:paraId="087900B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2503295" w14:textId="77777777" w:rsidR="003A3D51" w:rsidRDefault="0002775A">
            <w:pPr>
              <w:pStyle w:val="P68B1DB1-Normal64"/>
              <w:spacing w:after="0" w:line="240" w:lineRule="auto"/>
              <w:jc w:val="center"/>
              <w:textAlignment w:val="baseline"/>
              <w:rPr>
                <w:noProof/>
              </w:rPr>
            </w:pPr>
            <w:r>
              <w:rPr>
                <w:noProof/>
              </w:rPr>
              <w:t>252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B1422A" w14:textId="77777777" w:rsidR="003A3D51" w:rsidRDefault="0002775A">
            <w:pPr>
              <w:pStyle w:val="P68B1DB1-Normal64"/>
              <w:spacing w:after="0" w:line="240" w:lineRule="auto"/>
              <w:jc w:val="center"/>
              <w:textAlignment w:val="baseline"/>
              <w:rPr>
                <w:noProof/>
              </w:rPr>
            </w:pPr>
            <w:r>
              <w:rPr>
                <w:noProof/>
              </w:rPr>
              <w:t>C2.8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0441C6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0026F69" w14:textId="77777777" w:rsidR="003A3D51" w:rsidRDefault="0002775A">
            <w:pPr>
              <w:pStyle w:val="P68B1DB1-Normal64"/>
              <w:spacing w:after="0" w:line="240" w:lineRule="auto"/>
              <w:textAlignment w:val="baseline"/>
              <w:rPr>
                <w:noProof/>
              </w:rPr>
            </w:pPr>
            <w:r>
              <w:rPr>
                <w:noProof/>
              </w:rPr>
              <w:t xml:space="preserve">Stärka tillsynen genom regelbundna möten i den interinstitutionella arbetsgruppen för tillsyn </w:t>
            </w:r>
          </w:p>
        </w:tc>
      </w:tr>
      <w:tr w:rsidR="003A3D51" w14:paraId="76EF167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51E229C" w14:textId="77777777" w:rsidR="003A3D51" w:rsidRDefault="0002775A">
            <w:pPr>
              <w:pStyle w:val="P68B1DB1-Normal64"/>
              <w:spacing w:after="0" w:line="240" w:lineRule="auto"/>
              <w:jc w:val="center"/>
              <w:textAlignment w:val="baseline"/>
              <w:rPr>
                <w:noProof/>
              </w:rPr>
            </w:pPr>
            <w:r>
              <w:rPr>
                <w:noProof/>
              </w:rPr>
              <w:t>277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0228D3F" w14:textId="77777777" w:rsidR="003A3D51" w:rsidRDefault="0002775A">
            <w:pPr>
              <w:pStyle w:val="P68B1DB1-Normal64"/>
              <w:spacing w:after="0" w:line="240" w:lineRule="auto"/>
              <w:jc w:val="center"/>
              <w:textAlignment w:val="baseline"/>
              <w:rPr>
                <w:noProof/>
              </w:rPr>
            </w:pPr>
            <w:r>
              <w:rPr>
                <w:noProof/>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89163C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CAEBF56" w14:textId="77777777" w:rsidR="003A3D51" w:rsidRDefault="0002775A">
            <w:pPr>
              <w:pStyle w:val="P68B1DB1-Normal64"/>
              <w:spacing w:after="0" w:line="240" w:lineRule="auto"/>
              <w:textAlignment w:val="baseline"/>
              <w:rPr>
                <w:noProof/>
              </w:rPr>
            </w:pPr>
            <w:r>
              <w:rPr>
                <w:noProof/>
              </w:rPr>
              <w:t>Andel universitet eller forskningsinstitut som har undertecknat programavtal</w:t>
            </w:r>
          </w:p>
        </w:tc>
      </w:tr>
      <w:tr w:rsidR="003A3D51" w14:paraId="0B0F009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4D3EA7DB" w14:textId="77777777" w:rsidR="003A3D51" w:rsidRDefault="0002775A">
            <w:pPr>
              <w:pStyle w:val="P68B1DB1-Normal66"/>
              <w:spacing w:after="0" w:line="240" w:lineRule="auto"/>
              <w:jc w:val="center"/>
              <w:textAlignment w:val="baseline"/>
              <w:rPr>
                <w:noProof/>
              </w:rPr>
            </w:pPr>
            <w:r>
              <w:rPr>
                <w:noProof/>
              </w:rPr>
              <w:t>288</w:t>
            </w:r>
          </w:p>
        </w:tc>
        <w:tc>
          <w:tcPr>
            <w:tcW w:w="1639" w:type="dxa"/>
            <w:tcBorders>
              <w:top w:val="single" w:sz="6" w:space="0" w:color="auto"/>
              <w:left w:val="nil"/>
              <w:bottom w:val="single" w:sz="6" w:space="0" w:color="auto"/>
              <w:right w:val="single" w:sz="6" w:space="0" w:color="auto"/>
            </w:tcBorders>
            <w:shd w:val="clear" w:color="auto" w:fill="C6EFCE"/>
          </w:tcPr>
          <w:p w14:paraId="77BA4C81" w14:textId="77777777" w:rsidR="003A3D51" w:rsidRDefault="0002775A">
            <w:pPr>
              <w:pStyle w:val="P68B1DB1-Normal66"/>
              <w:spacing w:after="0" w:line="240" w:lineRule="auto"/>
              <w:jc w:val="center"/>
              <w:textAlignment w:val="baseline"/>
              <w:rPr>
                <w:noProof/>
              </w:rPr>
            </w:pPr>
            <w:r>
              <w:rPr>
                <w:noProof/>
              </w:rPr>
              <w:t>C4.1 R2</w:t>
            </w:r>
          </w:p>
        </w:tc>
        <w:tc>
          <w:tcPr>
            <w:tcW w:w="1274" w:type="dxa"/>
            <w:tcBorders>
              <w:top w:val="single" w:sz="6" w:space="0" w:color="auto"/>
              <w:left w:val="nil"/>
              <w:bottom w:val="single" w:sz="6" w:space="0" w:color="auto"/>
              <w:right w:val="single" w:sz="6" w:space="0" w:color="auto"/>
            </w:tcBorders>
            <w:shd w:val="clear" w:color="auto" w:fill="C6EFCE"/>
          </w:tcPr>
          <w:p w14:paraId="4115E9CC" w14:textId="77777777" w:rsidR="003A3D51" w:rsidRDefault="0002775A">
            <w:pPr>
              <w:pStyle w:val="P68B1DB1-Normal66"/>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00B7178C" w14:textId="77777777" w:rsidR="003A3D51" w:rsidRDefault="0002775A">
            <w:pPr>
              <w:pStyle w:val="P68B1DB1-Normal66"/>
              <w:spacing w:after="0" w:line="240" w:lineRule="auto"/>
              <w:textAlignment w:val="baseline"/>
              <w:rPr>
                <w:noProof/>
              </w:rPr>
            </w:pPr>
            <w:r>
              <w:rPr>
                <w:noProof/>
              </w:rPr>
              <w:t>Ikraftträdande av ändringarna i arbetsmarknadslagen</w:t>
            </w:r>
          </w:p>
        </w:tc>
      </w:tr>
      <w:tr w:rsidR="003A3D51" w14:paraId="3FF90FB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995A90C" w14:textId="77777777" w:rsidR="003A3D51" w:rsidRDefault="0002775A">
            <w:pPr>
              <w:pStyle w:val="P68B1DB1-Normal64"/>
              <w:spacing w:after="0" w:line="240" w:lineRule="auto"/>
              <w:jc w:val="center"/>
              <w:textAlignment w:val="baseline"/>
              <w:rPr>
                <w:noProof/>
              </w:rPr>
            </w:pPr>
            <w:r>
              <w:rPr>
                <w:noProof/>
              </w:rPr>
              <w:t>289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D8305B1" w14:textId="77777777" w:rsidR="003A3D51" w:rsidRDefault="0002775A">
            <w:pPr>
              <w:pStyle w:val="P68B1DB1-Normal64"/>
              <w:spacing w:after="0" w:line="240" w:lineRule="auto"/>
              <w:jc w:val="center"/>
              <w:textAlignment w:val="baseline"/>
              <w:rPr>
                <w:noProof/>
              </w:rPr>
            </w:pPr>
            <w:r>
              <w:rPr>
                <w:noProof/>
              </w:rPr>
              <w:t>C4.1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67E2EAC"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1D12805" w14:textId="77777777" w:rsidR="003A3D51" w:rsidRDefault="0002775A">
            <w:pPr>
              <w:pStyle w:val="P68B1DB1-Normal64"/>
              <w:spacing w:after="0" w:line="240" w:lineRule="auto"/>
              <w:textAlignment w:val="baseline"/>
              <w:rPr>
                <w:noProof/>
              </w:rPr>
            </w:pPr>
            <w:r>
              <w:rPr>
                <w:noProof/>
              </w:rPr>
              <w:t xml:space="preserve">Förbättrad kvalitet på stödet till utsatta grupper </w:t>
            </w:r>
          </w:p>
        </w:tc>
      </w:tr>
      <w:tr w:rsidR="003A3D51" w14:paraId="7C71E6C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0DDFA9C" w14:textId="77777777" w:rsidR="003A3D51" w:rsidRDefault="0002775A">
            <w:pPr>
              <w:pStyle w:val="P68B1DB1-Normal64"/>
              <w:spacing w:after="0" w:line="240" w:lineRule="auto"/>
              <w:jc w:val="center"/>
              <w:textAlignment w:val="baseline"/>
              <w:rPr>
                <w:noProof/>
              </w:rPr>
            </w:pPr>
            <w:r>
              <w:rPr>
                <w:noProof/>
              </w:rPr>
              <w:t>305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EE425E9" w14:textId="77777777" w:rsidR="003A3D51" w:rsidRDefault="0002775A">
            <w:pPr>
              <w:pStyle w:val="P68B1DB1-Normal64"/>
              <w:spacing w:after="0" w:line="240" w:lineRule="auto"/>
              <w:jc w:val="center"/>
              <w:textAlignment w:val="baseline"/>
              <w:rPr>
                <w:noProof/>
              </w:rPr>
            </w:pPr>
            <w:r>
              <w:rPr>
                <w:noProof/>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8F436C"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01A4FBE" w14:textId="77777777" w:rsidR="003A3D51" w:rsidRDefault="0002775A">
            <w:pPr>
              <w:pStyle w:val="P68B1DB1-Normal64"/>
              <w:spacing w:after="0" w:line="240" w:lineRule="auto"/>
              <w:textAlignment w:val="baseline"/>
              <w:rPr>
                <w:noProof/>
              </w:rPr>
            </w:pPr>
            <w:r>
              <w:rPr>
                <w:noProof/>
              </w:rPr>
              <w:t xml:space="preserve">Antagande av en normativ regel om funktionellt integrerade sociala förmåner </w:t>
            </w:r>
          </w:p>
        </w:tc>
      </w:tr>
      <w:tr w:rsidR="003A3D51" w14:paraId="0DF588A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8AED6A1" w14:textId="77777777" w:rsidR="003A3D51" w:rsidRDefault="0002775A">
            <w:pPr>
              <w:pStyle w:val="P68B1DB1-Normal64"/>
              <w:spacing w:after="0" w:line="240" w:lineRule="auto"/>
              <w:jc w:val="center"/>
              <w:textAlignment w:val="baseline"/>
              <w:rPr>
                <w:noProof/>
              </w:rPr>
            </w:pPr>
            <w:r>
              <w:rPr>
                <w:noProof/>
              </w:rPr>
              <w:t>308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66CA7D8" w14:textId="77777777" w:rsidR="003A3D51" w:rsidRDefault="0002775A">
            <w:pPr>
              <w:pStyle w:val="P68B1DB1-Normal64"/>
              <w:spacing w:after="0" w:line="240" w:lineRule="auto"/>
              <w:jc w:val="center"/>
              <w:textAlignment w:val="baseline"/>
              <w:rPr>
                <w:noProof/>
              </w:rPr>
            </w:pPr>
            <w:r>
              <w:rPr>
                <w:noProof/>
              </w:rPr>
              <w:t>C4.3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16FDCA4"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B704AE2" w14:textId="77777777" w:rsidR="003A3D51" w:rsidRDefault="0002775A">
            <w:pPr>
              <w:pStyle w:val="P68B1DB1-Normal64"/>
              <w:spacing w:after="0" w:line="240" w:lineRule="auto"/>
              <w:textAlignment w:val="baseline"/>
              <w:rPr>
                <w:noProof/>
              </w:rPr>
            </w:pPr>
            <w:r>
              <w:rPr>
                <w:noProof/>
              </w:rPr>
              <w:t>Digital tillgång till information om sociala förmåner på nationell nivå</w:t>
            </w:r>
          </w:p>
        </w:tc>
      </w:tr>
      <w:tr w:rsidR="003A3D51" w14:paraId="255015B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F878219" w14:textId="77777777" w:rsidR="003A3D51" w:rsidRDefault="0002775A">
            <w:pPr>
              <w:pStyle w:val="P68B1DB1-Normal64"/>
              <w:spacing w:after="0" w:line="240" w:lineRule="auto"/>
              <w:jc w:val="center"/>
              <w:textAlignment w:val="baseline"/>
              <w:rPr>
                <w:noProof/>
              </w:rPr>
            </w:pPr>
            <w:r>
              <w:rPr>
                <w:noProof/>
              </w:rPr>
              <w:t>314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C96CB5B" w14:textId="77777777" w:rsidR="003A3D51" w:rsidRDefault="0002775A">
            <w:pPr>
              <w:pStyle w:val="P68B1DB1-Normal64"/>
              <w:spacing w:after="0" w:line="240" w:lineRule="auto"/>
              <w:jc w:val="center"/>
              <w:textAlignment w:val="baseline"/>
              <w:rPr>
                <w:noProof/>
              </w:rPr>
            </w:pPr>
            <w:r>
              <w:rPr>
                <w:noProof/>
              </w:rPr>
              <w:t>C4.3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004267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449D37" w14:textId="77777777" w:rsidR="003A3D51" w:rsidRDefault="0002775A">
            <w:pPr>
              <w:pStyle w:val="P68B1DB1-Normal64"/>
              <w:spacing w:after="0" w:line="240" w:lineRule="auto"/>
              <w:textAlignment w:val="baseline"/>
              <w:rPr>
                <w:noProof/>
              </w:rPr>
            </w:pPr>
            <w:r>
              <w:rPr>
                <w:noProof/>
              </w:rPr>
              <w:t>Stärka den mänskliga kapaciteten att tillhandahålla samhällsbaserade tjänster</w:t>
            </w:r>
          </w:p>
        </w:tc>
      </w:tr>
      <w:tr w:rsidR="003A3D51" w14:paraId="0641E14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5E7D1B" w14:textId="5952D14F" w:rsidR="003A3D51" w:rsidRDefault="0002775A">
            <w:pPr>
              <w:pStyle w:val="P68B1DB1-Normal64"/>
              <w:spacing w:after="0" w:line="240" w:lineRule="auto"/>
              <w:jc w:val="center"/>
              <w:textAlignment w:val="baseline"/>
              <w:rPr>
                <w:noProof/>
              </w:rPr>
            </w:pPr>
            <w:r>
              <w:rPr>
                <w:noProof/>
              </w:rPr>
              <w:t>378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FF223F1"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75991B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2371588" w14:textId="77777777" w:rsidR="003A3D51" w:rsidRDefault="0002775A">
            <w:pPr>
              <w:pStyle w:val="P68B1DB1-Normal64"/>
              <w:spacing w:after="0" w:line="240" w:lineRule="auto"/>
              <w:textAlignment w:val="baseline"/>
              <w:rPr>
                <w:noProof/>
              </w:rPr>
            </w:pPr>
            <w:r>
              <w:rPr>
                <w:noProof/>
              </w:rPr>
              <w:t>Ikraftträdande av förordningen om deponeringsskatt</w:t>
            </w:r>
          </w:p>
        </w:tc>
      </w:tr>
      <w:tr w:rsidR="003A3D51" w14:paraId="2AA8A21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286BC5E5"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tcPr>
          <w:p w14:paraId="4993B403" w14:textId="77777777" w:rsidR="003A3D51" w:rsidRDefault="003A3D51">
            <w:pPr>
              <w:spacing w:after="0" w:line="240" w:lineRule="auto"/>
              <w:jc w:val="both"/>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tcPr>
          <w:p w14:paraId="426DBE6B" w14:textId="77777777" w:rsidR="003A3D51" w:rsidRDefault="0002775A">
            <w:pPr>
              <w:pStyle w:val="P68B1DB1-Normal64"/>
              <w:spacing w:after="0" w:line="240" w:lineRule="auto"/>
              <w:jc w:val="both"/>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72ED4DC" w14:textId="77777777" w:rsidR="003A3D51" w:rsidRDefault="0002775A">
            <w:pPr>
              <w:pStyle w:val="P68B1DB1-Normal64"/>
              <w:spacing w:after="0" w:line="240" w:lineRule="auto"/>
              <w:textAlignment w:val="baseline"/>
              <w:rPr>
                <w:noProof/>
              </w:rPr>
            </w:pPr>
            <w:r>
              <w:rPr>
                <w:noProof/>
              </w:rPr>
              <w:t>607 246 171 EUR</w:t>
            </w:r>
          </w:p>
        </w:tc>
      </w:tr>
    </w:tbl>
    <w:p w14:paraId="225E04C0"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0BE8F16D" w14:textId="77777777" w:rsidR="003A3D51" w:rsidRDefault="0002775A">
      <w:pPr>
        <w:pStyle w:val="P68B1DB1-ListParagraph65"/>
        <w:pageBreakBefore/>
        <w:numPr>
          <w:ilvl w:val="0"/>
          <w:numId w:val="49"/>
        </w:numPr>
        <w:spacing w:line="240" w:lineRule="auto"/>
        <w:ind w:left="714" w:hanging="357"/>
        <w:jc w:val="both"/>
        <w:textAlignment w:val="baseline"/>
        <w:rPr>
          <w:noProof/>
        </w:rPr>
      </w:pPr>
      <w:r>
        <w:rPr>
          <w:noProof/>
        </w:rPr>
        <w:t xml:space="preserve">Åttonde delbetalningen (icke återbetalningspliktigt stöd): </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2"/>
        <w:gridCol w:w="1272"/>
        <w:gridCol w:w="5309"/>
      </w:tblGrid>
      <w:tr w:rsidR="003A3D51" w14:paraId="437346C3" w14:textId="77777777">
        <w:trPr>
          <w:trHeight w:val="458"/>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2829481"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687CB4A"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28EB918"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385F84B8"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48CDB39D"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86E6EFF"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FA50366"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8806D4B"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71EDBF38" w14:textId="77777777" w:rsidR="003A3D51" w:rsidRDefault="003A3D51">
            <w:pPr>
              <w:spacing w:after="0" w:line="240" w:lineRule="auto"/>
              <w:rPr>
                <w:rFonts w:ascii="Times New Roman" w:eastAsia="Times New Roman" w:hAnsi="Times New Roman" w:cs="Times New Roman"/>
                <w:noProof/>
                <w:sz w:val="20"/>
              </w:rPr>
            </w:pPr>
          </w:p>
        </w:tc>
      </w:tr>
      <w:tr w:rsidR="003A3D51" w14:paraId="5BF2B3BD"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16707A02" w14:textId="77777777" w:rsidR="003A3D51" w:rsidRDefault="0002775A">
            <w:pPr>
              <w:pStyle w:val="P68B1DB1-Normal64"/>
              <w:spacing w:after="0" w:line="240" w:lineRule="auto"/>
              <w:jc w:val="center"/>
              <w:textAlignment w:val="baseline"/>
              <w:rPr>
                <w:rFonts w:eastAsia="Times New Roman"/>
                <w:noProof/>
              </w:rPr>
            </w:pPr>
            <w:r>
              <w:rPr>
                <w:noProof/>
              </w:rPr>
              <w:t>30</w:t>
            </w:r>
          </w:p>
        </w:tc>
        <w:tc>
          <w:tcPr>
            <w:tcW w:w="1639" w:type="dxa"/>
            <w:tcBorders>
              <w:top w:val="nil"/>
              <w:left w:val="nil"/>
              <w:bottom w:val="single" w:sz="6" w:space="0" w:color="auto"/>
              <w:right w:val="single" w:sz="6" w:space="0" w:color="auto"/>
            </w:tcBorders>
            <w:shd w:val="clear" w:color="auto" w:fill="C6EFCE"/>
            <w:vAlign w:val="center"/>
            <w:hideMark/>
          </w:tcPr>
          <w:p w14:paraId="74056EBF" w14:textId="77777777" w:rsidR="003A3D51" w:rsidRDefault="0002775A">
            <w:pPr>
              <w:pStyle w:val="P68B1DB1-Normal64"/>
              <w:spacing w:after="0" w:line="240" w:lineRule="auto"/>
              <w:jc w:val="center"/>
              <w:textAlignment w:val="baseline"/>
              <w:rPr>
                <w:rFonts w:eastAsia="Times New Roman"/>
                <w:noProof/>
              </w:rPr>
            </w:pPr>
            <w:r>
              <w:rPr>
                <w:noProof/>
              </w:rPr>
              <w:t>C1.1.2 R2-I3</w:t>
            </w:r>
          </w:p>
        </w:tc>
        <w:tc>
          <w:tcPr>
            <w:tcW w:w="1274" w:type="dxa"/>
            <w:tcBorders>
              <w:top w:val="nil"/>
              <w:left w:val="nil"/>
              <w:bottom w:val="single" w:sz="6" w:space="0" w:color="auto"/>
              <w:right w:val="single" w:sz="6" w:space="0" w:color="auto"/>
            </w:tcBorders>
            <w:shd w:val="clear" w:color="auto" w:fill="C6EFCE"/>
            <w:vAlign w:val="center"/>
            <w:hideMark/>
          </w:tcPr>
          <w:p w14:paraId="0F76954B"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534A141E" w14:textId="77777777" w:rsidR="003A3D51" w:rsidRDefault="0002775A">
            <w:pPr>
              <w:pStyle w:val="P68B1DB1-Normal64"/>
              <w:spacing w:after="0" w:line="240" w:lineRule="auto"/>
              <w:textAlignment w:val="baseline"/>
              <w:rPr>
                <w:rFonts w:eastAsia="Times New Roman"/>
                <w:noProof/>
              </w:rPr>
            </w:pPr>
            <w:r>
              <w:rPr>
                <w:noProof/>
              </w:rPr>
              <w:t>Tilldelning av stöd för att stimulera tillväxten hos nystartade företag inom högteknologi- och kunskapssektorerna</w:t>
            </w:r>
          </w:p>
        </w:tc>
      </w:tr>
      <w:tr w:rsidR="003A3D51" w14:paraId="002A1842" w14:textId="77777777">
        <w:trPr>
          <w:trHeight w:val="51"/>
        </w:trPr>
        <w:tc>
          <w:tcPr>
            <w:tcW w:w="1096" w:type="dxa"/>
            <w:tcBorders>
              <w:top w:val="nil"/>
              <w:left w:val="single" w:sz="6" w:space="0" w:color="auto"/>
              <w:bottom w:val="single" w:sz="6" w:space="0" w:color="auto"/>
              <w:right w:val="single" w:sz="6" w:space="0" w:color="auto"/>
            </w:tcBorders>
            <w:shd w:val="clear" w:color="auto" w:fill="C6EFCE"/>
          </w:tcPr>
          <w:p w14:paraId="08E648A2" w14:textId="77777777" w:rsidR="003A3D51" w:rsidRDefault="0002775A">
            <w:pPr>
              <w:pStyle w:val="P68B1DB1-Normal64"/>
              <w:spacing w:after="0" w:line="240" w:lineRule="auto"/>
              <w:jc w:val="center"/>
              <w:textAlignment w:val="baseline"/>
              <w:rPr>
                <w:noProof/>
              </w:rPr>
            </w:pPr>
            <w:r>
              <w:rPr>
                <w:noProof/>
              </w:rPr>
              <w:t>78</w:t>
            </w:r>
          </w:p>
        </w:tc>
        <w:tc>
          <w:tcPr>
            <w:tcW w:w="1639" w:type="dxa"/>
            <w:tcBorders>
              <w:top w:val="nil"/>
              <w:left w:val="nil"/>
              <w:bottom w:val="single" w:sz="6" w:space="0" w:color="auto"/>
              <w:right w:val="single" w:sz="6" w:space="0" w:color="auto"/>
            </w:tcBorders>
            <w:shd w:val="clear" w:color="auto" w:fill="C6EFCE"/>
          </w:tcPr>
          <w:p w14:paraId="057D22B5" w14:textId="77777777" w:rsidR="003A3D51" w:rsidRDefault="0002775A">
            <w:pPr>
              <w:pStyle w:val="P68B1DB1-Normal64"/>
              <w:spacing w:after="0" w:line="240" w:lineRule="auto"/>
              <w:jc w:val="center"/>
              <w:textAlignment w:val="baseline"/>
              <w:rPr>
                <w:noProof/>
              </w:rPr>
            </w:pPr>
            <w:r>
              <w:rPr>
                <w:noProof/>
              </w:rPr>
              <w:t>C1.3 R1-I3</w:t>
            </w:r>
          </w:p>
        </w:tc>
        <w:tc>
          <w:tcPr>
            <w:tcW w:w="1274" w:type="dxa"/>
            <w:tcBorders>
              <w:top w:val="nil"/>
              <w:left w:val="nil"/>
              <w:bottom w:val="single" w:sz="6" w:space="0" w:color="auto"/>
              <w:right w:val="single" w:sz="6" w:space="0" w:color="auto"/>
            </w:tcBorders>
            <w:shd w:val="clear" w:color="auto" w:fill="C6EFCE"/>
          </w:tcPr>
          <w:p w14:paraId="2CA9218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nil"/>
              <w:left w:val="nil"/>
              <w:bottom w:val="single" w:sz="6" w:space="0" w:color="auto"/>
              <w:right w:val="single" w:sz="6" w:space="0" w:color="auto"/>
            </w:tcBorders>
            <w:shd w:val="clear" w:color="auto" w:fill="C6EFCE"/>
          </w:tcPr>
          <w:p w14:paraId="6F789647" w14:textId="77777777" w:rsidR="003A3D51" w:rsidRDefault="0002775A">
            <w:pPr>
              <w:pStyle w:val="P68B1DB1-Normal64"/>
              <w:spacing w:after="0" w:line="240" w:lineRule="auto"/>
              <w:textAlignment w:val="baseline"/>
              <w:rPr>
                <w:noProof/>
              </w:rPr>
            </w:pPr>
            <w:r>
              <w:rPr>
                <w:noProof/>
              </w:rPr>
              <w:t xml:space="preserve">Vitaliserade vattendrag </w:t>
            </w:r>
          </w:p>
        </w:tc>
      </w:tr>
      <w:tr w:rsidR="003A3D51" w14:paraId="4728FAC5"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tcPr>
          <w:p w14:paraId="69F15632" w14:textId="77777777" w:rsidR="003A3D51" w:rsidRDefault="0002775A">
            <w:pPr>
              <w:pStyle w:val="P68B1DB1-Normal64"/>
              <w:spacing w:after="0" w:line="240" w:lineRule="auto"/>
              <w:jc w:val="center"/>
              <w:textAlignment w:val="baseline"/>
              <w:rPr>
                <w:noProof/>
              </w:rPr>
            </w:pPr>
            <w:r>
              <w:rPr>
                <w:noProof/>
              </w:rPr>
              <w:t>119</w:t>
            </w:r>
          </w:p>
        </w:tc>
        <w:tc>
          <w:tcPr>
            <w:tcW w:w="1639" w:type="dxa"/>
            <w:tcBorders>
              <w:top w:val="nil"/>
              <w:left w:val="nil"/>
              <w:bottom w:val="single" w:sz="6" w:space="0" w:color="auto"/>
              <w:right w:val="single" w:sz="6" w:space="0" w:color="auto"/>
            </w:tcBorders>
            <w:shd w:val="clear" w:color="auto" w:fill="C6EFCE"/>
            <w:vAlign w:val="center"/>
          </w:tcPr>
          <w:p w14:paraId="6A849B2C" w14:textId="77777777" w:rsidR="003A3D51" w:rsidRDefault="0002775A">
            <w:pPr>
              <w:pStyle w:val="P68B1DB1-Normal64"/>
              <w:spacing w:after="0" w:line="240" w:lineRule="auto"/>
              <w:jc w:val="center"/>
              <w:textAlignment w:val="baseline"/>
              <w:rPr>
                <w:noProof/>
              </w:rPr>
            </w:pPr>
            <w:r>
              <w:rPr>
                <w:noProof/>
              </w:rPr>
              <w:t>C1.4 R5-I2</w:t>
            </w:r>
          </w:p>
        </w:tc>
        <w:tc>
          <w:tcPr>
            <w:tcW w:w="1274" w:type="dxa"/>
            <w:tcBorders>
              <w:top w:val="nil"/>
              <w:left w:val="nil"/>
              <w:bottom w:val="single" w:sz="6" w:space="0" w:color="auto"/>
              <w:right w:val="single" w:sz="6" w:space="0" w:color="auto"/>
            </w:tcBorders>
            <w:shd w:val="clear" w:color="auto" w:fill="C6EFCE"/>
            <w:vAlign w:val="center"/>
          </w:tcPr>
          <w:p w14:paraId="7C41DB7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tcPr>
          <w:p w14:paraId="058E824A" w14:textId="77777777" w:rsidR="003A3D51" w:rsidRDefault="0002775A">
            <w:pPr>
              <w:pStyle w:val="P68B1DB1-Normal64"/>
              <w:spacing w:after="0" w:line="240" w:lineRule="auto"/>
              <w:textAlignment w:val="baseline"/>
              <w:rPr>
                <w:noProof/>
              </w:rPr>
            </w:pPr>
            <w:r>
              <w:rPr>
                <w:noProof/>
              </w:rPr>
              <w:t>Verifikationsprototyper för helt självkörande fordon och elfordon och relevant provning</w:t>
            </w:r>
          </w:p>
        </w:tc>
      </w:tr>
      <w:tr w:rsidR="003A3D51" w14:paraId="7CEF1A2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A291FA7" w14:textId="77777777" w:rsidR="003A3D51" w:rsidRDefault="0002775A">
            <w:pPr>
              <w:pStyle w:val="P68B1DB1-Normal64"/>
              <w:spacing w:after="0" w:line="240" w:lineRule="auto"/>
              <w:jc w:val="center"/>
              <w:textAlignment w:val="baseline"/>
              <w:rPr>
                <w:rFonts w:eastAsia="Times New Roman"/>
                <w:noProof/>
              </w:rPr>
            </w:pPr>
            <w:r>
              <w:rPr>
                <w:noProof/>
              </w:rPr>
              <w:t>133</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66AFF31A" w14:textId="77777777" w:rsidR="003A3D51" w:rsidRDefault="0002775A">
            <w:pPr>
              <w:pStyle w:val="P68B1DB1-Normal64"/>
              <w:spacing w:after="0" w:line="240" w:lineRule="auto"/>
              <w:jc w:val="center"/>
              <w:textAlignment w:val="baseline"/>
              <w:rPr>
                <w:rFonts w:eastAsia="Times New Roman"/>
                <w:noProof/>
              </w:rPr>
            </w:pPr>
            <w:r>
              <w:rPr>
                <w:noProof/>
              </w:rPr>
              <w:t>C1.5 R2-I2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070E1772"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2A63293" w14:textId="77777777" w:rsidR="003A3D51" w:rsidRDefault="0002775A">
            <w:pPr>
              <w:pStyle w:val="P68B1DB1-Normal64"/>
              <w:spacing w:after="0" w:line="240" w:lineRule="auto"/>
              <w:textAlignment w:val="baseline"/>
              <w:rPr>
                <w:rFonts w:eastAsia="Times New Roman"/>
                <w:noProof/>
              </w:rPr>
            </w:pPr>
            <w:r>
              <w:rPr>
                <w:noProof/>
              </w:rPr>
              <w:t>Uppgradering av det operativa informationssystemet för övervakning av jordbruksmark och inrättande av 90 permanenta stationer för övervakning av jordbruksmarkens tillstånd</w:t>
            </w:r>
          </w:p>
        </w:tc>
      </w:tr>
      <w:tr w:rsidR="003A3D51" w14:paraId="2E1FA1E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CB2175" w14:textId="77777777" w:rsidR="003A3D51" w:rsidRDefault="0002775A">
            <w:pPr>
              <w:pStyle w:val="P68B1DB1-Normal64"/>
              <w:spacing w:after="0" w:line="240" w:lineRule="auto"/>
              <w:jc w:val="center"/>
              <w:textAlignment w:val="baseline"/>
              <w:rPr>
                <w:noProof/>
              </w:rPr>
            </w:pPr>
            <w:r>
              <w:rPr>
                <w:noProof/>
              </w:rPr>
              <w:t>175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ACF76DF" w14:textId="77777777" w:rsidR="003A3D51" w:rsidRDefault="0002775A">
            <w:pPr>
              <w:pStyle w:val="P68B1DB1-Normal64"/>
              <w:spacing w:after="0" w:line="240" w:lineRule="auto"/>
              <w:jc w:val="center"/>
              <w:textAlignment w:val="baseline"/>
              <w:rPr>
                <w:noProof/>
              </w:rPr>
            </w:pPr>
            <w:r>
              <w:rPr>
                <w:noProof/>
              </w:rPr>
              <w:t>C2.2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101C1B"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9132282" w14:textId="77777777" w:rsidR="003A3D51" w:rsidRDefault="0002775A">
            <w:pPr>
              <w:pStyle w:val="P68B1DB1-Normal64"/>
              <w:spacing w:after="0" w:line="240" w:lineRule="auto"/>
              <w:textAlignment w:val="baseline"/>
              <w:rPr>
                <w:noProof/>
              </w:rPr>
            </w:pPr>
            <w:r>
              <w:rPr>
                <w:noProof/>
              </w:rPr>
              <w:t>Stödmekanism för frivilliga funktionella och verkliga anslutningar och inrättande av ett komplett stödsystem för funktionell och effektiv koppling av enheter.</w:t>
            </w:r>
          </w:p>
        </w:tc>
      </w:tr>
      <w:tr w:rsidR="003A3D51" w14:paraId="5D81843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E92079D" w14:textId="77777777" w:rsidR="003A3D51" w:rsidRDefault="0002775A">
            <w:pPr>
              <w:pStyle w:val="P68B1DB1-Normal64"/>
              <w:spacing w:after="0" w:line="240" w:lineRule="auto"/>
              <w:jc w:val="center"/>
              <w:textAlignment w:val="baseline"/>
              <w:rPr>
                <w:noProof/>
              </w:rPr>
            </w:pPr>
            <w:r>
              <w:rPr>
                <w:noProof/>
              </w:rPr>
              <w:t>239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33AC178" w14:textId="77777777" w:rsidR="003A3D51" w:rsidRDefault="0002775A">
            <w:pPr>
              <w:pStyle w:val="P68B1DB1-Normal64"/>
              <w:spacing w:after="0" w:line="240" w:lineRule="auto"/>
              <w:jc w:val="center"/>
              <w:textAlignment w:val="baseline"/>
              <w:rPr>
                <w:noProof/>
              </w:rPr>
            </w:pPr>
            <w:r>
              <w:rPr>
                <w:noProof/>
              </w:rPr>
              <w:t>C2.6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01CCB3F"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BAE01A1" w14:textId="77777777" w:rsidR="003A3D51" w:rsidRDefault="0002775A">
            <w:pPr>
              <w:pStyle w:val="P68B1DB1-Normal64"/>
              <w:spacing w:after="0" w:line="240" w:lineRule="auto"/>
              <w:textAlignment w:val="baseline"/>
              <w:rPr>
                <w:noProof/>
              </w:rPr>
            </w:pPr>
            <w:r>
              <w:rPr>
                <w:noProof/>
              </w:rPr>
              <w:t>Utvärdering av effekterna av den nationella informationskampanjen mot korruption</w:t>
            </w:r>
          </w:p>
        </w:tc>
      </w:tr>
      <w:tr w:rsidR="003A3D51" w14:paraId="0DDBB97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CB9D5DF" w14:textId="77777777" w:rsidR="003A3D51" w:rsidRDefault="0002775A">
            <w:pPr>
              <w:pStyle w:val="P68B1DB1-Normal64"/>
              <w:spacing w:after="0" w:line="240" w:lineRule="auto"/>
              <w:jc w:val="center"/>
              <w:textAlignment w:val="baseline"/>
              <w:rPr>
                <w:noProof/>
              </w:rPr>
            </w:pPr>
            <w:r>
              <w:rPr>
                <w:noProof/>
              </w:rPr>
              <w:t>242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04EA614" w14:textId="77777777" w:rsidR="003A3D51" w:rsidRDefault="0002775A">
            <w:pPr>
              <w:pStyle w:val="P68B1DB1-Normal64"/>
              <w:spacing w:after="0" w:line="240" w:lineRule="auto"/>
              <w:jc w:val="center"/>
              <w:textAlignment w:val="baseline"/>
              <w:rPr>
                <w:noProof/>
              </w:rPr>
            </w:pPr>
            <w:r>
              <w:rPr>
                <w:noProof/>
              </w:rPr>
              <w:t>C2.6 R1-I4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4460D7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E7FF4B5" w14:textId="77777777" w:rsidR="003A3D51" w:rsidRDefault="0002775A">
            <w:pPr>
              <w:pStyle w:val="P68B1DB1-Normal64"/>
              <w:spacing w:after="0" w:line="240" w:lineRule="auto"/>
              <w:textAlignment w:val="baseline"/>
              <w:rPr>
                <w:noProof/>
              </w:rPr>
            </w:pPr>
            <w:r>
              <w:rPr>
                <w:noProof/>
              </w:rPr>
              <w:t>Uppgradering och smart digitalisering av 4 regionala centrum vid den nationella polisbyrån för bekämpning av korruption och organiserad brottslighet (PN USKOK)</w:t>
            </w:r>
          </w:p>
        </w:tc>
      </w:tr>
      <w:tr w:rsidR="003A3D51" w14:paraId="69F28B4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166F1DB" w14:textId="77777777" w:rsidR="003A3D51" w:rsidRDefault="0002775A">
            <w:pPr>
              <w:pStyle w:val="P68B1DB1-Normal64"/>
              <w:spacing w:after="0" w:line="240" w:lineRule="auto"/>
              <w:jc w:val="center"/>
              <w:textAlignment w:val="baseline"/>
              <w:rPr>
                <w:noProof/>
              </w:rPr>
            </w:pPr>
            <w:r>
              <w:rPr>
                <w:noProof/>
              </w:rPr>
              <w:t>278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559406B" w14:textId="77777777" w:rsidR="003A3D51" w:rsidRDefault="0002775A">
            <w:pPr>
              <w:pStyle w:val="P68B1DB1-Normal64"/>
              <w:spacing w:after="0" w:line="240" w:lineRule="auto"/>
              <w:jc w:val="center"/>
              <w:textAlignment w:val="baseline"/>
              <w:rPr>
                <w:noProof/>
              </w:rPr>
            </w:pPr>
            <w:r>
              <w:rPr>
                <w:noProof/>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C0904E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10D6543" w14:textId="77777777" w:rsidR="003A3D51" w:rsidRDefault="0002775A">
            <w:pPr>
              <w:pStyle w:val="P68B1DB1-Normal64"/>
              <w:spacing w:after="0" w:line="240" w:lineRule="auto"/>
              <w:textAlignment w:val="baseline"/>
              <w:rPr>
                <w:noProof/>
              </w:rPr>
            </w:pPr>
            <w:r>
              <w:rPr>
                <w:noProof/>
              </w:rPr>
              <w:t>Avslutade forskningsprojekt på området ”Gröna” av vetenskapliga organisationer som har undertecknat nya programavtal.</w:t>
            </w:r>
          </w:p>
        </w:tc>
      </w:tr>
      <w:tr w:rsidR="003A3D51" w14:paraId="570758F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8D66875" w14:textId="77777777" w:rsidR="003A3D51" w:rsidRDefault="0002775A">
            <w:pPr>
              <w:pStyle w:val="P68B1DB1-Normal64"/>
              <w:spacing w:after="0" w:line="240" w:lineRule="auto"/>
              <w:jc w:val="center"/>
              <w:textAlignment w:val="baseline"/>
              <w:rPr>
                <w:noProof/>
              </w:rPr>
            </w:pPr>
            <w:r>
              <w:rPr>
                <w:noProof/>
              </w:rPr>
              <w:t>279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4720A6C" w14:textId="77777777" w:rsidR="003A3D51" w:rsidRDefault="0002775A">
            <w:pPr>
              <w:pStyle w:val="P68B1DB1-Normal64"/>
              <w:spacing w:after="0" w:line="240" w:lineRule="auto"/>
              <w:jc w:val="center"/>
              <w:textAlignment w:val="baseline"/>
              <w:rPr>
                <w:noProof/>
              </w:rPr>
            </w:pPr>
            <w:r>
              <w:rPr>
                <w:noProof/>
              </w:rPr>
              <w:t>C3.2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06BAB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B368E8B" w14:textId="77777777" w:rsidR="003A3D51" w:rsidRDefault="0002775A">
            <w:pPr>
              <w:pStyle w:val="P68B1DB1-Normal64"/>
              <w:spacing w:after="0" w:line="240" w:lineRule="auto"/>
              <w:textAlignment w:val="baseline"/>
              <w:rPr>
                <w:noProof/>
              </w:rPr>
            </w:pPr>
            <w:r>
              <w:rPr>
                <w:noProof/>
              </w:rPr>
              <w:t>Finansiering av forskningsprojekt på grundval av interna ansökningsomgångar från forskningsorganisationer</w:t>
            </w:r>
          </w:p>
        </w:tc>
      </w:tr>
      <w:tr w:rsidR="003A3D51" w14:paraId="53933F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FEBE559" w14:textId="77777777" w:rsidR="003A3D51" w:rsidRDefault="0002775A">
            <w:pPr>
              <w:pStyle w:val="P68B1DB1-Normal64"/>
              <w:spacing w:after="0" w:line="240" w:lineRule="auto"/>
              <w:jc w:val="center"/>
              <w:textAlignment w:val="baseline"/>
              <w:rPr>
                <w:noProof/>
              </w:rPr>
            </w:pPr>
            <w:r>
              <w:rPr>
                <w:noProof/>
              </w:rPr>
              <w:t>282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7CA7255" w14:textId="77777777" w:rsidR="003A3D51" w:rsidRDefault="0002775A">
            <w:pPr>
              <w:pStyle w:val="P68B1DB1-Normal64"/>
              <w:spacing w:after="0" w:line="240" w:lineRule="auto"/>
              <w:jc w:val="center"/>
              <w:textAlignment w:val="baseline"/>
              <w:rPr>
                <w:noProof/>
              </w:rPr>
            </w:pPr>
            <w:r>
              <w:rPr>
                <w:noProof/>
              </w:rPr>
              <w:t>C3.2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90E90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E490D61" w14:textId="77777777" w:rsidR="003A3D51" w:rsidRDefault="0002775A">
            <w:pPr>
              <w:pStyle w:val="P68B1DB1-Normal64"/>
              <w:spacing w:after="0" w:line="240" w:lineRule="auto"/>
              <w:textAlignment w:val="baseline"/>
              <w:rPr>
                <w:noProof/>
              </w:rPr>
            </w:pPr>
            <w:r>
              <w:rPr>
                <w:noProof/>
              </w:rPr>
              <w:t>Bidrag som beviljas inom ramen för programplaneringsramen för att öka tillgången till och anställbarheten för utexaminerade inom naturvetenskap, teknik, ingenjörsvetenskap och matematik/IKT och förbättra deras rörlighet för nationellt och internationellt samarbete.</w:t>
            </w:r>
          </w:p>
        </w:tc>
      </w:tr>
      <w:tr w:rsidR="003A3D51" w14:paraId="2455682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306FF32" w14:textId="77777777" w:rsidR="003A3D51" w:rsidRDefault="0002775A">
            <w:pPr>
              <w:pStyle w:val="P68B1DB1-Normal64"/>
              <w:spacing w:after="0" w:line="240" w:lineRule="auto"/>
              <w:jc w:val="center"/>
              <w:textAlignment w:val="baseline"/>
              <w:rPr>
                <w:noProof/>
              </w:rPr>
            </w:pPr>
            <w:r>
              <w:rPr>
                <w:noProof/>
              </w:rPr>
              <w:t>290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E78F42F" w14:textId="77777777" w:rsidR="003A3D51" w:rsidRDefault="0002775A">
            <w:pPr>
              <w:pStyle w:val="P68B1DB1-Normal64"/>
              <w:spacing w:after="0" w:line="240" w:lineRule="auto"/>
              <w:jc w:val="center"/>
              <w:textAlignment w:val="baseline"/>
              <w:rPr>
                <w:noProof/>
              </w:rPr>
            </w:pPr>
            <w:r>
              <w:rPr>
                <w:noProof/>
              </w:rPr>
              <w:t>C4.1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13C92C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BD8B99B" w14:textId="77777777" w:rsidR="003A3D51" w:rsidRDefault="0002775A">
            <w:pPr>
              <w:pStyle w:val="P68B1DB1-Normal64"/>
              <w:spacing w:after="0" w:line="240" w:lineRule="auto"/>
              <w:textAlignment w:val="baseline"/>
              <w:rPr>
                <w:noProof/>
              </w:rPr>
            </w:pPr>
            <w:r>
              <w:rPr>
                <w:noProof/>
              </w:rPr>
              <w:t>Förbättrad kvalitet på stödet till minst 5 000 personer från utsatta grupper</w:t>
            </w:r>
          </w:p>
        </w:tc>
      </w:tr>
      <w:tr w:rsidR="003A3D51" w14:paraId="0386123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8A12EF" w14:textId="77777777" w:rsidR="003A3D51" w:rsidRDefault="0002775A">
            <w:pPr>
              <w:pStyle w:val="P68B1DB1-Normal64"/>
              <w:spacing w:after="0" w:line="240" w:lineRule="auto"/>
              <w:jc w:val="center"/>
              <w:textAlignment w:val="baseline"/>
              <w:rPr>
                <w:noProof/>
              </w:rPr>
            </w:pPr>
            <w:r>
              <w:rPr>
                <w:noProof/>
              </w:rPr>
              <w:t>295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054871" w14:textId="77777777" w:rsidR="003A3D51" w:rsidRDefault="0002775A">
            <w:pPr>
              <w:pStyle w:val="P68B1DB1-Normal64"/>
              <w:spacing w:after="0" w:line="240" w:lineRule="auto"/>
              <w:jc w:val="center"/>
              <w:textAlignment w:val="baseline"/>
              <w:rPr>
                <w:noProof/>
              </w:rPr>
            </w:pPr>
            <w:r>
              <w:rPr>
                <w:noProof/>
              </w:rPr>
              <w:t>C4.1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4B90D5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A427B6F" w14:textId="77777777" w:rsidR="003A3D51" w:rsidRDefault="0002775A">
            <w:pPr>
              <w:pStyle w:val="P68B1DB1-Normal64"/>
              <w:spacing w:after="0" w:line="240" w:lineRule="auto"/>
              <w:textAlignment w:val="baseline"/>
              <w:rPr>
                <w:noProof/>
              </w:rPr>
            </w:pPr>
            <w:r>
              <w:rPr>
                <w:noProof/>
              </w:rPr>
              <w:t>Öka förhållandet mellan minimilönen och den genomsnittliga bruttolönen 2024 till 50 %.</w:t>
            </w:r>
          </w:p>
        </w:tc>
      </w:tr>
      <w:tr w:rsidR="003A3D51" w14:paraId="7BCBBB3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497586FF" w14:textId="77777777" w:rsidR="003A3D51" w:rsidRDefault="0002775A">
            <w:pPr>
              <w:pStyle w:val="P68B1DB1-Normal64"/>
              <w:spacing w:after="0" w:line="240" w:lineRule="auto"/>
              <w:jc w:val="center"/>
              <w:textAlignment w:val="baseline"/>
              <w:rPr>
                <w:noProof/>
              </w:rPr>
            </w:pPr>
            <w:r>
              <w:rPr>
                <w:noProof/>
              </w:rPr>
              <w:t>298</w:t>
            </w:r>
          </w:p>
        </w:tc>
        <w:tc>
          <w:tcPr>
            <w:tcW w:w="1639" w:type="dxa"/>
            <w:tcBorders>
              <w:top w:val="single" w:sz="6" w:space="0" w:color="auto"/>
              <w:left w:val="nil"/>
              <w:bottom w:val="single" w:sz="6" w:space="0" w:color="auto"/>
              <w:right w:val="single" w:sz="6" w:space="0" w:color="auto"/>
            </w:tcBorders>
            <w:shd w:val="clear" w:color="auto" w:fill="C6EFCE"/>
          </w:tcPr>
          <w:p w14:paraId="3CC8B543" w14:textId="77777777" w:rsidR="003A3D51" w:rsidRDefault="0002775A">
            <w:pPr>
              <w:pStyle w:val="P68B1DB1-Normal64"/>
              <w:spacing w:after="0" w:line="240" w:lineRule="auto"/>
              <w:jc w:val="center"/>
              <w:textAlignment w:val="baseline"/>
              <w:rPr>
                <w:noProof/>
              </w:rPr>
            </w:pPr>
            <w:r>
              <w:rPr>
                <w:noProof/>
              </w:rPr>
              <w:t>C4.2 R1</w:t>
            </w:r>
          </w:p>
        </w:tc>
        <w:tc>
          <w:tcPr>
            <w:tcW w:w="1274" w:type="dxa"/>
            <w:tcBorders>
              <w:top w:val="single" w:sz="6" w:space="0" w:color="auto"/>
              <w:left w:val="nil"/>
              <w:bottom w:val="single" w:sz="6" w:space="0" w:color="auto"/>
              <w:right w:val="single" w:sz="6" w:space="0" w:color="auto"/>
            </w:tcBorders>
            <w:shd w:val="clear" w:color="auto" w:fill="C6EFCE"/>
          </w:tcPr>
          <w:p w14:paraId="7ADE8FE5"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47434C1C" w14:textId="77777777" w:rsidR="003A3D51" w:rsidRDefault="0002775A">
            <w:pPr>
              <w:pStyle w:val="P68B1DB1-Normal64"/>
              <w:spacing w:after="0" w:line="240" w:lineRule="auto"/>
              <w:textAlignment w:val="baseline"/>
              <w:rPr>
                <w:noProof/>
              </w:rPr>
            </w:pPr>
            <w:r>
              <w:rPr>
                <w:noProof/>
              </w:rPr>
              <w:t xml:space="preserve">Antagande av slutsatserna om godtagande av rapporten om kostnadseffektivitetsanalyser av obligatoriska pensionsfonders investeringar i statsägda företag. </w:t>
            </w:r>
          </w:p>
        </w:tc>
      </w:tr>
      <w:tr w:rsidR="003A3D51" w14:paraId="6A2E3C3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1D92BA7" w14:textId="77777777" w:rsidR="003A3D51" w:rsidRDefault="0002775A">
            <w:pPr>
              <w:pStyle w:val="P68B1DB1-Normal64"/>
              <w:spacing w:after="0" w:line="240" w:lineRule="auto"/>
              <w:jc w:val="center"/>
              <w:textAlignment w:val="baseline"/>
              <w:rPr>
                <w:noProof/>
              </w:rPr>
            </w:pPr>
            <w:r>
              <w:rPr>
                <w:noProof/>
              </w:rPr>
              <w:t>299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36C9264" w14:textId="77777777" w:rsidR="003A3D51" w:rsidRDefault="0002775A">
            <w:pPr>
              <w:pStyle w:val="P68B1DB1-Normal64"/>
              <w:spacing w:after="0" w:line="240" w:lineRule="auto"/>
              <w:jc w:val="center"/>
              <w:textAlignment w:val="baseline"/>
              <w:rPr>
                <w:noProof/>
              </w:rPr>
            </w:pPr>
            <w:r>
              <w:rPr>
                <w:noProof/>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738CF4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975E064" w14:textId="77777777" w:rsidR="003A3D51" w:rsidRDefault="0002775A">
            <w:pPr>
              <w:pStyle w:val="P68B1DB1-Normal64"/>
              <w:spacing w:after="0" w:line="240" w:lineRule="auto"/>
              <w:textAlignment w:val="baseline"/>
              <w:rPr>
                <w:noProof/>
              </w:rPr>
            </w:pPr>
            <w:r>
              <w:rPr>
                <w:noProof/>
              </w:rPr>
              <w:t>En ökning med mellan 10 % och 15 % av den totala pensionsinkomsten för förmånstagare av den omdefinierade formen av efterlevandepension (minst 10 %).</w:t>
            </w:r>
          </w:p>
        </w:tc>
      </w:tr>
      <w:tr w:rsidR="003A3D51" w14:paraId="3E83BA1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C9B6D2" w14:textId="77777777" w:rsidR="003A3D51" w:rsidRDefault="0002775A">
            <w:pPr>
              <w:pStyle w:val="P68B1DB1-Normal64"/>
              <w:spacing w:after="0" w:line="240" w:lineRule="auto"/>
              <w:jc w:val="center"/>
              <w:textAlignment w:val="baseline"/>
              <w:rPr>
                <w:noProof/>
              </w:rPr>
            </w:pPr>
            <w:r>
              <w:rPr>
                <w:noProof/>
              </w:rPr>
              <w:t>339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77754C7" w14:textId="77777777" w:rsidR="003A3D51" w:rsidRDefault="0002775A">
            <w:pPr>
              <w:pStyle w:val="P68B1DB1-Normal64"/>
              <w:spacing w:after="0" w:line="240" w:lineRule="auto"/>
              <w:jc w:val="center"/>
              <w:textAlignment w:val="baseline"/>
              <w:rPr>
                <w:noProof/>
              </w:rPr>
            </w:pPr>
            <w:r>
              <w:rPr>
                <w:noProof/>
              </w:rPr>
              <w:t>C5.1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7FC42D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39DF9C4" w14:textId="77777777" w:rsidR="003A3D51" w:rsidRDefault="0002775A">
            <w:pPr>
              <w:pStyle w:val="P68B1DB1-Normal64"/>
              <w:spacing w:after="0" w:line="240" w:lineRule="auto"/>
              <w:textAlignment w:val="baseline"/>
              <w:rPr>
                <w:noProof/>
              </w:rPr>
            </w:pPr>
            <w:r>
              <w:rPr>
                <w:noProof/>
              </w:rPr>
              <w:t xml:space="preserve">Central förvaltning av parenterala preparat på 8 sjukhus </w:t>
            </w:r>
          </w:p>
        </w:tc>
      </w:tr>
      <w:tr w:rsidR="003A3D51" w14:paraId="0FDE3D2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8778D8" w14:textId="77777777" w:rsidR="003A3D51" w:rsidRDefault="0002775A">
            <w:pPr>
              <w:pStyle w:val="P68B1DB1-Normal67"/>
              <w:spacing w:after="0" w:line="240" w:lineRule="auto"/>
              <w:jc w:val="center"/>
              <w:textAlignment w:val="baseline"/>
              <w:rPr>
                <w:noProof/>
              </w:rPr>
            </w:pPr>
            <w:r>
              <w:rPr>
                <w:noProof/>
              </w:rPr>
              <w:t>342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E33EAE9" w14:textId="77777777" w:rsidR="003A3D51" w:rsidRDefault="0002775A">
            <w:pPr>
              <w:pStyle w:val="P68B1DB1-Normal67"/>
              <w:spacing w:after="0" w:line="240" w:lineRule="auto"/>
              <w:jc w:val="center"/>
              <w:textAlignment w:val="baseline"/>
              <w:rPr>
                <w:noProof/>
              </w:rPr>
            </w:pPr>
            <w:r>
              <w:rPr>
                <w:noProof/>
              </w:rPr>
              <w:t>C5.1 R4-I4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C7AA75" w14:textId="77777777" w:rsidR="003A3D51" w:rsidRDefault="0002775A">
            <w:pPr>
              <w:pStyle w:val="P68B1DB1-Normal67"/>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EE34517" w14:textId="77777777" w:rsidR="003A3D51" w:rsidRDefault="0002775A">
            <w:pPr>
              <w:pStyle w:val="P68B1DB1-Normal67"/>
              <w:spacing w:after="0" w:line="240" w:lineRule="auto"/>
              <w:textAlignment w:val="baseline"/>
              <w:rPr>
                <w:noProof/>
              </w:rPr>
            </w:pPr>
            <w:r>
              <w:rPr>
                <w:noProof/>
              </w:rPr>
              <w:t>System för att övervaka bristen på läkemedel baserat på blockkedjeteknik</w:t>
            </w:r>
          </w:p>
        </w:tc>
      </w:tr>
      <w:tr w:rsidR="003A3D51" w14:paraId="59AD185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DBD030" w14:textId="77777777" w:rsidR="003A3D51" w:rsidRDefault="0002775A">
            <w:pPr>
              <w:pStyle w:val="P68B1DB1-Normal67"/>
              <w:spacing w:after="0" w:line="240" w:lineRule="auto"/>
              <w:jc w:val="center"/>
              <w:textAlignment w:val="baseline"/>
              <w:rPr>
                <w:noProof/>
              </w:rPr>
            </w:pPr>
            <w:r>
              <w:rPr>
                <w:noProof/>
              </w:rPr>
              <w:t>365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ACE99EE" w14:textId="77777777" w:rsidR="003A3D51" w:rsidRDefault="0002775A">
            <w:pPr>
              <w:pStyle w:val="P68B1DB1-Normal67"/>
              <w:spacing w:after="0" w:line="240" w:lineRule="auto"/>
              <w:jc w:val="center"/>
              <w:textAlignment w:val="baseline"/>
              <w:rPr>
                <w:noProof/>
              </w:rPr>
            </w:pPr>
            <w:r>
              <w:rPr>
                <w:noProof/>
              </w:rPr>
              <w:t>C6.1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F406CC" w14:textId="77777777" w:rsidR="003A3D51" w:rsidRDefault="0002775A">
            <w:pPr>
              <w:pStyle w:val="P68B1DB1-Normal67"/>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6B57096" w14:textId="77777777" w:rsidR="003A3D51" w:rsidRDefault="0002775A">
            <w:pPr>
              <w:pStyle w:val="P68B1DB1-Normal67"/>
              <w:spacing w:after="0" w:line="240" w:lineRule="auto"/>
              <w:textAlignment w:val="baseline"/>
              <w:rPr>
                <w:noProof/>
              </w:rPr>
            </w:pPr>
            <w:r>
              <w:rPr>
                <w:noProof/>
              </w:rPr>
              <w:t>Seismiska data integrerade i 10 expertbaser för fysisk planering för lokala förvaltningsenheter</w:t>
            </w:r>
          </w:p>
        </w:tc>
      </w:tr>
      <w:tr w:rsidR="003A3D51" w14:paraId="6E07721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608B9706" w14:textId="72D0255B" w:rsidR="003A3D51" w:rsidRDefault="0002775A">
            <w:pPr>
              <w:pStyle w:val="P68B1DB1-Normal67"/>
              <w:spacing w:after="0" w:line="240" w:lineRule="auto"/>
              <w:jc w:val="center"/>
              <w:textAlignment w:val="baseline"/>
              <w:rPr>
                <w:noProof/>
              </w:rPr>
            </w:pPr>
            <w:r>
              <w:rPr>
                <w:noProof/>
              </w:rPr>
              <w:t>406</w:t>
            </w:r>
          </w:p>
        </w:tc>
        <w:tc>
          <w:tcPr>
            <w:tcW w:w="1639" w:type="dxa"/>
            <w:tcBorders>
              <w:top w:val="single" w:sz="6" w:space="0" w:color="auto"/>
              <w:left w:val="nil"/>
              <w:bottom w:val="single" w:sz="6" w:space="0" w:color="auto"/>
              <w:right w:val="single" w:sz="6" w:space="0" w:color="auto"/>
            </w:tcBorders>
            <w:shd w:val="clear" w:color="auto" w:fill="C6EFCE"/>
          </w:tcPr>
          <w:p w14:paraId="662D9DB7" w14:textId="0EFC454C" w:rsidR="003A3D51" w:rsidRDefault="0002775A">
            <w:pPr>
              <w:pStyle w:val="P68B1DB1-Normal67"/>
              <w:spacing w:after="0" w:line="240" w:lineRule="auto"/>
              <w:jc w:val="center"/>
              <w:textAlignment w:val="baseline"/>
              <w:rPr>
                <w:noProof/>
              </w:rPr>
            </w:pPr>
            <w:r>
              <w:rPr>
                <w:noProof/>
              </w:rPr>
              <w:t>C7.1 R1</w:t>
            </w:r>
          </w:p>
        </w:tc>
        <w:tc>
          <w:tcPr>
            <w:tcW w:w="1274" w:type="dxa"/>
            <w:tcBorders>
              <w:top w:val="single" w:sz="6" w:space="0" w:color="auto"/>
              <w:left w:val="nil"/>
              <w:bottom w:val="single" w:sz="6" w:space="0" w:color="auto"/>
              <w:right w:val="single" w:sz="6" w:space="0" w:color="auto"/>
            </w:tcBorders>
            <w:shd w:val="clear" w:color="auto" w:fill="C6EFCE"/>
          </w:tcPr>
          <w:p w14:paraId="7F085BD4" w14:textId="77777777" w:rsidR="003A3D51" w:rsidRDefault="0002775A">
            <w:pPr>
              <w:pStyle w:val="P68B1DB1-Normal67"/>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7EB7D8DC" w14:textId="77777777" w:rsidR="003A3D51" w:rsidRDefault="0002775A">
            <w:pPr>
              <w:pStyle w:val="P68B1DB1-Normal67"/>
              <w:spacing w:after="0" w:line="240" w:lineRule="auto"/>
              <w:textAlignment w:val="baseline"/>
              <w:rPr>
                <w:noProof/>
              </w:rPr>
            </w:pPr>
            <w:r>
              <w:rPr>
                <w:noProof/>
              </w:rPr>
              <w:t>Ikraftträdande av lagstiftning om inrättande av det nya systemet för egenförbrukning</w:t>
            </w:r>
          </w:p>
        </w:tc>
      </w:tr>
      <w:tr w:rsidR="003A3D51" w14:paraId="6AA635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2EB00A03" w14:textId="5B11CC6A" w:rsidR="003A3D51" w:rsidRDefault="0002775A">
            <w:pPr>
              <w:pStyle w:val="P68B1DB1-Normal67"/>
              <w:spacing w:after="0" w:line="240" w:lineRule="auto"/>
              <w:jc w:val="center"/>
              <w:textAlignment w:val="baseline"/>
              <w:rPr>
                <w:noProof/>
              </w:rPr>
            </w:pPr>
            <w:r>
              <w:rPr>
                <w:noProof/>
              </w:rPr>
              <w:t>408</w:t>
            </w:r>
          </w:p>
        </w:tc>
        <w:tc>
          <w:tcPr>
            <w:tcW w:w="1639" w:type="dxa"/>
            <w:tcBorders>
              <w:top w:val="single" w:sz="6" w:space="0" w:color="auto"/>
              <w:left w:val="nil"/>
              <w:bottom w:val="single" w:sz="6" w:space="0" w:color="auto"/>
              <w:right w:val="single" w:sz="6" w:space="0" w:color="auto"/>
            </w:tcBorders>
            <w:shd w:val="clear" w:color="auto" w:fill="C6EFCE"/>
          </w:tcPr>
          <w:p w14:paraId="327CD71A" w14:textId="41A7BDB2" w:rsidR="003A3D51" w:rsidRDefault="0002775A">
            <w:pPr>
              <w:pStyle w:val="P68B1DB1-Normal67"/>
              <w:spacing w:after="0" w:line="240" w:lineRule="auto"/>
              <w:jc w:val="center"/>
              <w:textAlignment w:val="baseline"/>
              <w:rPr>
                <w:noProof/>
              </w:rPr>
            </w:pPr>
            <w:r>
              <w:rPr>
                <w:noProof/>
              </w:rPr>
              <w:t>C7.1 R1-I2</w:t>
            </w:r>
          </w:p>
        </w:tc>
        <w:tc>
          <w:tcPr>
            <w:tcW w:w="1274" w:type="dxa"/>
            <w:tcBorders>
              <w:top w:val="single" w:sz="6" w:space="0" w:color="auto"/>
              <w:left w:val="nil"/>
              <w:bottom w:val="single" w:sz="6" w:space="0" w:color="auto"/>
              <w:right w:val="single" w:sz="6" w:space="0" w:color="auto"/>
            </w:tcBorders>
            <w:shd w:val="clear" w:color="auto" w:fill="C6EFCE"/>
          </w:tcPr>
          <w:p w14:paraId="7A54DB41" w14:textId="77777777" w:rsidR="003A3D51" w:rsidRDefault="0002775A">
            <w:pPr>
              <w:pStyle w:val="P68B1DB1-Normal67"/>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246C5283" w14:textId="77777777" w:rsidR="003A3D51" w:rsidRDefault="0002775A">
            <w:pPr>
              <w:pStyle w:val="P68B1DB1-Normal67"/>
              <w:spacing w:after="0" w:line="240" w:lineRule="auto"/>
              <w:textAlignment w:val="baseline"/>
              <w:rPr>
                <w:noProof/>
              </w:rPr>
            </w:pPr>
            <w:r>
              <w:rPr>
                <w:noProof/>
              </w:rPr>
              <w:t>Utvecklingsplan och program för vätgas</w:t>
            </w:r>
          </w:p>
        </w:tc>
      </w:tr>
      <w:tr w:rsidR="003A3D51" w14:paraId="7FF4A7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056C7989"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tcPr>
          <w:p w14:paraId="2D7F3CFC" w14:textId="77777777" w:rsidR="003A3D51" w:rsidRDefault="003A3D51">
            <w:pPr>
              <w:spacing w:after="0" w:line="240" w:lineRule="auto"/>
              <w:jc w:val="both"/>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tcPr>
          <w:p w14:paraId="05535C94" w14:textId="77777777" w:rsidR="003A3D51" w:rsidRDefault="0002775A">
            <w:pPr>
              <w:pStyle w:val="P68B1DB1-Normal64"/>
              <w:spacing w:after="0" w:line="240" w:lineRule="auto"/>
              <w:jc w:val="both"/>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1342C0" w14:textId="3F868FAB" w:rsidR="003A3D51" w:rsidRDefault="0002775A">
            <w:pPr>
              <w:pStyle w:val="P68B1DB1-Normal64"/>
              <w:spacing w:after="0" w:line="240" w:lineRule="auto"/>
              <w:jc w:val="both"/>
              <w:textAlignment w:val="baseline"/>
              <w:rPr>
                <w:noProof/>
              </w:rPr>
            </w:pPr>
            <w:r>
              <w:rPr>
                <w:noProof/>
              </w:rPr>
              <w:t>204 095 476 EUR</w:t>
            </w:r>
          </w:p>
        </w:tc>
      </w:tr>
    </w:tbl>
    <w:p w14:paraId="67C30FDC"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41445180" w14:textId="77777777" w:rsidR="003A3D51" w:rsidRDefault="0002775A">
      <w:pPr>
        <w:pStyle w:val="P68B1DB1-ListParagraph65"/>
        <w:pageBreakBefore/>
        <w:numPr>
          <w:ilvl w:val="0"/>
          <w:numId w:val="49"/>
        </w:numPr>
        <w:spacing w:line="240" w:lineRule="auto"/>
        <w:ind w:left="714" w:hanging="357"/>
        <w:jc w:val="both"/>
        <w:textAlignment w:val="baseline"/>
        <w:rPr>
          <w:noProof/>
        </w:rPr>
      </w:pPr>
      <w:r>
        <w:rPr>
          <w:noProof/>
        </w:rPr>
        <w:t>Nionde delbetalningen (icke återbetalningspliktigt stöd):</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2"/>
        <w:gridCol w:w="1272"/>
        <w:gridCol w:w="5309"/>
      </w:tblGrid>
      <w:tr w:rsidR="003A3D51" w14:paraId="2DC7A9AB" w14:textId="77777777">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4F76886"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271D264"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3A12DF3"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096CCB80"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0BA5E59A"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FC4D97D"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D87E7B"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5790802"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5F34E79A" w14:textId="77777777" w:rsidR="003A3D51" w:rsidRDefault="003A3D51">
            <w:pPr>
              <w:spacing w:after="0" w:line="240" w:lineRule="auto"/>
              <w:rPr>
                <w:rFonts w:ascii="Times New Roman" w:eastAsia="Times New Roman" w:hAnsi="Times New Roman" w:cs="Times New Roman"/>
                <w:noProof/>
                <w:sz w:val="20"/>
              </w:rPr>
            </w:pPr>
          </w:p>
        </w:tc>
      </w:tr>
      <w:tr w:rsidR="003A3D51" w14:paraId="2F05F43D"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665F293" w14:textId="77777777" w:rsidR="003A3D51" w:rsidRDefault="0002775A">
            <w:pPr>
              <w:pStyle w:val="P68B1DB1-Normal64"/>
              <w:spacing w:after="0" w:line="240" w:lineRule="auto"/>
              <w:jc w:val="center"/>
              <w:textAlignment w:val="baseline"/>
              <w:rPr>
                <w:rFonts w:eastAsia="Times New Roman"/>
                <w:noProof/>
              </w:rPr>
            </w:pPr>
            <w:r>
              <w:rPr>
                <w:noProof/>
              </w:rPr>
              <w:t>11</w:t>
            </w:r>
          </w:p>
        </w:tc>
        <w:tc>
          <w:tcPr>
            <w:tcW w:w="1639" w:type="dxa"/>
            <w:tcBorders>
              <w:top w:val="nil"/>
              <w:left w:val="nil"/>
              <w:bottom w:val="single" w:sz="6" w:space="0" w:color="auto"/>
              <w:right w:val="single" w:sz="6" w:space="0" w:color="auto"/>
            </w:tcBorders>
            <w:shd w:val="clear" w:color="auto" w:fill="C6EFCE"/>
            <w:vAlign w:val="center"/>
            <w:hideMark/>
          </w:tcPr>
          <w:p w14:paraId="4017E2FE" w14:textId="77777777" w:rsidR="003A3D51" w:rsidRDefault="0002775A">
            <w:pPr>
              <w:pStyle w:val="P68B1DB1-Normal64"/>
              <w:spacing w:after="0" w:line="240" w:lineRule="auto"/>
              <w:jc w:val="center"/>
              <w:textAlignment w:val="baseline"/>
              <w:rPr>
                <w:rFonts w:eastAsia="Times New Roman"/>
                <w:noProof/>
              </w:rPr>
            </w:pPr>
            <w:r>
              <w:rPr>
                <w:noProof/>
              </w:rPr>
              <w:t>C1.1.1 R1-I2</w:t>
            </w:r>
          </w:p>
        </w:tc>
        <w:tc>
          <w:tcPr>
            <w:tcW w:w="1274" w:type="dxa"/>
            <w:tcBorders>
              <w:top w:val="nil"/>
              <w:left w:val="nil"/>
              <w:bottom w:val="single" w:sz="6" w:space="0" w:color="auto"/>
              <w:right w:val="single" w:sz="6" w:space="0" w:color="auto"/>
            </w:tcBorders>
            <w:shd w:val="clear" w:color="auto" w:fill="C6EFCE"/>
            <w:vAlign w:val="center"/>
            <w:hideMark/>
          </w:tcPr>
          <w:p w14:paraId="6F6C1232"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200305E5" w14:textId="77777777" w:rsidR="003A3D51" w:rsidRDefault="0002775A">
            <w:pPr>
              <w:pStyle w:val="P68B1DB1-Normal64"/>
              <w:spacing w:after="0" w:line="240" w:lineRule="auto"/>
              <w:textAlignment w:val="baseline"/>
              <w:rPr>
                <w:rFonts w:eastAsia="Times New Roman"/>
                <w:noProof/>
              </w:rPr>
            </w:pPr>
            <w:r>
              <w:rPr>
                <w:noProof/>
              </w:rPr>
              <w:t>Genomförande av den andra uppsättningen åtgärder i den nya/femte handlingsplanen för att ytterligare minska den administrativa bördan för företagare</w:t>
            </w:r>
          </w:p>
        </w:tc>
      </w:tr>
      <w:tr w:rsidR="003A3D51" w14:paraId="36E0FA24"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12779E08" w14:textId="77777777" w:rsidR="003A3D51" w:rsidRDefault="0002775A">
            <w:pPr>
              <w:pStyle w:val="P68B1DB1-Normal64"/>
              <w:spacing w:after="0" w:line="240" w:lineRule="auto"/>
              <w:jc w:val="center"/>
              <w:textAlignment w:val="baseline"/>
              <w:rPr>
                <w:rFonts w:eastAsia="Times New Roman"/>
                <w:noProof/>
              </w:rPr>
            </w:pPr>
            <w:r>
              <w:rPr>
                <w:noProof/>
              </w:rPr>
              <w:t>15</w:t>
            </w:r>
          </w:p>
        </w:tc>
        <w:tc>
          <w:tcPr>
            <w:tcW w:w="1639" w:type="dxa"/>
            <w:tcBorders>
              <w:top w:val="nil"/>
              <w:left w:val="nil"/>
              <w:bottom w:val="single" w:sz="6" w:space="0" w:color="auto"/>
              <w:right w:val="single" w:sz="6" w:space="0" w:color="auto"/>
            </w:tcBorders>
            <w:shd w:val="clear" w:color="auto" w:fill="C6EFCE"/>
            <w:vAlign w:val="center"/>
            <w:hideMark/>
          </w:tcPr>
          <w:p w14:paraId="11F65287" w14:textId="77777777" w:rsidR="003A3D51" w:rsidRDefault="0002775A">
            <w:pPr>
              <w:pStyle w:val="P68B1DB1-Normal64"/>
              <w:spacing w:after="0" w:line="240" w:lineRule="auto"/>
              <w:jc w:val="center"/>
              <w:textAlignment w:val="baseline"/>
              <w:rPr>
                <w:rFonts w:eastAsia="Times New Roman"/>
                <w:noProof/>
              </w:rPr>
            </w:pPr>
            <w:r>
              <w:rPr>
                <w:noProof/>
              </w:rPr>
              <w:t>C1.1.1 R4-I1</w:t>
            </w:r>
          </w:p>
        </w:tc>
        <w:tc>
          <w:tcPr>
            <w:tcW w:w="1274" w:type="dxa"/>
            <w:tcBorders>
              <w:top w:val="nil"/>
              <w:left w:val="nil"/>
              <w:bottom w:val="single" w:sz="6" w:space="0" w:color="auto"/>
              <w:right w:val="single" w:sz="6" w:space="0" w:color="auto"/>
            </w:tcBorders>
            <w:shd w:val="clear" w:color="auto" w:fill="C6EFCE"/>
            <w:vAlign w:val="center"/>
            <w:hideMark/>
          </w:tcPr>
          <w:p w14:paraId="31C8D2AB"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0046CADC" w14:textId="77777777" w:rsidR="003A3D51" w:rsidRDefault="0002775A">
            <w:pPr>
              <w:pStyle w:val="P68B1DB1-Normal64"/>
              <w:spacing w:after="0" w:line="240" w:lineRule="auto"/>
              <w:textAlignment w:val="baseline"/>
              <w:rPr>
                <w:rFonts w:eastAsia="Times New Roman"/>
                <w:noProof/>
              </w:rPr>
            </w:pPr>
            <w:r>
              <w:rPr>
                <w:noProof/>
              </w:rPr>
              <w:t>Beviljande av medel till små och medelstora företag och medelstora börsnoterade företag för investeringar inriktade på miljövänlig verksamhet</w:t>
            </w:r>
          </w:p>
        </w:tc>
      </w:tr>
      <w:tr w:rsidR="003A3D51" w14:paraId="3D734069" w14:textId="77777777">
        <w:trPr>
          <w:trHeight w:val="51"/>
        </w:trPr>
        <w:tc>
          <w:tcPr>
            <w:tcW w:w="1096" w:type="dxa"/>
            <w:tcBorders>
              <w:top w:val="nil"/>
              <w:left w:val="single" w:sz="6" w:space="0" w:color="auto"/>
              <w:bottom w:val="single" w:sz="6" w:space="0" w:color="auto"/>
              <w:right w:val="single" w:sz="6" w:space="0" w:color="auto"/>
            </w:tcBorders>
            <w:shd w:val="clear" w:color="auto" w:fill="C6EFCE"/>
          </w:tcPr>
          <w:p w14:paraId="6FE914F6" w14:textId="77777777" w:rsidR="003A3D51" w:rsidRDefault="0002775A">
            <w:pPr>
              <w:pStyle w:val="P68B1DB1-Normal64"/>
              <w:spacing w:after="0" w:line="240" w:lineRule="auto"/>
              <w:jc w:val="center"/>
              <w:textAlignment w:val="baseline"/>
              <w:rPr>
                <w:noProof/>
              </w:rPr>
            </w:pPr>
            <w:r>
              <w:rPr>
                <w:noProof/>
              </w:rPr>
              <w:t>29</w:t>
            </w:r>
          </w:p>
        </w:tc>
        <w:tc>
          <w:tcPr>
            <w:tcW w:w="1639" w:type="dxa"/>
            <w:tcBorders>
              <w:top w:val="nil"/>
              <w:left w:val="nil"/>
              <w:bottom w:val="single" w:sz="6" w:space="0" w:color="auto"/>
              <w:right w:val="single" w:sz="6" w:space="0" w:color="auto"/>
            </w:tcBorders>
            <w:shd w:val="clear" w:color="auto" w:fill="C6EFCE"/>
          </w:tcPr>
          <w:p w14:paraId="5BD62072" w14:textId="77777777" w:rsidR="003A3D51" w:rsidRDefault="0002775A">
            <w:pPr>
              <w:pStyle w:val="P68B1DB1-Normal64"/>
              <w:spacing w:after="0" w:line="240" w:lineRule="auto"/>
              <w:jc w:val="center"/>
              <w:textAlignment w:val="baseline"/>
              <w:rPr>
                <w:noProof/>
              </w:rPr>
            </w:pPr>
            <w:r>
              <w:rPr>
                <w:noProof/>
              </w:rPr>
              <w:t>C1.1.2 R2-I2</w:t>
            </w:r>
          </w:p>
        </w:tc>
        <w:tc>
          <w:tcPr>
            <w:tcW w:w="1274" w:type="dxa"/>
            <w:tcBorders>
              <w:top w:val="nil"/>
              <w:left w:val="nil"/>
              <w:bottom w:val="single" w:sz="6" w:space="0" w:color="auto"/>
              <w:right w:val="single" w:sz="6" w:space="0" w:color="auto"/>
            </w:tcBorders>
            <w:shd w:val="clear" w:color="auto" w:fill="C6EFCE"/>
          </w:tcPr>
          <w:p w14:paraId="40A791A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nil"/>
              <w:left w:val="nil"/>
              <w:bottom w:val="single" w:sz="6" w:space="0" w:color="auto"/>
              <w:right w:val="single" w:sz="6" w:space="0" w:color="auto"/>
            </w:tcBorders>
            <w:shd w:val="clear" w:color="auto" w:fill="C6EFCE"/>
          </w:tcPr>
          <w:p w14:paraId="778B7E25" w14:textId="77777777" w:rsidR="003A3D51" w:rsidRDefault="0002775A">
            <w:pPr>
              <w:pStyle w:val="P68B1DB1-Normal64"/>
              <w:spacing w:after="0" w:line="240" w:lineRule="auto"/>
              <w:textAlignment w:val="baseline"/>
              <w:rPr>
                <w:noProof/>
              </w:rPr>
            </w:pPr>
            <w:r>
              <w:rPr>
                <w:noProof/>
              </w:rPr>
              <w:t xml:space="preserve">Stöd till små och medelstora företag för att uppgradera förvaltningskapaciteten </w:t>
            </w:r>
          </w:p>
        </w:tc>
      </w:tr>
      <w:tr w:rsidR="003A3D51" w14:paraId="4EFA71A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097AD670" w14:textId="77777777" w:rsidR="003A3D51" w:rsidRDefault="0002775A">
            <w:pPr>
              <w:pStyle w:val="P68B1DB1-Normal64"/>
              <w:spacing w:after="0" w:line="240" w:lineRule="auto"/>
              <w:jc w:val="center"/>
              <w:textAlignment w:val="baseline"/>
              <w:rPr>
                <w:rFonts w:eastAsia="Times New Roman"/>
                <w:noProof/>
              </w:rPr>
            </w:pPr>
            <w:r>
              <w:rPr>
                <w:noProof/>
              </w:rPr>
              <w:t>35</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8813571" w14:textId="77777777" w:rsidR="003A3D51" w:rsidRDefault="0002775A">
            <w:pPr>
              <w:pStyle w:val="P68B1DB1-Normal64"/>
              <w:spacing w:after="0" w:line="240" w:lineRule="auto"/>
              <w:jc w:val="center"/>
              <w:textAlignment w:val="baseline"/>
              <w:rPr>
                <w:rFonts w:eastAsia="Times New Roman"/>
                <w:noProof/>
              </w:rPr>
            </w:pPr>
            <w:r>
              <w:rPr>
                <w:noProof/>
              </w:rPr>
              <w:t>C1.1.2 R4-I1</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1FEC1714"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3F3E2ABD" w14:textId="77777777" w:rsidR="003A3D51" w:rsidRDefault="0002775A">
            <w:pPr>
              <w:pStyle w:val="P68B1DB1-Normal64"/>
              <w:spacing w:after="0" w:line="240" w:lineRule="auto"/>
              <w:textAlignment w:val="baseline"/>
              <w:rPr>
                <w:rFonts w:eastAsia="Times New Roman"/>
                <w:noProof/>
              </w:rPr>
            </w:pPr>
            <w:r>
              <w:rPr>
                <w:noProof/>
              </w:rPr>
              <w:t>Inrättande av europeiska digitala innovationsknutpunkter</w:t>
            </w:r>
          </w:p>
        </w:tc>
      </w:tr>
      <w:tr w:rsidR="003A3D51" w14:paraId="4E67A5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E6B0BD" w14:textId="77777777" w:rsidR="003A3D51" w:rsidRDefault="0002775A">
            <w:pPr>
              <w:pStyle w:val="P68B1DB1-Normal64"/>
              <w:spacing w:after="0" w:line="240" w:lineRule="auto"/>
              <w:jc w:val="center"/>
              <w:textAlignment w:val="baseline"/>
              <w:rPr>
                <w:noProof/>
              </w:rPr>
            </w:pPr>
            <w:r>
              <w:rPr>
                <w:noProof/>
              </w:rPr>
              <w:t>48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5172EC8" w14:textId="77777777" w:rsidR="003A3D51" w:rsidRDefault="0002775A">
            <w:pPr>
              <w:pStyle w:val="P68B1DB1-Normal64"/>
              <w:spacing w:after="0" w:line="240" w:lineRule="auto"/>
              <w:jc w:val="center"/>
              <w:textAlignment w:val="baseline"/>
              <w:rPr>
                <w:noProof/>
              </w:rPr>
            </w:pPr>
            <w:r>
              <w:rPr>
                <w:noProof/>
              </w:rPr>
              <w:t>C1.2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56A8CB1"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3A43A92" w14:textId="77777777" w:rsidR="003A3D51" w:rsidRDefault="0002775A">
            <w:pPr>
              <w:pStyle w:val="P68B1DB1-Normal64"/>
              <w:spacing w:after="0" w:line="240" w:lineRule="auto"/>
              <w:textAlignment w:val="baseline"/>
              <w:rPr>
                <w:noProof/>
              </w:rPr>
            </w:pPr>
            <w:r>
              <w:rPr>
                <w:noProof/>
              </w:rPr>
              <w:t>Resultaten av geotermisk potential för fjärrvärme offentliggörs</w:t>
            </w:r>
          </w:p>
        </w:tc>
      </w:tr>
      <w:tr w:rsidR="003A3D51" w14:paraId="5026263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00DD7835" w14:textId="58854D82" w:rsidR="003A3D51" w:rsidRDefault="0002775A">
            <w:pPr>
              <w:pStyle w:val="P68B1DB1-Normal66"/>
              <w:spacing w:after="0" w:line="240" w:lineRule="auto"/>
              <w:jc w:val="center"/>
              <w:textAlignment w:val="baseline"/>
              <w:rPr>
                <w:noProof/>
              </w:rPr>
            </w:pPr>
            <w:r>
              <w:rPr>
                <w:noProof/>
              </w:rPr>
              <w:t>51</w:t>
            </w:r>
          </w:p>
        </w:tc>
        <w:tc>
          <w:tcPr>
            <w:tcW w:w="1639" w:type="dxa"/>
            <w:tcBorders>
              <w:top w:val="single" w:sz="6" w:space="0" w:color="auto"/>
              <w:left w:val="nil"/>
              <w:bottom w:val="single" w:sz="6" w:space="0" w:color="auto"/>
              <w:right w:val="single" w:sz="6" w:space="0" w:color="auto"/>
            </w:tcBorders>
            <w:shd w:val="clear" w:color="auto" w:fill="C6EFCE"/>
          </w:tcPr>
          <w:p w14:paraId="4B594B0A" w14:textId="0CFB514A" w:rsidR="003A3D51" w:rsidRDefault="0002775A">
            <w:pPr>
              <w:pStyle w:val="P68B1DB1-Normal66"/>
              <w:spacing w:after="0" w:line="240" w:lineRule="auto"/>
              <w:jc w:val="center"/>
              <w:textAlignment w:val="baseline"/>
              <w:rPr>
                <w:noProof/>
              </w:rPr>
            </w:pPr>
            <w:r>
              <w:rPr>
                <w:noProof/>
              </w:rPr>
              <w:t>C7.1 R1-I1</w:t>
            </w:r>
          </w:p>
        </w:tc>
        <w:tc>
          <w:tcPr>
            <w:tcW w:w="1274" w:type="dxa"/>
            <w:tcBorders>
              <w:top w:val="single" w:sz="6" w:space="0" w:color="auto"/>
              <w:left w:val="nil"/>
              <w:bottom w:val="single" w:sz="6" w:space="0" w:color="auto"/>
              <w:right w:val="single" w:sz="6" w:space="0" w:color="auto"/>
            </w:tcBorders>
            <w:shd w:val="clear" w:color="auto" w:fill="C6EFCE"/>
          </w:tcPr>
          <w:p w14:paraId="3BA0AAE8" w14:textId="206A4E4A" w:rsidR="003A3D51" w:rsidRDefault="0002775A">
            <w:pPr>
              <w:pStyle w:val="P68B1DB1-Normal66"/>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1DC95748" w14:textId="294A2E86" w:rsidR="003A3D51" w:rsidRDefault="0002775A">
            <w:pPr>
              <w:pStyle w:val="P68B1DB1-Normal66"/>
              <w:spacing w:after="0" w:line="240" w:lineRule="auto"/>
              <w:textAlignment w:val="baseline"/>
              <w:rPr>
                <w:noProof/>
              </w:rPr>
            </w:pPr>
            <w:r>
              <w:rPr>
                <w:noProof/>
              </w:rPr>
              <w:t>Ny produktionskapacitet för vätgas installerad</w:t>
            </w:r>
          </w:p>
        </w:tc>
      </w:tr>
      <w:tr w:rsidR="003A3D51" w14:paraId="3C00CE6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943A96F" w14:textId="77777777" w:rsidR="003A3D51" w:rsidRDefault="0002775A">
            <w:pPr>
              <w:pStyle w:val="P68B1DB1-Normal64"/>
              <w:spacing w:after="0" w:line="240" w:lineRule="auto"/>
              <w:jc w:val="center"/>
              <w:textAlignment w:val="baseline"/>
              <w:rPr>
                <w:noProof/>
              </w:rPr>
            </w:pPr>
            <w:r>
              <w:rPr>
                <w:noProof/>
              </w:rPr>
              <w:t>65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3C7F40C" w14:textId="77777777" w:rsidR="003A3D51" w:rsidRDefault="0002775A">
            <w:pPr>
              <w:pStyle w:val="P68B1DB1-Normal64"/>
              <w:spacing w:after="0" w:line="240" w:lineRule="auto"/>
              <w:jc w:val="center"/>
              <w:textAlignment w:val="baseline"/>
              <w:rPr>
                <w:noProof/>
              </w:rPr>
            </w:pPr>
            <w:r>
              <w:rPr>
                <w:noProof/>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8EA396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CA9752A" w14:textId="77777777" w:rsidR="003A3D51" w:rsidRDefault="0002775A">
            <w:pPr>
              <w:pStyle w:val="P68B1DB1-Normal64"/>
              <w:spacing w:after="0" w:line="240" w:lineRule="auto"/>
              <w:textAlignment w:val="baseline"/>
              <w:rPr>
                <w:noProof/>
              </w:rPr>
            </w:pPr>
            <w:r>
              <w:rPr>
                <w:noProof/>
              </w:rPr>
              <w:t>Avloppsreningsverk som byggts och tagits i drift</w:t>
            </w:r>
          </w:p>
        </w:tc>
      </w:tr>
      <w:tr w:rsidR="003A3D51" w14:paraId="4F77895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5FB5941" w14:textId="77777777" w:rsidR="003A3D51" w:rsidRDefault="0002775A">
            <w:pPr>
              <w:pStyle w:val="P68B1DB1-Normal64"/>
              <w:spacing w:after="0" w:line="240" w:lineRule="auto"/>
              <w:jc w:val="center"/>
              <w:textAlignment w:val="baseline"/>
              <w:rPr>
                <w:noProof/>
              </w:rPr>
            </w:pPr>
            <w:r>
              <w:rPr>
                <w:noProof/>
              </w:rPr>
              <w:t>66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69BD48E" w14:textId="77777777" w:rsidR="003A3D51" w:rsidRDefault="0002775A">
            <w:pPr>
              <w:pStyle w:val="P68B1DB1-Normal64"/>
              <w:spacing w:after="0" w:line="240" w:lineRule="auto"/>
              <w:jc w:val="center"/>
              <w:textAlignment w:val="baseline"/>
              <w:rPr>
                <w:noProof/>
              </w:rPr>
            </w:pPr>
            <w:r>
              <w:rPr>
                <w:noProof/>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335F91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8A0E4D4" w14:textId="77777777" w:rsidR="003A3D51" w:rsidRDefault="0002775A">
            <w:pPr>
              <w:pStyle w:val="P68B1DB1-Normal64"/>
              <w:spacing w:after="0" w:line="240" w:lineRule="auto"/>
              <w:textAlignment w:val="baseline"/>
              <w:rPr>
                <w:noProof/>
              </w:rPr>
            </w:pPr>
            <w:r>
              <w:rPr>
                <w:noProof/>
              </w:rPr>
              <w:t>Offentligt avloppsnät som uppförts eller rekonstruerats</w:t>
            </w:r>
          </w:p>
        </w:tc>
      </w:tr>
      <w:tr w:rsidR="003A3D51" w14:paraId="319B5D0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DC6682" w14:textId="77777777" w:rsidR="003A3D51" w:rsidRDefault="0002775A">
            <w:pPr>
              <w:pStyle w:val="P68B1DB1-Normal64"/>
              <w:spacing w:after="0" w:line="240" w:lineRule="auto"/>
              <w:jc w:val="center"/>
              <w:textAlignment w:val="baseline"/>
              <w:rPr>
                <w:noProof/>
              </w:rPr>
            </w:pPr>
            <w:r>
              <w:rPr>
                <w:noProof/>
              </w:rPr>
              <w:t>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D5560E5" w14:textId="77777777" w:rsidR="003A3D51" w:rsidRDefault="0002775A">
            <w:pPr>
              <w:pStyle w:val="P68B1DB1-Normal64"/>
              <w:spacing w:after="0" w:line="240" w:lineRule="auto"/>
              <w:jc w:val="center"/>
              <w:textAlignment w:val="baseline"/>
              <w:rPr>
                <w:noProof/>
              </w:rPr>
            </w:pPr>
            <w:r>
              <w:rPr>
                <w:noProof/>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F72F89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8B7E365" w14:textId="77777777" w:rsidR="003A3D51" w:rsidRDefault="0002775A">
            <w:pPr>
              <w:pStyle w:val="P68B1DB1-Normal64"/>
              <w:spacing w:after="0" w:line="240" w:lineRule="auto"/>
              <w:textAlignment w:val="baseline"/>
              <w:rPr>
                <w:noProof/>
              </w:rPr>
            </w:pPr>
            <w:r>
              <w:rPr>
                <w:noProof/>
              </w:rPr>
              <w:t>Allmänt vattenförsörjningsnät konstruerat eller ombyggt</w:t>
            </w:r>
          </w:p>
        </w:tc>
      </w:tr>
      <w:tr w:rsidR="003A3D51" w14:paraId="29B7620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04DA0E1" w14:textId="77777777" w:rsidR="003A3D51" w:rsidRDefault="0002775A">
            <w:pPr>
              <w:pStyle w:val="P68B1DB1-Normal64"/>
              <w:spacing w:after="0" w:line="240" w:lineRule="auto"/>
              <w:jc w:val="center"/>
              <w:textAlignment w:val="baseline"/>
              <w:rPr>
                <w:noProof/>
              </w:rPr>
            </w:pPr>
            <w:r>
              <w:rPr>
                <w:noProof/>
              </w:rPr>
              <w:t>79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D219375" w14:textId="77777777" w:rsidR="003A3D51" w:rsidRDefault="0002775A">
            <w:pPr>
              <w:pStyle w:val="P68B1DB1-Normal64"/>
              <w:spacing w:after="0" w:line="240" w:lineRule="auto"/>
              <w:jc w:val="center"/>
              <w:textAlignment w:val="baseline"/>
              <w:rPr>
                <w:noProof/>
              </w:rPr>
            </w:pPr>
            <w:r>
              <w:rPr>
                <w:noProof/>
              </w:rPr>
              <w:t>C1.3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C22C06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C3CF607" w14:textId="77777777" w:rsidR="003A3D51" w:rsidRDefault="0002775A">
            <w:pPr>
              <w:pStyle w:val="P68B1DB1-Normal64"/>
              <w:spacing w:after="0" w:line="240" w:lineRule="auto"/>
              <w:textAlignment w:val="baseline"/>
              <w:rPr>
                <w:noProof/>
              </w:rPr>
            </w:pPr>
            <w:r>
              <w:rPr>
                <w:noProof/>
              </w:rPr>
              <w:t>Anläggning av översvämningsskydd</w:t>
            </w:r>
          </w:p>
        </w:tc>
      </w:tr>
      <w:tr w:rsidR="003A3D51" w14:paraId="5B50249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B39820F" w14:textId="77777777" w:rsidR="003A3D51" w:rsidRDefault="0002775A">
            <w:pPr>
              <w:pStyle w:val="P68B1DB1-Normal64"/>
              <w:spacing w:after="0" w:line="240" w:lineRule="auto"/>
              <w:jc w:val="center"/>
              <w:textAlignment w:val="baseline"/>
              <w:rPr>
                <w:noProof/>
              </w:rPr>
            </w:pPr>
            <w:r>
              <w:rPr>
                <w:noProof/>
              </w:rPr>
              <w:t>86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83F6485"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30031E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8696B4" w14:textId="77777777" w:rsidR="003A3D51" w:rsidRDefault="0002775A">
            <w:pPr>
              <w:pStyle w:val="P68B1DB1-Normal64"/>
              <w:spacing w:after="0" w:line="240" w:lineRule="auto"/>
              <w:textAlignment w:val="baseline"/>
              <w:rPr>
                <w:noProof/>
              </w:rPr>
            </w:pPr>
            <w:r>
              <w:rPr>
                <w:noProof/>
              </w:rPr>
              <w:t>Uppförda sorteringsanläggningar</w:t>
            </w:r>
          </w:p>
        </w:tc>
      </w:tr>
      <w:tr w:rsidR="003A3D51" w14:paraId="0564B86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C97E32F" w14:textId="77777777" w:rsidR="003A3D51" w:rsidRDefault="0002775A">
            <w:pPr>
              <w:pStyle w:val="P68B1DB1-Normal64"/>
              <w:spacing w:after="0" w:line="240" w:lineRule="auto"/>
              <w:jc w:val="center"/>
              <w:textAlignment w:val="baseline"/>
              <w:rPr>
                <w:noProof/>
              </w:rPr>
            </w:pPr>
            <w:r>
              <w:rPr>
                <w:noProof/>
              </w:rPr>
              <w:t>87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F35C5D"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82B30E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BFFF4F1" w14:textId="77777777" w:rsidR="003A3D51" w:rsidRDefault="0002775A">
            <w:pPr>
              <w:pStyle w:val="P68B1DB1-Normal64"/>
              <w:spacing w:after="0" w:line="240" w:lineRule="auto"/>
              <w:textAlignment w:val="baseline"/>
              <w:rPr>
                <w:noProof/>
              </w:rPr>
            </w:pPr>
            <w:r>
              <w:rPr>
                <w:noProof/>
              </w:rPr>
              <w:t>Byggda anläggningar för behandling av separat insamlat biologiskt avfall</w:t>
            </w:r>
          </w:p>
        </w:tc>
      </w:tr>
      <w:tr w:rsidR="003A3D51" w14:paraId="322F453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028AF4" w14:textId="77777777" w:rsidR="003A3D51" w:rsidRDefault="0002775A">
            <w:pPr>
              <w:pStyle w:val="P68B1DB1-Normal64"/>
              <w:spacing w:after="0" w:line="240" w:lineRule="auto"/>
              <w:jc w:val="center"/>
              <w:textAlignment w:val="baseline"/>
              <w:rPr>
                <w:noProof/>
              </w:rPr>
            </w:pPr>
            <w:r>
              <w:rPr>
                <w:noProof/>
              </w:rPr>
              <w:t>88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0997613"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A53A30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A1FB38" w14:textId="77777777" w:rsidR="003A3D51" w:rsidRDefault="0002775A">
            <w:pPr>
              <w:pStyle w:val="P68B1DB1-Normal64"/>
              <w:spacing w:after="0" w:line="240" w:lineRule="auto"/>
              <w:textAlignment w:val="baseline"/>
              <w:rPr>
                <w:noProof/>
              </w:rPr>
            </w:pPr>
            <w:r>
              <w:rPr>
                <w:noProof/>
              </w:rPr>
              <w:t>Funktionell fast/mobil sorteringsanläggning för avfall</w:t>
            </w:r>
          </w:p>
        </w:tc>
      </w:tr>
      <w:tr w:rsidR="003A3D51" w14:paraId="0F7B406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A805AAD" w14:textId="77777777" w:rsidR="003A3D51" w:rsidRDefault="0002775A">
            <w:pPr>
              <w:pStyle w:val="P68B1DB1-Normal64"/>
              <w:spacing w:after="0" w:line="240" w:lineRule="auto"/>
              <w:jc w:val="center"/>
              <w:textAlignment w:val="baseline"/>
              <w:rPr>
                <w:noProof/>
              </w:rPr>
            </w:pPr>
            <w:r>
              <w:rPr>
                <w:noProof/>
              </w:rPr>
              <w:t>89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923820E"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241197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679F366" w14:textId="77777777" w:rsidR="003A3D51" w:rsidRDefault="0002775A">
            <w:pPr>
              <w:pStyle w:val="P68B1DB1-Normal64"/>
              <w:spacing w:after="0" w:line="240" w:lineRule="auto"/>
              <w:textAlignment w:val="baseline"/>
              <w:rPr>
                <w:noProof/>
              </w:rPr>
            </w:pPr>
            <w:r>
              <w:rPr>
                <w:noProof/>
              </w:rPr>
              <w:t>Minskning av andelen kommunalt avfall som skickas för bortskaffande (45 %)</w:t>
            </w:r>
          </w:p>
        </w:tc>
      </w:tr>
      <w:tr w:rsidR="003A3D51" w14:paraId="45C01FA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661CF83" w14:textId="77777777" w:rsidR="003A3D51" w:rsidRDefault="0002775A">
            <w:pPr>
              <w:pStyle w:val="P68B1DB1-Normal64"/>
              <w:spacing w:after="0" w:line="240" w:lineRule="auto"/>
              <w:jc w:val="center"/>
              <w:textAlignment w:val="baseline"/>
              <w:rPr>
                <w:noProof/>
              </w:rPr>
            </w:pPr>
            <w:r>
              <w:rPr>
                <w:noProof/>
              </w:rPr>
              <w:t>107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629B3F" w14:textId="77777777" w:rsidR="003A3D51" w:rsidRDefault="0002775A">
            <w:pPr>
              <w:pStyle w:val="P68B1DB1-Normal64"/>
              <w:spacing w:after="0" w:line="240" w:lineRule="auto"/>
              <w:jc w:val="center"/>
              <w:textAlignment w:val="baseline"/>
              <w:rPr>
                <w:noProof/>
              </w:rPr>
            </w:pPr>
            <w:r>
              <w:rPr>
                <w:noProof/>
              </w:rPr>
              <w:t>C1.4 R2-I6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EEAA4B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BED362" w14:textId="77777777" w:rsidR="003A3D51" w:rsidRDefault="0002775A">
            <w:pPr>
              <w:pStyle w:val="P68B1DB1-Normal64"/>
              <w:spacing w:after="0" w:line="240" w:lineRule="auto"/>
              <w:textAlignment w:val="baseline"/>
              <w:rPr>
                <w:noProof/>
              </w:rPr>
            </w:pPr>
            <w:r>
              <w:rPr>
                <w:noProof/>
              </w:rPr>
              <w:t>Två prototyper av batteritåg tillverkas och driftstester inleds.</w:t>
            </w:r>
          </w:p>
        </w:tc>
      </w:tr>
      <w:tr w:rsidR="003A3D51" w14:paraId="4675A8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68B4DB0" w14:textId="77777777" w:rsidR="003A3D51" w:rsidRDefault="0002775A">
            <w:pPr>
              <w:pStyle w:val="P68B1DB1-Normal64"/>
              <w:spacing w:after="0" w:line="240" w:lineRule="auto"/>
              <w:jc w:val="center"/>
              <w:textAlignment w:val="baseline"/>
              <w:rPr>
                <w:noProof/>
              </w:rPr>
            </w:pPr>
            <w:r>
              <w:rPr>
                <w:noProof/>
              </w:rPr>
              <w:t>102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305B16" w14:textId="77777777" w:rsidR="003A3D51" w:rsidRDefault="0002775A">
            <w:pPr>
              <w:pStyle w:val="P68B1DB1-Normal64"/>
              <w:spacing w:after="0" w:line="240" w:lineRule="auto"/>
              <w:jc w:val="center"/>
              <w:textAlignment w:val="baseline"/>
              <w:rPr>
                <w:noProof/>
              </w:rPr>
            </w:pPr>
            <w:r>
              <w:rPr>
                <w:noProof/>
              </w:rPr>
              <w:t>C1.4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F23487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79FBF2A" w14:textId="77777777" w:rsidR="003A3D51" w:rsidRDefault="0002775A">
            <w:pPr>
              <w:pStyle w:val="P68B1DB1-Normal64"/>
              <w:spacing w:after="0" w:line="240" w:lineRule="auto"/>
              <w:textAlignment w:val="baseline"/>
              <w:rPr>
                <w:noProof/>
              </w:rPr>
            </w:pPr>
            <w:r>
              <w:rPr>
                <w:noProof/>
              </w:rPr>
              <w:t>Ombyggnad av tre stationer på sträckan Oštarije-Knin-Split</w:t>
            </w:r>
          </w:p>
        </w:tc>
      </w:tr>
      <w:tr w:rsidR="003A3D51" w14:paraId="754D0F1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CC0F6" w14:textId="77777777" w:rsidR="003A3D51" w:rsidRDefault="0002775A">
            <w:pPr>
              <w:pStyle w:val="P68B1DB1-Normal64"/>
              <w:spacing w:after="0" w:line="240" w:lineRule="auto"/>
              <w:jc w:val="center"/>
              <w:textAlignment w:val="baseline"/>
              <w:rPr>
                <w:noProof/>
              </w:rPr>
            </w:pPr>
            <w:r>
              <w:rPr>
                <w:noProof/>
              </w:rPr>
              <w:t>103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C136E25" w14:textId="77777777" w:rsidR="003A3D51" w:rsidRDefault="0002775A">
            <w:pPr>
              <w:pStyle w:val="P68B1DB1-Normal64"/>
              <w:spacing w:after="0" w:line="240" w:lineRule="auto"/>
              <w:jc w:val="center"/>
              <w:textAlignment w:val="baseline"/>
              <w:rPr>
                <w:noProof/>
              </w:rPr>
            </w:pPr>
            <w:r>
              <w:rPr>
                <w:noProof/>
              </w:rPr>
              <w:t>C1.4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0752D93"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A6239B8" w14:textId="77777777" w:rsidR="003A3D51" w:rsidRDefault="0002775A">
            <w:pPr>
              <w:pStyle w:val="P68B1DB1-Normal64"/>
              <w:spacing w:after="0" w:line="240" w:lineRule="auto"/>
              <w:textAlignment w:val="baseline"/>
              <w:rPr>
                <w:noProof/>
              </w:rPr>
            </w:pPr>
            <w:r>
              <w:rPr>
                <w:noProof/>
              </w:rPr>
              <w:t>Ombord- och driftsinstallationer för signalering på sträckan Oštarije – Knin – Split</w:t>
            </w:r>
          </w:p>
        </w:tc>
      </w:tr>
      <w:tr w:rsidR="003A3D51" w14:paraId="51FA77A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492852" w14:textId="77777777" w:rsidR="003A3D51" w:rsidRDefault="0002775A">
            <w:pPr>
              <w:pStyle w:val="P68B1DB1-Normal64"/>
              <w:spacing w:after="0" w:line="240" w:lineRule="auto"/>
              <w:jc w:val="center"/>
              <w:textAlignment w:val="baseline"/>
              <w:rPr>
                <w:noProof/>
              </w:rPr>
            </w:pPr>
            <w:r>
              <w:rPr>
                <w:noProof/>
              </w:rPr>
              <w:t>104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9C9D8B" w14:textId="77777777" w:rsidR="003A3D51" w:rsidRDefault="0002775A">
            <w:pPr>
              <w:pStyle w:val="P68B1DB1-Normal64"/>
              <w:spacing w:after="0" w:line="240" w:lineRule="auto"/>
              <w:jc w:val="center"/>
              <w:textAlignment w:val="baseline"/>
              <w:rPr>
                <w:noProof/>
              </w:rPr>
            </w:pPr>
            <w:r>
              <w:rPr>
                <w:noProof/>
              </w:rPr>
              <w:t>C1.4 R2-I3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854A97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F667D7" w14:textId="77777777" w:rsidR="003A3D51" w:rsidRDefault="0002775A">
            <w:pPr>
              <w:pStyle w:val="P68B1DB1-Normal64"/>
              <w:spacing w:after="0" w:line="240" w:lineRule="auto"/>
              <w:textAlignment w:val="baseline"/>
              <w:rPr>
                <w:noProof/>
              </w:rPr>
            </w:pPr>
            <w:r>
              <w:rPr>
                <w:noProof/>
              </w:rPr>
              <w:t>Fem flaskhalsar undanröjda på sektioner med nuvarande driftshastigheter på 60 km/h</w:t>
            </w:r>
          </w:p>
        </w:tc>
      </w:tr>
      <w:tr w:rsidR="003A3D51" w14:paraId="0025AA9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0CC0AC5" w14:textId="77777777" w:rsidR="003A3D51" w:rsidRDefault="0002775A">
            <w:pPr>
              <w:pStyle w:val="P68B1DB1-Normal64"/>
              <w:spacing w:after="0" w:line="240" w:lineRule="auto"/>
              <w:jc w:val="center"/>
              <w:textAlignment w:val="baseline"/>
              <w:rPr>
                <w:noProof/>
              </w:rPr>
            </w:pPr>
            <w:r>
              <w:rPr>
                <w:noProof/>
              </w:rPr>
              <w:t>105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EC5F2A4" w14:textId="77777777" w:rsidR="003A3D51" w:rsidRDefault="0002775A">
            <w:pPr>
              <w:pStyle w:val="P68B1DB1-Normal64"/>
              <w:spacing w:after="0" w:line="240" w:lineRule="auto"/>
              <w:jc w:val="center"/>
              <w:textAlignment w:val="baseline"/>
              <w:rPr>
                <w:noProof/>
              </w:rPr>
            </w:pPr>
            <w:r>
              <w:rPr>
                <w:noProof/>
              </w:rPr>
              <w:t>C1.4 R2-I4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AFA7DE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6BDF325" w14:textId="77777777" w:rsidR="003A3D51" w:rsidRDefault="0002775A">
            <w:pPr>
              <w:pStyle w:val="P68B1DB1-Normal64"/>
              <w:spacing w:after="0" w:line="240" w:lineRule="auto"/>
              <w:textAlignment w:val="baseline"/>
              <w:rPr>
                <w:noProof/>
              </w:rPr>
            </w:pPr>
            <w:r>
              <w:rPr>
                <w:noProof/>
              </w:rPr>
              <w:t>Dubbelspårig järnvägslinje vid Zagreb Kustošija – ZG Zapadni Kolodvor – Zagreb Glavni Kolodvor för en längd på 3,4 km ombyggd och uppgraderad</w:t>
            </w:r>
          </w:p>
        </w:tc>
      </w:tr>
      <w:tr w:rsidR="003A3D51" w14:paraId="3F50BB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00CFACE" w14:textId="77777777" w:rsidR="003A3D51" w:rsidRDefault="0002775A">
            <w:pPr>
              <w:pStyle w:val="P68B1DB1-Normal64"/>
              <w:spacing w:after="0" w:line="240" w:lineRule="auto"/>
              <w:jc w:val="center"/>
              <w:textAlignment w:val="baseline"/>
              <w:rPr>
                <w:noProof/>
              </w:rPr>
            </w:pPr>
            <w:r>
              <w:rPr>
                <w:noProof/>
              </w:rPr>
              <w:t>112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CFE75EC" w14:textId="77777777" w:rsidR="003A3D51" w:rsidRDefault="0002775A">
            <w:pPr>
              <w:pStyle w:val="P68B1DB1-Normal64"/>
              <w:spacing w:after="0" w:line="240" w:lineRule="auto"/>
              <w:jc w:val="center"/>
              <w:textAlignment w:val="baseline"/>
              <w:rPr>
                <w:noProof/>
              </w:rPr>
            </w:pPr>
            <w:r>
              <w:rPr>
                <w:noProof/>
              </w:rPr>
              <w:t>C1.4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8FEB2B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E1B7B29" w14:textId="77777777" w:rsidR="003A3D51" w:rsidRDefault="0002775A">
            <w:pPr>
              <w:pStyle w:val="P68B1DB1-Normal64"/>
              <w:spacing w:after="0" w:line="240" w:lineRule="auto"/>
              <w:textAlignment w:val="baseline"/>
              <w:rPr>
                <w:noProof/>
              </w:rPr>
            </w:pPr>
            <w:r>
              <w:rPr>
                <w:noProof/>
              </w:rPr>
              <w:t>Moderniserade/ombyggda 2 kusthamnar som är öppna för allmän trafik</w:t>
            </w:r>
          </w:p>
        </w:tc>
      </w:tr>
      <w:tr w:rsidR="003A3D51" w14:paraId="3783FE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423EA9" w14:textId="77777777" w:rsidR="003A3D51" w:rsidRDefault="0002775A">
            <w:pPr>
              <w:pStyle w:val="P68B1DB1-Normal64"/>
              <w:spacing w:after="0" w:line="240" w:lineRule="auto"/>
              <w:jc w:val="center"/>
              <w:textAlignment w:val="baseline"/>
              <w:rPr>
                <w:noProof/>
              </w:rPr>
            </w:pPr>
            <w:r>
              <w:rPr>
                <w:noProof/>
              </w:rPr>
              <w:t>117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36A84ED" w14:textId="77777777" w:rsidR="003A3D51" w:rsidRDefault="0002775A">
            <w:pPr>
              <w:pStyle w:val="P68B1DB1-Normal64"/>
              <w:spacing w:after="0" w:line="240" w:lineRule="auto"/>
              <w:jc w:val="center"/>
              <w:textAlignment w:val="baseline"/>
              <w:rPr>
                <w:noProof/>
              </w:rPr>
            </w:pPr>
            <w:r>
              <w:rPr>
                <w:noProof/>
              </w:rPr>
              <w:t>C1.4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87A666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AB6F28D" w14:textId="77777777" w:rsidR="003A3D51" w:rsidRDefault="0002775A">
            <w:pPr>
              <w:pStyle w:val="P68B1DB1-Normal64"/>
              <w:spacing w:after="0" w:line="240" w:lineRule="auto"/>
              <w:textAlignment w:val="baseline"/>
              <w:rPr>
                <w:noProof/>
              </w:rPr>
            </w:pPr>
            <w:r>
              <w:rPr>
                <w:noProof/>
              </w:rPr>
              <w:t>30 spårvagnar upphandlade för kollektivtrafik</w:t>
            </w:r>
          </w:p>
        </w:tc>
      </w:tr>
      <w:tr w:rsidR="003A3D51" w14:paraId="3EF95E1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DC5DCA4" w14:textId="77777777" w:rsidR="003A3D51" w:rsidRDefault="0002775A">
            <w:pPr>
              <w:pStyle w:val="P68B1DB1-Normal64"/>
              <w:spacing w:after="0" w:line="240" w:lineRule="auto"/>
              <w:jc w:val="center"/>
              <w:textAlignment w:val="baseline"/>
              <w:rPr>
                <w:noProof/>
              </w:rPr>
            </w:pPr>
            <w:r>
              <w:rPr>
                <w:noProof/>
              </w:rPr>
              <w:t>118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AAE6F60" w14:textId="77777777" w:rsidR="003A3D51" w:rsidRDefault="0002775A">
            <w:pPr>
              <w:pStyle w:val="P68B1DB1-Normal64"/>
              <w:spacing w:after="0" w:line="240" w:lineRule="auto"/>
              <w:jc w:val="center"/>
              <w:textAlignment w:val="baseline"/>
              <w:rPr>
                <w:noProof/>
              </w:rPr>
            </w:pPr>
            <w:r>
              <w:rPr>
                <w:noProof/>
              </w:rPr>
              <w:t>C1.4 R5-I1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0F369A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528F2D9" w14:textId="77777777" w:rsidR="003A3D51" w:rsidRDefault="0002775A">
            <w:pPr>
              <w:pStyle w:val="P68B1DB1-Normal64"/>
              <w:spacing w:after="0" w:line="240" w:lineRule="auto"/>
              <w:textAlignment w:val="baseline"/>
              <w:rPr>
                <w:noProof/>
              </w:rPr>
            </w:pPr>
            <w:r>
              <w:rPr>
                <w:noProof/>
              </w:rPr>
              <w:t>Införande av ett helt elektrifierat och glimmat marktjänstsystem för luftfartyg på Zadars flygplats</w:t>
            </w:r>
          </w:p>
        </w:tc>
      </w:tr>
      <w:tr w:rsidR="003A3D51" w14:paraId="354A22D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F9BDB3E" w14:textId="77777777" w:rsidR="003A3D51" w:rsidRDefault="0002775A">
            <w:pPr>
              <w:pStyle w:val="P68B1DB1-Normal64"/>
              <w:spacing w:after="0" w:line="240" w:lineRule="auto"/>
              <w:jc w:val="center"/>
              <w:textAlignment w:val="baseline"/>
              <w:rPr>
                <w:noProof/>
              </w:rPr>
            </w:pPr>
            <w:r>
              <w:rPr>
                <w:noProof/>
              </w:rPr>
              <w:t>121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36C486" w14:textId="77777777" w:rsidR="003A3D51" w:rsidRDefault="0002775A">
            <w:pPr>
              <w:pStyle w:val="P68B1DB1-Normal64"/>
              <w:spacing w:after="0" w:line="240" w:lineRule="auto"/>
              <w:jc w:val="center"/>
              <w:textAlignment w:val="baseline"/>
              <w:rPr>
                <w:noProof/>
              </w:rPr>
            </w:pPr>
            <w:r>
              <w:rPr>
                <w:noProof/>
              </w:rPr>
              <w:t>C1.4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51E0AD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92C2DB" w14:textId="77777777" w:rsidR="003A3D51" w:rsidRDefault="0002775A">
            <w:pPr>
              <w:pStyle w:val="P68B1DB1-Normal64"/>
              <w:spacing w:after="0" w:line="240" w:lineRule="auto"/>
              <w:textAlignment w:val="baseline"/>
              <w:rPr>
                <w:noProof/>
              </w:rPr>
            </w:pPr>
            <w:r>
              <w:rPr>
                <w:noProof/>
              </w:rPr>
              <w:t>Tilldelning av stöd till forskning och utveckling av nya ekosystemprojekt för mobilitet i städer</w:t>
            </w:r>
          </w:p>
        </w:tc>
      </w:tr>
      <w:tr w:rsidR="003A3D51" w14:paraId="487D03A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27D01F" w14:textId="77777777" w:rsidR="003A3D51" w:rsidRDefault="0002775A">
            <w:pPr>
              <w:pStyle w:val="P68B1DB1-Normal64"/>
              <w:spacing w:after="0" w:line="240" w:lineRule="auto"/>
              <w:jc w:val="center"/>
              <w:textAlignment w:val="baseline"/>
              <w:rPr>
                <w:noProof/>
              </w:rPr>
            </w:pPr>
            <w:r>
              <w:rPr>
                <w:noProof/>
              </w:rPr>
              <w:t>122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A6827AE" w14:textId="77777777" w:rsidR="003A3D51" w:rsidRDefault="0002775A">
            <w:pPr>
              <w:pStyle w:val="P68B1DB1-Normal64"/>
              <w:spacing w:after="0" w:line="240" w:lineRule="auto"/>
              <w:jc w:val="center"/>
              <w:textAlignment w:val="baseline"/>
              <w:rPr>
                <w:noProof/>
              </w:rPr>
            </w:pPr>
            <w:r>
              <w:rPr>
                <w:noProof/>
              </w:rPr>
              <w:t>C1.4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C6FFC5"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4F264D" w14:textId="77777777" w:rsidR="003A3D51" w:rsidRDefault="0002775A">
            <w:pPr>
              <w:pStyle w:val="P68B1DB1-Normal64"/>
              <w:spacing w:after="0" w:line="240" w:lineRule="auto"/>
              <w:textAlignment w:val="baseline"/>
              <w:rPr>
                <w:noProof/>
              </w:rPr>
            </w:pPr>
            <w:r>
              <w:rPr>
                <w:noProof/>
              </w:rPr>
              <w:t>Helt självkörande fordon och elfordon anpassade till funktionshindrade passagerares behov och en specialiserad infrastruktur</w:t>
            </w:r>
          </w:p>
        </w:tc>
      </w:tr>
      <w:tr w:rsidR="003A3D51" w14:paraId="4D6D3E1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F0219E5" w14:textId="77777777" w:rsidR="003A3D51" w:rsidRDefault="0002775A">
            <w:pPr>
              <w:pStyle w:val="P68B1DB1-Normal64"/>
              <w:spacing w:after="0" w:line="240" w:lineRule="auto"/>
              <w:jc w:val="center"/>
              <w:textAlignment w:val="baseline"/>
              <w:rPr>
                <w:noProof/>
              </w:rPr>
            </w:pPr>
            <w:r>
              <w:rPr>
                <w:noProof/>
              </w:rPr>
              <w:t>135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EA86C8B" w14:textId="77777777" w:rsidR="003A3D51" w:rsidRDefault="0002775A">
            <w:pPr>
              <w:pStyle w:val="P68B1DB1-Normal64"/>
              <w:spacing w:after="0" w:line="240" w:lineRule="auto"/>
              <w:jc w:val="center"/>
              <w:textAlignment w:val="baseline"/>
              <w:rPr>
                <w:noProof/>
              </w:rPr>
            </w:pPr>
            <w:r>
              <w:rPr>
                <w:noProof/>
              </w:rPr>
              <w:t>C1.5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E58B7D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C914E14" w14:textId="77777777" w:rsidR="003A3D51" w:rsidRDefault="0002775A">
            <w:pPr>
              <w:pStyle w:val="P68B1DB1-Normal64"/>
              <w:spacing w:after="0" w:line="240" w:lineRule="auto"/>
              <w:textAlignment w:val="baseline"/>
              <w:rPr>
                <w:noProof/>
              </w:rPr>
            </w:pPr>
            <w:r>
              <w:rPr>
                <w:noProof/>
              </w:rPr>
              <w:t>Digitalisering av minst 30 offentliga tjänster inom jordbruket som förtecknas i handlingsplanen för digital omställning av offentliga tjänster inom jordbruket</w:t>
            </w:r>
          </w:p>
        </w:tc>
      </w:tr>
      <w:tr w:rsidR="003A3D51" w14:paraId="178D142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2F3D69D" w14:textId="77777777" w:rsidR="003A3D51" w:rsidRDefault="0002775A">
            <w:pPr>
              <w:pStyle w:val="P68B1DB1-Normal64"/>
              <w:spacing w:after="0" w:line="240" w:lineRule="auto"/>
              <w:jc w:val="center"/>
              <w:textAlignment w:val="baseline"/>
              <w:rPr>
                <w:noProof/>
              </w:rPr>
            </w:pPr>
            <w:r>
              <w:rPr>
                <w:noProof/>
              </w:rPr>
              <w:t>136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F7D3235" w14:textId="77777777" w:rsidR="003A3D51" w:rsidRDefault="0002775A">
            <w:pPr>
              <w:pStyle w:val="P68B1DB1-Normal64"/>
              <w:spacing w:after="0" w:line="240" w:lineRule="auto"/>
              <w:jc w:val="center"/>
              <w:textAlignment w:val="baseline"/>
              <w:rPr>
                <w:noProof/>
              </w:rPr>
            </w:pPr>
            <w:r>
              <w:rPr>
                <w:noProof/>
              </w:rPr>
              <w:t>C1.5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0FBE7C1"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F6C269" w14:textId="77777777" w:rsidR="003A3D51" w:rsidRDefault="0002775A">
            <w:pPr>
              <w:pStyle w:val="P68B1DB1-Normal64"/>
              <w:spacing w:after="0" w:line="240" w:lineRule="auto"/>
              <w:textAlignment w:val="baseline"/>
              <w:rPr>
                <w:noProof/>
              </w:rPr>
            </w:pPr>
            <w:r>
              <w:rPr>
                <w:noProof/>
              </w:rPr>
              <w:t>Inrättande av en plattform för smart jordbruk</w:t>
            </w:r>
          </w:p>
        </w:tc>
      </w:tr>
      <w:tr w:rsidR="003A3D51" w14:paraId="78FB2B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4C010E" w14:textId="77777777" w:rsidR="003A3D51" w:rsidRDefault="0002775A">
            <w:pPr>
              <w:pStyle w:val="P68B1DB1-Normal64"/>
              <w:spacing w:after="0" w:line="240" w:lineRule="auto"/>
              <w:jc w:val="center"/>
              <w:textAlignment w:val="baseline"/>
              <w:rPr>
                <w:noProof/>
              </w:rPr>
            </w:pPr>
            <w:r>
              <w:rPr>
                <w:noProof/>
              </w:rPr>
              <w:t>149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0D12F7A" w14:textId="77777777" w:rsidR="003A3D51" w:rsidRDefault="0002775A">
            <w:pPr>
              <w:pStyle w:val="P68B1DB1-Normal64"/>
              <w:spacing w:after="0" w:line="240" w:lineRule="auto"/>
              <w:jc w:val="center"/>
              <w:textAlignment w:val="baseline"/>
              <w:rPr>
                <w:noProof/>
              </w:rPr>
            </w:pPr>
            <w:r>
              <w:rPr>
                <w:noProof/>
              </w:rPr>
              <w:t>C1.6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41760C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FE82C60" w14:textId="77777777" w:rsidR="003A3D51" w:rsidRDefault="0002775A">
            <w:pPr>
              <w:pStyle w:val="P68B1DB1-Normal64"/>
              <w:spacing w:after="0" w:line="240" w:lineRule="auto"/>
              <w:textAlignment w:val="baseline"/>
              <w:rPr>
                <w:noProof/>
              </w:rPr>
            </w:pPr>
            <w:r>
              <w:rPr>
                <w:noProof/>
              </w:rPr>
              <w:t>Utbildade studenter i utbildningsprogram för att stärka kunskaperna och färdigheterna inom turism, inbegripet digitala färdigheter för myndigheter och offentliga tjänstemän i turismsystemet, arbetslösa och arbetsgivarutbildning.</w:t>
            </w:r>
          </w:p>
        </w:tc>
      </w:tr>
      <w:tr w:rsidR="003A3D51" w14:paraId="42C362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B90D4D" w14:textId="77777777" w:rsidR="003A3D51" w:rsidRDefault="0002775A">
            <w:pPr>
              <w:pStyle w:val="P68B1DB1-Normal64"/>
              <w:spacing w:after="0" w:line="240" w:lineRule="auto"/>
              <w:jc w:val="center"/>
              <w:textAlignment w:val="baseline"/>
              <w:rPr>
                <w:noProof/>
              </w:rPr>
            </w:pPr>
            <w:r>
              <w:rPr>
                <w:noProof/>
              </w:rPr>
              <w:t>152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4402535" w14:textId="77777777" w:rsidR="003A3D51" w:rsidRDefault="0002775A">
            <w:pPr>
              <w:pStyle w:val="P68B1DB1-Normal64"/>
              <w:spacing w:after="0" w:line="240" w:lineRule="auto"/>
              <w:jc w:val="center"/>
              <w:textAlignment w:val="baseline"/>
              <w:rPr>
                <w:noProof/>
              </w:rPr>
            </w:pPr>
            <w:r>
              <w:rPr>
                <w:noProof/>
              </w:rPr>
              <w:t>C2.1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BE01AB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F6F0FF0" w14:textId="77777777" w:rsidR="003A3D51" w:rsidRDefault="0002775A">
            <w:pPr>
              <w:pStyle w:val="P68B1DB1-Normal64"/>
              <w:spacing w:after="0" w:line="240" w:lineRule="auto"/>
              <w:textAlignment w:val="baseline"/>
              <w:rPr>
                <w:noProof/>
              </w:rPr>
            </w:pPr>
            <w:r>
              <w:rPr>
                <w:noProof/>
              </w:rPr>
              <w:t>Minskning av den administrativa börda som direkt påverkar medborgarna genom digitalisering och förenkling av förfaranden</w:t>
            </w:r>
          </w:p>
        </w:tc>
      </w:tr>
      <w:tr w:rsidR="003A3D51" w14:paraId="68072F7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CA49DB5" w14:textId="77777777" w:rsidR="003A3D51" w:rsidRDefault="0002775A">
            <w:pPr>
              <w:pStyle w:val="P68B1DB1-Normal64"/>
              <w:spacing w:after="0" w:line="240" w:lineRule="auto"/>
              <w:jc w:val="center"/>
              <w:textAlignment w:val="baseline"/>
              <w:rPr>
                <w:noProof/>
              </w:rPr>
            </w:pPr>
            <w:r>
              <w:rPr>
                <w:noProof/>
              </w:rPr>
              <w:t>153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24310FB" w14:textId="77777777" w:rsidR="003A3D51" w:rsidRDefault="0002775A">
            <w:pPr>
              <w:pStyle w:val="P68B1DB1-Normal64"/>
              <w:spacing w:after="0" w:line="240" w:lineRule="auto"/>
              <w:jc w:val="center"/>
              <w:textAlignment w:val="baseline"/>
              <w:rPr>
                <w:noProof/>
              </w:rPr>
            </w:pPr>
            <w:r>
              <w:rPr>
                <w:noProof/>
              </w:rPr>
              <w:t>C2.1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1EF3A0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1933939" w14:textId="77777777" w:rsidR="003A3D51" w:rsidRDefault="0002775A">
            <w:pPr>
              <w:pStyle w:val="P68B1DB1-Normal64"/>
              <w:spacing w:after="0" w:line="240" w:lineRule="auto"/>
              <w:textAlignment w:val="baseline"/>
              <w:rPr>
                <w:noProof/>
              </w:rPr>
            </w:pPr>
            <w:r>
              <w:rPr>
                <w:noProof/>
              </w:rPr>
              <w:t>Digitalisering av alla verksamhetsprocesser som kartläggs på området strategisk planering och konsekvensbedömning av lagstiftning</w:t>
            </w:r>
          </w:p>
        </w:tc>
      </w:tr>
      <w:tr w:rsidR="003A3D51" w14:paraId="0570D2F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6B61BA3" w14:textId="77777777" w:rsidR="003A3D51" w:rsidRDefault="0002775A">
            <w:pPr>
              <w:pStyle w:val="P68B1DB1-Normal64"/>
              <w:spacing w:after="0" w:line="240" w:lineRule="auto"/>
              <w:jc w:val="center"/>
              <w:textAlignment w:val="baseline"/>
              <w:rPr>
                <w:noProof/>
              </w:rPr>
            </w:pPr>
            <w:r>
              <w:rPr>
                <w:noProof/>
              </w:rPr>
              <w:t>162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4F29C3" w14:textId="77777777" w:rsidR="003A3D51" w:rsidRDefault="0002775A">
            <w:pPr>
              <w:pStyle w:val="P68B1DB1-Normal64"/>
              <w:spacing w:after="0" w:line="240" w:lineRule="auto"/>
              <w:jc w:val="center"/>
              <w:textAlignment w:val="baseline"/>
              <w:rPr>
                <w:noProof/>
              </w:rPr>
            </w:pPr>
            <w:r>
              <w:rPr>
                <w:noProof/>
              </w:rPr>
              <w:t>C2.1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F01E6E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703BCDB" w14:textId="77777777" w:rsidR="003A3D51" w:rsidRDefault="0002775A">
            <w:pPr>
              <w:pStyle w:val="P68B1DB1-Normal64"/>
              <w:spacing w:after="0" w:line="240" w:lineRule="auto"/>
              <w:textAlignment w:val="baseline"/>
              <w:rPr>
                <w:noProof/>
              </w:rPr>
            </w:pPr>
            <w:r>
              <w:rPr>
                <w:noProof/>
              </w:rPr>
              <w:t>Utarbetande av teknisk projektdokumentation för projekt för grön och digital omställning</w:t>
            </w:r>
          </w:p>
        </w:tc>
      </w:tr>
      <w:tr w:rsidR="003A3D51" w14:paraId="77D0E1E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5AD494" w14:textId="77777777" w:rsidR="003A3D51" w:rsidRDefault="0002775A">
            <w:pPr>
              <w:pStyle w:val="P68B1DB1-Normal64"/>
              <w:spacing w:after="0" w:line="240" w:lineRule="auto"/>
              <w:jc w:val="center"/>
              <w:textAlignment w:val="baseline"/>
              <w:rPr>
                <w:noProof/>
              </w:rPr>
            </w:pPr>
            <w:r>
              <w:rPr>
                <w:noProof/>
              </w:rPr>
              <w:t>187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B9A1319" w14:textId="77777777" w:rsidR="003A3D51" w:rsidRDefault="0002775A">
            <w:pPr>
              <w:pStyle w:val="P68B1DB1-Normal64"/>
              <w:spacing w:after="0" w:line="240" w:lineRule="auto"/>
              <w:jc w:val="center"/>
              <w:textAlignment w:val="baseline"/>
              <w:rPr>
                <w:noProof/>
              </w:rPr>
            </w:pPr>
            <w:r>
              <w:rPr>
                <w:noProof/>
              </w:rPr>
              <w:t>C2.3 R3-I6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0DB7E0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F7F75A4" w14:textId="77777777" w:rsidR="003A3D51" w:rsidRDefault="0002775A">
            <w:pPr>
              <w:pStyle w:val="P68B1DB1-Normal64"/>
              <w:spacing w:after="0" w:line="240" w:lineRule="auto"/>
              <w:textAlignment w:val="baseline"/>
              <w:rPr>
                <w:noProof/>
              </w:rPr>
            </w:pPr>
            <w:r>
              <w:rPr>
                <w:noProof/>
              </w:rPr>
              <w:t>Nya användare av det statliga informationsinfrastrukturnätet (DII)</w:t>
            </w:r>
          </w:p>
        </w:tc>
      </w:tr>
      <w:tr w:rsidR="003A3D51" w14:paraId="392FECE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774624" w14:textId="77777777" w:rsidR="003A3D51" w:rsidRDefault="0002775A">
            <w:pPr>
              <w:pStyle w:val="P68B1DB1-Normal64"/>
              <w:spacing w:after="0" w:line="240" w:lineRule="auto"/>
              <w:jc w:val="center"/>
              <w:textAlignment w:val="baseline"/>
              <w:rPr>
                <w:noProof/>
              </w:rPr>
            </w:pPr>
            <w:r>
              <w:rPr>
                <w:noProof/>
              </w:rPr>
              <w:t>188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1CAAA39" w14:textId="77777777" w:rsidR="003A3D51" w:rsidRDefault="0002775A">
            <w:pPr>
              <w:pStyle w:val="P68B1DB1-Normal64"/>
              <w:spacing w:after="0" w:line="240" w:lineRule="auto"/>
              <w:jc w:val="center"/>
              <w:textAlignment w:val="baseline"/>
              <w:rPr>
                <w:noProof/>
              </w:rPr>
            </w:pPr>
            <w:r>
              <w:rPr>
                <w:noProof/>
              </w:rPr>
              <w:t>C2.3 R3-I7</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6F109B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80DEC53" w14:textId="77777777" w:rsidR="003A3D51" w:rsidRDefault="0002775A">
            <w:pPr>
              <w:pStyle w:val="P68B1DB1-Normal64"/>
              <w:spacing w:after="0" w:line="240" w:lineRule="auto"/>
              <w:textAlignment w:val="baseline"/>
              <w:rPr>
                <w:noProof/>
              </w:rPr>
            </w:pPr>
            <w:r>
              <w:rPr>
                <w:noProof/>
              </w:rPr>
              <w:t xml:space="preserve">Digitala fysiska planer </w:t>
            </w:r>
          </w:p>
        </w:tc>
      </w:tr>
      <w:tr w:rsidR="003A3D51" w14:paraId="42974F4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E9FBE44" w14:textId="77777777" w:rsidR="003A3D51" w:rsidRDefault="0002775A">
            <w:pPr>
              <w:pStyle w:val="P68B1DB1-Normal64"/>
              <w:spacing w:after="0" w:line="240" w:lineRule="auto"/>
              <w:jc w:val="center"/>
              <w:textAlignment w:val="baseline"/>
              <w:rPr>
                <w:noProof/>
              </w:rPr>
            </w:pPr>
            <w:r>
              <w:rPr>
                <w:noProof/>
              </w:rPr>
              <w:t>189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15335EE" w14:textId="77777777" w:rsidR="003A3D51" w:rsidRDefault="0002775A">
            <w:pPr>
              <w:pStyle w:val="P68B1DB1-Normal64"/>
              <w:spacing w:after="0" w:line="240" w:lineRule="auto"/>
              <w:jc w:val="center"/>
              <w:textAlignment w:val="baseline"/>
              <w:rPr>
                <w:noProof/>
              </w:rPr>
            </w:pPr>
            <w:r>
              <w:rPr>
                <w:noProof/>
              </w:rPr>
              <w:t>C2.3 R3-I7</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048D5C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3E5032" w14:textId="77777777" w:rsidR="003A3D51" w:rsidRDefault="0002775A">
            <w:pPr>
              <w:pStyle w:val="P68B1DB1-Normal64"/>
              <w:spacing w:after="0" w:line="240" w:lineRule="auto"/>
              <w:textAlignment w:val="baseline"/>
              <w:rPr>
                <w:noProof/>
              </w:rPr>
            </w:pPr>
            <w:r>
              <w:rPr>
                <w:noProof/>
              </w:rPr>
              <w:t>Uppgradering av informationssystemet för fysiska planer</w:t>
            </w:r>
          </w:p>
        </w:tc>
      </w:tr>
      <w:tr w:rsidR="003A3D51" w14:paraId="12987C5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1C93916" w14:textId="77777777" w:rsidR="003A3D51" w:rsidRDefault="0002775A">
            <w:pPr>
              <w:pStyle w:val="P68B1DB1-Normal64"/>
              <w:spacing w:after="0" w:line="240" w:lineRule="auto"/>
              <w:jc w:val="center"/>
              <w:textAlignment w:val="baseline"/>
              <w:rPr>
                <w:noProof/>
              </w:rPr>
            </w:pPr>
            <w:r>
              <w:rPr>
                <w:noProof/>
              </w:rPr>
              <w:t>230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F9FCFF7" w14:textId="77777777" w:rsidR="003A3D51" w:rsidRDefault="0002775A">
            <w:pPr>
              <w:pStyle w:val="P68B1DB1-Normal64"/>
              <w:spacing w:after="0" w:line="240" w:lineRule="auto"/>
              <w:jc w:val="center"/>
              <w:textAlignment w:val="baseline"/>
              <w:rPr>
                <w:noProof/>
              </w:rPr>
            </w:pPr>
            <w:r>
              <w:rPr>
                <w:noProof/>
              </w:rPr>
              <w:t>C2.5 R1-I6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0FA21CE"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6EFA4F7" w14:textId="77777777" w:rsidR="003A3D51" w:rsidRDefault="0002775A">
            <w:pPr>
              <w:pStyle w:val="P68B1DB1-Normal64"/>
              <w:spacing w:after="0" w:line="240" w:lineRule="auto"/>
              <w:textAlignment w:val="baseline"/>
              <w:rPr>
                <w:noProof/>
              </w:rPr>
            </w:pPr>
            <w:r>
              <w:rPr>
                <w:noProof/>
              </w:rPr>
              <w:t>Uppgradering och optimering av IKT-infrastruktur i alla rättsliga organ</w:t>
            </w:r>
          </w:p>
        </w:tc>
      </w:tr>
      <w:tr w:rsidR="003A3D51" w14:paraId="72EC5D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EE7AD16" w14:textId="77777777" w:rsidR="003A3D51" w:rsidRDefault="0002775A">
            <w:pPr>
              <w:pStyle w:val="P68B1DB1-Normal64"/>
              <w:spacing w:after="0" w:line="240" w:lineRule="auto"/>
              <w:jc w:val="center"/>
              <w:textAlignment w:val="baseline"/>
              <w:rPr>
                <w:noProof/>
              </w:rPr>
            </w:pPr>
            <w:r>
              <w:rPr>
                <w:noProof/>
              </w:rPr>
              <w:t>237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8E812C4" w14:textId="77777777" w:rsidR="003A3D51" w:rsidRDefault="0002775A">
            <w:pPr>
              <w:pStyle w:val="P68B1DB1-Normal64"/>
              <w:spacing w:after="0" w:line="240" w:lineRule="auto"/>
              <w:jc w:val="center"/>
              <w:textAlignment w:val="baseline"/>
              <w:rPr>
                <w:noProof/>
              </w:rPr>
            </w:pPr>
            <w:r>
              <w:rPr>
                <w:noProof/>
              </w:rPr>
              <w:t>C2.6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A24A0B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A36C9E7" w14:textId="77777777" w:rsidR="003A3D51" w:rsidRDefault="0002775A">
            <w:pPr>
              <w:pStyle w:val="P68B1DB1-Normal64"/>
              <w:spacing w:after="0" w:line="240" w:lineRule="auto"/>
              <w:textAlignment w:val="baseline"/>
              <w:rPr>
                <w:noProof/>
              </w:rPr>
            </w:pPr>
            <w:r>
              <w:rPr>
                <w:noProof/>
              </w:rPr>
              <w:t>Inrättande av ett informationssystem för att övervaka genomförandet av nationella åtgärder mot korruption</w:t>
            </w:r>
          </w:p>
        </w:tc>
      </w:tr>
      <w:tr w:rsidR="003A3D51" w14:paraId="4A783DD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CF25F2" w14:textId="77777777" w:rsidR="003A3D51" w:rsidRDefault="0002775A">
            <w:pPr>
              <w:pStyle w:val="P68B1DB1-Normal64"/>
              <w:spacing w:after="0" w:line="240" w:lineRule="auto"/>
              <w:jc w:val="center"/>
              <w:textAlignment w:val="baseline"/>
              <w:rPr>
                <w:noProof/>
              </w:rPr>
            </w:pPr>
            <w:r>
              <w:rPr>
                <w:noProof/>
              </w:rPr>
              <w:t>240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5EFA8D4" w14:textId="77777777" w:rsidR="003A3D51" w:rsidRDefault="0002775A">
            <w:pPr>
              <w:pStyle w:val="P68B1DB1-Normal64"/>
              <w:spacing w:after="0" w:line="240" w:lineRule="auto"/>
              <w:jc w:val="center"/>
              <w:textAlignment w:val="baseline"/>
              <w:rPr>
                <w:noProof/>
              </w:rPr>
            </w:pPr>
            <w:r>
              <w:rPr>
                <w:noProof/>
              </w:rPr>
              <w:t>C2.6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62CA6DA"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A09F13B" w14:textId="77777777" w:rsidR="003A3D51" w:rsidRDefault="0002775A">
            <w:pPr>
              <w:pStyle w:val="P68B1DB1-Normal64"/>
              <w:spacing w:after="0" w:line="240" w:lineRule="auto"/>
              <w:textAlignment w:val="baseline"/>
              <w:rPr>
                <w:noProof/>
              </w:rPr>
            </w:pPr>
            <w:r>
              <w:rPr>
                <w:noProof/>
              </w:rPr>
              <w:t>Inrättande av ett informationssystem för förvaltningen av tjänstemännens etiska infrastruktur</w:t>
            </w:r>
          </w:p>
        </w:tc>
      </w:tr>
      <w:tr w:rsidR="003A3D51" w14:paraId="0709EAA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1E895E2" w14:textId="77777777" w:rsidR="003A3D51" w:rsidRDefault="0002775A">
            <w:pPr>
              <w:pStyle w:val="P68B1DB1-Normal64"/>
              <w:spacing w:after="0" w:line="240" w:lineRule="auto"/>
              <w:jc w:val="center"/>
              <w:textAlignment w:val="baseline"/>
              <w:rPr>
                <w:noProof/>
              </w:rPr>
            </w:pPr>
            <w:r>
              <w:rPr>
                <w:noProof/>
              </w:rPr>
              <w:t>255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2CAA47D" w14:textId="77777777" w:rsidR="003A3D51" w:rsidRDefault="0002775A">
            <w:pPr>
              <w:pStyle w:val="P68B1DB1-Normal64"/>
              <w:spacing w:after="0" w:line="240" w:lineRule="auto"/>
              <w:jc w:val="center"/>
              <w:textAlignment w:val="baseline"/>
              <w:rPr>
                <w:noProof/>
              </w:rPr>
            </w:pPr>
            <w:r>
              <w:rPr>
                <w:noProof/>
              </w:rPr>
              <w:t>C2.8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1541C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1885AA3" w14:textId="77777777" w:rsidR="003A3D51" w:rsidRDefault="0002775A">
            <w:pPr>
              <w:pStyle w:val="P68B1DB1-Normal64"/>
              <w:spacing w:after="0" w:line="240" w:lineRule="auto"/>
              <w:textAlignment w:val="baseline"/>
              <w:rPr>
                <w:noProof/>
              </w:rPr>
            </w:pPr>
            <w:r>
              <w:rPr>
                <w:noProof/>
              </w:rPr>
              <w:t>Ökad tillsyn på plats baserad på identifierade risker för penningtvätt och finansiering av terrorism.</w:t>
            </w:r>
          </w:p>
        </w:tc>
      </w:tr>
      <w:tr w:rsidR="003A3D51" w14:paraId="3D4FA0E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7C7897" w14:textId="77777777" w:rsidR="003A3D51" w:rsidRDefault="0002775A">
            <w:pPr>
              <w:pStyle w:val="P68B1DB1-Normal64"/>
              <w:spacing w:after="0" w:line="240" w:lineRule="auto"/>
              <w:jc w:val="center"/>
              <w:textAlignment w:val="baseline"/>
              <w:rPr>
                <w:noProof/>
              </w:rPr>
            </w:pPr>
            <w:r>
              <w:rPr>
                <w:noProof/>
              </w:rPr>
              <w:t>264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C2B03DC" w14:textId="77777777" w:rsidR="003A3D51" w:rsidRDefault="0002775A">
            <w:pPr>
              <w:pStyle w:val="P68B1DB1-Normal64"/>
              <w:spacing w:after="0" w:line="240" w:lineRule="auto"/>
              <w:jc w:val="center"/>
              <w:textAlignment w:val="baseline"/>
              <w:rPr>
                <w:noProof/>
              </w:rPr>
            </w:pPr>
            <w:r>
              <w:rPr>
                <w:noProof/>
              </w:rPr>
              <w:t>C2.9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93FE1F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2CBBE47" w14:textId="77777777" w:rsidR="003A3D51" w:rsidRDefault="0002775A">
            <w:pPr>
              <w:pStyle w:val="P68B1DB1-Normal64"/>
              <w:spacing w:after="0" w:line="240" w:lineRule="auto"/>
              <w:textAlignment w:val="baseline"/>
              <w:rPr>
                <w:noProof/>
              </w:rPr>
            </w:pPr>
            <w:r>
              <w:rPr>
                <w:noProof/>
              </w:rPr>
              <w:t>Utbildning av upphandlingsansvariga i innovativa förfaranden för offentlig upphandling</w:t>
            </w:r>
          </w:p>
        </w:tc>
      </w:tr>
      <w:tr w:rsidR="003A3D51" w14:paraId="32F2DA4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2DD9CF5" w14:textId="77777777" w:rsidR="003A3D51" w:rsidRDefault="0002775A">
            <w:pPr>
              <w:pStyle w:val="P68B1DB1-Normal64"/>
              <w:spacing w:after="0" w:line="240" w:lineRule="auto"/>
              <w:jc w:val="center"/>
              <w:textAlignment w:val="baseline"/>
              <w:rPr>
                <w:noProof/>
              </w:rPr>
            </w:pPr>
            <w:r>
              <w:rPr>
                <w:noProof/>
              </w:rPr>
              <w:t>280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ADB3C51" w14:textId="77777777" w:rsidR="003A3D51" w:rsidRDefault="0002775A">
            <w:pPr>
              <w:pStyle w:val="P68B1DB1-Normal64"/>
              <w:spacing w:after="0" w:line="240" w:lineRule="auto"/>
              <w:jc w:val="center"/>
              <w:textAlignment w:val="baseline"/>
              <w:rPr>
                <w:noProof/>
              </w:rPr>
            </w:pPr>
            <w:r>
              <w:rPr>
                <w:noProof/>
              </w:rPr>
              <w:t>C3.2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7A5DD0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11DE54F" w14:textId="77777777" w:rsidR="003A3D51" w:rsidRDefault="0002775A">
            <w:pPr>
              <w:pStyle w:val="P68B1DB1-Normal64"/>
              <w:spacing w:after="0" w:line="240" w:lineRule="auto"/>
              <w:textAlignment w:val="baseline"/>
              <w:rPr>
                <w:noProof/>
              </w:rPr>
            </w:pPr>
            <w:r>
              <w:rPr>
                <w:noProof/>
              </w:rPr>
              <w:t>Omorganisationer av högre utbildningsanstalter och vetenskapliga institut</w:t>
            </w:r>
          </w:p>
        </w:tc>
      </w:tr>
      <w:tr w:rsidR="003A3D51" w14:paraId="4CE4BFD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9AC695A" w14:textId="77777777" w:rsidR="003A3D51" w:rsidRDefault="0002775A">
            <w:pPr>
              <w:pStyle w:val="P68B1DB1-Normal64"/>
              <w:spacing w:after="0" w:line="240" w:lineRule="auto"/>
              <w:jc w:val="center"/>
              <w:textAlignment w:val="baseline"/>
              <w:rPr>
                <w:noProof/>
              </w:rPr>
            </w:pPr>
            <w:r>
              <w:rPr>
                <w:noProof/>
              </w:rPr>
              <w:t>285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65264D4" w14:textId="77777777" w:rsidR="003A3D51" w:rsidRDefault="0002775A">
            <w:pPr>
              <w:pStyle w:val="P68B1DB1-Normal64"/>
              <w:spacing w:after="0" w:line="240" w:lineRule="auto"/>
              <w:jc w:val="center"/>
              <w:textAlignment w:val="baseline"/>
              <w:rPr>
                <w:noProof/>
              </w:rPr>
            </w:pPr>
            <w:r>
              <w:rPr>
                <w:noProof/>
              </w:rPr>
              <w:t>C3.2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1F30FA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4AB5B92" w14:textId="77777777" w:rsidR="003A3D51" w:rsidRDefault="0002775A">
            <w:pPr>
              <w:pStyle w:val="P68B1DB1-Normal64"/>
              <w:spacing w:after="0" w:line="240" w:lineRule="auto"/>
              <w:textAlignment w:val="baseline"/>
              <w:rPr>
                <w:noProof/>
              </w:rPr>
            </w:pPr>
            <w:r>
              <w:rPr>
                <w:noProof/>
              </w:rPr>
              <w:t>Bidrag som beviljas inom ramen för ett ”pilotprogram” till stöd för inrättandet av en reformerad ram för FoU I.</w:t>
            </w:r>
          </w:p>
        </w:tc>
      </w:tr>
      <w:tr w:rsidR="003A3D51" w14:paraId="72197AB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EA05FBC" w14:textId="77777777" w:rsidR="003A3D51" w:rsidRDefault="0002775A">
            <w:pPr>
              <w:pStyle w:val="P68B1DB1-Normal64"/>
              <w:spacing w:after="0" w:line="240" w:lineRule="auto"/>
              <w:jc w:val="center"/>
              <w:textAlignment w:val="baseline"/>
              <w:rPr>
                <w:noProof/>
              </w:rPr>
            </w:pPr>
            <w:r>
              <w:rPr>
                <w:noProof/>
              </w:rPr>
              <w:t>287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985BE2F" w14:textId="77777777" w:rsidR="003A3D51" w:rsidRDefault="0002775A">
            <w:pPr>
              <w:pStyle w:val="P68B1DB1-Normal64"/>
              <w:spacing w:after="0" w:line="240" w:lineRule="auto"/>
              <w:jc w:val="center"/>
              <w:textAlignment w:val="baseline"/>
              <w:rPr>
                <w:noProof/>
              </w:rPr>
            </w:pPr>
            <w:r>
              <w:rPr>
                <w:noProof/>
              </w:rPr>
              <w:t>C4.1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ADDF9E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0C8CAD1" w14:textId="77777777" w:rsidR="003A3D51" w:rsidRDefault="0002775A">
            <w:pPr>
              <w:pStyle w:val="P68B1DB1-Normal64"/>
              <w:spacing w:after="0" w:line="240" w:lineRule="auto"/>
              <w:textAlignment w:val="baseline"/>
              <w:rPr>
                <w:noProof/>
              </w:rPr>
            </w:pPr>
            <w:r>
              <w:rPr>
                <w:noProof/>
              </w:rPr>
              <w:t>Antal mottagare av de nya aktiva arbetsmarknadspolitiska åtgärderna</w:t>
            </w:r>
          </w:p>
        </w:tc>
      </w:tr>
      <w:tr w:rsidR="003A3D51" w14:paraId="0CE780F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6864AB9" w14:textId="77777777" w:rsidR="003A3D51" w:rsidRDefault="0002775A">
            <w:pPr>
              <w:pStyle w:val="P68B1DB1-Normal64"/>
              <w:spacing w:after="0" w:line="240" w:lineRule="auto"/>
              <w:jc w:val="center"/>
              <w:textAlignment w:val="baseline"/>
              <w:rPr>
                <w:noProof/>
              </w:rPr>
            </w:pPr>
            <w:r>
              <w:rPr>
                <w:noProof/>
              </w:rPr>
              <w:t>300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8ED7F88" w14:textId="77777777" w:rsidR="003A3D51" w:rsidRDefault="0002775A">
            <w:pPr>
              <w:pStyle w:val="P68B1DB1-Normal64"/>
              <w:spacing w:after="0" w:line="240" w:lineRule="auto"/>
              <w:jc w:val="center"/>
              <w:textAlignment w:val="baseline"/>
              <w:rPr>
                <w:noProof/>
              </w:rPr>
            </w:pPr>
            <w:r>
              <w:rPr>
                <w:noProof/>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A428CED"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6253823" w14:textId="77777777" w:rsidR="003A3D51" w:rsidRDefault="0002775A">
            <w:pPr>
              <w:pStyle w:val="P68B1DB1-Normal64"/>
              <w:spacing w:after="0" w:line="240" w:lineRule="auto"/>
              <w:textAlignment w:val="baseline"/>
              <w:rPr>
                <w:noProof/>
              </w:rPr>
            </w:pPr>
            <w:r>
              <w:rPr>
                <w:noProof/>
              </w:rPr>
              <w:t>Antagande av ändringar av pensionsförsäkringslagen</w:t>
            </w:r>
          </w:p>
        </w:tc>
      </w:tr>
      <w:tr w:rsidR="003A3D51" w14:paraId="518B3B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84B4D16" w14:textId="77777777" w:rsidR="003A3D51" w:rsidRDefault="0002775A">
            <w:pPr>
              <w:pStyle w:val="P68B1DB1-Normal64"/>
              <w:spacing w:after="0" w:line="240" w:lineRule="auto"/>
              <w:jc w:val="center"/>
              <w:textAlignment w:val="baseline"/>
              <w:rPr>
                <w:noProof/>
              </w:rPr>
            </w:pPr>
            <w:r>
              <w:rPr>
                <w:noProof/>
              </w:rPr>
              <w:t>307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D91829" w14:textId="77777777" w:rsidR="003A3D51" w:rsidRDefault="0002775A">
            <w:pPr>
              <w:pStyle w:val="P68B1DB1-Normal64"/>
              <w:spacing w:after="0" w:line="240" w:lineRule="auto"/>
              <w:jc w:val="center"/>
              <w:textAlignment w:val="baseline"/>
              <w:rPr>
                <w:noProof/>
              </w:rPr>
            </w:pPr>
            <w:r>
              <w:rPr>
                <w:noProof/>
              </w:rPr>
              <w:t>C4.3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80CE9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28132EC" w14:textId="77777777" w:rsidR="003A3D51" w:rsidRDefault="0002775A">
            <w:pPr>
              <w:pStyle w:val="P68B1DB1-Normal64"/>
              <w:spacing w:after="0" w:line="240" w:lineRule="auto"/>
              <w:textAlignment w:val="baseline"/>
              <w:rPr>
                <w:noProof/>
              </w:rPr>
            </w:pPr>
            <w:r>
              <w:rPr>
                <w:noProof/>
              </w:rPr>
              <w:t>Tillgång till uppgifter om sociala förmåner för varje enskild stödmottagare</w:t>
            </w:r>
          </w:p>
        </w:tc>
      </w:tr>
      <w:tr w:rsidR="003A3D51" w14:paraId="6C5302C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579CEA5" w14:textId="77777777" w:rsidR="003A3D51" w:rsidRDefault="0002775A">
            <w:pPr>
              <w:pStyle w:val="P68B1DB1-Normal64"/>
              <w:spacing w:after="0" w:line="240" w:lineRule="auto"/>
              <w:jc w:val="center"/>
              <w:textAlignment w:val="baseline"/>
              <w:rPr>
                <w:noProof/>
              </w:rPr>
            </w:pPr>
            <w:r>
              <w:rPr>
                <w:noProof/>
              </w:rPr>
              <w:t>310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CF97207" w14:textId="77777777" w:rsidR="003A3D51" w:rsidRDefault="0002775A">
            <w:pPr>
              <w:pStyle w:val="P68B1DB1-Normal64"/>
              <w:spacing w:after="0" w:line="240" w:lineRule="auto"/>
              <w:jc w:val="center"/>
              <w:textAlignment w:val="baseline"/>
              <w:rPr>
                <w:noProof/>
              </w:rPr>
            </w:pPr>
            <w:r>
              <w:rPr>
                <w:noProof/>
              </w:rPr>
              <w:t>C4.3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898211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F3AC2E0" w14:textId="77777777" w:rsidR="003A3D51" w:rsidRDefault="0002775A">
            <w:pPr>
              <w:pStyle w:val="P68B1DB1-Normal64"/>
              <w:spacing w:after="0" w:line="240" w:lineRule="auto"/>
              <w:textAlignment w:val="baseline"/>
              <w:rPr>
                <w:noProof/>
              </w:rPr>
            </w:pPr>
            <w:r>
              <w:rPr>
                <w:noProof/>
              </w:rPr>
              <w:t>Anställning av socialmentorspersonal</w:t>
            </w:r>
          </w:p>
        </w:tc>
      </w:tr>
      <w:tr w:rsidR="003A3D51" w14:paraId="01E6192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79FAD92" w14:textId="77777777" w:rsidR="003A3D51" w:rsidRDefault="0002775A">
            <w:pPr>
              <w:pStyle w:val="P68B1DB1-Normal64"/>
              <w:spacing w:after="0" w:line="240" w:lineRule="auto"/>
              <w:jc w:val="center"/>
              <w:textAlignment w:val="baseline"/>
              <w:rPr>
                <w:noProof/>
              </w:rPr>
            </w:pPr>
            <w:r>
              <w:rPr>
                <w:noProof/>
              </w:rPr>
              <w:t>311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3D282F2" w14:textId="77777777" w:rsidR="003A3D51" w:rsidRDefault="0002775A">
            <w:pPr>
              <w:pStyle w:val="P68B1DB1-Normal64"/>
              <w:spacing w:after="0" w:line="240" w:lineRule="auto"/>
              <w:jc w:val="center"/>
              <w:textAlignment w:val="baseline"/>
              <w:rPr>
                <w:noProof/>
              </w:rPr>
            </w:pPr>
            <w:r>
              <w:rPr>
                <w:noProof/>
              </w:rPr>
              <w:t>C4.3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DF64DA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D0D4A3E" w14:textId="77777777" w:rsidR="003A3D51" w:rsidRDefault="0002775A">
            <w:pPr>
              <w:pStyle w:val="P68B1DB1-Normal64"/>
              <w:spacing w:after="0" w:line="240" w:lineRule="auto"/>
              <w:textAlignment w:val="baseline"/>
              <w:rPr>
                <w:noProof/>
              </w:rPr>
            </w:pPr>
            <w:r>
              <w:rPr>
                <w:noProof/>
              </w:rPr>
              <w:t>Sociala mentortjänster som tillhandahålls stödmottagarna</w:t>
            </w:r>
          </w:p>
        </w:tc>
      </w:tr>
      <w:tr w:rsidR="003A3D51" w14:paraId="326ED3A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3606F25" w14:textId="77777777" w:rsidR="003A3D51" w:rsidRDefault="0002775A">
            <w:pPr>
              <w:pStyle w:val="P68B1DB1-Normal64"/>
              <w:spacing w:after="0" w:line="240" w:lineRule="auto"/>
              <w:jc w:val="center"/>
              <w:textAlignment w:val="baseline"/>
              <w:rPr>
                <w:noProof/>
              </w:rPr>
            </w:pPr>
            <w:r>
              <w:rPr>
                <w:noProof/>
              </w:rPr>
              <w:t>324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594C731" w14:textId="77777777" w:rsidR="003A3D51" w:rsidRDefault="0002775A">
            <w:pPr>
              <w:pStyle w:val="P68B1DB1-Normal64"/>
              <w:spacing w:after="0" w:line="240" w:lineRule="auto"/>
              <w:jc w:val="center"/>
              <w:textAlignment w:val="baseline"/>
              <w:rPr>
                <w:noProof/>
              </w:rPr>
            </w:pPr>
            <w:r>
              <w:rPr>
                <w:noProof/>
              </w:rPr>
              <w:t>C5.1 R1-I5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7AA912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5900DD0" w14:textId="77777777" w:rsidR="003A3D51" w:rsidRDefault="0002775A">
            <w:pPr>
              <w:pStyle w:val="P68B1DB1-Normal64"/>
              <w:spacing w:after="0" w:line="240" w:lineRule="auto"/>
              <w:textAlignment w:val="baseline"/>
              <w:rPr>
                <w:noProof/>
              </w:rPr>
            </w:pPr>
            <w:r>
              <w:rPr>
                <w:noProof/>
              </w:rPr>
              <w:t>Central operationsblocksbyggnad med åtföljande innehåll på det allmänna sjukhuset Varaždin</w:t>
            </w:r>
          </w:p>
        </w:tc>
      </w:tr>
      <w:tr w:rsidR="003A3D51" w14:paraId="4ACAEF2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BBA26F" w14:textId="77777777" w:rsidR="003A3D51" w:rsidRDefault="0002775A">
            <w:pPr>
              <w:pStyle w:val="P68B1DB1-Normal64"/>
              <w:spacing w:after="0" w:line="240" w:lineRule="auto"/>
              <w:jc w:val="center"/>
              <w:textAlignment w:val="baseline"/>
              <w:rPr>
                <w:noProof/>
              </w:rPr>
            </w:pPr>
            <w:r>
              <w:rPr>
                <w:noProof/>
              </w:rPr>
              <w:t>329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9536F91" w14:textId="77777777" w:rsidR="003A3D51" w:rsidRDefault="0002775A">
            <w:pPr>
              <w:pStyle w:val="P68B1DB1-Normal64"/>
              <w:spacing w:after="0" w:line="240" w:lineRule="auto"/>
              <w:jc w:val="center"/>
              <w:textAlignment w:val="baseline"/>
              <w:rPr>
                <w:noProof/>
              </w:rPr>
            </w:pPr>
            <w:r>
              <w:rPr>
                <w:noProof/>
              </w:rPr>
              <w:t>C5.1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0EBCF17"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1746EC9" w14:textId="77777777" w:rsidR="003A3D51" w:rsidRDefault="0002775A">
            <w:pPr>
              <w:pStyle w:val="P68B1DB1-Normal64"/>
              <w:spacing w:after="0" w:line="240" w:lineRule="auto"/>
              <w:textAlignment w:val="baseline"/>
              <w:rPr>
                <w:noProof/>
              </w:rPr>
            </w:pPr>
            <w:r>
              <w:rPr>
                <w:noProof/>
              </w:rPr>
              <w:t>Förbättra och harmonisera kvaliteten på hälso- och sjukvården genom att utveckla kliniska e-riktlinjer</w:t>
            </w:r>
          </w:p>
        </w:tc>
      </w:tr>
      <w:tr w:rsidR="003A3D51" w14:paraId="79C5B24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45BF13" w14:textId="77777777" w:rsidR="003A3D51" w:rsidRDefault="0002775A">
            <w:pPr>
              <w:pStyle w:val="P68B1DB1-Normal64"/>
              <w:spacing w:after="0" w:line="240" w:lineRule="auto"/>
              <w:jc w:val="center"/>
              <w:textAlignment w:val="baseline"/>
              <w:rPr>
                <w:noProof/>
              </w:rPr>
            </w:pPr>
            <w:r>
              <w:rPr>
                <w:noProof/>
              </w:rPr>
              <w:t>331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CC02B2C" w14:textId="77777777" w:rsidR="003A3D51" w:rsidRDefault="0002775A">
            <w:pPr>
              <w:pStyle w:val="P68B1DB1-Normal64"/>
              <w:spacing w:after="0" w:line="240" w:lineRule="auto"/>
              <w:jc w:val="center"/>
              <w:textAlignment w:val="baseline"/>
              <w:rPr>
                <w:noProof/>
              </w:rPr>
            </w:pPr>
            <w:r>
              <w:rPr>
                <w:noProof/>
              </w:rPr>
              <w:t>C5.1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34506B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A1F31C8" w14:textId="77777777" w:rsidR="003A3D51" w:rsidRDefault="0002775A">
            <w:pPr>
              <w:pStyle w:val="P68B1DB1-Normal64"/>
              <w:spacing w:after="0" w:line="240" w:lineRule="auto"/>
              <w:textAlignment w:val="baseline"/>
              <w:rPr>
                <w:noProof/>
              </w:rPr>
            </w:pPr>
            <w:r>
              <w:rPr>
                <w:noProof/>
              </w:rPr>
              <w:t>Förbättra kvaliteten på onkologisk radioterapi</w:t>
            </w:r>
          </w:p>
        </w:tc>
      </w:tr>
      <w:tr w:rsidR="003A3D51" w14:paraId="6153CB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0561C59" w14:textId="77777777" w:rsidR="003A3D51" w:rsidRDefault="0002775A">
            <w:pPr>
              <w:pStyle w:val="P68B1DB1-Normal64"/>
              <w:spacing w:after="0" w:line="240" w:lineRule="auto"/>
              <w:jc w:val="center"/>
              <w:textAlignment w:val="baseline"/>
              <w:rPr>
                <w:noProof/>
              </w:rPr>
            </w:pPr>
            <w:r>
              <w:rPr>
                <w:noProof/>
              </w:rPr>
              <w:t>332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28A5D38" w14:textId="77777777" w:rsidR="003A3D51" w:rsidRDefault="0002775A">
            <w:pPr>
              <w:pStyle w:val="P68B1DB1-Normal64"/>
              <w:spacing w:after="0" w:line="240" w:lineRule="auto"/>
              <w:jc w:val="center"/>
              <w:textAlignment w:val="baseline"/>
              <w:rPr>
                <w:noProof/>
              </w:rPr>
            </w:pPr>
            <w:r>
              <w:rPr>
                <w:noProof/>
              </w:rPr>
              <w:t>C5.1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2713D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33131E5" w14:textId="77777777" w:rsidR="003A3D51" w:rsidRDefault="0002775A">
            <w:pPr>
              <w:pStyle w:val="P68B1DB1-Normal64"/>
              <w:spacing w:after="0" w:line="240" w:lineRule="auto"/>
              <w:textAlignment w:val="baseline"/>
              <w:rPr>
                <w:noProof/>
              </w:rPr>
            </w:pPr>
            <w:r>
              <w:rPr>
                <w:noProof/>
              </w:rPr>
              <w:t>En enda it-plattform för uppkoppling, övervakning och optimalt behandling av onkologiska patienter</w:t>
            </w:r>
          </w:p>
        </w:tc>
      </w:tr>
      <w:tr w:rsidR="003A3D51" w14:paraId="69346D6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6AB09C9" w14:textId="77777777" w:rsidR="003A3D51" w:rsidRDefault="0002775A">
            <w:pPr>
              <w:pStyle w:val="P68B1DB1-Normal64"/>
              <w:spacing w:after="0" w:line="240" w:lineRule="auto"/>
              <w:jc w:val="center"/>
              <w:textAlignment w:val="baseline"/>
              <w:rPr>
                <w:noProof/>
              </w:rPr>
            </w:pPr>
            <w:r>
              <w:rPr>
                <w:noProof/>
              </w:rPr>
              <w:t>340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AA3426E" w14:textId="77777777" w:rsidR="003A3D51" w:rsidRDefault="0002775A">
            <w:pPr>
              <w:pStyle w:val="P68B1DB1-Normal64"/>
              <w:spacing w:after="0" w:line="240" w:lineRule="auto"/>
              <w:jc w:val="center"/>
              <w:textAlignment w:val="baseline"/>
              <w:rPr>
                <w:noProof/>
              </w:rPr>
            </w:pPr>
            <w:r>
              <w:rPr>
                <w:noProof/>
              </w:rPr>
              <w:t>C5.1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4384AB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E96C5F1" w14:textId="77777777" w:rsidR="003A3D51" w:rsidRDefault="0002775A">
            <w:pPr>
              <w:pStyle w:val="P68B1DB1-Normal64"/>
              <w:spacing w:after="0" w:line="240" w:lineRule="auto"/>
              <w:textAlignment w:val="baseline"/>
              <w:rPr>
                <w:noProof/>
              </w:rPr>
            </w:pPr>
            <w:r>
              <w:rPr>
                <w:noProof/>
              </w:rPr>
              <w:t>Enhetsterapisystem för fasta läkemedelsformer på 40 kroatiska sjukhus</w:t>
            </w:r>
          </w:p>
        </w:tc>
      </w:tr>
      <w:tr w:rsidR="003A3D51" w14:paraId="1F51934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56648F" w14:textId="77777777" w:rsidR="003A3D51" w:rsidRDefault="0002775A">
            <w:pPr>
              <w:pStyle w:val="P68B1DB1-Normal64"/>
              <w:spacing w:after="0" w:line="240" w:lineRule="auto"/>
              <w:jc w:val="center"/>
              <w:textAlignment w:val="baseline"/>
              <w:rPr>
                <w:noProof/>
              </w:rPr>
            </w:pPr>
            <w:r>
              <w:rPr>
                <w:noProof/>
              </w:rPr>
              <w:t>344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C5C8EC0" w14:textId="77777777" w:rsidR="003A3D51" w:rsidRDefault="0002775A">
            <w:pPr>
              <w:pStyle w:val="P68B1DB1-Normal64"/>
              <w:spacing w:after="0" w:line="240" w:lineRule="auto"/>
              <w:jc w:val="center"/>
              <w:textAlignment w:val="baseline"/>
              <w:rPr>
                <w:noProof/>
              </w:rPr>
            </w:pPr>
            <w:r>
              <w:rPr>
                <w:noProof/>
              </w:rPr>
              <w:t>C5.1 R4-I5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5DD3C8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369077F" w14:textId="77777777" w:rsidR="003A3D51" w:rsidRDefault="0002775A">
            <w:pPr>
              <w:pStyle w:val="P68B1DB1-Normal64"/>
              <w:spacing w:after="0" w:line="240" w:lineRule="auto"/>
              <w:textAlignment w:val="baseline"/>
              <w:rPr>
                <w:noProof/>
              </w:rPr>
            </w:pPr>
            <w:r>
              <w:rPr>
                <w:noProof/>
              </w:rPr>
              <w:t>Övervakning av behandlingsresultaten för kroniska patienter som inte är sjukhus på offentliga apotek</w:t>
            </w:r>
          </w:p>
        </w:tc>
      </w:tr>
      <w:tr w:rsidR="003A3D51" w14:paraId="4512AC6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8B628F" w14:textId="77777777" w:rsidR="003A3D51" w:rsidRDefault="0002775A">
            <w:pPr>
              <w:pStyle w:val="P68B1DB1-Normal64"/>
              <w:spacing w:after="0" w:line="240" w:lineRule="auto"/>
              <w:jc w:val="center"/>
              <w:textAlignment w:val="baseline"/>
              <w:rPr>
                <w:noProof/>
              </w:rPr>
            </w:pPr>
            <w:r>
              <w:rPr>
                <w:noProof/>
              </w:rPr>
              <w:t>372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50CD08" w14:textId="77777777" w:rsidR="003A3D51" w:rsidRDefault="0002775A">
            <w:pPr>
              <w:pStyle w:val="P68B1DB1-Normal64"/>
              <w:spacing w:after="0" w:line="240" w:lineRule="auto"/>
              <w:jc w:val="center"/>
              <w:textAlignment w:val="baseline"/>
              <w:rPr>
                <w:noProof/>
              </w:rPr>
            </w:pPr>
            <w:r>
              <w:rPr>
                <w:noProof/>
              </w:rPr>
              <w:t>C6.1 R6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BD697E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28D62C3" w14:textId="77777777" w:rsidR="003A3D51" w:rsidRDefault="0002775A">
            <w:pPr>
              <w:pStyle w:val="P68B1DB1-Normal64"/>
              <w:spacing w:after="0" w:line="240" w:lineRule="auto"/>
              <w:textAlignment w:val="baseline"/>
              <w:rPr>
                <w:noProof/>
              </w:rPr>
            </w:pPr>
            <w:r>
              <w:rPr>
                <w:noProof/>
              </w:rPr>
              <w:t>Antagande av riktlinjer för tillämpning av en modell för övervakning av energiförbrukningen i flerbostadshus</w:t>
            </w:r>
          </w:p>
        </w:tc>
      </w:tr>
      <w:tr w:rsidR="003A3D51" w14:paraId="5F66F85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6BE166" w14:textId="17497F70" w:rsidR="003A3D51" w:rsidRDefault="0002775A">
            <w:pPr>
              <w:pStyle w:val="P68B1DB1-Normal64"/>
              <w:spacing w:after="0" w:line="240" w:lineRule="auto"/>
              <w:jc w:val="center"/>
              <w:textAlignment w:val="baseline"/>
              <w:rPr>
                <w:noProof/>
              </w:rPr>
            </w:pPr>
            <w:r>
              <w:rPr>
                <w:noProof/>
              </w:rPr>
              <w:t>379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DB2EFED"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4AB4A43"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4CCD26" w14:textId="77777777" w:rsidR="003A3D51" w:rsidRDefault="0002775A">
            <w:pPr>
              <w:pStyle w:val="P68B1DB1-Normal64"/>
              <w:spacing w:after="0" w:line="240" w:lineRule="auto"/>
              <w:textAlignment w:val="baseline"/>
              <w:rPr>
                <w:noProof/>
              </w:rPr>
            </w:pPr>
            <w:r>
              <w:rPr>
                <w:noProof/>
              </w:rPr>
              <w:t>Förbättrad behandling och insamling av bioavfall</w:t>
            </w:r>
          </w:p>
        </w:tc>
      </w:tr>
      <w:tr w:rsidR="003A3D51" w14:paraId="02C7911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5294D3" w14:textId="4174BAEC" w:rsidR="003A3D51" w:rsidRDefault="0002775A">
            <w:pPr>
              <w:pStyle w:val="P68B1DB1-Normal64"/>
              <w:spacing w:after="0" w:line="240" w:lineRule="auto"/>
              <w:jc w:val="center"/>
              <w:textAlignment w:val="baseline"/>
              <w:rPr>
                <w:noProof/>
              </w:rPr>
            </w:pPr>
            <w:r>
              <w:rPr>
                <w:noProof/>
              </w:rPr>
              <w:t>380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242D5B"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1ECD99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66383E4" w14:textId="77777777" w:rsidR="003A3D51" w:rsidRDefault="0002775A">
            <w:pPr>
              <w:pStyle w:val="P68B1DB1-Normal64"/>
              <w:spacing w:after="0" w:line="240" w:lineRule="auto"/>
              <w:textAlignment w:val="baseline"/>
              <w:rPr>
                <w:noProof/>
              </w:rPr>
            </w:pPr>
            <w:r>
              <w:rPr>
                <w:noProof/>
              </w:rPr>
              <w:t>Utrustning för behandling av biologiskt avfall</w:t>
            </w:r>
          </w:p>
        </w:tc>
      </w:tr>
      <w:tr w:rsidR="003A3D51" w14:paraId="1DD0C8F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D167307" w14:textId="0BB6240C" w:rsidR="003A3D51" w:rsidRDefault="0002775A">
            <w:pPr>
              <w:pStyle w:val="P68B1DB1-Normal66"/>
              <w:spacing w:after="0" w:line="240" w:lineRule="auto"/>
              <w:jc w:val="center"/>
              <w:textAlignment w:val="baseline"/>
              <w:rPr>
                <w:noProof/>
              </w:rPr>
            </w:pPr>
            <w:r>
              <w:rPr>
                <w:noProof/>
              </w:rPr>
              <w:t>400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147B28E" w14:textId="77777777" w:rsidR="003A3D51" w:rsidRDefault="0002775A">
            <w:pPr>
              <w:pStyle w:val="P68B1DB1-Normal66"/>
              <w:spacing w:after="0" w:line="240" w:lineRule="auto"/>
              <w:jc w:val="center"/>
              <w:textAlignment w:val="baseline"/>
              <w:rPr>
                <w:noProof/>
              </w:rPr>
            </w:pPr>
            <w:r>
              <w:rPr>
                <w:noProof/>
              </w:rPr>
              <w:t xml:space="preserve">C6.1 R2 </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99C85A" w14:textId="77777777" w:rsidR="003A3D51" w:rsidRDefault="0002775A">
            <w:pPr>
              <w:pStyle w:val="P68B1DB1-Normal66"/>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64A80B92" w14:textId="7F813081" w:rsidR="003A3D51" w:rsidRDefault="0002775A">
            <w:pPr>
              <w:pStyle w:val="P68B1DB1-Normal66"/>
              <w:spacing w:after="0" w:line="240" w:lineRule="auto"/>
              <w:textAlignment w:val="baseline"/>
              <w:rPr>
                <w:noProof/>
              </w:rPr>
            </w:pPr>
            <w:r>
              <w:rPr>
                <w:noProof/>
              </w:rPr>
              <w:t xml:space="preserve">Lansering av ackrediteringsförslag för att inrätta ett nytt tvärvetenskapligt masterprogram </w:t>
            </w:r>
          </w:p>
        </w:tc>
      </w:tr>
      <w:tr w:rsidR="003A3D51" w14:paraId="66CA6D0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BC4B09" w14:textId="64976D81" w:rsidR="003A3D51" w:rsidRDefault="0002775A">
            <w:pPr>
              <w:pStyle w:val="P68B1DB1-Normal66"/>
              <w:spacing w:after="0" w:line="240" w:lineRule="auto"/>
              <w:jc w:val="center"/>
              <w:textAlignment w:val="baseline"/>
              <w:rPr>
                <w:noProof/>
              </w:rPr>
            </w:pPr>
            <w:r>
              <w:rPr>
                <w:noProof/>
              </w:rPr>
              <w:t>429</w:t>
            </w:r>
          </w:p>
          <w:p w14:paraId="1397593C" w14:textId="77777777" w:rsidR="003A3D51" w:rsidRDefault="003A3D51">
            <w:pPr>
              <w:spacing w:after="0" w:line="240" w:lineRule="auto"/>
              <w:jc w:val="center"/>
              <w:textAlignment w:val="baseline"/>
              <w:rPr>
                <w:rFonts w:ascii="Times New Roman" w:eastAsia="Calibri"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vAlign w:val="center"/>
          </w:tcPr>
          <w:p w14:paraId="304718C8" w14:textId="021C49DC" w:rsidR="003A3D51" w:rsidRDefault="0002775A">
            <w:pPr>
              <w:pStyle w:val="P68B1DB1-Normal66"/>
              <w:spacing w:after="0" w:line="240" w:lineRule="auto"/>
              <w:jc w:val="center"/>
              <w:textAlignment w:val="baseline"/>
              <w:rPr>
                <w:noProof/>
              </w:rPr>
            </w:pPr>
            <w:r>
              <w:rPr>
                <w:noProof/>
              </w:rPr>
              <w:t>C7.2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28E7D29" w14:textId="77777777" w:rsidR="003A3D51" w:rsidRDefault="0002775A">
            <w:pPr>
              <w:pStyle w:val="P68B1DB1-Normal66"/>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1F6452D5" w14:textId="77777777" w:rsidR="003A3D51" w:rsidRDefault="0002775A">
            <w:pPr>
              <w:pStyle w:val="P68B1DB1-Normal66"/>
              <w:spacing w:after="0" w:line="240" w:lineRule="auto"/>
              <w:textAlignment w:val="baseline"/>
              <w:rPr>
                <w:noProof/>
              </w:rPr>
            </w:pPr>
            <w:r>
              <w:rPr>
                <w:noProof/>
              </w:rPr>
              <w:t xml:space="preserve">Deltagarinriktade workshoppar om utveckling av energirenovering, grön infrastruktur och gröna byggprojekt </w:t>
            </w:r>
          </w:p>
        </w:tc>
      </w:tr>
      <w:tr w:rsidR="003A3D51" w14:paraId="503EE86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7EC663FC" w14:textId="372E15FE" w:rsidR="003A3D51" w:rsidRDefault="0002775A">
            <w:pPr>
              <w:pStyle w:val="P68B1DB1-Normal66"/>
              <w:spacing w:after="0" w:line="240" w:lineRule="auto"/>
              <w:jc w:val="center"/>
              <w:textAlignment w:val="baseline"/>
              <w:rPr>
                <w:noProof/>
              </w:rPr>
            </w:pPr>
            <w:r>
              <w:rPr>
                <w:noProof/>
              </w:rPr>
              <w:t>430</w:t>
            </w:r>
          </w:p>
        </w:tc>
        <w:tc>
          <w:tcPr>
            <w:tcW w:w="1639" w:type="dxa"/>
            <w:tcBorders>
              <w:top w:val="single" w:sz="6" w:space="0" w:color="auto"/>
              <w:left w:val="nil"/>
              <w:bottom w:val="single" w:sz="6" w:space="0" w:color="auto"/>
              <w:right w:val="single" w:sz="6" w:space="0" w:color="auto"/>
            </w:tcBorders>
            <w:shd w:val="clear" w:color="auto" w:fill="C6EFCE"/>
          </w:tcPr>
          <w:p w14:paraId="1BF6B9B4" w14:textId="3F5DB2DC" w:rsidR="003A3D51" w:rsidRDefault="0002775A">
            <w:pPr>
              <w:pStyle w:val="P68B1DB1-Normal66"/>
              <w:spacing w:after="0" w:line="240" w:lineRule="auto"/>
              <w:jc w:val="center"/>
              <w:textAlignment w:val="baseline"/>
              <w:rPr>
                <w:noProof/>
              </w:rPr>
            </w:pPr>
            <w:r>
              <w:rPr>
                <w:noProof/>
              </w:rPr>
              <w:t>C7.2 R2</w:t>
            </w:r>
          </w:p>
        </w:tc>
        <w:tc>
          <w:tcPr>
            <w:tcW w:w="1274" w:type="dxa"/>
            <w:tcBorders>
              <w:top w:val="single" w:sz="6" w:space="0" w:color="auto"/>
              <w:left w:val="nil"/>
              <w:bottom w:val="single" w:sz="6" w:space="0" w:color="auto"/>
              <w:right w:val="single" w:sz="6" w:space="0" w:color="auto"/>
            </w:tcBorders>
            <w:shd w:val="clear" w:color="auto" w:fill="C6EFCE"/>
          </w:tcPr>
          <w:p w14:paraId="633EEB4E" w14:textId="77777777" w:rsidR="003A3D51" w:rsidRDefault="0002775A">
            <w:pPr>
              <w:pStyle w:val="P68B1DB1-Normal66"/>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7FD60306" w14:textId="77777777" w:rsidR="003A3D51" w:rsidRDefault="0002775A">
            <w:pPr>
              <w:pStyle w:val="P68B1DB1-Normal66"/>
              <w:spacing w:after="0" w:line="240" w:lineRule="auto"/>
              <w:textAlignment w:val="baseline"/>
              <w:rPr>
                <w:noProof/>
              </w:rPr>
            </w:pPr>
            <w:r>
              <w:rPr>
                <w:noProof/>
              </w:rPr>
              <w:t>Antagande av strategier för grön stadsförnyelse</w:t>
            </w:r>
          </w:p>
        </w:tc>
      </w:tr>
      <w:tr w:rsidR="003A3D51" w14:paraId="5B242A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18668E90"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tcPr>
          <w:p w14:paraId="3177E74E" w14:textId="77777777" w:rsidR="003A3D51" w:rsidRDefault="003A3D51">
            <w:pPr>
              <w:spacing w:after="0" w:line="240" w:lineRule="auto"/>
              <w:jc w:val="both"/>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tcPr>
          <w:p w14:paraId="5FF16FA1" w14:textId="77777777" w:rsidR="003A3D51" w:rsidRDefault="0002775A">
            <w:pPr>
              <w:pStyle w:val="P68B1DB1-Normal64"/>
              <w:spacing w:after="0" w:line="240" w:lineRule="auto"/>
              <w:jc w:val="both"/>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C545A97" w14:textId="7363CAE0" w:rsidR="003A3D51" w:rsidRDefault="0002775A">
            <w:pPr>
              <w:pStyle w:val="P68B1DB1-Normal64"/>
              <w:spacing w:after="0" w:line="240" w:lineRule="auto"/>
              <w:jc w:val="both"/>
              <w:textAlignment w:val="baseline"/>
              <w:rPr>
                <w:noProof/>
              </w:rPr>
            </w:pPr>
            <w:r>
              <w:rPr>
                <w:noProof/>
              </w:rPr>
              <w:t>450 000 000 EUR</w:t>
            </w:r>
          </w:p>
        </w:tc>
      </w:tr>
    </w:tbl>
    <w:p w14:paraId="15777E7A"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243BD222" w14:textId="77777777" w:rsidR="003A3D51" w:rsidRDefault="0002775A">
      <w:pPr>
        <w:pStyle w:val="P68B1DB1-ListParagraph65"/>
        <w:numPr>
          <w:ilvl w:val="0"/>
          <w:numId w:val="49"/>
        </w:numPr>
        <w:spacing w:line="240" w:lineRule="auto"/>
        <w:jc w:val="both"/>
        <w:textAlignment w:val="baseline"/>
        <w:rPr>
          <w:noProof/>
        </w:rPr>
      </w:pPr>
      <w:r>
        <w:rPr>
          <w:noProof/>
        </w:rPr>
        <w:t>Tionde delbetalningen (icke återbetalningspliktigt stöd):</w:t>
      </w: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1"/>
        <w:gridCol w:w="1272"/>
        <w:gridCol w:w="5310"/>
      </w:tblGrid>
      <w:tr w:rsidR="003A3D51" w14:paraId="76BD2877" w14:textId="77777777">
        <w:trPr>
          <w:trHeight w:val="45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25F92497"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39"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1FD7E35"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4DFB0C9"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47" w:type="dxa"/>
            <w:vMerge w:val="restart"/>
            <w:tcBorders>
              <w:top w:val="single" w:sz="6" w:space="0" w:color="auto"/>
              <w:left w:val="nil"/>
              <w:bottom w:val="single" w:sz="6" w:space="0" w:color="000000"/>
              <w:right w:val="single" w:sz="6" w:space="0" w:color="auto"/>
            </w:tcBorders>
            <w:shd w:val="clear" w:color="auto" w:fill="BDD7EE"/>
            <w:vAlign w:val="center"/>
            <w:hideMark/>
          </w:tcPr>
          <w:p w14:paraId="248E00B0"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3C408720" w14:textId="77777777">
        <w:trPr>
          <w:trHeight w:val="524"/>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1C656D7" w14:textId="77777777" w:rsidR="003A3D51" w:rsidRDefault="003A3D51">
            <w:pPr>
              <w:spacing w:after="0" w:line="240" w:lineRule="auto"/>
              <w:rPr>
                <w:rFonts w:ascii="Times New Roman" w:eastAsia="Times New Roman" w:hAnsi="Times New Roman" w:cs="Times New Roman"/>
                <w:noProof/>
                <w:sz w:val="20"/>
              </w:rPr>
            </w:pPr>
          </w:p>
        </w:tc>
        <w:tc>
          <w:tcPr>
            <w:tcW w:w="1639"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0FE4874" w14:textId="77777777" w:rsidR="003A3D51" w:rsidRDefault="003A3D51">
            <w:pPr>
              <w:spacing w:after="0" w:line="240" w:lineRule="auto"/>
              <w:rPr>
                <w:rFonts w:ascii="Times New Roman" w:eastAsia="Times New Roman" w:hAnsi="Times New Roman" w:cs="Times New Roman"/>
                <w:noProof/>
                <w:sz w:val="20"/>
              </w:rPr>
            </w:pPr>
          </w:p>
        </w:tc>
        <w:tc>
          <w:tcPr>
            <w:tcW w:w="127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2E5584" w14:textId="77777777" w:rsidR="003A3D51" w:rsidRDefault="003A3D51">
            <w:pPr>
              <w:spacing w:after="0" w:line="240" w:lineRule="auto"/>
              <w:rPr>
                <w:rFonts w:ascii="Times New Roman" w:eastAsia="Times New Roman" w:hAnsi="Times New Roman" w:cs="Times New Roman"/>
                <w:noProof/>
                <w:sz w:val="20"/>
              </w:rPr>
            </w:pPr>
          </w:p>
        </w:tc>
        <w:tc>
          <w:tcPr>
            <w:tcW w:w="5347" w:type="dxa"/>
            <w:vMerge/>
            <w:tcBorders>
              <w:top w:val="single" w:sz="6" w:space="0" w:color="auto"/>
              <w:left w:val="nil"/>
              <w:bottom w:val="single" w:sz="6" w:space="0" w:color="000000"/>
              <w:right w:val="single" w:sz="6" w:space="0" w:color="auto"/>
            </w:tcBorders>
            <w:shd w:val="clear" w:color="auto" w:fill="auto"/>
            <w:vAlign w:val="center"/>
            <w:hideMark/>
          </w:tcPr>
          <w:p w14:paraId="6A939ED0" w14:textId="77777777" w:rsidR="003A3D51" w:rsidRDefault="003A3D51">
            <w:pPr>
              <w:spacing w:after="0" w:line="240" w:lineRule="auto"/>
              <w:rPr>
                <w:rFonts w:ascii="Times New Roman" w:eastAsia="Times New Roman" w:hAnsi="Times New Roman" w:cs="Times New Roman"/>
                <w:noProof/>
                <w:sz w:val="20"/>
              </w:rPr>
            </w:pPr>
          </w:p>
        </w:tc>
      </w:tr>
      <w:tr w:rsidR="003A3D51" w14:paraId="3EADBAD2" w14:textId="77777777">
        <w:trPr>
          <w:trHeight w:val="51"/>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128CB03E" w14:textId="77777777" w:rsidR="003A3D51" w:rsidRDefault="0002775A">
            <w:pPr>
              <w:pStyle w:val="P68B1DB1-Normal64"/>
              <w:spacing w:after="0" w:line="240" w:lineRule="auto"/>
              <w:jc w:val="center"/>
              <w:textAlignment w:val="baseline"/>
              <w:rPr>
                <w:rFonts w:eastAsia="Times New Roman"/>
                <w:noProof/>
              </w:rPr>
            </w:pPr>
            <w:r>
              <w:rPr>
                <w:noProof/>
              </w:rPr>
              <w:t>17</w:t>
            </w:r>
          </w:p>
        </w:tc>
        <w:tc>
          <w:tcPr>
            <w:tcW w:w="1639" w:type="dxa"/>
            <w:tcBorders>
              <w:top w:val="nil"/>
              <w:left w:val="nil"/>
              <w:bottom w:val="single" w:sz="6" w:space="0" w:color="auto"/>
              <w:right w:val="single" w:sz="6" w:space="0" w:color="auto"/>
            </w:tcBorders>
            <w:shd w:val="clear" w:color="auto" w:fill="C6EFCE"/>
            <w:vAlign w:val="center"/>
            <w:hideMark/>
          </w:tcPr>
          <w:p w14:paraId="3A51F74A" w14:textId="77777777" w:rsidR="003A3D51" w:rsidRDefault="0002775A">
            <w:pPr>
              <w:pStyle w:val="P68B1DB1-Normal64"/>
              <w:spacing w:after="0" w:line="240" w:lineRule="auto"/>
              <w:jc w:val="center"/>
              <w:textAlignment w:val="baseline"/>
              <w:rPr>
                <w:rFonts w:eastAsia="Times New Roman"/>
                <w:noProof/>
              </w:rPr>
            </w:pPr>
            <w:r>
              <w:rPr>
                <w:noProof/>
              </w:rPr>
              <w:t>C1.1.1 R4-I2</w:t>
            </w:r>
          </w:p>
        </w:tc>
        <w:tc>
          <w:tcPr>
            <w:tcW w:w="1274" w:type="dxa"/>
            <w:tcBorders>
              <w:top w:val="nil"/>
              <w:left w:val="nil"/>
              <w:bottom w:val="single" w:sz="6" w:space="0" w:color="auto"/>
              <w:right w:val="single" w:sz="6" w:space="0" w:color="auto"/>
            </w:tcBorders>
            <w:shd w:val="clear" w:color="auto" w:fill="C6EFCE"/>
            <w:vAlign w:val="center"/>
            <w:hideMark/>
          </w:tcPr>
          <w:p w14:paraId="7588B7A2"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nil"/>
              <w:left w:val="nil"/>
              <w:bottom w:val="single" w:sz="6" w:space="0" w:color="auto"/>
              <w:right w:val="single" w:sz="6" w:space="0" w:color="auto"/>
            </w:tcBorders>
            <w:shd w:val="clear" w:color="auto" w:fill="C6EFCE"/>
            <w:vAlign w:val="center"/>
            <w:hideMark/>
          </w:tcPr>
          <w:p w14:paraId="18F9B552" w14:textId="77777777" w:rsidR="003A3D51" w:rsidRDefault="0002775A">
            <w:pPr>
              <w:pStyle w:val="P68B1DB1-Normal64"/>
              <w:spacing w:after="0" w:line="240" w:lineRule="auto"/>
              <w:textAlignment w:val="baseline"/>
              <w:rPr>
                <w:rFonts w:eastAsia="Times New Roman"/>
                <w:noProof/>
              </w:rPr>
            </w:pPr>
            <w:r>
              <w:rPr>
                <w:noProof/>
              </w:rPr>
              <w:t>Lån/räntesubventioner till mikroföretag samt små och medelstora företag</w:t>
            </w:r>
          </w:p>
        </w:tc>
      </w:tr>
      <w:tr w:rsidR="003A3D51" w14:paraId="0FC7044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hideMark/>
          </w:tcPr>
          <w:p w14:paraId="29E4CE53" w14:textId="77777777" w:rsidR="003A3D51" w:rsidRDefault="0002775A">
            <w:pPr>
              <w:pStyle w:val="P68B1DB1-Normal64"/>
              <w:spacing w:after="0" w:line="240" w:lineRule="auto"/>
              <w:jc w:val="center"/>
              <w:textAlignment w:val="baseline"/>
              <w:rPr>
                <w:rFonts w:eastAsia="Times New Roman"/>
                <w:noProof/>
              </w:rPr>
            </w:pPr>
            <w:r>
              <w:rPr>
                <w:noProof/>
              </w:rPr>
              <w:t>18</w:t>
            </w:r>
          </w:p>
        </w:tc>
        <w:tc>
          <w:tcPr>
            <w:tcW w:w="1639" w:type="dxa"/>
            <w:tcBorders>
              <w:top w:val="single" w:sz="6" w:space="0" w:color="auto"/>
              <w:left w:val="nil"/>
              <w:bottom w:val="single" w:sz="6" w:space="0" w:color="auto"/>
              <w:right w:val="single" w:sz="6" w:space="0" w:color="auto"/>
            </w:tcBorders>
            <w:shd w:val="clear" w:color="auto" w:fill="C6EFCE"/>
            <w:vAlign w:val="center"/>
            <w:hideMark/>
          </w:tcPr>
          <w:p w14:paraId="49CC1D4B" w14:textId="77777777" w:rsidR="003A3D51" w:rsidRDefault="0002775A">
            <w:pPr>
              <w:pStyle w:val="P68B1DB1-Normal64"/>
              <w:spacing w:after="0" w:line="240" w:lineRule="auto"/>
              <w:jc w:val="center"/>
              <w:textAlignment w:val="baseline"/>
              <w:rPr>
                <w:rFonts w:eastAsia="Times New Roman"/>
                <w:noProof/>
              </w:rPr>
            </w:pPr>
            <w:r>
              <w:rPr>
                <w:noProof/>
              </w:rPr>
              <w:t>C1.1.1 R4-I2</w:t>
            </w:r>
          </w:p>
        </w:tc>
        <w:tc>
          <w:tcPr>
            <w:tcW w:w="1274" w:type="dxa"/>
            <w:tcBorders>
              <w:top w:val="single" w:sz="6" w:space="0" w:color="auto"/>
              <w:left w:val="nil"/>
              <w:bottom w:val="single" w:sz="6" w:space="0" w:color="auto"/>
              <w:right w:val="single" w:sz="6" w:space="0" w:color="auto"/>
            </w:tcBorders>
            <w:shd w:val="clear" w:color="auto" w:fill="C6EFCE"/>
            <w:vAlign w:val="center"/>
            <w:hideMark/>
          </w:tcPr>
          <w:p w14:paraId="368CA99A" w14:textId="77777777" w:rsidR="003A3D51" w:rsidRDefault="0002775A">
            <w:pPr>
              <w:pStyle w:val="P68B1DB1-Normal64"/>
              <w:spacing w:after="0" w:line="240" w:lineRule="auto"/>
              <w:jc w:val="center"/>
              <w:textAlignment w:val="baseline"/>
              <w:rPr>
                <w:rFonts w:eastAsia="Times New Roman"/>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hideMark/>
          </w:tcPr>
          <w:p w14:paraId="4D534D3D" w14:textId="77777777" w:rsidR="003A3D51" w:rsidRDefault="0002775A">
            <w:pPr>
              <w:pStyle w:val="P68B1DB1-Normal64"/>
              <w:spacing w:after="0" w:line="240" w:lineRule="auto"/>
              <w:textAlignment w:val="baseline"/>
              <w:rPr>
                <w:rFonts w:eastAsia="Times New Roman"/>
                <w:noProof/>
              </w:rPr>
            </w:pPr>
            <w:r>
              <w:rPr>
                <w:noProof/>
              </w:rPr>
              <w:t>Lån/räntesubventioner till mikroföretag samt små och medelstora företag</w:t>
            </w:r>
          </w:p>
        </w:tc>
      </w:tr>
      <w:tr w:rsidR="003A3D51" w14:paraId="06A6E2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FB55C8" w14:textId="77777777" w:rsidR="003A3D51" w:rsidRDefault="0002775A">
            <w:pPr>
              <w:pStyle w:val="P68B1DB1-Normal64"/>
              <w:spacing w:after="0" w:line="240" w:lineRule="auto"/>
              <w:jc w:val="center"/>
              <w:textAlignment w:val="baseline"/>
              <w:rPr>
                <w:noProof/>
              </w:rPr>
            </w:pPr>
            <w:r>
              <w:rPr>
                <w:noProof/>
              </w:rPr>
              <w:t>20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516B286" w14:textId="77777777" w:rsidR="003A3D51" w:rsidRDefault="0002775A">
            <w:pPr>
              <w:pStyle w:val="P68B1DB1-Normal64"/>
              <w:spacing w:after="0" w:line="240" w:lineRule="auto"/>
              <w:jc w:val="center"/>
              <w:textAlignment w:val="baseline"/>
              <w:rPr>
                <w:noProof/>
              </w:rPr>
            </w:pPr>
            <w:r>
              <w:rPr>
                <w:noProof/>
              </w:rPr>
              <w:t>C1.1.1 R4-I3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2CB827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459DE04" w14:textId="77777777" w:rsidR="003A3D51" w:rsidRDefault="0002775A">
            <w:pPr>
              <w:pStyle w:val="P68B1DB1-Normal64"/>
              <w:spacing w:after="0" w:line="240" w:lineRule="auto"/>
              <w:textAlignment w:val="baseline"/>
              <w:rPr>
                <w:noProof/>
              </w:rPr>
            </w:pPr>
            <w:r>
              <w:rPr>
                <w:noProof/>
              </w:rPr>
              <w:t>Antal beviljade projekt för medelstora börsnoterade företag och stora företag</w:t>
            </w:r>
          </w:p>
        </w:tc>
      </w:tr>
      <w:tr w:rsidR="003A3D51" w14:paraId="743423F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B4A0296" w14:textId="77777777" w:rsidR="003A3D51" w:rsidRDefault="0002775A">
            <w:pPr>
              <w:pStyle w:val="P68B1DB1-Normal64"/>
              <w:spacing w:after="0" w:line="240" w:lineRule="auto"/>
              <w:jc w:val="center"/>
              <w:textAlignment w:val="baseline"/>
              <w:rPr>
                <w:noProof/>
              </w:rPr>
            </w:pPr>
            <w:r>
              <w:rPr>
                <w:noProof/>
              </w:rPr>
              <w:t>22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51FFCB" w14:textId="77777777" w:rsidR="003A3D51" w:rsidRDefault="0002775A">
            <w:pPr>
              <w:pStyle w:val="P68B1DB1-Normal64"/>
              <w:spacing w:after="0" w:line="240" w:lineRule="auto"/>
              <w:jc w:val="center"/>
              <w:textAlignment w:val="baseline"/>
              <w:rPr>
                <w:noProof/>
              </w:rPr>
            </w:pPr>
            <w:r>
              <w:rPr>
                <w:noProof/>
              </w:rPr>
              <w:t>C1.1.1 R4-I4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1CEFDA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CE54FD3" w14:textId="77777777" w:rsidR="003A3D51" w:rsidRDefault="0002775A">
            <w:pPr>
              <w:pStyle w:val="P68B1DB1-Normal64"/>
              <w:spacing w:after="0" w:line="240" w:lineRule="auto"/>
              <w:textAlignment w:val="baseline"/>
              <w:rPr>
                <w:noProof/>
              </w:rPr>
            </w:pPr>
            <w:r>
              <w:rPr>
                <w:noProof/>
              </w:rPr>
              <w:t>Krediter som beviljats för projekt inom den offentliga sektorn</w:t>
            </w:r>
          </w:p>
        </w:tc>
      </w:tr>
      <w:tr w:rsidR="003A3D51" w14:paraId="0DE8FE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55DF62" w14:textId="77777777" w:rsidR="003A3D51" w:rsidRDefault="0002775A">
            <w:pPr>
              <w:pStyle w:val="P68B1DB1-Normal64"/>
              <w:spacing w:after="0" w:line="240" w:lineRule="auto"/>
              <w:jc w:val="center"/>
              <w:textAlignment w:val="baseline"/>
              <w:rPr>
                <w:noProof/>
              </w:rPr>
            </w:pPr>
            <w:r>
              <w:rPr>
                <w:noProof/>
              </w:rPr>
              <w:t>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C675BE2" w14:textId="77777777" w:rsidR="003A3D51" w:rsidRDefault="0002775A">
            <w:pPr>
              <w:pStyle w:val="P68B1DB1-Normal64"/>
              <w:spacing w:after="0" w:line="240" w:lineRule="auto"/>
              <w:jc w:val="center"/>
              <w:textAlignment w:val="baseline"/>
              <w:rPr>
                <w:noProof/>
              </w:rPr>
            </w:pPr>
            <w:r>
              <w:rPr>
                <w:noProof/>
              </w:rPr>
              <w:t>C1.1.1 R5-I1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43CF08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0E43599" w14:textId="77777777" w:rsidR="003A3D51" w:rsidRDefault="0002775A">
            <w:pPr>
              <w:pStyle w:val="P68B1DB1-Normal64"/>
              <w:spacing w:after="0" w:line="240" w:lineRule="auto"/>
              <w:textAlignment w:val="baseline"/>
              <w:rPr>
                <w:noProof/>
              </w:rPr>
            </w:pPr>
            <w:r>
              <w:rPr>
                <w:noProof/>
              </w:rPr>
              <w:t>Investeringar i instrument för eget kapital och därmed likställt kapital</w:t>
            </w:r>
          </w:p>
        </w:tc>
      </w:tr>
      <w:tr w:rsidR="003A3D51" w14:paraId="46F642C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E6B1AA0" w14:textId="77777777" w:rsidR="003A3D51" w:rsidRDefault="0002775A">
            <w:pPr>
              <w:pStyle w:val="P68B1DB1-Normal64"/>
              <w:spacing w:after="0" w:line="240" w:lineRule="auto"/>
              <w:jc w:val="center"/>
              <w:textAlignment w:val="baseline"/>
              <w:rPr>
                <w:noProof/>
              </w:rPr>
            </w:pPr>
            <w:r>
              <w:rPr>
                <w:noProof/>
              </w:rPr>
              <w:t>26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DE93AA7" w14:textId="77777777" w:rsidR="003A3D51" w:rsidRDefault="0002775A">
            <w:pPr>
              <w:pStyle w:val="P68B1DB1-Normal64"/>
              <w:spacing w:after="0" w:line="240" w:lineRule="auto"/>
              <w:jc w:val="center"/>
              <w:textAlignment w:val="baseline"/>
              <w:rPr>
                <w:noProof/>
              </w:rPr>
            </w:pPr>
            <w:r>
              <w:rPr>
                <w:noProof/>
              </w:rPr>
              <w:t>C1.1.1 R6-I1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77BD9E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646152" w14:textId="77777777" w:rsidR="003A3D51" w:rsidRDefault="0002775A">
            <w:pPr>
              <w:pStyle w:val="P68B1DB1-Normal64"/>
              <w:spacing w:after="0" w:line="240" w:lineRule="auto"/>
              <w:textAlignment w:val="baseline"/>
              <w:rPr>
                <w:noProof/>
              </w:rPr>
            </w:pPr>
            <w:r>
              <w:rPr>
                <w:noProof/>
              </w:rPr>
              <w:t>Investeringar i den kulturella och den kreativa sektorns omvandling och konkurrenskraft</w:t>
            </w:r>
          </w:p>
        </w:tc>
      </w:tr>
      <w:tr w:rsidR="003A3D51" w14:paraId="6C220B2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6DC5A1" w14:textId="77777777" w:rsidR="003A3D51" w:rsidRDefault="0002775A">
            <w:pPr>
              <w:pStyle w:val="P68B1DB1-Normal64"/>
              <w:spacing w:after="0" w:line="240" w:lineRule="auto"/>
              <w:jc w:val="center"/>
              <w:textAlignment w:val="baseline"/>
              <w:rPr>
                <w:noProof/>
              </w:rPr>
            </w:pPr>
            <w:r>
              <w:rPr>
                <w:noProof/>
              </w:rPr>
              <w:t>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43A7CD" w14:textId="77777777" w:rsidR="003A3D51" w:rsidRDefault="0002775A">
            <w:pPr>
              <w:pStyle w:val="P68B1DB1-Normal64"/>
              <w:spacing w:after="0" w:line="240" w:lineRule="auto"/>
              <w:jc w:val="center"/>
              <w:textAlignment w:val="baseline"/>
              <w:rPr>
                <w:noProof/>
              </w:rPr>
            </w:pPr>
            <w:r>
              <w:rPr>
                <w:noProof/>
              </w:rPr>
              <w:t>C1.1.1 R6-I2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89361E"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EEE0426" w14:textId="77777777" w:rsidR="003A3D51" w:rsidRDefault="0002775A">
            <w:pPr>
              <w:pStyle w:val="P68B1DB1-Normal64"/>
              <w:spacing w:after="0" w:line="240" w:lineRule="auto"/>
              <w:textAlignment w:val="baseline"/>
              <w:rPr>
                <w:noProof/>
              </w:rPr>
            </w:pPr>
            <w:r>
              <w:rPr>
                <w:noProof/>
              </w:rPr>
              <w:t>Inrättande av ett system för faktagranskning</w:t>
            </w:r>
          </w:p>
        </w:tc>
      </w:tr>
      <w:tr w:rsidR="003A3D51" w14:paraId="1383766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113DAB2" w14:textId="77777777" w:rsidR="003A3D51" w:rsidRDefault="0002775A">
            <w:pPr>
              <w:pStyle w:val="P68B1DB1-Normal64"/>
              <w:spacing w:after="0" w:line="240" w:lineRule="auto"/>
              <w:jc w:val="center"/>
              <w:textAlignment w:val="baseline"/>
              <w:rPr>
                <w:noProof/>
              </w:rPr>
            </w:pPr>
            <w:r>
              <w:rPr>
                <w:noProof/>
              </w:rPr>
              <w:t>31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1B9C997" w14:textId="77777777" w:rsidR="003A3D51" w:rsidRDefault="0002775A">
            <w:pPr>
              <w:pStyle w:val="P68B1DB1-Normal64"/>
              <w:spacing w:after="0" w:line="240" w:lineRule="auto"/>
              <w:jc w:val="center"/>
              <w:textAlignment w:val="baseline"/>
              <w:rPr>
                <w:noProof/>
              </w:rPr>
            </w:pPr>
            <w:r>
              <w:rPr>
                <w:noProof/>
              </w:rPr>
              <w:t>C1.1.2 R2-I4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F77611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1D5D61A" w14:textId="77777777" w:rsidR="003A3D51" w:rsidRDefault="0002775A">
            <w:pPr>
              <w:pStyle w:val="P68B1DB1-Normal64"/>
              <w:spacing w:after="0" w:line="240" w:lineRule="auto"/>
              <w:jc w:val="both"/>
              <w:textAlignment w:val="baseline"/>
              <w:rPr>
                <w:noProof/>
              </w:rPr>
            </w:pPr>
            <w:r>
              <w:rPr>
                <w:noProof/>
              </w:rPr>
              <w:t>Stödja tillväxten av nystartade företag genom att inrätta ett acceleratorprogram.</w:t>
            </w:r>
          </w:p>
        </w:tc>
      </w:tr>
      <w:tr w:rsidR="003A3D51" w14:paraId="29F68DC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561B717" w14:textId="77777777" w:rsidR="003A3D51" w:rsidRDefault="0002775A">
            <w:pPr>
              <w:pStyle w:val="P68B1DB1-Normal64"/>
              <w:spacing w:after="0" w:line="240" w:lineRule="auto"/>
              <w:jc w:val="center"/>
              <w:textAlignment w:val="baseline"/>
              <w:rPr>
                <w:noProof/>
              </w:rPr>
            </w:pPr>
            <w:r>
              <w:rPr>
                <w:noProof/>
              </w:rPr>
              <w:t>33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0B9C241" w14:textId="77777777" w:rsidR="003A3D51" w:rsidRDefault="0002775A">
            <w:pPr>
              <w:pStyle w:val="P68B1DB1-Normal64"/>
              <w:spacing w:after="0" w:line="240" w:lineRule="auto"/>
              <w:jc w:val="center"/>
              <w:textAlignment w:val="baseline"/>
              <w:rPr>
                <w:noProof/>
              </w:rPr>
            </w:pPr>
            <w:r>
              <w:rPr>
                <w:noProof/>
              </w:rPr>
              <w:t>C1.1.2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15DE35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9E8905A" w14:textId="77777777" w:rsidR="003A3D51" w:rsidRDefault="0002775A">
            <w:pPr>
              <w:pStyle w:val="P68B1DB1-Normal64"/>
              <w:spacing w:after="0" w:line="240" w:lineRule="auto"/>
              <w:jc w:val="both"/>
              <w:textAlignment w:val="baseline"/>
              <w:rPr>
                <w:noProof/>
              </w:rPr>
            </w:pPr>
            <w:r>
              <w:rPr>
                <w:noProof/>
              </w:rPr>
              <w:t xml:space="preserve">Bidrag i form av kuponger </w:t>
            </w:r>
          </w:p>
        </w:tc>
      </w:tr>
      <w:tr w:rsidR="003A3D51" w14:paraId="6D92E8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2AB121E" w14:textId="77777777" w:rsidR="003A3D51" w:rsidRDefault="0002775A">
            <w:pPr>
              <w:pStyle w:val="P68B1DB1-Normal64"/>
              <w:spacing w:after="0" w:line="240" w:lineRule="auto"/>
              <w:jc w:val="center"/>
              <w:textAlignment w:val="baseline"/>
              <w:rPr>
                <w:noProof/>
              </w:rPr>
            </w:pPr>
            <w:r>
              <w:rPr>
                <w:noProof/>
              </w:rPr>
              <w:t>34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7E2F386" w14:textId="77777777" w:rsidR="003A3D51" w:rsidRDefault="0002775A">
            <w:pPr>
              <w:pStyle w:val="P68B1DB1-Normal64"/>
              <w:spacing w:after="0" w:line="240" w:lineRule="auto"/>
              <w:jc w:val="center"/>
              <w:textAlignment w:val="baseline"/>
              <w:rPr>
                <w:noProof/>
              </w:rPr>
            </w:pPr>
            <w:r>
              <w:rPr>
                <w:noProof/>
              </w:rPr>
              <w:t>C1.1.2 R3-I3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8A5217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200A3A7" w14:textId="77777777" w:rsidR="003A3D51" w:rsidRDefault="0002775A">
            <w:pPr>
              <w:pStyle w:val="P68B1DB1-Normal64"/>
              <w:spacing w:after="0" w:line="240" w:lineRule="auto"/>
              <w:jc w:val="both"/>
              <w:textAlignment w:val="baseline"/>
              <w:rPr>
                <w:noProof/>
              </w:rPr>
            </w:pPr>
            <w:r>
              <w:rPr>
                <w:noProof/>
              </w:rPr>
              <w:t xml:space="preserve">Bidragsstöd till den digitala omvandlingen av kroatiska små och medelstora företag </w:t>
            </w:r>
          </w:p>
        </w:tc>
      </w:tr>
      <w:tr w:rsidR="003A3D51" w14:paraId="3DE9136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7F238DC" w14:textId="77777777" w:rsidR="003A3D51" w:rsidRDefault="0002775A">
            <w:pPr>
              <w:pStyle w:val="P68B1DB1-Normal64"/>
              <w:spacing w:after="0" w:line="240" w:lineRule="auto"/>
              <w:jc w:val="center"/>
              <w:textAlignment w:val="baseline"/>
              <w:rPr>
                <w:noProof/>
              </w:rPr>
            </w:pPr>
            <w:r>
              <w:rPr>
                <w:noProof/>
              </w:rPr>
              <w:t>44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27C2377" w14:textId="77777777" w:rsidR="003A3D51" w:rsidRDefault="0002775A">
            <w:pPr>
              <w:pStyle w:val="P68B1DB1-Normal64"/>
              <w:spacing w:after="0" w:line="240" w:lineRule="auto"/>
              <w:jc w:val="center"/>
              <w:textAlignment w:val="baseline"/>
              <w:rPr>
                <w:noProof/>
              </w:rPr>
            </w:pPr>
            <w:r>
              <w:rPr>
                <w:noProof/>
              </w:rPr>
              <w:t>C1.2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F697A6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C888F2B" w14:textId="77777777" w:rsidR="003A3D51" w:rsidRDefault="0002775A">
            <w:pPr>
              <w:pStyle w:val="P68B1DB1-Normal64"/>
              <w:spacing w:after="0" w:line="240" w:lineRule="auto"/>
              <w:jc w:val="both"/>
              <w:textAlignment w:val="baseline"/>
              <w:rPr>
                <w:noProof/>
              </w:rPr>
            </w:pPr>
            <w:r>
              <w:rPr>
                <w:noProof/>
              </w:rPr>
              <w:t>Uppgraderingen av högspänningsnätet (220/110 kV) slutförd</w:t>
            </w:r>
          </w:p>
        </w:tc>
      </w:tr>
      <w:tr w:rsidR="003A3D51" w14:paraId="4D62FC0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8A81D32" w14:textId="43B3C13F" w:rsidR="003A3D51" w:rsidRDefault="0002775A">
            <w:pPr>
              <w:pStyle w:val="P68B1DB1-Normal64"/>
              <w:spacing w:after="0" w:line="240" w:lineRule="auto"/>
              <w:jc w:val="center"/>
              <w:textAlignment w:val="baseline"/>
              <w:rPr>
                <w:noProof/>
              </w:rPr>
            </w:pPr>
            <w:r>
              <w:rPr>
                <w:noProof/>
              </w:rPr>
              <w:t>52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474C4AE" w14:textId="620978A8" w:rsidR="003A3D51" w:rsidRDefault="0002775A">
            <w:pPr>
              <w:pStyle w:val="P68B1DB1-Normal64"/>
              <w:spacing w:after="0" w:line="240" w:lineRule="auto"/>
              <w:jc w:val="center"/>
              <w:textAlignment w:val="baseline"/>
              <w:rPr>
                <w:noProof/>
              </w:rPr>
            </w:pPr>
            <w:r>
              <w:rPr>
                <w:noProof/>
              </w:rPr>
              <w:t>C7.1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EAA25EB" w14:textId="2066BF04"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607D98FD" w14:textId="20BACB34" w:rsidR="003A3D51" w:rsidRDefault="0002775A">
            <w:pPr>
              <w:pStyle w:val="P68B1DB1-Normal64"/>
              <w:spacing w:after="0" w:line="240" w:lineRule="auto"/>
              <w:jc w:val="both"/>
              <w:textAlignment w:val="baseline"/>
              <w:rPr>
                <w:noProof/>
              </w:rPr>
            </w:pPr>
            <w:r>
              <w:rPr>
                <w:noProof/>
              </w:rPr>
              <w:t xml:space="preserve">Offentlig upphandling av ytterligare vätgaskapacitet </w:t>
            </w:r>
          </w:p>
        </w:tc>
      </w:tr>
      <w:tr w:rsidR="003A3D51" w14:paraId="30F9116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96C45E7" w14:textId="3912600F" w:rsidR="003A3D51" w:rsidRDefault="0002775A">
            <w:pPr>
              <w:pStyle w:val="P68B1DB1-Normal64"/>
              <w:spacing w:after="0" w:line="240" w:lineRule="auto"/>
              <w:jc w:val="center"/>
              <w:textAlignment w:val="baseline"/>
              <w:rPr>
                <w:noProof/>
              </w:rPr>
            </w:pPr>
            <w:r>
              <w:rPr>
                <w:noProof/>
              </w:rPr>
              <w:t>53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9C29E2F" w14:textId="10FBF4F2" w:rsidR="003A3D51" w:rsidRDefault="0002775A">
            <w:pPr>
              <w:pStyle w:val="P68B1DB1-Normal64"/>
              <w:spacing w:after="0" w:line="240" w:lineRule="auto"/>
              <w:jc w:val="center"/>
              <w:textAlignment w:val="baseline"/>
              <w:rPr>
                <w:noProof/>
              </w:rPr>
            </w:pPr>
            <w:r>
              <w:rPr>
                <w:noProof/>
              </w:rPr>
              <w:t>C7.1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A3B6729" w14:textId="2CF0A50F"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13F173ED" w14:textId="26F8EC52" w:rsidR="003A3D51" w:rsidRDefault="0002775A">
            <w:pPr>
              <w:pStyle w:val="P68B1DB1-Normal64"/>
              <w:spacing w:after="0" w:line="240" w:lineRule="auto"/>
              <w:jc w:val="both"/>
              <w:textAlignment w:val="baseline"/>
              <w:rPr>
                <w:noProof/>
              </w:rPr>
            </w:pPr>
            <w:r>
              <w:rPr>
                <w:noProof/>
              </w:rPr>
              <w:t>Minst 6 laddningsstationer för vätgas för bilar, bussar och tunga fordon har byggts</w:t>
            </w:r>
          </w:p>
        </w:tc>
      </w:tr>
      <w:tr w:rsidR="003A3D51" w14:paraId="6601309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E1C9E9D" w14:textId="368EBE49" w:rsidR="003A3D51" w:rsidRDefault="0002775A">
            <w:pPr>
              <w:pStyle w:val="P68B1DB1-Normal64"/>
              <w:spacing w:after="0" w:line="240" w:lineRule="auto"/>
              <w:jc w:val="center"/>
              <w:textAlignment w:val="baseline"/>
              <w:rPr>
                <w:noProof/>
              </w:rPr>
            </w:pPr>
            <w:r>
              <w:rPr>
                <w:noProof/>
              </w:rPr>
              <w:t>54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AFDC7DA" w14:textId="1D26CEB6" w:rsidR="003A3D51" w:rsidRDefault="0002775A">
            <w:pPr>
              <w:pStyle w:val="P68B1DB1-Normal64"/>
              <w:spacing w:after="0" w:line="240" w:lineRule="auto"/>
              <w:jc w:val="center"/>
              <w:textAlignment w:val="baseline"/>
              <w:rPr>
                <w:noProof/>
              </w:rPr>
            </w:pPr>
            <w:r>
              <w:rPr>
                <w:noProof/>
              </w:rPr>
              <w:t>C7.1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E8AF5E" w14:textId="74D4EDF0"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2D9C7354" w14:textId="27B8F784" w:rsidR="003A3D51" w:rsidRDefault="0002775A">
            <w:pPr>
              <w:pStyle w:val="P68B1DB1-Normal64"/>
              <w:spacing w:after="0" w:line="240" w:lineRule="auto"/>
              <w:jc w:val="both"/>
              <w:textAlignment w:val="baseline"/>
              <w:rPr>
                <w:noProof/>
              </w:rPr>
            </w:pPr>
            <w:r>
              <w:rPr>
                <w:noProof/>
              </w:rPr>
              <w:t>Studier om geologisk lagring av koldioxid</w:t>
            </w:r>
          </w:p>
        </w:tc>
      </w:tr>
      <w:tr w:rsidR="003A3D51" w14:paraId="44AD290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19930E7" w14:textId="77777777" w:rsidR="003A3D51" w:rsidRDefault="0002775A">
            <w:pPr>
              <w:pStyle w:val="P68B1DB1-Normal64"/>
              <w:spacing w:after="0" w:line="240" w:lineRule="auto"/>
              <w:jc w:val="center"/>
              <w:textAlignment w:val="baseline"/>
              <w:rPr>
                <w:noProof/>
              </w:rPr>
            </w:pPr>
            <w:r>
              <w:rPr>
                <w:noProof/>
              </w:rPr>
              <w:t>62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CF5DE64" w14:textId="77777777" w:rsidR="003A3D51" w:rsidRDefault="0002775A">
            <w:pPr>
              <w:pStyle w:val="P68B1DB1-Normal64"/>
              <w:spacing w:after="0" w:line="240" w:lineRule="auto"/>
              <w:jc w:val="center"/>
              <w:textAlignment w:val="baseline"/>
              <w:rPr>
                <w:noProof/>
              </w:rPr>
            </w:pPr>
            <w:r>
              <w:rPr>
                <w:noProof/>
              </w:rPr>
              <w:t>C1.3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F617F5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5E09DD" w14:textId="77777777" w:rsidR="003A3D51" w:rsidRDefault="0002775A">
            <w:pPr>
              <w:pStyle w:val="P68B1DB1-Normal64"/>
              <w:spacing w:after="0" w:line="240" w:lineRule="auto"/>
              <w:jc w:val="both"/>
              <w:textAlignment w:val="baseline"/>
              <w:rPr>
                <w:noProof/>
              </w:rPr>
            </w:pPr>
            <w:r>
              <w:rPr>
                <w:noProof/>
              </w:rPr>
              <w:t xml:space="preserve">Minskning av förluster i offentliga vattenförsörjningssystem </w:t>
            </w:r>
          </w:p>
        </w:tc>
      </w:tr>
      <w:tr w:rsidR="003A3D51" w14:paraId="0B5300C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20C68F5" w14:textId="77777777" w:rsidR="003A3D51" w:rsidRDefault="0002775A">
            <w:pPr>
              <w:pStyle w:val="P68B1DB1-Normal64"/>
              <w:spacing w:after="0" w:line="240" w:lineRule="auto"/>
              <w:jc w:val="center"/>
              <w:textAlignment w:val="baseline"/>
              <w:rPr>
                <w:noProof/>
              </w:rPr>
            </w:pPr>
            <w:r>
              <w:rPr>
                <w:noProof/>
              </w:rPr>
              <w:t>67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23504C" w14:textId="77777777" w:rsidR="003A3D51" w:rsidRDefault="0002775A">
            <w:pPr>
              <w:pStyle w:val="P68B1DB1-Normal64"/>
              <w:spacing w:after="0" w:line="240" w:lineRule="auto"/>
              <w:jc w:val="center"/>
              <w:textAlignment w:val="baseline"/>
              <w:rPr>
                <w:noProof/>
              </w:rPr>
            </w:pPr>
            <w:r>
              <w:rPr>
                <w:noProof/>
              </w:rPr>
              <w:t>C1.3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2CC76E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8F99EEF" w14:textId="77777777" w:rsidR="003A3D51" w:rsidRDefault="0002775A">
            <w:pPr>
              <w:pStyle w:val="P68B1DB1-Normal64"/>
              <w:spacing w:after="0" w:line="240" w:lineRule="auto"/>
              <w:jc w:val="both"/>
              <w:textAlignment w:val="baseline"/>
              <w:rPr>
                <w:noProof/>
              </w:rPr>
            </w:pPr>
            <w:r>
              <w:rPr>
                <w:noProof/>
              </w:rPr>
              <w:t>Befolkning som gynnas av förbättrad tillgång till ett förbättrat system för rening av avloppsvatten</w:t>
            </w:r>
          </w:p>
        </w:tc>
      </w:tr>
      <w:tr w:rsidR="003A3D51" w14:paraId="625BD2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51B6DA" w14:textId="77777777" w:rsidR="003A3D51" w:rsidRDefault="0002775A">
            <w:pPr>
              <w:pStyle w:val="P68B1DB1-Normal64"/>
              <w:spacing w:after="0" w:line="240" w:lineRule="auto"/>
              <w:jc w:val="center"/>
              <w:textAlignment w:val="baseline"/>
              <w:rPr>
                <w:noProof/>
              </w:rPr>
            </w:pPr>
            <w:r>
              <w:rPr>
                <w:noProof/>
              </w:rPr>
              <w:t>73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E07387" w14:textId="77777777" w:rsidR="003A3D51" w:rsidRDefault="0002775A">
            <w:pPr>
              <w:pStyle w:val="P68B1DB1-Normal64"/>
              <w:spacing w:after="0" w:line="240" w:lineRule="auto"/>
              <w:jc w:val="center"/>
              <w:textAlignment w:val="baseline"/>
              <w:rPr>
                <w:noProof/>
              </w:rPr>
            </w:pPr>
            <w:r>
              <w:rPr>
                <w:noProof/>
              </w:rPr>
              <w:t>C1.3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CBCF3E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7E6F543" w14:textId="77777777" w:rsidR="003A3D51" w:rsidRDefault="0002775A">
            <w:pPr>
              <w:pStyle w:val="P68B1DB1-Normal64"/>
              <w:spacing w:after="0" w:line="240" w:lineRule="auto"/>
              <w:jc w:val="both"/>
              <w:textAlignment w:val="baseline"/>
              <w:rPr>
                <w:noProof/>
              </w:rPr>
            </w:pPr>
            <w:r>
              <w:rPr>
                <w:noProof/>
              </w:rPr>
              <w:t>Befolkning med förbättrad tillgång till vatten</w:t>
            </w:r>
          </w:p>
        </w:tc>
      </w:tr>
      <w:tr w:rsidR="003A3D51" w14:paraId="059D761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79F87F8" w14:textId="77777777" w:rsidR="003A3D51" w:rsidRDefault="0002775A">
            <w:pPr>
              <w:pStyle w:val="P68B1DB1-Normal64"/>
              <w:spacing w:after="0" w:line="240" w:lineRule="auto"/>
              <w:jc w:val="center"/>
              <w:textAlignment w:val="baseline"/>
              <w:rPr>
                <w:noProof/>
              </w:rPr>
            </w:pPr>
            <w:r>
              <w:rPr>
                <w:noProof/>
              </w:rPr>
              <w:t>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30378B" w14:textId="77777777" w:rsidR="003A3D51" w:rsidRDefault="0002775A">
            <w:pPr>
              <w:pStyle w:val="P68B1DB1-Normal64"/>
              <w:spacing w:after="0" w:line="240" w:lineRule="auto"/>
              <w:jc w:val="center"/>
              <w:textAlignment w:val="baseline"/>
              <w:rPr>
                <w:noProof/>
              </w:rPr>
            </w:pPr>
            <w:r>
              <w:rPr>
                <w:noProof/>
              </w:rPr>
              <w:t>C1.3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ACFB27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CFECA22" w14:textId="77777777" w:rsidR="003A3D51" w:rsidRDefault="0002775A">
            <w:pPr>
              <w:pStyle w:val="P68B1DB1-Normal64"/>
              <w:spacing w:after="0" w:line="240" w:lineRule="auto"/>
              <w:jc w:val="both"/>
              <w:textAlignment w:val="baseline"/>
              <w:rPr>
                <w:noProof/>
              </w:rPr>
            </w:pPr>
            <w:r>
              <w:rPr>
                <w:noProof/>
              </w:rPr>
              <w:t>Boende som omfattas av förbättrade översvämningsskyddsåtgärder</w:t>
            </w:r>
          </w:p>
        </w:tc>
      </w:tr>
      <w:tr w:rsidR="003A3D51" w14:paraId="1F53DB7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C6F319" w14:textId="77777777" w:rsidR="003A3D51" w:rsidRDefault="0002775A">
            <w:pPr>
              <w:pStyle w:val="P68B1DB1-Normal64"/>
              <w:spacing w:after="0" w:line="240" w:lineRule="auto"/>
              <w:jc w:val="center"/>
              <w:textAlignment w:val="baseline"/>
              <w:rPr>
                <w:noProof/>
              </w:rPr>
            </w:pPr>
            <w:r>
              <w:rPr>
                <w:noProof/>
              </w:rPr>
              <w:t>90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F68AACC" w14:textId="77777777" w:rsidR="003A3D51" w:rsidRDefault="0002775A">
            <w:pPr>
              <w:pStyle w:val="P68B1DB1-Normal64"/>
              <w:spacing w:after="0" w:line="240" w:lineRule="auto"/>
              <w:jc w:val="center"/>
              <w:textAlignment w:val="baseline"/>
              <w:rPr>
                <w:noProof/>
              </w:rPr>
            </w:pPr>
            <w:r>
              <w:rPr>
                <w:noProof/>
              </w:rPr>
              <w:t>C1.3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D6D2E1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08E54B0" w14:textId="77777777" w:rsidR="003A3D51" w:rsidRDefault="0002775A">
            <w:pPr>
              <w:pStyle w:val="P68B1DB1-Normal64"/>
              <w:spacing w:after="0" w:line="240" w:lineRule="auto"/>
              <w:jc w:val="both"/>
              <w:textAlignment w:val="baseline"/>
              <w:rPr>
                <w:noProof/>
              </w:rPr>
            </w:pPr>
            <w:r>
              <w:rPr>
                <w:noProof/>
              </w:rPr>
              <w:t>Sanering av stängda deponier</w:t>
            </w:r>
          </w:p>
        </w:tc>
      </w:tr>
      <w:tr w:rsidR="003A3D51" w14:paraId="42DFF45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F1699D3" w14:textId="77777777" w:rsidR="003A3D51" w:rsidRDefault="0002775A">
            <w:pPr>
              <w:pStyle w:val="P68B1DB1-Normal64"/>
              <w:spacing w:after="0" w:line="240" w:lineRule="auto"/>
              <w:jc w:val="center"/>
              <w:textAlignment w:val="baseline"/>
              <w:rPr>
                <w:noProof/>
              </w:rPr>
            </w:pPr>
            <w:r>
              <w:rPr>
                <w:noProof/>
              </w:rPr>
              <w:t>95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11825B1" w14:textId="77777777" w:rsidR="003A3D51" w:rsidRDefault="0002775A">
            <w:pPr>
              <w:pStyle w:val="P68B1DB1-Normal64"/>
              <w:spacing w:after="0" w:line="240" w:lineRule="auto"/>
              <w:jc w:val="center"/>
              <w:textAlignment w:val="baseline"/>
              <w:rPr>
                <w:noProof/>
              </w:rPr>
            </w:pPr>
            <w:r>
              <w:rPr>
                <w:noProof/>
              </w:rPr>
              <w:t>C1.4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6AE2D3"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D8C853A" w14:textId="77777777" w:rsidR="003A3D51" w:rsidRDefault="0002775A">
            <w:pPr>
              <w:pStyle w:val="P68B1DB1-Normal64"/>
              <w:spacing w:after="0" w:line="240" w:lineRule="auto"/>
              <w:jc w:val="both"/>
              <w:textAlignment w:val="baseline"/>
              <w:rPr>
                <w:noProof/>
              </w:rPr>
            </w:pPr>
            <w:r>
              <w:rPr>
                <w:noProof/>
              </w:rPr>
              <w:t>Inrättande av ett välfungerande nationellt system för elektronisk lagring och datautbyte inom vägtransportsektorn</w:t>
            </w:r>
          </w:p>
        </w:tc>
      </w:tr>
      <w:tr w:rsidR="003A3D51" w14:paraId="0651B29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AD613C" w14:textId="77777777" w:rsidR="003A3D51" w:rsidRDefault="0002775A">
            <w:pPr>
              <w:pStyle w:val="P68B1DB1-Normal64"/>
              <w:spacing w:after="0" w:line="240" w:lineRule="auto"/>
              <w:jc w:val="center"/>
              <w:textAlignment w:val="baseline"/>
              <w:rPr>
                <w:noProof/>
              </w:rPr>
            </w:pPr>
            <w:r>
              <w:rPr>
                <w:noProof/>
              </w:rPr>
              <w:t>106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A77F40B" w14:textId="77777777" w:rsidR="003A3D51" w:rsidRDefault="0002775A">
            <w:pPr>
              <w:pStyle w:val="P68B1DB1-Normal64"/>
              <w:spacing w:after="0" w:line="240" w:lineRule="auto"/>
              <w:jc w:val="center"/>
              <w:textAlignment w:val="baseline"/>
              <w:rPr>
                <w:noProof/>
              </w:rPr>
            </w:pPr>
            <w:r>
              <w:rPr>
                <w:noProof/>
              </w:rPr>
              <w:t>C1.4 R2-I5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DA1B2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850296B" w14:textId="77777777" w:rsidR="003A3D51" w:rsidRDefault="0002775A">
            <w:pPr>
              <w:pStyle w:val="P68B1DB1-Normal64"/>
              <w:spacing w:after="0" w:line="240" w:lineRule="auto"/>
              <w:jc w:val="both"/>
              <w:textAlignment w:val="baseline"/>
              <w:rPr>
                <w:noProof/>
              </w:rPr>
            </w:pPr>
            <w:r>
              <w:rPr>
                <w:noProof/>
              </w:rPr>
              <w:t>Bromsklossar bytt på 2 000 godsvagnar för att minska bullret</w:t>
            </w:r>
          </w:p>
        </w:tc>
      </w:tr>
      <w:tr w:rsidR="003A3D51" w14:paraId="78C9CCE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73CC743" w14:textId="77777777" w:rsidR="003A3D51" w:rsidRDefault="0002775A">
            <w:pPr>
              <w:pStyle w:val="P68B1DB1-Normal64"/>
              <w:spacing w:after="0" w:line="240" w:lineRule="auto"/>
              <w:jc w:val="center"/>
              <w:textAlignment w:val="baseline"/>
              <w:rPr>
                <w:noProof/>
              </w:rPr>
            </w:pPr>
            <w:r>
              <w:rPr>
                <w:noProof/>
              </w:rPr>
              <w:t>108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1B5139B" w14:textId="77777777" w:rsidR="003A3D51" w:rsidRDefault="0002775A">
            <w:pPr>
              <w:pStyle w:val="P68B1DB1-Normal64"/>
              <w:spacing w:after="0" w:line="240" w:lineRule="auto"/>
              <w:jc w:val="center"/>
              <w:textAlignment w:val="baseline"/>
              <w:rPr>
                <w:noProof/>
              </w:rPr>
            </w:pPr>
            <w:r>
              <w:rPr>
                <w:noProof/>
              </w:rPr>
              <w:t>C1.4 R2-I7</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ABDF8F9"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505563A" w14:textId="77777777" w:rsidR="003A3D51" w:rsidRDefault="0002775A">
            <w:pPr>
              <w:pStyle w:val="P68B1DB1-Normal64"/>
              <w:spacing w:after="0" w:line="240" w:lineRule="auto"/>
              <w:jc w:val="both"/>
              <w:textAlignment w:val="baseline"/>
              <w:rPr>
                <w:noProof/>
              </w:rPr>
            </w:pPr>
            <w:r>
              <w:rPr>
                <w:noProof/>
              </w:rPr>
              <w:t>Uppgradering och funktionsduglighet hos fordonsbaserade biljettsystem</w:t>
            </w:r>
          </w:p>
        </w:tc>
      </w:tr>
      <w:tr w:rsidR="003A3D51" w14:paraId="05D584B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0C5BD76" w14:textId="77777777" w:rsidR="003A3D51" w:rsidRDefault="0002775A">
            <w:pPr>
              <w:pStyle w:val="P68B1DB1-Normal64"/>
              <w:spacing w:after="0" w:line="240" w:lineRule="auto"/>
              <w:jc w:val="center"/>
              <w:textAlignment w:val="baseline"/>
              <w:rPr>
                <w:noProof/>
              </w:rPr>
            </w:pPr>
            <w:r>
              <w:rPr>
                <w:noProof/>
              </w:rPr>
              <w:t>113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D023D18" w14:textId="77777777" w:rsidR="003A3D51" w:rsidRDefault="0002775A">
            <w:pPr>
              <w:pStyle w:val="P68B1DB1-Normal64"/>
              <w:spacing w:after="0" w:line="240" w:lineRule="auto"/>
              <w:jc w:val="center"/>
              <w:textAlignment w:val="baseline"/>
              <w:rPr>
                <w:noProof/>
              </w:rPr>
            </w:pPr>
            <w:r>
              <w:rPr>
                <w:noProof/>
              </w:rPr>
              <w:t>C1.4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9EEAAD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41CF451" w14:textId="77777777" w:rsidR="003A3D51" w:rsidRDefault="0002775A">
            <w:pPr>
              <w:pStyle w:val="P68B1DB1-Normal64"/>
              <w:spacing w:after="0" w:line="240" w:lineRule="auto"/>
              <w:jc w:val="both"/>
              <w:textAlignment w:val="baseline"/>
              <w:rPr>
                <w:noProof/>
              </w:rPr>
            </w:pPr>
            <w:r>
              <w:rPr>
                <w:noProof/>
              </w:rPr>
              <w:t xml:space="preserve">Fartyg som drivs med alternativa bränslen och drivs med elektrisk solenergi </w:t>
            </w:r>
          </w:p>
        </w:tc>
      </w:tr>
      <w:tr w:rsidR="003A3D51" w14:paraId="46969D9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B5150A5" w14:textId="77777777" w:rsidR="003A3D51" w:rsidRDefault="0002775A">
            <w:pPr>
              <w:pStyle w:val="P68B1DB1-Normal64"/>
              <w:spacing w:after="0" w:line="240" w:lineRule="auto"/>
              <w:jc w:val="center"/>
              <w:textAlignment w:val="baseline"/>
              <w:rPr>
                <w:noProof/>
              </w:rPr>
            </w:pPr>
            <w:r>
              <w:rPr>
                <w:noProof/>
              </w:rPr>
              <w:t>115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8FC6EC" w14:textId="77777777" w:rsidR="003A3D51" w:rsidRDefault="0002775A">
            <w:pPr>
              <w:pStyle w:val="P68B1DB1-Normal64"/>
              <w:spacing w:after="0" w:line="240" w:lineRule="auto"/>
              <w:jc w:val="center"/>
              <w:textAlignment w:val="baseline"/>
              <w:rPr>
                <w:noProof/>
              </w:rPr>
            </w:pPr>
            <w:r>
              <w:rPr>
                <w:noProof/>
              </w:rPr>
              <w:t>C1.4 R3-I4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BCF24A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4BECBA1" w14:textId="77777777" w:rsidR="003A3D51" w:rsidRDefault="0002775A">
            <w:pPr>
              <w:pStyle w:val="P68B1DB1-Normal64"/>
              <w:spacing w:after="0" w:line="240" w:lineRule="auto"/>
              <w:jc w:val="both"/>
              <w:textAlignment w:val="baseline"/>
              <w:rPr>
                <w:noProof/>
              </w:rPr>
            </w:pPr>
            <w:r>
              <w:rPr>
                <w:noProof/>
              </w:rPr>
              <w:t>Tre kommunala kajplatser byggda för mottagande av avfall från fartyg</w:t>
            </w:r>
          </w:p>
        </w:tc>
      </w:tr>
      <w:tr w:rsidR="003A3D51" w14:paraId="0E4A846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B290D0A" w14:textId="77777777" w:rsidR="003A3D51" w:rsidRDefault="0002775A">
            <w:pPr>
              <w:pStyle w:val="P68B1DB1-Normal64"/>
              <w:spacing w:after="0" w:line="240" w:lineRule="auto"/>
              <w:jc w:val="center"/>
              <w:textAlignment w:val="baseline"/>
              <w:rPr>
                <w:noProof/>
              </w:rPr>
            </w:pPr>
            <w:r>
              <w:rPr>
                <w:noProof/>
              </w:rPr>
              <w:t>116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0E60849" w14:textId="77777777" w:rsidR="003A3D51" w:rsidRDefault="0002775A">
            <w:pPr>
              <w:pStyle w:val="P68B1DB1-Normal64"/>
              <w:spacing w:after="0" w:line="240" w:lineRule="auto"/>
              <w:jc w:val="center"/>
              <w:textAlignment w:val="baseline"/>
              <w:rPr>
                <w:noProof/>
              </w:rPr>
            </w:pPr>
            <w:r>
              <w:rPr>
                <w:noProof/>
              </w:rPr>
              <w:t>C1.4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3D88F3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FB21C0" w14:textId="77777777" w:rsidR="003A3D51" w:rsidRDefault="0002775A">
            <w:pPr>
              <w:pStyle w:val="P68B1DB1-Normal64"/>
              <w:spacing w:after="0" w:line="240" w:lineRule="auto"/>
              <w:jc w:val="both"/>
              <w:textAlignment w:val="baseline"/>
              <w:rPr>
                <w:noProof/>
              </w:rPr>
            </w:pPr>
            <w:r>
              <w:rPr>
                <w:noProof/>
              </w:rPr>
              <w:t>70 alternativbränsledrivna bussar (el- och vätgasdrivna) upphandlas och tas i bruk</w:t>
            </w:r>
          </w:p>
        </w:tc>
      </w:tr>
      <w:tr w:rsidR="003A3D51" w14:paraId="5009660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C5A84C" w14:textId="77777777" w:rsidR="003A3D51" w:rsidRDefault="0002775A">
            <w:pPr>
              <w:pStyle w:val="P68B1DB1-Normal64"/>
              <w:spacing w:after="0" w:line="240" w:lineRule="auto"/>
              <w:jc w:val="center"/>
              <w:textAlignment w:val="baseline"/>
              <w:rPr>
                <w:noProof/>
              </w:rPr>
            </w:pPr>
            <w:r>
              <w:rPr>
                <w:noProof/>
              </w:rPr>
              <w:t>123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8D65FBF" w14:textId="77777777" w:rsidR="003A3D51" w:rsidRDefault="0002775A">
            <w:pPr>
              <w:pStyle w:val="P68B1DB1-Normal64"/>
              <w:spacing w:after="0" w:line="240" w:lineRule="auto"/>
              <w:jc w:val="center"/>
              <w:textAlignment w:val="baseline"/>
              <w:rPr>
                <w:noProof/>
              </w:rPr>
            </w:pPr>
            <w:r>
              <w:rPr>
                <w:noProof/>
              </w:rPr>
              <w:t>C1.4 R5-I2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324110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9AF2AC9" w14:textId="77777777" w:rsidR="003A3D51" w:rsidRDefault="0002775A">
            <w:pPr>
              <w:pStyle w:val="P68B1DB1-Normal64"/>
              <w:spacing w:after="0" w:line="240" w:lineRule="auto"/>
              <w:jc w:val="both"/>
              <w:textAlignment w:val="baseline"/>
              <w:rPr>
                <w:noProof/>
              </w:rPr>
            </w:pPr>
            <w:r>
              <w:rPr>
                <w:noProof/>
              </w:rPr>
              <w:t xml:space="preserve">50 000 kuponger för resor med helt självkörande fordon som beviljas kostnadsfritt till personer med funktionsnedsättning, giltiga i minst 5 år efter utfärdandet. </w:t>
            </w:r>
          </w:p>
        </w:tc>
      </w:tr>
      <w:tr w:rsidR="003A3D51" w14:paraId="076064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9B912E" w14:textId="77777777" w:rsidR="003A3D51" w:rsidRDefault="0002775A">
            <w:pPr>
              <w:pStyle w:val="P68B1DB1-Normal64"/>
              <w:spacing w:after="0" w:line="240" w:lineRule="auto"/>
              <w:jc w:val="center"/>
              <w:textAlignment w:val="baseline"/>
              <w:rPr>
                <w:noProof/>
              </w:rPr>
            </w:pPr>
            <w:r>
              <w:rPr>
                <w:noProof/>
              </w:rPr>
              <w:t>124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21D5080" w14:textId="77777777" w:rsidR="003A3D51" w:rsidRDefault="0002775A">
            <w:pPr>
              <w:pStyle w:val="P68B1DB1-Normal64"/>
              <w:spacing w:after="0" w:line="240" w:lineRule="auto"/>
              <w:jc w:val="center"/>
              <w:textAlignment w:val="baseline"/>
              <w:rPr>
                <w:noProof/>
              </w:rPr>
            </w:pPr>
            <w:r>
              <w:rPr>
                <w:noProof/>
              </w:rPr>
              <w:t>C1.4 R5-I3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A6209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53CC50E" w14:textId="77777777" w:rsidR="003A3D51" w:rsidRDefault="0002775A">
            <w:pPr>
              <w:pStyle w:val="P68B1DB1-Normal64"/>
              <w:spacing w:after="0" w:line="240" w:lineRule="auto"/>
              <w:jc w:val="both"/>
              <w:textAlignment w:val="baseline"/>
              <w:rPr>
                <w:noProof/>
              </w:rPr>
            </w:pPr>
            <w:r>
              <w:rPr>
                <w:noProof/>
              </w:rPr>
              <w:t>Samfinansierade inköp av 2 000 vägfordon som drivs med alternativa bränslen (el eller vätgas)</w:t>
            </w:r>
          </w:p>
        </w:tc>
      </w:tr>
      <w:tr w:rsidR="003A3D51" w14:paraId="75E9B20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FB8EE16" w14:textId="52AB4584" w:rsidR="003A3D51" w:rsidRDefault="0002775A">
            <w:pPr>
              <w:pStyle w:val="P68B1DB1-Normal64"/>
              <w:spacing w:after="0" w:line="240" w:lineRule="auto"/>
              <w:jc w:val="center"/>
              <w:textAlignment w:val="baseline"/>
              <w:rPr>
                <w:noProof/>
              </w:rPr>
            </w:pPr>
            <w:r>
              <w:rPr>
                <w:noProof/>
              </w:rPr>
              <w:t>125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492855B" w14:textId="0F96BFD5" w:rsidR="003A3D51" w:rsidRDefault="0002775A">
            <w:pPr>
              <w:pStyle w:val="P68B1DB1-Normal64"/>
              <w:spacing w:after="0" w:line="240" w:lineRule="auto"/>
              <w:jc w:val="center"/>
              <w:textAlignment w:val="baseline"/>
              <w:rPr>
                <w:noProof/>
              </w:rPr>
            </w:pPr>
            <w:r>
              <w:rPr>
                <w:noProof/>
              </w:rPr>
              <w:t>C7.1 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412B2D8" w14:textId="254A10EB"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0C6410EB" w14:textId="2577C63D" w:rsidR="003A3D51" w:rsidRDefault="0002775A">
            <w:pPr>
              <w:pStyle w:val="P68B1DB1-Normal64"/>
              <w:spacing w:after="0" w:line="240" w:lineRule="auto"/>
              <w:jc w:val="both"/>
              <w:textAlignment w:val="baseline"/>
              <w:rPr>
                <w:noProof/>
              </w:rPr>
            </w:pPr>
            <w:r>
              <w:rPr>
                <w:noProof/>
              </w:rPr>
              <w:t>Samfinansierat byggande av 1 300 snabbladdningsstationer</w:t>
            </w:r>
          </w:p>
        </w:tc>
      </w:tr>
      <w:tr w:rsidR="003A3D51" w14:paraId="014F531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EF239B" w14:textId="77777777" w:rsidR="003A3D51" w:rsidRDefault="0002775A">
            <w:pPr>
              <w:pStyle w:val="P68B1DB1-Normal64"/>
              <w:spacing w:after="0" w:line="240" w:lineRule="auto"/>
              <w:jc w:val="center"/>
              <w:textAlignment w:val="baseline"/>
              <w:rPr>
                <w:noProof/>
              </w:rPr>
            </w:pPr>
            <w:r>
              <w:rPr>
                <w:noProof/>
              </w:rPr>
              <w:t>128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C35B950" w14:textId="77777777" w:rsidR="003A3D51" w:rsidRDefault="0002775A">
            <w:pPr>
              <w:pStyle w:val="P68B1DB1-Normal64"/>
              <w:spacing w:after="0" w:line="240" w:lineRule="auto"/>
              <w:jc w:val="center"/>
              <w:textAlignment w:val="baseline"/>
              <w:rPr>
                <w:noProof/>
              </w:rPr>
            </w:pPr>
            <w:r>
              <w:rPr>
                <w:noProof/>
              </w:rPr>
              <w:t>C1.5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413214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CEFA9BC" w14:textId="77777777" w:rsidR="003A3D51" w:rsidRDefault="0002775A">
            <w:pPr>
              <w:pStyle w:val="P68B1DB1-Normal64"/>
              <w:spacing w:after="0" w:line="240" w:lineRule="auto"/>
              <w:textAlignment w:val="baseline"/>
              <w:rPr>
                <w:noProof/>
              </w:rPr>
            </w:pPr>
            <w:r>
              <w:rPr>
                <w:noProof/>
              </w:rPr>
              <w:t>Minst tre logistikdistributionscentraler har byggts och tagits i drift.</w:t>
            </w:r>
          </w:p>
        </w:tc>
      </w:tr>
      <w:tr w:rsidR="003A3D51" w14:paraId="3B353CB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B3338E6" w14:textId="77777777" w:rsidR="003A3D51" w:rsidRDefault="0002775A">
            <w:pPr>
              <w:pStyle w:val="P68B1DB1-Normal64"/>
              <w:spacing w:after="0" w:line="240" w:lineRule="auto"/>
              <w:jc w:val="center"/>
              <w:textAlignment w:val="baseline"/>
              <w:rPr>
                <w:noProof/>
              </w:rPr>
            </w:pPr>
            <w:r>
              <w:rPr>
                <w:noProof/>
              </w:rPr>
              <w:t>129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1ABB74" w14:textId="77777777" w:rsidR="003A3D51" w:rsidRDefault="0002775A">
            <w:pPr>
              <w:pStyle w:val="P68B1DB1-Normal64"/>
              <w:spacing w:after="0" w:line="240" w:lineRule="auto"/>
              <w:jc w:val="center"/>
              <w:textAlignment w:val="baseline"/>
              <w:rPr>
                <w:noProof/>
              </w:rPr>
            </w:pPr>
            <w:r>
              <w:rPr>
                <w:noProof/>
              </w:rPr>
              <w:t>C1.5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79625A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62F9A0A" w14:textId="77777777" w:rsidR="003A3D51" w:rsidRDefault="0002775A">
            <w:pPr>
              <w:pStyle w:val="P68B1DB1-Normal64"/>
              <w:spacing w:after="0" w:line="240" w:lineRule="auto"/>
              <w:textAlignment w:val="baseline"/>
              <w:rPr>
                <w:noProof/>
              </w:rPr>
            </w:pPr>
            <w:r>
              <w:rPr>
                <w:noProof/>
              </w:rPr>
              <w:t>Utbildning för producentorganisationer</w:t>
            </w:r>
          </w:p>
        </w:tc>
      </w:tr>
      <w:tr w:rsidR="003A3D51" w14:paraId="1FAF136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466EC1C" w14:textId="77777777" w:rsidR="003A3D51" w:rsidRDefault="0002775A">
            <w:pPr>
              <w:pStyle w:val="P68B1DB1-Normal64"/>
              <w:spacing w:after="0" w:line="240" w:lineRule="auto"/>
              <w:jc w:val="center"/>
              <w:textAlignment w:val="baseline"/>
              <w:rPr>
                <w:noProof/>
              </w:rPr>
            </w:pPr>
            <w:r>
              <w:rPr>
                <w:noProof/>
              </w:rPr>
              <w:t>130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B7CA76A" w14:textId="77777777" w:rsidR="003A3D51" w:rsidRDefault="0002775A">
            <w:pPr>
              <w:pStyle w:val="P68B1DB1-Normal64"/>
              <w:spacing w:after="0" w:line="240" w:lineRule="auto"/>
              <w:jc w:val="center"/>
              <w:textAlignment w:val="baseline"/>
              <w:rPr>
                <w:noProof/>
              </w:rPr>
            </w:pPr>
            <w:r>
              <w:rPr>
                <w:noProof/>
              </w:rPr>
              <w:t>C1.5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82F850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0EDFDD" w14:textId="77777777" w:rsidR="003A3D51" w:rsidRDefault="0002775A">
            <w:pPr>
              <w:pStyle w:val="P68B1DB1-Normal64"/>
              <w:spacing w:after="0" w:line="240" w:lineRule="auto"/>
              <w:textAlignment w:val="baseline"/>
              <w:rPr>
                <w:noProof/>
              </w:rPr>
            </w:pPr>
            <w:r>
              <w:rPr>
                <w:noProof/>
              </w:rPr>
              <w:t>System för märkning av frukt och grönsaker</w:t>
            </w:r>
          </w:p>
        </w:tc>
      </w:tr>
      <w:tr w:rsidR="003A3D51" w14:paraId="23F29F5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882266" w14:textId="77777777" w:rsidR="003A3D51" w:rsidRDefault="0002775A">
            <w:pPr>
              <w:pStyle w:val="P68B1DB1-Normal64"/>
              <w:spacing w:after="0" w:line="240" w:lineRule="auto"/>
              <w:jc w:val="center"/>
              <w:textAlignment w:val="baseline"/>
              <w:rPr>
                <w:noProof/>
              </w:rPr>
            </w:pPr>
            <w:r>
              <w:rPr>
                <w:noProof/>
              </w:rPr>
              <w:t>132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39C5D92" w14:textId="77777777" w:rsidR="003A3D51" w:rsidRDefault="0002775A">
            <w:pPr>
              <w:pStyle w:val="P68B1DB1-Normal64"/>
              <w:spacing w:after="0" w:line="240" w:lineRule="auto"/>
              <w:jc w:val="center"/>
              <w:textAlignment w:val="baseline"/>
              <w:rPr>
                <w:noProof/>
              </w:rPr>
            </w:pPr>
            <w:r>
              <w:rPr>
                <w:noProof/>
              </w:rPr>
              <w:t>C1.5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0BEA4E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CC9C761" w14:textId="77777777" w:rsidR="003A3D51" w:rsidRDefault="0002775A">
            <w:pPr>
              <w:pStyle w:val="P68B1DB1-Normal64"/>
              <w:spacing w:after="0" w:line="240" w:lineRule="auto"/>
              <w:textAlignment w:val="baseline"/>
              <w:rPr>
                <w:noProof/>
              </w:rPr>
            </w:pPr>
            <w:r>
              <w:rPr>
                <w:noProof/>
              </w:rPr>
              <w:t>18 000 ha konsoliderad jordbruksmark</w:t>
            </w:r>
          </w:p>
        </w:tc>
      </w:tr>
      <w:tr w:rsidR="003A3D51" w14:paraId="0BC450F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D6C06B" w14:textId="77777777" w:rsidR="003A3D51" w:rsidRDefault="0002775A">
            <w:pPr>
              <w:pStyle w:val="P68B1DB1-Normal64"/>
              <w:spacing w:after="0" w:line="240" w:lineRule="auto"/>
              <w:jc w:val="center"/>
              <w:textAlignment w:val="baseline"/>
              <w:rPr>
                <w:noProof/>
              </w:rPr>
            </w:pPr>
            <w:r>
              <w:rPr>
                <w:noProof/>
              </w:rPr>
              <w:t>145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2A0821E" w14:textId="77777777" w:rsidR="003A3D51" w:rsidRDefault="0002775A">
            <w:pPr>
              <w:pStyle w:val="P68B1DB1-Normal64"/>
              <w:spacing w:after="0" w:line="240" w:lineRule="auto"/>
              <w:jc w:val="center"/>
              <w:textAlignment w:val="baseline"/>
              <w:rPr>
                <w:noProof/>
              </w:rPr>
            </w:pPr>
            <w:r>
              <w:rPr>
                <w:noProof/>
              </w:rPr>
              <w:t>C1.6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AC8A0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038BD56" w14:textId="77777777" w:rsidR="003A3D51" w:rsidRDefault="0002775A">
            <w:pPr>
              <w:pStyle w:val="P68B1DB1-Normal64"/>
              <w:spacing w:after="0" w:line="240" w:lineRule="auto"/>
              <w:textAlignment w:val="baseline"/>
              <w:rPr>
                <w:noProof/>
              </w:rPr>
            </w:pPr>
            <w:r>
              <w:rPr>
                <w:noProof/>
              </w:rPr>
              <w:t>Slutföra genomförandet av stödberättigande projekt för investeringen eller omfördela de outnyttjade medlen för uppförande och anpassning av offentlig turisminfrastruktur i enlighet med kriterierna för stödberättigande.</w:t>
            </w:r>
          </w:p>
        </w:tc>
      </w:tr>
      <w:tr w:rsidR="003A3D51" w14:paraId="66A875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56280C7" w14:textId="77777777" w:rsidR="003A3D51" w:rsidRDefault="0002775A">
            <w:pPr>
              <w:pStyle w:val="P68B1DB1-Normal64"/>
              <w:spacing w:after="0" w:line="240" w:lineRule="auto"/>
              <w:jc w:val="center"/>
              <w:textAlignment w:val="baseline"/>
              <w:rPr>
                <w:noProof/>
              </w:rPr>
            </w:pPr>
            <w:r>
              <w:rPr>
                <w:noProof/>
              </w:rPr>
              <w:t>147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EF3077E" w14:textId="77777777" w:rsidR="003A3D51" w:rsidRDefault="0002775A">
            <w:pPr>
              <w:pStyle w:val="P68B1DB1-Normal64"/>
              <w:spacing w:after="0" w:line="240" w:lineRule="auto"/>
              <w:jc w:val="center"/>
              <w:textAlignment w:val="baseline"/>
              <w:rPr>
                <w:noProof/>
              </w:rPr>
            </w:pPr>
            <w:r>
              <w:rPr>
                <w:noProof/>
              </w:rPr>
              <w:t>C1.6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C73454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D350909" w14:textId="77777777" w:rsidR="003A3D51" w:rsidRDefault="0002775A">
            <w:pPr>
              <w:pStyle w:val="P68B1DB1-Normal64"/>
              <w:spacing w:after="0" w:line="240" w:lineRule="auto"/>
              <w:textAlignment w:val="baseline"/>
              <w:rPr>
                <w:noProof/>
              </w:rPr>
            </w:pPr>
            <w:r>
              <w:rPr>
                <w:noProof/>
              </w:rPr>
              <w:t>Slutföra genomförandet av stödberättigande investeringsprojekt eller omfördela outnyttjade medel för att stärka hållbarheten och främja den gröna och digitala omställningen för företagare inom turistnäringen</w:t>
            </w:r>
          </w:p>
        </w:tc>
      </w:tr>
      <w:tr w:rsidR="003A3D51" w14:paraId="0E9542A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7A1A104" w14:textId="77777777" w:rsidR="003A3D51" w:rsidRDefault="0002775A">
            <w:pPr>
              <w:pStyle w:val="P68B1DB1-Normal64"/>
              <w:spacing w:after="0" w:line="240" w:lineRule="auto"/>
              <w:jc w:val="center"/>
              <w:textAlignment w:val="baseline"/>
              <w:rPr>
                <w:noProof/>
              </w:rPr>
            </w:pPr>
            <w:r>
              <w:rPr>
                <w:noProof/>
              </w:rPr>
              <w:t>172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AAFB3B" w14:textId="77777777" w:rsidR="003A3D51" w:rsidRDefault="0002775A">
            <w:pPr>
              <w:pStyle w:val="P68B1DB1-Normal64"/>
              <w:spacing w:after="0" w:line="240" w:lineRule="auto"/>
              <w:jc w:val="center"/>
              <w:textAlignment w:val="baseline"/>
              <w:rPr>
                <w:noProof/>
              </w:rPr>
            </w:pPr>
            <w:r>
              <w:rPr>
                <w:noProof/>
              </w:rPr>
              <w:t>C2.2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074EC0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08FFACC" w14:textId="77777777" w:rsidR="003A3D51" w:rsidRDefault="0002775A">
            <w:pPr>
              <w:pStyle w:val="P68B1DB1-Normal64"/>
              <w:spacing w:after="0" w:line="240" w:lineRule="auto"/>
              <w:textAlignment w:val="baseline"/>
              <w:rPr>
                <w:noProof/>
              </w:rPr>
            </w:pPr>
            <w:r>
              <w:rPr>
                <w:noProof/>
              </w:rPr>
              <w:t>Inrättande av en uppsättning på 60 offentligt tillgängliga konservatorier för de mest komplexa kulturella och historiska platserna med högt monumentvärde</w:t>
            </w:r>
          </w:p>
        </w:tc>
      </w:tr>
      <w:tr w:rsidR="003A3D51" w14:paraId="16593A3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2B7CCE" w14:textId="77777777" w:rsidR="003A3D51" w:rsidRDefault="0002775A">
            <w:pPr>
              <w:pStyle w:val="P68B1DB1-Normal64"/>
              <w:spacing w:after="0" w:line="240" w:lineRule="auto"/>
              <w:jc w:val="center"/>
              <w:textAlignment w:val="baseline"/>
              <w:rPr>
                <w:noProof/>
              </w:rPr>
            </w:pPr>
            <w:r>
              <w:rPr>
                <w:noProof/>
              </w:rPr>
              <w:t>173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25FA6C8" w14:textId="77777777" w:rsidR="003A3D51" w:rsidRDefault="0002775A">
            <w:pPr>
              <w:pStyle w:val="P68B1DB1-Normal64"/>
              <w:spacing w:after="0" w:line="240" w:lineRule="auto"/>
              <w:jc w:val="center"/>
              <w:textAlignment w:val="baseline"/>
              <w:rPr>
                <w:noProof/>
              </w:rPr>
            </w:pPr>
            <w:r>
              <w:rPr>
                <w:noProof/>
              </w:rPr>
              <w:t>C2.2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A8E061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58DA755" w14:textId="77777777" w:rsidR="003A3D51" w:rsidRDefault="0002775A">
            <w:pPr>
              <w:pStyle w:val="P68B1DB1-Normal64"/>
              <w:spacing w:after="0" w:line="240" w:lineRule="auto"/>
              <w:textAlignment w:val="baseline"/>
              <w:rPr>
                <w:noProof/>
              </w:rPr>
            </w:pPr>
            <w:r>
              <w:rPr>
                <w:noProof/>
              </w:rPr>
              <w:t>600 dokumentskapare använder arkivinformationssystemet</w:t>
            </w:r>
          </w:p>
        </w:tc>
      </w:tr>
      <w:tr w:rsidR="003A3D51" w14:paraId="23A533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81B8E72" w14:textId="77777777" w:rsidR="003A3D51" w:rsidRDefault="0002775A">
            <w:pPr>
              <w:pStyle w:val="P68B1DB1-Normal64"/>
              <w:spacing w:after="0" w:line="240" w:lineRule="auto"/>
              <w:jc w:val="center"/>
              <w:textAlignment w:val="baseline"/>
              <w:rPr>
                <w:noProof/>
              </w:rPr>
            </w:pPr>
            <w:r>
              <w:rPr>
                <w:noProof/>
              </w:rPr>
              <w:t>180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434A146" w14:textId="77777777" w:rsidR="003A3D51" w:rsidRDefault="0002775A">
            <w:pPr>
              <w:pStyle w:val="P68B1DB1-Normal64"/>
              <w:spacing w:after="0" w:line="240" w:lineRule="auto"/>
              <w:jc w:val="center"/>
              <w:textAlignment w:val="baseline"/>
              <w:rPr>
                <w:noProof/>
              </w:rPr>
            </w:pPr>
            <w:r>
              <w:rPr>
                <w:noProof/>
              </w:rPr>
              <w:t>C2.3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1BEFF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4D2BCE4" w14:textId="77777777" w:rsidR="003A3D51" w:rsidRDefault="0002775A">
            <w:pPr>
              <w:pStyle w:val="P68B1DB1-Normal64"/>
              <w:spacing w:after="0" w:line="240" w:lineRule="auto"/>
              <w:textAlignment w:val="baseline"/>
              <w:rPr>
                <w:noProof/>
              </w:rPr>
            </w:pPr>
            <w:r>
              <w:rPr>
                <w:noProof/>
              </w:rPr>
              <w:t>Ökning av antalet användare i centrumet för gemensamma tjänster</w:t>
            </w:r>
          </w:p>
        </w:tc>
      </w:tr>
      <w:tr w:rsidR="003A3D51" w14:paraId="2B58151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B94AF8" w14:textId="77777777" w:rsidR="003A3D51" w:rsidRDefault="0002775A">
            <w:pPr>
              <w:pStyle w:val="P68B1DB1-Normal64"/>
              <w:spacing w:after="0" w:line="240" w:lineRule="auto"/>
              <w:jc w:val="center"/>
              <w:textAlignment w:val="baseline"/>
              <w:rPr>
                <w:noProof/>
              </w:rPr>
            </w:pPr>
            <w:r>
              <w:rPr>
                <w:noProof/>
              </w:rPr>
              <w:t>193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67DC0E1" w14:textId="77777777" w:rsidR="003A3D51" w:rsidRDefault="0002775A">
            <w:pPr>
              <w:pStyle w:val="P68B1DB1-Normal64"/>
              <w:spacing w:after="0" w:line="240" w:lineRule="auto"/>
              <w:jc w:val="center"/>
              <w:textAlignment w:val="baseline"/>
              <w:rPr>
                <w:noProof/>
              </w:rPr>
            </w:pPr>
            <w:r>
              <w:rPr>
                <w:noProof/>
              </w:rPr>
              <w:t>C2.3 R3-I10</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15D6372"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6BCFD8E" w14:textId="77777777" w:rsidR="003A3D51" w:rsidRDefault="0002775A">
            <w:pPr>
              <w:pStyle w:val="P68B1DB1-Normal64"/>
              <w:spacing w:after="0" w:line="240" w:lineRule="auto"/>
              <w:textAlignment w:val="baseline"/>
              <w:rPr>
                <w:noProof/>
              </w:rPr>
            </w:pPr>
            <w:r>
              <w:rPr>
                <w:noProof/>
              </w:rPr>
              <w:t>Slutförande av digitaliseringen av CES</w:t>
            </w:r>
          </w:p>
        </w:tc>
      </w:tr>
      <w:tr w:rsidR="003A3D51" w14:paraId="7F9E0E7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2CF6E7" w14:textId="77777777" w:rsidR="003A3D51" w:rsidRDefault="0002775A">
            <w:pPr>
              <w:pStyle w:val="P68B1DB1-Normal64"/>
              <w:spacing w:after="0" w:line="240" w:lineRule="auto"/>
              <w:jc w:val="center"/>
              <w:textAlignment w:val="baseline"/>
              <w:rPr>
                <w:noProof/>
              </w:rPr>
            </w:pPr>
            <w:r>
              <w:rPr>
                <w:noProof/>
              </w:rPr>
              <w:t>194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08F1ED" w14:textId="77777777" w:rsidR="003A3D51" w:rsidRDefault="0002775A">
            <w:pPr>
              <w:pStyle w:val="P68B1DB1-Normal64"/>
              <w:spacing w:after="0" w:line="240" w:lineRule="auto"/>
              <w:jc w:val="center"/>
              <w:textAlignment w:val="baseline"/>
              <w:rPr>
                <w:noProof/>
              </w:rPr>
            </w:pPr>
            <w:r>
              <w:rPr>
                <w:noProof/>
              </w:rPr>
              <w:t>C2.3 R3-I11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F361498"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8C10307" w14:textId="77777777" w:rsidR="003A3D51" w:rsidRDefault="0002775A">
            <w:pPr>
              <w:pStyle w:val="P68B1DB1-Normal64"/>
              <w:spacing w:after="0" w:line="240" w:lineRule="auto"/>
              <w:textAlignment w:val="baseline"/>
              <w:rPr>
                <w:noProof/>
              </w:rPr>
            </w:pPr>
            <w:r>
              <w:rPr>
                <w:noProof/>
              </w:rPr>
              <w:t>Uppgraderat it-system vid det kroatiska pensionsförsäkringsinstitutet (HZMO)</w:t>
            </w:r>
          </w:p>
        </w:tc>
      </w:tr>
      <w:tr w:rsidR="003A3D51" w14:paraId="134221B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9DCCC9" w14:textId="77777777" w:rsidR="003A3D51" w:rsidRDefault="0002775A">
            <w:pPr>
              <w:pStyle w:val="P68B1DB1-Normal64"/>
              <w:spacing w:after="0" w:line="240" w:lineRule="auto"/>
              <w:jc w:val="center"/>
              <w:textAlignment w:val="baseline"/>
              <w:rPr>
                <w:noProof/>
              </w:rPr>
            </w:pPr>
            <w:r>
              <w:rPr>
                <w:noProof/>
              </w:rPr>
              <w:t>196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9C6280A" w14:textId="77777777" w:rsidR="003A3D51" w:rsidRDefault="0002775A">
            <w:pPr>
              <w:pStyle w:val="P68B1DB1-Normal64"/>
              <w:spacing w:after="0" w:line="240" w:lineRule="auto"/>
              <w:jc w:val="center"/>
              <w:textAlignment w:val="baseline"/>
              <w:rPr>
                <w:noProof/>
              </w:rPr>
            </w:pPr>
            <w:r>
              <w:rPr>
                <w:noProof/>
              </w:rPr>
              <w:t>C2.3 R3-I12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1FAEC9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2521D7D" w14:textId="77777777" w:rsidR="003A3D51" w:rsidRDefault="0002775A">
            <w:pPr>
              <w:pStyle w:val="P68B1DB1-Normal64"/>
              <w:spacing w:after="0" w:line="240" w:lineRule="auto"/>
              <w:textAlignment w:val="baseline"/>
              <w:rPr>
                <w:noProof/>
              </w:rPr>
            </w:pPr>
            <w:r>
              <w:rPr>
                <w:noProof/>
              </w:rPr>
              <w:t>Antal sidor i de nya digitala arkiven</w:t>
            </w:r>
          </w:p>
        </w:tc>
      </w:tr>
      <w:tr w:rsidR="003A3D51" w14:paraId="7FEF65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B1388F8" w14:textId="77777777" w:rsidR="003A3D51" w:rsidRDefault="0002775A">
            <w:pPr>
              <w:pStyle w:val="P68B1DB1-Normal64"/>
              <w:spacing w:after="0" w:line="240" w:lineRule="auto"/>
              <w:jc w:val="center"/>
              <w:textAlignment w:val="baseline"/>
              <w:rPr>
                <w:noProof/>
              </w:rPr>
            </w:pPr>
            <w:r>
              <w:rPr>
                <w:noProof/>
              </w:rPr>
              <w:t>197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77A9418" w14:textId="77777777" w:rsidR="003A3D51" w:rsidRDefault="0002775A">
            <w:pPr>
              <w:pStyle w:val="P68B1DB1-Normal64"/>
              <w:spacing w:after="0" w:line="240" w:lineRule="auto"/>
              <w:jc w:val="center"/>
              <w:textAlignment w:val="baseline"/>
              <w:rPr>
                <w:noProof/>
              </w:rPr>
            </w:pPr>
            <w:r>
              <w:rPr>
                <w:noProof/>
              </w:rPr>
              <w:t>C2.3 R3-I13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4903C40"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C6453CC" w14:textId="77777777" w:rsidR="003A3D51" w:rsidRDefault="0002775A">
            <w:pPr>
              <w:pStyle w:val="P68B1DB1-Normal64"/>
              <w:spacing w:after="0" w:line="240" w:lineRule="auto"/>
              <w:textAlignment w:val="baseline"/>
              <w:rPr>
                <w:noProof/>
              </w:rPr>
            </w:pPr>
            <w:r>
              <w:rPr>
                <w:noProof/>
              </w:rPr>
              <w:t>Nytt informationssystem för skatteförvaltningen</w:t>
            </w:r>
          </w:p>
        </w:tc>
      </w:tr>
      <w:tr w:rsidR="003A3D51" w14:paraId="11C21E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E22D3CE" w14:textId="77777777" w:rsidR="003A3D51" w:rsidRDefault="0002775A">
            <w:pPr>
              <w:pStyle w:val="P68B1DB1-Normal64"/>
              <w:spacing w:after="0" w:line="240" w:lineRule="auto"/>
              <w:jc w:val="center"/>
              <w:textAlignment w:val="baseline"/>
              <w:rPr>
                <w:noProof/>
              </w:rPr>
            </w:pPr>
            <w:r>
              <w:rPr>
                <w:noProof/>
              </w:rPr>
              <w:t>198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924527D" w14:textId="77777777" w:rsidR="003A3D51" w:rsidRDefault="0002775A">
            <w:pPr>
              <w:pStyle w:val="P68B1DB1-Normal64"/>
              <w:spacing w:after="0" w:line="240" w:lineRule="auto"/>
              <w:jc w:val="center"/>
              <w:textAlignment w:val="baseline"/>
              <w:rPr>
                <w:noProof/>
              </w:rPr>
            </w:pPr>
            <w:r>
              <w:rPr>
                <w:noProof/>
              </w:rPr>
              <w:t>C2.3 R3-I13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7D584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0B097F4" w14:textId="77777777" w:rsidR="003A3D51" w:rsidRDefault="0002775A">
            <w:pPr>
              <w:pStyle w:val="P68B1DB1-Normal64"/>
              <w:spacing w:after="0" w:line="240" w:lineRule="auto"/>
              <w:textAlignment w:val="baseline"/>
              <w:rPr>
                <w:noProof/>
              </w:rPr>
            </w:pPr>
            <w:r>
              <w:rPr>
                <w:noProof/>
              </w:rPr>
              <w:t>Procentandel förfaranden för fastställande och uppbörd av skatt som genomförs digitalt genom det nya systemet</w:t>
            </w:r>
          </w:p>
        </w:tc>
      </w:tr>
      <w:tr w:rsidR="003A3D51" w14:paraId="080ACDF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F10F4FE" w14:textId="77777777" w:rsidR="003A3D51" w:rsidRDefault="0002775A">
            <w:pPr>
              <w:pStyle w:val="P68B1DB1-Normal64"/>
              <w:spacing w:after="0" w:line="240" w:lineRule="auto"/>
              <w:jc w:val="center"/>
              <w:textAlignment w:val="baseline"/>
              <w:rPr>
                <w:noProof/>
              </w:rPr>
            </w:pPr>
            <w:r>
              <w:rPr>
                <w:noProof/>
              </w:rPr>
              <w:t>200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893A022" w14:textId="77777777" w:rsidR="003A3D51" w:rsidRDefault="0002775A">
            <w:pPr>
              <w:pStyle w:val="P68B1DB1-Normal64"/>
              <w:spacing w:after="0" w:line="240" w:lineRule="auto"/>
              <w:jc w:val="center"/>
              <w:textAlignment w:val="baseline"/>
              <w:rPr>
                <w:noProof/>
              </w:rPr>
            </w:pPr>
            <w:r>
              <w:rPr>
                <w:noProof/>
              </w:rPr>
              <w:t>C2.3 R3-I15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273111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3629569" w14:textId="77777777" w:rsidR="003A3D51" w:rsidRDefault="0002775A">
            <w:pPr>
              <w:pStyle w:val="P68B1DB1-Normal64"/>
              <w:spacing w:after="0" w:line="240" w:lineRule="auto"/>
              <w:textAlignment w:val="baseline"/>
              <w:rPr>
                <w:noProof/>
              </w:rPr>
            </w:pPr>
            <w:r>
              <w:rPr>
                <w:noProof/>
              </w:rPr>
              <w:t>Nya verktyg i it-systemet för turism</w:t>
            </w:r>
          </w:p>
        </w:tc>
      </w:tr>
      <w:tr w:rsidR="003A3D51" w14:paraId="5B92A8B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18D2B85" w14:textId="77777777" w:rsidR="003A3D51" w:rsidRDefault="0002775A">
            <w:pPr>
              <w:pStyle w:val="P68B1DB1-Normal64"/>
              <w:spacing w:after="0" w:line="240" w:lineRule="auto"/>
              <w:jc w:val="center"/>
              <w:textAlignment w:val="baseline"/>
              <w:rPr>
                <w:noProof/>
              </w:rPr>
            </w:pPr>
            <w:r>
              <w:rPr>
                <w:noProof/>
              </w:rPr>
              <w:t>201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FCB412B" w14:textId="77777777" w:rsidR="003A3D51" w:rsidRDefault="0002775A">
            <w:pPr>
              <w:pStyle w:val="P68B1DB1-Normal64"/>
              <w:spacing w:after="0" w:line="240" w:lineRule="auto"/>
              <w:jc w:val="center"/>
              <w:textAlignment w:val="baseline"/>
              <w:rPr>
                <w:noProof/>
              </w:rPr>
            </w:pPr>
            <w:r>
              <w:rPr>
                <w:noProof/>
              </w:rPr>
              <w:t>C2.3 R3-I16</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38FDCC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1155CB6" w14:textId="77777777" w:rsidR="003A3D51" w:rsidRDefault="0002775A">
            <w:pPr>
              <w:pStyle w:val="P68B1DB1-Normal64"/>
              <w:spacing w:after="0" w:line="240" w:lineRule="auto"/>
              <w:textAlignment w:val="baseline"/>
              <w:rPr>
                <w:noProof/>
              </w:rPr>
            </w:pPr>
            <w:r>
              <w:rPr>
                <w:noProof/>
              </w:rPr>
              <w:t>Nya tillämpningsmoduler för it-systemet för idrott</w:t>
            </w:r>
          </w:p>
        </w:tc>
      </w:tr>
      <w:tr w:rsidR="003A3D51" w14:paraId="385AA64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5FD617" w14:textId="77777777" w:rsidR="003A3D51" w:rsidRDefault="0002775A">
            <w:pPr>
              <w:pStyle w:val="P68B1DB1-Normal64"/>
              <w:spacing w:after="0" w:line="240" w:lineRule="auto"/>
              <w:jc w:val="center"/>
              <w:textAlignment w:val="baseline"/>
              <w:rPr>
                <w:noProof/>
              </w:rPr>
            </w:pPr>
            <w:r>
              <w:rPr>
                <w:noProof/>
              </w:rPr>
              <w:t>204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BA50720" w14:textId="77777777" w:rsidR="003A3D51" w:rsidRDefault="0002775A">
            <w:pPr>
              <w:pStyle w:val="P68B1DB1-Normal64"/>
              <w:spacing w:after="0" w:line="240" w:lineRule="auto"/>
              <w:jc w:val="center"/>
              <w:textAlignment w:val="baseline"/>
              <w:rPr>
                <w:noProof/>
              </w:rPr>
            </w:pPr>
            <w:r>
              <w:rPr>
                <w:noProof/>
              </w:rPr>
              <w:t>C2.3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50F172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EF7829D" w14:textId="2B7C52EA" w:rsidR="003A3D51" w:rsidRDefault="0002775A">
            <w:pPr>
              <w:pStyle w:val="P68B1DB1-Normal64"/>
              <w:spacing w:after="0" w:line="240" w:lineRule="auto"/>
              <w:textAlignment w:val="baseline"/>
              <w:rPr>
                <w:noProof/>
              </w:rPr>
            </w:pPr>
            <w:r>
              <w:rPr>
                <w:noProof/>
              </w:rPr>
              <w:t xml:space="preserve">Bredbandstillgång för hushåll i vita NGA-områden </w:t>
            </w:r>
          </w:p>
        </w:tc>
      </w:tr>
      <w:tr w:rsidR="003A3D51" w14:paraId="33F1902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8A94165" w14:textId="77777777" w:rsidR="003A3D51" w:rsidRDefault="0002775A">
            <w:pPr>
              <w:pStyle w:val="P68B1DB1-Normal64"/>
              <w:spacing w:after="0" w:line="240" w:lineRule="auto"/>
              <w:jc w:val="center"/>
              <w:textAlignment w:val="baseline"/>
              <w:rPr>
                <w:noProof/>
              </w:rPr>
            </w:pPr>
            <w:r>
              <w:rPr>
                <w:noProof/>
              </w:rPr>
              <w:t>206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03E6621" w14:textId="77777777" w:rsidR="003A3D51" w:rsidRDefault="0002775A">
            <w:pPr>
              <w:pStyle w:val="P68B1DB1-Normal64"/>
              <w:spacing w:after="0" w:line="240" w:lineRule="auto"/>
              <w:jc w:val="center"/>
              <w:textAlignment w:val="baseline"/>
              <w:rPr>
                <w:noProof/>
              </w:rPr>
            </w:pPr>
            <w:r>
              <w:rPr>
                <w:noProof/>
              </w:rPr>
              <w:t>C2.3 R4-I2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4E0E0C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1CBFA9" w14:textId="77777777" w:rsidR="003A3D51" w:rsidRDefault="0002775A">
            <w:pPr>
              <w:pStyle w:val="P68B1DB1-Normal64"/>
              <w:spacing w:after="0" w:line="240" w:lineRule="auto"/>
              <w:textAlignment w:val="baseline"/>
              <w:rPr>
                <w:noProof/>
              </w:rPr>
            </w:pPr>
            <w:r>
              <w:rPr>
                <w:noProof/>
              </w:rPr>
              <w:t>Befolkning med tillgång till 5G</w:t>
            </w:r>
          </w:p>
        </w:tc>
      </w:tr>
      <w:tr w:rsidR="003A3D51" w14:paraId="564C49A5"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5343F99" w14:textId="77777777" w:rsidR="003A3D51" w:rsidRDefault="0002775A">
            <w:pPr>
              <w:pStyle w:val="P68B1DB1-Normal64"/>
              <w:spacing w:after="0" w:line="240" w:lineRule="auto"/>
              <w:jc w:val="center"/>
              <w:textAlignment w:val="baseline"/>
              <w:rPr>
                <w:noProof/>
              </w:rPr>
            </w:pPr>
            <w:r>
              <w:rPr>
                <w:noProof/>
              </w:rPr>
              <w:t>209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078AE18" w14:textId="77777777" w:rsidR="003A3D51" w:rsidRDefault="0002775A">
            <w:pPr>
              <w:pStyle w:val="P68B1DB1-Normal64"/>
              <w:spacing w:after="0" w:line="240" w:lineRule="auto"/>
              <w:jc w:val="center"/>
              <w:textAlignment w:val="baseline"/>
              <w:rPr>
                <w:noProof/>
              </w:rPr>
            </w:pPr>
            <w:r>
              <w:rPr>
                <w:noProof/>
              </w:rPr>
              <w:t>C2.4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0BB9C9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8725C4F" w14:textId="77777777" w:rsidR="003A3D51" w:rsidRDefault="0002775A">
            <w:pPr>
              <w:pStyle w:val="P68B1DB1-Normal64"/>
              <w:spacing w:after="0" w:line="240" w:lineRule="auto"/>
              <w:textAlignment w:val="baseline"/>
              <w:rPr>
                <w:noProof/>
              </w:rPr>
            </w:pPr>
            <w:r>
              <w:rPr>
                <w:noProof/>
              </w:rPr>
              <w:t>Utbildningsplan för fackministerier och centrala samordningsenheter i bolagsstyrningsverksamhet</w:t>
            </w:r>
          </w:p>
        </w:tc>
      </w:tr>
      <w:tr w:rsidR="003A3D51" w14:paraId="5DADE5C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7B21E06" w14:textId="77777777" w:rsidR="003A3D51" w:rsidRDefault="0002775A">
            <w:pPr>
              <w:pStyle w:val="P68B1DB1-Normal64"/>
              <w:spacing w:after="0" w:line="240" w:lineRule="auto"/>
              <w:jc w:val="center"/>
              <w:textAlignment w:val="baseline"/>
              <w:rPr>
                <w:noProof/>
              </w:rPr>
            </w:pPr>
            <w:r>
              <w:rPr>
                <w:noProof/>
              </w:rPr>
              <w:t>210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736B947" w14:textId="77777777" w:rsidR="003A3D51" w:rsidRDefault="0002775A">
            <w:pPr>
              <w:pStyle w:val="P68B1DB1-Normal64"/>
              <w:spacing w:after="0" w:line="240" w:lineRule="auto"/>
              <w:jc w:val="center"/>
              <w:textAlignment w:val="baseline"/>
              <w:rPr>
                <w:noProof/>
              </w:rPr>
            </w:pPr>
            <w:r>
              <w:rPr>
                <w:noProof/>
              </w:rPr>
              <w:t>C2.4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96E9E4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3B9E5B4" w14:textId="77777777" w:rsidR="003A3D51" w:rsidRDefault="0002775A">
            <w:pPr>
              <w:pStyle w:val="P68B1DB1-Normal64"/>
              <w:spacing w:after="0" w:line="240" w:lineRule="auto"/>
              <w:textAlignment w:val="baseline"/>
              <w:rPr>
                <w:noProof/>
              </w:rPr>
            </w:pPr>
            <w:r>
              <w:rPr>
                <w:noProof/>
              </w:rPr>
              <w:t>Genomförandet av försäljningen av 90 statsägda företag som inte är av särskilt intresse för Kroatien och som förvaltas av CERP.</w:t>
            </w:r>
          </w:p>
        </w:tc>
      </w:tr>
      <w:tr w:rsidR="003A3D51" w14:paraId="59C38180"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7356119C" w14:textId="77777777" w:rsidR="003A3D51" w:rsidRDefault="0002775A">
            <w:pPr>
              <w:pStyle w:val="P68B1DB1-Normal64"/>
              <w:spacing w:after="0" w:line="240" w:lineRule="auto"/>
              <w:jc w:val="center"/>
              <w:textAlignment w:val="baseline"/>
              <w:rPr>
                <w:noProof/>
              </w:rPr>
            </w:pPr>
            <w:r>
              <w:rPr>
                <w:noProof/>
              </w:rPr>
              <w:t>211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7EE7E97" w14:textId="77777777" w:rsidR="003A3D51" w:rsidRDefault="0002775A">
            <w:pPr>
              <w:pStyle w:val="P68B1DB1-Normal64"/>
              <w:spacing w:after="0" w:line="240" w:lineRule="auto"/>
              <w:jc w:val="center"/>
              <w:textAlignment w:val="baseline"/>
              <w:rPr>
                <w:noProof/>
              </w:rPr>
            </w:pPr>
            <w:r>
              <w:rPr>
                <w:noProof/>
              </w:rPr>
              <w:t>C2.4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37B3682"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8E6CFED" w14:textId="77777777" w:rsidR="003A3D51" w:rsidRDefault="0002775A">
            <w:pPr>
              <w:pStyle w:val="P68B1DB1-Normal64"/>
              <w:spacing w:after="0" w:line="240" w:lineRule="auto"/>
              <w:textAlignment w:val="baseline"/>
              <w:rPr>
                <w:noProof/>
              </w:rPr>
            </w:pPr>
            <w:r>
              <w:rPr>
                <w:noProof/>
              </w:rPr>
              <w:t>Genomförandet av försäljningen av 20 statsägda företag i CERP-portföljen som för närvarande inte är tillgängliga för försäljning.</w:t>
            </w:r>
          </w:p>
        </w:tc>
      </w:tr>
      <w:tr w:rsidR="003A3D51" w14:paraId="46AF8C8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C4BF380" w14:textId="77777777" w:rsidR="003A3D51" w:rsidRDefault="0002775A">
            <w:pPr>
              <w:pStyle w:val="P68B1DB1-Normal64"/>
              <w:spacing w:after="0" w:line="240" w:lineRule="auto"/>
              <w:jc w:val="center"/>
              <w:textAlignment w:val="baseline"/>
              <w:rPr>
                <w:noProof/>
              </w:rPr>
            </w:pPr>
            <w:r>
              <w:rPr>
                <w:noProof/>
              </w:rPr>
              <w:t>213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8C953D6" w14:textId="77777777" w:rsidR="003A3D51" w:rsidRDefault="0002775A">
            <w:pPr>
              <w:pStyle w:val="P68B1DB1-Normal64"/>
              <w:spacing w:after="0" w:line="240" w:lineRule="auto"/>
              <w:jc w:val="center"/>
              <w:textAlignment w:val="baseline"/>
              <w:rPr>
                <w:noProof/>
              </w:rPr>
            </w:pPr>
            <w:r>
              <w:rPr>
                <w:noProof/>
              </w:rPr>
              <w:t>C2.4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EA2068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8E0E49F" w14:textId="77777777" w:rsidR="003A3D51" w:rsidRDefault="0002775A">
            <w:pPr>
              <w:pStyle w:val="P68B1DB1-Normal64"/>
              <w:spacing w:after="0" w:line="240" w:lineRule="auto"/>
              <w:textAlignment w:val="baseline"/>
              <w:rPr>
                <w:noProof/>
              </w:rPr>
            </w:pPr>
            <w:r>
              <w:rPr>
                <w:noProof/>
              </w:rPr>
              <w:t>Öka kommersialiseringen, rationaliseringen och aktiveringen av statligt ägd egendom</w:t>
            </w:r>
          </w:p>
        </w:tc>
      </w:tr>
      <w:tr w:rsidR="003A3D51" w14:paraId="2C023F4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7AF6FBC" w14:textId="77777777" w:rsidR="003A3D51" w:rsidRDefault="0002775A">
            <w:pPr>
              <w:pStyle w:val="P68B1DB1-Normal64"/>
              <w:spacing w:after="0" w:line="240" w:lineRule="auto"/>
              <w:jc w:val="center"/>
              <w:textAlignment w:val="baseline"/>
              <w:rPr>
                <w:noProof/>
              </w:rPr>
            </w:pPr>
            <w:r>
              <w:rPr>
                <w:noProof/>
              </w:rPr>
              <w:t>221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05E64D4"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04ED13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BCE74D" w14:textId="77777777" w:rsidR="003A3D51" w:rsidRDefault="0002775A">
            <w:pPr>
              <w:pStyle w:val="P68B1DB1-Normal64"/>
              <w:spacing w:after="0" w:line="240" w:lineRule="auto"/>
              <w:textAlignment w:val="baseline"/>
              <w:rPr>
                <w:noProof/>
              </w:rPr>
            </w:pPr>
            <w:r>
              <w:rPr>
                <w:noProof/>
              </w:rPr>
              <w:t>Kortare handläggningstid för rättstvister och handelsmål</w:t>
            </w:r>
          </w:p>
        </w:tc>
      </w:tr>
      <w:tr w:rsidR="003A3D51" w14:paraId="009C65B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D434E01" w14:textId="77777777" w:rsidR="003A3D51" w:rsidRDefault="0002775A">
            <w:pPr>
              <w:pStyle w:val="P68B1DB1-Normal64"/>
              <w:spacing w:after="0" w:line="240" w:lineRule="auto"/>
              <w:jc w:val="center"/>
              <w:textAlignment w:val="baseline"/>
              <w:rPr>
                <w:noProof/>
              </w:rPr>
            </w:pPr>
            <w:r>
              <w:rPr>
                <w:noProof/>
              </w:rPr>
              <w:t>222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A145ED2"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A866BD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1E3F0DE" w14:textId="77777777" w:rsidR="003A3D51" w:rsidRDefault="0002775A">
            <w:pPr>
              <w:pStyle w:val="P68B1DB1-Normal64"/>
              <w:spacing w:after="0" w:line="240" w:lineRule="auto"/>
              <w:textAlignment w:val="baseline"/>
              <w:rPr>
                <w:noProof/>
              </w:rPr>
            </w:pPr>
            <w:r>
              <w:rPr>
                <w:noProof/>
              </w:rPr>
              <w:t>Minskning av det totala antalet pågående mål</w:t>
            </w:r>
          </w:p>
        </w:tc>
      </w:tr>
      <w:tr w:rsidR="003A3D51" w14:paraId="18B67E0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F6FAFF" w14:textId="77777777" w:rsidR="003A3D51" w:rsidRDefault="0002775A">
            <w:pPr>
              <w:pStyle w:val="P68B1DB1-Normal64"/>
              <w:spacing w:after="0" w:line="240" w:lineRule="auto"/>
              <w:jc w:val="center"/>
              <w:textAlignment w:val="baseline"/>
              <w:rPr>
                <w:noProof/>
              </w:rPr>
            </w:pPr>
            <w:r>
              <w:rPr>
                <w:noProof/>
              </w:rPr>
              <w:t>223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007B020" w14:textId="77777777" w:rsidR="003A3D51" w:rsidRDefault="0002775A">
            <w:pPr>
              <w:pStyle w:val="P68B1DB1-Normal64"/>
              <w:spacing w:after="0" w:line="240" w:lineRule="auto"/>
              <w:jc w:val="center"/>
              <w:textAlignment w:val="baseline"/>
              <w:rPr>
                <w:noProof/>
              </w:rPr>
            </w:pPr>
            <w:r>
              <w:rPr>
                <w:noProof/>
              </w:rPr>
              <w:t>C2.5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1FC966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5222B63F" w14:textId="77777777" w:rsidR="003A3D51" w:rsidRDefault="0002775A">
            <w:pPr>
              <w:pStyle w:val="P68B1DB1-Normal64"/>
              <w:spacing w:after="0" w:line="240" w:lineRule="auto"/>
              <w:textAlignment w:val="baseline"/>
              <w:rPr>
                <w:noProof/>
              </w:rPr>
            </w:pPr>
            <w:r>
              <w:rPr>
                <w:noProof/>
              </w:rPr>
              <w:t>Minskning av andelen ärenden över 3 år i den totala eftersläpningen</w:t>
            </w:r>
          </w:p>
        </w:tc>
      </w:tr>
      <w:tr w:rsidR="003A3D51" w14:paraId="5FE400E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C0CEB85" w14:textId="77777777" w:rsidR="003A3D51" w:rsidRDefault="0002775A">
            <w:pPr>
              <w:pStyle w:val="P68B1DB1-Normal64"/>
              <w:spacing w:after="0" w:line="240" w:lineRule="auto"/>
              <w:jc w:val="center"/>
              <w:textAlignment w:val="baseline"/>
              <w:rPr>
                <w:noProof/>
              </w:rPr>
            </w:pPr>
            <w:r>
              <w:rPr>
                <w:noProof/>
              </w:rPr>
              <w:t>225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6B40A29" w14:textId="77777777" w:rsidR="003A3D51" w:rsidRDefault="0002775A">
            <w:pPr>
              <w:pStyle w:val="P68B1DB1-Normal64"/>
              <w:spacing w:after="0" w:line="240" w:lineRule="auto"/>
              <w:jc w:val="center"/>
              <w:textAlignment w:val="baseline"/>
              <w:rPr>
                <w:noProof/>
              </w:rPr>
            </w:pPr>
            <w:r>
              <w:rPr>
                <w:noProof/>
              </w:rPr>
              <w:t>C2.5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3F68D4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495BF97" w14:textId="77777777" w:rsidR="003A3D51" w:rsidRDefault="0002775A">
            <w:pPr>
              <w:pStyle w:val="P68B1DB1-Normal64"/>
              <w:spacing w:after="0" w:line="240" w:lineRule="auto"/>
              <w:textAlignment w:val="baseline"/>
              <w:rPr>
                <w:noProof/>
              </w:rPr>
            </w:pPr>
            <w:r>
              <w:rPr>
                <w:noProof/>
              </w:rPr>
              <w:t>60 % av uppgifterna om fastighetsregistrering och fastighetsregistrering har slutförts, med det slutliga målet att slutföra upp till 100 %.</w:t>
            </w:r>
          </w:p>
        </w:tc>
      </w:tr>
      <w:tr w:rsidR="003A3D51" w14:paraId="46D9C0D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903CA8D" w14:textId="77777777" w:rsidR="003A3D51" w:rsidRDefault="0002775A">
            <w:pPr>
              <w:pStyle w:val="P68B1DB1-Normal64"/>
              <w:spacing w:after="0" w:line="240" w:lineRule="auto"/>
              <w:jc w:val="center"/>
              <w:textAlignment w:val="baseline"/>
              <w:rPr>
                <w:noProof/>
              </w:rPr>
            </w:pPr>
            <w:r>
              <w:rPr>
                <w:noProof/>
              </w:rPr>
              <w:t>227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17E703F" w14:textId="77777777" w:rsidR="003A3D51" w:rsidRDefault="0002775A">
            <w:pPr>
              <w:pStyle w:val="P68B1DB1-Normal64"/>
              <w:spacing w:after="0" w:line="240" w:lineRule="auto"/>
              <w:jc w:val="center"/>
              <w:textAlignment w:val="baseline"/>
              <w:rPr>
                <w:noProof/>
              </w:rPr>
            </w:pPr>
            <w:r>
              <w:rPr>
                <w:noProof/>
              </w:rPr>
              <w:t>C2.5 R1-I4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AA4DF6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21A5273" w14:textId="77777777" w:rsidR="003A3D51" w:rsidRDefault="0002775A">
            <w:pPr>
              <w:pStyle w:val="P68B1DB1-Normal64"/>
              <w:spacing w:after="0" w:line="240" w:lineRule="auto"/>
              <w:textAlignment w:val="baseline"/>
              <w:rPr>
                <w:noProof/>
              </w:rPr>
            </w:pPr>
            <w:r>
              <w:rPr>
                <w:noProof/>
              </w:rPr>
              <w:t>Beviljades tillstånd att använda en nybyggd byggnad på Justice Square i Zagreb som en förutsättning för omlokalisering av handels- och förvaltningsdomstolar, medlingscentrumet och rättsakademin.</w:t>
            </w:r>
          </w:p>
        </w:tc>
      </w:tr>
      <w:tr w:rsidR="003A3D51" w14:paraId="4902C5F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AC7173A" w14:textId="77777777" w:rsidR="003A3D51" w:rsidRDefault="0002775A">
            <w:pPr>
              <w:pStyle w:val="P68B1DB1-Normal64"/>
              <w:spacing w:after="0" w:line="240" w:lineRule="auto"/>
              <w:jc w:val="center"/>
              <w:textAlignment w:val="baseline"/>
              <w:rPr>
                <w:noProof/>
              </w:rPr>
            </w:pPr>
            <w:r>
              <w:rPr>
                <w:noProof/>
              </w:rPr>
              <w:t>238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2D2DBDF" w14:textId="77777777" w:rsidR="003A3D51" w:rsidRDefault="0002775A">
            <w:pPr>
              <w:pStyle w:val="P68B1DB1-Normal64"/>
              <w:spacing w:after="0" w:line="240" w:lineRule="auto"/>
              <w:jc w:val="center"/>
              <w:textAlignment w:val="baseline"/>
              <w:rPr>
                <w:noProof/>
              </w:rPr>
            </w:pPr>
            <w:r>
              <w:rPr>
                <w:noProof/>
              </w:rPr>
              <w:t>C2.6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E49BEA5"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E23A877" w14:textId="77777777" w:rsidR="003A3D51" w:rsidRDefault="0002775A">
            <w:pPr>
              <w:pStyle w:val="P68B1DB1-Normal64"/>
              <w:spacing w:after="0" w:line="240" w:lineRule="auto"/>
              <w:textAlignment w:val="baseline"/>
              <w:rPr>
                <w:noProof/>
              </w:rPr>
            </w:pPr>
            <w:r>
              <w:rPr>
                <w:noProof/>
              </w:rPr>
              <w:t>Minska den genomsnittliga handläggningstiden för mål om korruption och organiserad brottslighet</w:t>
            </w:r>
          </w:p>
        </w:tc>
      </w:tr>
      <w:tr w:rsidR="003A3D51" w14:paraId="3B0AAB0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A72057B" w14:textId="77777777" w:rsidR="003A3D51" w:rsidRDefault="0002775A">
            <w:pPr>
              <w:pStyle w:val="P68B1DB1-Normal64"/>
              <w:spacing w:after="0" w:line="240" w:lineRule="auto"/>
              <w:jc w:val="center"/>
              <w:textAlignment w:val="baseline"/>
              <w:rPr>
                <w:noProof/>
              </w:rPr>
            </w:pPr>
            <w:r>
              <w:rPr>
                <w:noProof/>
              </w:rPr>
              <w:t>245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348E43F" w14:textId="77777777" w:rsidR="003A3D51" w:rsidRDefault="0002775A">
            <w:pPr>
              <w:pStyle w:val="P68B1DB1-Normal64"/>
              <w:spacing w:after="0" w:line="240" w:lineRule="auto"/>
              <w:jc w:val="center"/>
              <w:textAlignment w:val="baseline"/>
              <w:rPr>
                <w:noProof/>
              </w:rPr>
            </w:pPr>
            <w:r>
              <w:rPr>
                <w:noProof/>
              </w:rPr>
              <w:t>C2.6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69374E"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57B6CD4" w14:textId="77777777" w:rsidR="003A3D51" w:rsidRDefault="0002775A">
            <w:pPr>
              <w:pStyle w:val="P68B1DB1-Normal64"/>
              <w:spacing w:after="0" w:line="240" w:lineRule="auto"/>
              <w:textAlignment w:val="baseline"/>
              <w:rPr>
                <w:noProof/>
              </w:rPr>
            </w:pPr>
            <w:r>
              <w:rPr>
                <w:noProof/>
              </w:rPr>
              <w:t>Bedömning av effekterna av genomförandet av programmet för korruptionsbekämpning 2021–2022 för majoritetsägda företag inom lokala och regionala förvaltningsenheter</w:t>
            </w:r>
          </w:p>
        </w:tc>
      </w:tr>
      <w:tr w:rsidR="003A3D51" w14:paraId="6C26672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350E7BE" w14:textId="77777777" w:rsidR="003A3D51" w:rsidRDefault="0002775A">
            <w:pPr>
              <w:pStyle w:val="P68B1DB1-Normal64"/>
              <w:spacing w:after="0" w:line="240" w:lineRule="auto"/>
              <w:jc w:val="center"/>
              <w:textAlignment w:val="baseline"/>
              <w:rPr>
                <w:noProof/>
              </w:rPr>
            </w:pPr>
            <w:r>
              <w:rPr>
                <w:noProof/>
              </w:rPr>
              <w:t>261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1D72B94" w14:textId="77777777" w:rsidR="003A3D51" w:rsidRDefault="0002775A">
            <w:pPr>
              <w:pStyle w:val="P68B1DB1-Normal64"/>
              <w:spacing w:after="0" w:line="240" w:lineRule="auto"/>
              <w:jc w:val="center"/>
              <w:textAlignment w:val="baseline"/>
              <w:rPr>
                <w:noProof/>
              </w:rPr>
            </w:pPr>
            <w:r>
              <w:rPr>
                <w:noProof/>
              </w:rPr>
              <w:t>C2.9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6AFB883"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7E465B38" w14:textId="77777777" w:rsidR="003A3D51" w:rsidRDefault="0002775A">
            <w:pPr>
              <w:pStyle w:val="P68B1DB1-Normal64"/>
              <w:spacing w:after="0" w:line="240" w:lineRule="auto"/>
              <w:textAlignment w:val="baseline"/>
              <w:rPr>
                <w:noProof/>
              </w:rPr>
            </w:pPr>
            <w:r>
              <w:rPr>
                <w:noProof/>
              </w:rPr>
              <w:t>Att minska de genomsnittliga tidsfristerna för handläggning av överklaganden och beslut till 28 dagar från och med dagen för mottagandet av överklagandet.</w:t>
            </w:r>
          </w:p>
        </w:tc>
      </w:tr>
      <w:tr w:rsidR="003A3D51" w14:paraId="359CA87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8514906" w14:textId="77777777" w:rsidR="003A3D51" w:rsidRDefault="0002775A">
            <w:pPr>
              <w:pStyle w:val="P68B1DB1-Normal64"/>
              <w:spacing w:after="0" w:line="240" w:lineRule="auto"/>
              <w:jc w:val="center"/>
              <w:textAlignment w:val="baseline"/>
              <w:rPr>
                <w:noProof/>
              </w:rPr>
            </w:pPr>
            <w:r>
              <w:rPr>
                <w:noProof/>
              </w:rPr>
              <w:t>262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16B21A8" w14:textId="77777777" w:rsidR="003A3D51" w:rsidRDefault="0002775A">
            <w:pPr>
              <w:pStyle w:val="P68B1DB1-Normal64"/>
              <w:spacing w:after="0" w:line="240" w:lineRule="auto"/>
              <w:jc w:val="center"/>
              <w:textAlignment w:val="baseline"/>
              <w:rPr>
                <w:noProof/>
              </w:rPr>
            </w:pPr>
            <w:r>
              <w:rPr>
                <w:noProof/>
              </w:rPr>
              <w:t>C2.9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5F6DF8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AEA3268" w14:textId="77777777" w:rsidR="003A3D51" w:rsidRDefault="0002775A">
            <w:pPr>
              <w:pStyle w:val="P68B1DB1-Normal64"/>
              <w:spacing w:after="0" w:line="240" w:lineRule="auto"/>
              <w:textAlignment w:val="baseline"/>
              <w:rPr>
                <w:noProof/>
              </w:rPr>
            </w:pPr>
            <w:r>
              <w:rPr>
                <w:noProof/>
              </w:rPr>
              <w:t>Att minska de genomsnittliga tidsfristerna till 14 dagar från den dag då överklagandeakten lämnades in</w:t>
            </w:r>
          </w:p>
        </w:tc>
      </w:tr>
      <w:tr w:rsidR="003A3D51" w14:paraId="0A0FB14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5F8A2CB" w14:textId="77777777" w:rsidR="003A3D51" w:rsidRDefault="0002775A">
            <w:pPr>
              <w:pStyle w:val="P68B1DB1-Normal64"/>
              <w:spacing w:after="0" w:line="240" w:lineRule="auto"/>
              <w:jc w:val="center"/>
              <w:textAlignment w:val="baseline"/>
              <w:rPr>
                <w:noProof/>
              </w:rPr>
            </w:pPr>
            <w:r>
              <w:rPr>
                <w:noProof/>
              </w:rPr>
              <w:t>269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E8A285A" w14:textId="77777777" w:rsidR="003A3D51" w:rsidRDefault="0002775A">
            <w:pPr>
              <w:pStyle w:val="P68B1DB1-Normal64"/>
              <w:spacing w:after="0" w:line="240" w:lineRule="auto"/>
              <w:jc w:val="center"/>
              <w:textAlignment w:val="baseline"/>
              <w:rPr>
                <w:noProof/>
              </w:rPr>
            </w:pPr>
            <w:r>
              <w:rPr>
                <w:noProof/>
              </w:rPr>
              <w:t>C3.1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53AE008"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EB17CDB" w14:textId="77777777" w:rsidR="003A3D51" w:rsidRDefault="0002775A">
            <w:pPr>
              <w:pStyle w:val="P68B1DB1-Normal64"/>
              <w:spacing w:after="0" w:line="240" w:lineRule="auto"/>
              <w:textAlignment w:val="baseline"/>
              <w:rPr>
                <w:noProof/>
              </w:rPr>
            </w:pPr>
            <w:r>
              <w:rPr>
                <w:noProof/>
              </w:rPr>
              <w:t>Deltagande i förskoleverksamhet och barnomsorg</w:t>
            </w:r>
          </w:p>
        </w:tc>
      </w:tr>
      <w:tr w:rsidR="003A3D51" w14:paraId="152A381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70FE056" w14:textId="77777777" w:rsidR="003A3D51" w:rsidRDefault="0002775A">
            <w:pPr>
              <w:pStyle w:val="P68B1DB1-Normal64"/>
              <w:spacing w:after="0" w:line="240" w:lineRule="auto"/>
              <w:jc w:val="center"/>
              <w:textAlignment w:val="baseline"/>
              <w:rPr>
                <w:noProof/>
              </w:rPr>
            </w:pPr>
            <w:r>
              <w:rPr>
                <w:noProof/>
              </w:rPr>
              <w:t>270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1DEEED" w14:textId="77777777" w:rsidR="003A3D51" w:rsidRDefault="0002775A">
            <w:pPr>
              <w:pStyle w:val="P68B1DB1-Normal64"/>
              <w:spacing w:after="0" w:line="240" w:lineRule="auto"/>
              <w:jc w:val="center"/>
              <w:textAlignment w:val="baseline"/>
              <w:rPr>
                <w:noProof/>
              </w:rPr>
            </w:pPr>
            <w:r>
              <w:rPr>
                <w:noProof/>
              </w:rPr>
              <w:t>C3.1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263CFF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A2E16B7" w14:textId="77777777" w:rsidR="003A3D51" w:rsidRDefault="0002775A">
            <w:pPr>
              <w:pStyle w:val="P68B1DB1-Normal64"/>
              <w:spacing w:after="0" w:line="240" w:lineRule="auto"/>
              <w:textAlignment w:val="baseline"/>
              <w:rPr>
                <w:noProof/>
              </w:rPr>
            </w:pPr>
            <w:r>
              <w:rPr>
                <w:noProof/>
              </w:rPr>
              <w:t>Antal platser som byggts i förskoleverksamhet och barnomsorg</w:t>
            </w:r>
          </w:p>
        </w:tc>
      </w:tr>
      <w:tr w:rsidR="003A3D51" w14:paraId="2848D32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FB7448B" w14:textId="77777777" w:rsidR="003A3D51" w:rsidRDefault="0002775A">
            <w:pPr>
              <w:pStyle w:val="P68B1DB1-Normal64"/>
              <w:spacing w:after="0" w:line="240" w:lineRule="auto"/>
              <w:jc w:val="center"/>
              <w:textAlignment w:val="baseline"/>
              <w:rPr>
                <w:noProof/>
              </w:rPr>
            </w:pPr>
            <w:r>
              <w:rPr>
                <w:noProof/>
              </w:rPr>
              <w:t>271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4CD4F15" w14:textId="77777777" w:rsidR="003A3D51" w:rsidRDefault="0002775A">
            <w:pPr>
              <w:pStyle w:val="P68B1DB1-Normal64"/>
              <w:spacing w:after="0" w:line="240" w:lineRule="auto"/>
              <w:jc w:val="center"/>
              <w:textAlignment w:val="baseline"/>
              <w:rPr>
                <w:noProof/>
              </w:rPr>
            </w:pPr>
            <w:r>
              <w:rPr>
                <w:noProof/>
              </w:rPr>
              <w:t>C3.1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35F9026"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429F280" w14:textId="77777777" w:rsidR="003A3D51" w:rsidRDefault="0002775A">
            <w:pPr>
              <w:pStyle w:val="P68B1DB1-Normal64"/>
              <w:spacing w:after="0" w:line="240" w:lineRule="auto"/>
              <w:textAlignment w:val="baseline"/>
              <w:rPr>
                <w:noProof/>
              </w:rPr>
            </w:pPr>
            <w:r>
              <w:rPr>
                <w:noProof/>
              </w:rPr>
              <w:t>Andel elever som går i grundskola för ett skift</w:t>
            </w:r>
          </w:p>
        </w:tc>
      </w:tr>
      <w:tr w:rsidR="003A3D51" w14:paraId="62D17A7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CD9FB15" w14:textId="77777777" w:rsidR="003A3D51" w:rsidRDefault="0002775A">
            <w:pPr>
              <w:pStyle w:val="P68B1DB1-Normal64"/>
              <w:spacing w:after="0" w:line="240" w:lineRule="auto"/>
              <w:jc w:val="center"/>
              <w:textAlignment w:val="baseline"/>
              <w:rPr>
                <w:noProof/>
              </w:rPr>
            </w:pPr>
            <w:r>
              <w:rPr>
                <w:noProof/>
              </w:rPr>
              <w:t>272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181FBAB" w14:textId="77777777" w:rsidR="003A3D51" w:rsidRDefault="0002775A">
            <w:pPr>
              <w:pStyle w:val="P68B1DB1-Normal64"/>
              <w:spacing w:after="0" w:line="240" w:lineRule="auto"/>
              <w:jc w:val="center"/>
              <w:textAlignment w:val="baseline"/>
              <w:rPr>
                <w:noProof/>
              </w:rPr>
            </w:pPr>
            <w:r>
              <w:rPr>
                <w:noProof/>
              </w:rPr>
              <w:t>C3.1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2A09AF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6652F39" w14:textId="77777777" w:rsidR="003A3D51" w:rsidRDefault="0002775A">
            <w:pPr>
              <w:pStyle w:val="P68B1DB1-Normal64"/>
              <w:spacing w:after="0" w:line="240" w:lineRule="auto"/>
              <w:textAlignment w:val="baseline"/>
              <w:rPr>
                <w:noProof/>
              </w:rPr>
            </w:pPr>
            <w:r>
              <w:rPr>
                <w:noProof/>
              </w:rPr>
              <w:t>Inskrivning i allmänna gymnasieutbildningsprogram</w:t>
            </w:r>
          </w:p>
        </w:tc>
      </w:tr>
      <w:tr w:rsidR="003A3D51" w14:paraId="01CEA2F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954227D" w14:textId="77777777" w:rsidR="003A3D51" w:rsidRDefault="0002775A">
            <w:pPr>
              <w:pStyle w:val="P68B1DB1-Normal64"/>
              <w:spacing w:after="0" w:line="240" w:lineRule="auto"/>
              <w:jc w:val="center"/>
              <w:textAlignment w:val="baseline"/>
              <w:rPr>
                <w:noProof/>
              </w:rPr>
            </w:pPr>
            <w:r>
              <w:rPr>
                <w:noProof/>
              </w:rPr>
              <w:t>274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BBBE788" w14:textId="77777777" w:rsidR="003A3D51" w:rsidRDefault="0002775A">
            <w:pPr>
              <w:pStyle w:val="P68B1DB1-Normal64"/>
              <w:spacing w:after="0" w:line="240" w:lineRule="auto"/>
              <w:jc w:val="center"/>
              <w:textAlignment w:val="baseline"/>
              <w:rPr>
                <w:noProof/>
              </w:rPr>
            </w:pPr>
            <w:r>
              <w:rPr>
                <w:noProof/>
              </w:rPr>
              <w:t>C3.1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AE293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E710B62" w14:textId="77777777" w:rsidR="003A3D51" w:rsidRDefault="0002775A">
            <w:pPr>
              <w:pStyle w:val="P68B1DB1-Normal64"/>
              <w:spacing w:after="0" w:line="240" w:lineRule="auto"/>
              <w:textAlignment w:val="baseline"/>
              <w:rPr>
                <w:noProof/>
              </w:rPr>
            </w:pPr>
            <w:r>
              <w:rPr>
                <w:noProof/>
              </w:rPr>
              <w:t>Andel offentliga högskolor som är utrustade med digital infrastruktur</w:t>
            </w:r>
          </w:p>
        </w:tc>
      </w:tr>
      <w:tr w:rsidR="003A3D51" w14:paraId="6093731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F4ED1F1" w14:textId="77777777" w:rsidR="003A3D51" w:rsidRDefault="0002775A">
            <w:pPr>
              <w:pStyle w:val="P68B1DB1-Normal64"/>
              <w:spacing w:after="0" w:line="240" w:lineRule="auto"/>
              <w:jc w:val="center"/>
              <w:textAlignment w:val="baseline"/>
              <w:rPr>
                <w:noProof/>
              </w:rPr>
            </w:pPr>
            <w:r>
              <w:rPr>
                <w:noProof/>
              </w:rPr>
              <w:t>283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DD90031" w14:textId="77777777" w:rsidR="003A3D51" w:rsidRDefault="0002775A">
            <w:pPr>
              <w:pStyle w:val="P68B1DB1-Normal64"/>
              <w:spacing w:after="0" w:line="240" w:lineRule="auto"/>
              <w:jc w:val="center"/>
              <w:textAlignment w:val="baseline"/>
              <w:rPr>
                <w:noProof/>
              </w:rPr>
            </w:pPr>
            <w:r>
              <w:rPr>
                <w:noProof/>
              </w:rPr>
              <w:t>C3.2 R2-I2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8E9291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3DA80FF" w14:textId="77777777" w:rsidR="003A3D51" w:rsidRDefault="0002775A">
            <w:pPr>
              <w:pStyle w:val="P68B1DB1-Normal64"/>
              <w:spacing w:after="0" w:line="240" w:lineRule="auto"/>
              <w:textAlignment w:val="baseline"/>
              <w:rPr>
                <w:noProof/>
              </w:rPr>
            </w:pPr>
            <w:r>
              <w:rPr>
                <w:noProof/>
              </w:rPr>
              <w:t>Infrastrukturprojekt för tillämpad och riktad forskning</w:t>
            </w:r>
          </w:p>
        </w:tc>
      </w:tr>
      <w:tr w:rsidR="003A3D51" w14:paraId="7467DA9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3B39CB1" w14:textId="77777777" w:rsidR="003A3D51" w:rsidRDefault="0002775A">
            <w:pPr>
              <w:pStyle w:val="P68B1DB1-Normal64"/>
              <w:spacing w:after="0" w:line="240" w:lineRule="auto"/>
              <w:jc w:val="center"/>
              <w:textAlignment w:val="baseline"/>
              <w:rPr>
                <w:noProof/>
              </w:rPr>
            </w:pPr>
            <w:r>
              <w:rPr>
                <w:noProof/>
              </w:rPr>
              <w:t>292</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C8EE985" w14:textId="77777777" w:rsidR="003A3D51" w:rsidRDefault="0002775A">
            <w:pPr>
              <w:pStyle w:val="P68B1DB1-Normal64"/>
              <w:spacing w:after="0" w:line="240" w:lineRule="auto"/>
              <w:jc w:val="center"/>
              <w:textAlignment w:val="baseline"/>
              <w:rPr>
                <w:noProof/>
              </w:rPr>
            </w:pPr>
            <w:r>
              <w:rPr>
                <w:noProof/>
              </w:rPr>
              <w:t>C4.1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1A18E80"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6DE48FA7" w14:textId="77777777" w:rsidR="003A3D51" w:rsidRDefault="0002775A">
            <w:pPr>
              <w:pStyle w:val="P68B1DB1-Normal64"/>
              <w:spacing w:after="0" w:line="240" w:lineRule="auto"/>
              <w:textAlignment w:val="baseline"/>
              <w:rPr>
                <w:noProof/>
              </w:rPr>
            </w:pPr>
            <w:r>
              <w:rPr>
                <w:noProof/>
              </w:rPr>
              <w:t>Användning av utbildningskuponger</w:t>
            </w:r>
          </w:p>
        </w:tc>
      </w:tr>
      <w:tr w:rsidR="003A3D51" w14:paraId="13AB0F6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F3B07C3" w14:textId="77777777" w:rsidR="003A3D51" w:rsidRDefault="0002775A">
            <w:pPr>
              <w:pStyle w:val="P68B1DB1-Normal64"/>
              <w:spacing w:after="0" w:line="240" w:lineRule="auto"/>
              <w:jc w:val="center"/>
              <w:textAlignment w:val="baseline"/>
              <w:rPr>
                <w:noProof/>
              </w:rPr>
            </w:pPr>
            <w:r>
              <w:rPr>
                <w:noProof/>
              </w:rPr>
              <w:t>296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6A5A360" w14:textId="77777777" w:rsidR="003A3D51" w:rsidRDefault="0002775A">
            <w:pPr>
              <w:pStyle w:val="P68B1DB1-Normal64"/>
              <w:spacing w:after="0" w:line="240" w:lineRule="auto"/>
              <w:jc w:val="center"/>
              <w:textAlignment w:val="baseline"/>
              <w:rPr>
                <w:noProof/>
              </w:rPr>
            </w:pPr>
            <w:r>
              <w:rPr>
                <w:noProof/>
              </w:rPr>
              <w:t>C4.1 R4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B79640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B00402F" w14:textId="77777777" w:rsidR="003A3D51" w:rsidRDefault="0002775A">
            <w:pPr>
              <w:pStyle w:val="P68B1DB1-Normal64"/>
              <w:spacing w:after="0" w:line="240" w:lineRule="auto"/>
              <w:textAlignment w:val="baseline"/>
              <w:rPr>
                <w:noProof/>
              </w:rPr>
            </w:pPr>
            <w:r>
              <w:rPr>
                <w:noProof/>
              </w:rPr>
              <w:t>Minska andelen visstidsanställningar till 17 %</w:t>
            </w:r>
          </w:p>
        </w:tc>
      </w:tr>
      <w:tr w:rsidR="003A3D51" w14:paraId="184FF77E"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7AFBCC" w14:textId="77777777" w:rsidR="003A3D51" w:rsidRDefault="0002775A">
            <w:pPr>
              <w:pStyle w:val="P68B1DB1-Normal64"/>
              <w:spacing w:after="0" w:line="240" w:lineRule="auto"/>
              <w:jc w:val="center"/>
              <w:textAlignment w:val="baseline"/>
              <w:rPr>
                <w:noProof/>
              </w:rPr>
            </w:pPr>
            <w:r>
              <w:rPr>
                <w:noProof/>
              </w:rPr>
              <w:t>301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1D1A93FC" w14:textId="77777777" w:rsidR="003A3D51" w:rsidRDefault="0002775A">
            <w:pPr>
              <w:pStyle w:val="P68B1DB1-Normal64"/>
              <w:spacing w:after="0" w:line="240" w:lineRule="auto"/>
              <w:jc w:val="center"/>
              <w:textAlignment w:val="baseline"/>
              <w:rPr>
                <w:noProof/>
              </w:rPr>
            </w:pPr>
            <w:r>
              <w:rPr>
                <w:noProof/>
              </w:rPr>
              <w:t>C4.2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FABD9FB"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ED624D6" w14:textId="77777777" w:rsidR="003A3D51" w:rsidRDefault="0002775A">
            <w:pPr>
              <w:pStyle w:val="P68B1DB1-Normal64"/>
              <w:spacing w:after="0" w:line="240" w:lineRule="auto"/>
              <w:textAlignment w:val="baseline"/>
              <w:rPr>
                <w:noProof/>
              </w:rPr>
            </w:pPr>
            <w:r>
              <w:rPr>
                <w:noProof/>
              </w:rPr>
              <w:t>Ökning av minimipensionen med 3 %</w:t>
            </w:r>
          </w:p>
        </w:tc>
      </w:tr>
      <w:tr w:rsidR="003A3D51" w14:paraId="203EC40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ED656C4" w14:textId="77777777" w:rsidR="003A3D51" w:rsidRDefault="0002775A">
            <w:pPr>
              <w:pStyle w:val="P68B1DB1-Normal64"/>
              <w:spacing w:after="0" w:line="240" w:lineRule="auto"/>
              <w:jc w:val="center"/>
              <w:textAlignment w:val="baseline"/>
              <w:rPr>
                <w:noProof/>
              </w:rPr>
            </w:pPr>
            <w:r>
              <w:rPr>
                <w:noProof/>
              </w:rPr>
              <w:t>304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FCB8DAC" w14:textId="77777777" w:rsidR="003A3D51" w:rsidRDefault="0002775A">
            <w:pPr>
              <w:pStyle w:val="P68B1DB1-Normal64"/>
              <w:spacing w:after="0" w:line="240" w:lineRule="auto"/>
              <w:jc w:val="center"/>
              <w:textAlignment w:val="baseline"/>
              <w:rPr>
                <w:noProof/>
              </w:rPr>
            </w:pPr>
            <w:r>
              <w:rPr>
                <w:noProof/>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F06CB9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2BE0E7E" w14:textId="77777777" w:rsidR="003A3D51" w:rsidRDefault="0002775A">
            <w:pPr>
              <w:pStyle w:val="FootnoteText"/>
              <w:textAlignment w:val="baseline"/>
              <w:rPr>
                <w:rFonts w:ascii="Times New Roman" w:hAnsi="Times New Roman" w:cs="Times New Roman"/>
                <w:noProof/>
                <w:color w:val="000000"/>
              </w:rPr>
            </w:pPr>
            <w:r>
              <w:rPr>
                <w:rFonts w:ascii="Times New Roman" w:hAnsi="Times New Roman" w:cs="Times New Roman"/>
                <w:noProof/>
                <w:color w:val="000000"/>
              </w:rPr>
              <w:t>Mottagare av garanterad minimiförmån och</w:t>
            </w:r>
            <w:r>
              <w:rPr>
                <w:noProof/>
              </w:rPr>
              <w:t xml:space="preserve"> </w:t>
            </w:r>
            <w:r>
              <w:rPr>
                <w:rFonts w:ascii="Times New Roman" w:hAnsi="Times New Roman" w:cs="Times New Roman"/>
                <w:noProof/>
                <w:color w:val="000000"/>
              </w:rPr>
              <w:t>nationell ersättning till äldre personer</w:t>
            </w:r>
          </w:p>
        </w:tc>
      </w:tr>
      <w:tr w:rsidR="003A3D51" w14:paraId="7EDC0148"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2F3FD1E" w14:textId="77777777" w:rsidR="003A3D51" w:rsidRDefault="0002775A">
            <w:pPr>
              <w:pStyle w:val="P68B1DB1-Normal64"/>
              <w:spacing w:after="0" w:line="240" w:lineRule="auto"/>
              <w:jc w:val="center"/>
              <w:textAlignment w:val="baseline"/>
              <w:rPr>
                <w:noProof/>
              </w:rPr>
            </w:pPr>
            <w:r>
              <w:rPr>
                <w:noProof/>
              </w:rPr>
              <w:t>306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422BF0" w14:textId="77777777" w:rsidR="003A3D51" w:rsidRDefault="0002775A">
            <w:pPr>
              <w:pStyle w:val="P68B1DB1-Normal64"/>
              <w:spacing w:after="0" w:line="240" w:lineRule="auto"/>
              <w:jc w:val="center"/>
              <w:textAlignment w:val="baseline"/>
              <w:rPr>
                <w:noProof/>
              </w:rPr>
            </w:pPr>
            <w:r>
              <w:rPr>
                <w:noProof/>
              </w:rPr>
              <w:t>C4.3 R1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69C46F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45B5516" w14:textId="77777777" w:rsidR="003A3D51" w:rsidRDefault="0002775A">
            <w:pPr>
              <w:pStyle w:val="P68B1DB1-Normal64"/>
              <w:spacing w:after="0" w:line="240" w:lineRule="auto"/>
              <w:textAlignment w:val="baseline"/>
              <w:rPr>
                <w:noProof/>
              </w:rPr>
            </w:pPr>
            <w:r>
              <w:rPr>
                <w:noProof/>
              </w:rPr>
              <w:t xml:space="preserve">Minskning av fattigdomsrisken </w:t>
            </w:r>
          </w:p>
        </w:tc>
      </w:tr>
      <w:tr w:rsidR="003A3D51" w14:paraId="30495D1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92A349F" w14:textId="77777777" w:rsidR="003A3D51" w:rsidRDefault="0002775A">
            <w:pPr>
              <w:pStyle w:val="P68B1DB1-Normal64"/>
              <w:spacing w:after="0" w:line="240" w:lineRule="auto"/>
              <w:jc w:val="center"/>
              <w:textAlignment w:val="baseline"/>
              <w:rPr>
                <w:noProof/>
              </w:rPr>
            </w:pPr>
            <w:r>
              <w:rPr>
                <w:noProof/>
              </w:rPr>
              <w:t>317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318F34" w14:textId="77777777" w:rsidR="003A3D51" w:rsidRDefault="0002775A">
            <w:pPr>
              <w:pStyle w:val="P68B1DB1-Normal64"/>
              <w:spacing w:after="0" w:line="240" w:lineRule="auto"/>
              <w:jc w:val="center"/>
              <w:textAlignment w:val="baseline"/>
              <w:rPr>
                <w:noProof/>
              </w:rPr>
            </w:pPr>
            <w:r>
              <w:rPr>
                <w:noProof/>
              </w:rPr>
              <w:t>C4.3 R3-I4</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F4F96C1"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B57544A" w14:textId="77777777" w:rsidR="003A3D51" w:rsidRDefault="0002775A">
            <w:pPr>
              <w:pStyle w:val="P68B1DB1-Normal64"/>
              <w:spacing w:after="0" w:line="240" w:lineRule="auto"/>
              <w:textAlignment w:val="baseline"/>
              <w:rPr>
                <w:noProof/>
              </w:rPr>
            </w:pPr>
            <w:r>
              <w:rPr>
                <w:noProof/>
              </w:rPr>
              <w:t>Uppförande av centrum för äldreomsorg, hemvård och närvård</w:t>
            </w:r>
          </w:p>
        </w:tc>
      </w:tr>
      <w:tr w:rsidR="003A3D51" w14:paraId="3C016CB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986379F" w14:textId="77777777" w:rsidR="003A3D51" w:rsidRDefault="0002775A">
            <w:pPr>
              <w:pStyle w:val="P68B1DB1-Normal64"/>
              <w:spacing w:after="0" w:line="240" w:lineRule="auto"/>
              <w:jc w:val="center"/>
              <w:textAlignment w:val="baseline"/>
              <w:rPr>
                <w:noProof/>
              </w:rPr>
            </w:pPr>
            <w:r>
              <w:rPr>
                <w:noProof/>
              </w:rPr>
              <w:t>328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D107B91" w14:textId="77777777" w:rsidR="003A3D51" w:rsidRDefault="0002775A">
            <w:pPr>
              <w:pStyle w:val="P68B1DB1-Normal64"/>
              <w:spacing w:after="0" w:line="240" w:lineRule="auto"/>
              <w:jc w:val="center"/>
              <w:textAlignment w:val="baseline"/>
              <w:rPr>
                <w:noProof/>
              </w:rPr>
            </w:pPr>
            <w:r>
              <w:rPr>
                <w:noProof/>
              </w:rPr>
              <w:t>C5.1 R1-I9</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7C615B5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DFA0793" w14:textId="77777777" w:rsidR="003A3D51" w:rsidRDefault="0002775A">
            <w:pPr>
              <w:pStyle w:val="P68B1DB1-Normal64"/>
              <w:spacing w:after="0" w:line="240" w:lineRule="auto"/>
              <w:textAlignment w:val="baseline"/>
              <w:rPr>
                <w:noProof/>
              </w:rPr>
            </w:pPr>
            <w:r>
              <w:rPr>
                <w:noProof/>
              </w:rPr>
              <w:t>Utvecklingsprojekt vid KBC (KBC) Zagreb</w:t>
            </w:r>
          </w:p>
        </w:tc>
      </w:tr>
      <w:tr w:rsidR="003A3D51" w14:paraId="78B443D7"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DB3976C" w14:textId="77777777" w:rsidR="003A3D51" w:rsidRDefault="0002775A">
            <w:pPr>
              <w:pStyle w:val="P68B1DB1-Normal64"/>
              <w:spacing w:after="0" w:line="240" w:lineRule="auto"/>
              <w:jc w:val="center"/>
              <w:textAlignment w:val="baseline"/>
              <w:rPr>
                <w:noProof/>
              </w:rPr>
            </w:pPr>
            <w:r>
              <w:rPr>
                <w:noProof/>
              </w:rPr>
              <w:t>330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DC4CAE7" w14:textId="77777777" w:rsidR="003A3D51" w:rsidRDefault="0002775A">
            <w:pPr>
              <w:pStyle w:val="P68B1DB1-Normal64"/>
              <w:spacing w:after="0" w:line="240" w:lineRule="auto"/>
              <w:jc w:val="center"/>
              <w:textAlignment w:val="baseline"/>
              <w:rPr>
                <w:noProof/>
              </w:rPr>
            </w:pPr>
            <w:r>
              <w:rPr>
                <w:noProof/>
              </w:rPr>
              <w:t>C5.1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1A8AA0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E8FAB87" w14:textId="77777777" w:rsidR="003A3D51" w:rsidRDefault="0002775A">
            <w:pPr>
              <w:pStyle w:val="P68B1DB1-Normal64"/>
              <w:spacing w:after="0" w:line="240" w:lineRule="auto"/>
              <w:textAlignment w:val="baseline"/>
              <w:rPr>
                <w:noProof/>
              </w:rPr>
            </w:pPr>
            <w:r>
              <w:rPr>
                <w:noProof/>
              </w:rPr>
              <w:t>Optimering av tiden för strålbehandling – väntelistor</w:t>
            </w:r>
          </w:p>
        </w:tc>
      </w:tr>
      <w:tr w:rsidR="003A3D51" w14:paraId="5847F081"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369B7B3A" w14:textId="77777777" w:rsidR="003A3D51" w:rsidRDefault="0002775A">
            <w:pPr>
              <w:pStyle w:val="P68B1DB1-Normal64"/>
              <w:spacing w:after="0" w:line="240" w:lineRule="auto"/>
              <w:jc w:val="center"/>
              <w:textAlignment w:val="baseline"/>
              <w:rPr>
                <w:noProof/>
              </w:rPr>
            </w:pPr>
            <w:r>
              <w:rPr>
                <w:noProof/>
              </w:rPr>
              <w:t>334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D33E1C" w14:textId="77777777" w:rsidR="003A3D51" w:rsidRDefault="0002775A">
            <w:pPr>
              <w:pStyle w:val="P68B1DB1-Normal64"/>
              <w:spacing w:after="0" w:line="240" w:lineRule="auto"/>
              <w:jc w:val="center"/>
              <w:textAlignment w:val="baseline"/>
              <w:rPr>
                <w:noProof/>
              </w:rPr>
            </w:pPr>
            <w:r>
              <w:rPr>
                <w:noProof/>
              </w:rPr>
              <w:t>C5.1 R3-I1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4026A1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BAC33B1" w14:textId="77777777" w:rsidR="003A3D51" w:rsidRDefault="0002775A">
            <w:pPr>
              <w:pStyle w:val="P68B1DB1-Normal64"/>
              <w:spacing w:after="0" w:line="240" w:lineRule="auto"/>
              <w:textAlignment w:val="baseline"/>
              <w:rPr>
                <w:noProof/>
              </w:rPr>
            </w:pPr>
            <w:r>
              <w:rPr>
                <w:noProof/>
              </w:rPr>
              <w:t>Specialistläkarutbildning på primär nivå inom hälso- och sjukvård</w:t>
            </w:r>
          </w:p>
        </w:tc>
      </w:tr>
      <w:tr w:rsidR="003A3D51" w14:paraId="7E120CA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AE27195" w14:textId="77777777" w:rsidR="003A3D51" w:rsidRDefault="0002775A">
            <w:pPr>
              <w:pStyle w:val="P68B1DB1-Normal64"/>
              <w:spacing w:after="0" w:line="240" w:lineRule="auto"/>
              <w:jc w:val="center"/>
              <w:textAlignment w:val="baseline"/>
              <w:rPr>
                <w:noProof/>
              </w:rPr>
            </w:pPr>
            <w:r>
              <w:rPr>
                <w:noProof/>
              </w:rPr>
              <w:t>335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C2C5079" w14:textId="77777777" w:rsidR="003A3D51" w:rsidRDefault="0002775A">
            <w:pPr>
              <w:pStyle w:val="P68B1DB1-Normal64"/>
              <w:spacing w:after="0" w:line="240" w:lineRule="auto"/>
              <w:jc w:val="center"/>
              <w:textAlignment w:val="baseline"/>
              <w:rPr>
                <w:noProof/>
              </w:rPr>
            </w:pPr>
            <w:r>
              <w:rPr>
                <w:noProof/>
              </w:rPr>
              <w:t>C5.1 R3-I2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B1808A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410A837" w14:textId="77777777" w:rsidR="003A3D51" w:rsidRDefault="0002775A">
            <w:pPr>
              <w:pStyle w:val="P68B1DB1-Normal64"/>
              <w:spacing w:after="0" w:line="240" w:lineRule="auto"/>
              <w:textAlignment w:val="baseline"/>
              <w:rPr>
                <w:noProof/>
              </w:rPr>
            </w:pPr>
            <w:r>
              <w:rPr>
                <w:noProof/>
              </w:rPr>
              <w:t>Kandidatexamen i specialistsjuksköterskeutbildning i akutmedicin</w:t>
            </w:r>
          </w:p>
        </w:tc>
      </w:tr>
      <w:tr w:rsidR="003A3D51" w14:paraId="76935AC6"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57BAE12" w14:textId="77777777" w:rsidR="003A3D51" w:rsidRDefault="0002775A">
            <w:pPr>
              <w:pStyle w:val="P68B1DB1-Normal64"/>
              <w:spacing w:after="0" w:line="240" w:lineRule="auto"/>
              <w:jc w:val="center"/>
              <w:textAlignment w:val="baseline"/>
              <w:rPr>
                <w:noProof/>
              </w:rPr>
            </w:pPr>
            <w:r>
              <w:rPr>
                <w:noProof/>
              </w:rPr>
              <w:t>341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4D1AEE6" w14:textId="77777777" w:rsidR="003A3D51" w:rsidRDefault="0002775A">
            <w:pPr>
              <w:pStyle w:val="P68B1DB1-Normal64"/>
              <w:spacing w:after="0" w:line="240" w:lineRule="auto"/>
              <w:jc w:val="center"/>
              <w:textAlignment w:val="baseline"/>
              <w:rPr>
                <w:noProof/>
              </w:rPr>
            </w:pPr>
            <w:r>
              <w:rPr>
                <w:noProof/>
              </w:rPr>
              <w:t>C5.1 R4-I3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3B2F768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6E33C77" w14:textId="77777777" w:rsidR="003A3D51" w:rsidRDefault="0002775A">
            <w:pPr>
              <w:pStyle w:val="P68B1DB1-Normal64"/>
              <w:spacing w:after="0" w:line="240" w:lineRule="auto"/>
              <w:textAlignment w:val="baseline"/>
              <w:rPr>
                <w:noProof/>
              </w:rPr>
            </w:pPr>
            <w:r>
              <w:rPr>
                <w:noProof/>
              </w:rPr>
              <w:t>Övervakning av läkemedlet i sjukhussystemet från apoteket till patienten</w:t>
            </w:r>
          </w:p>
        </w:tc>
      </w:tr>
      <w:tr w:rsidR="003A3D51" w14:paraId="49A3C832"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E0E4AF4" w14:textId="77777777" w:rsidR="003A3D51" w:rsidRDefault="0002775A">
            <w:pPr>
              <w:pStyle w:val="P68B1DB1-Normal64"/>
              <w:spacing w:after="0" w:line="240" w:lineRule="auto"/>
              <w:jc w:val="center"/>
              <w:textAlignment w:val="baseline"/>
              <w:rPr>
                <w:noProof/>
              </w:rPr>
            </w:pPr>
            <w:r>
              <w:rPr>
                <w:noProof/>
              </w:rPr>
              <w:t>354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55E3134" w14:textId="77777777" w:rsidR="003A3D51" w:rsidRDefault="0002775A">
            <w:pPr>
              <w:pStyle w:val="P68B1DB1-Normal64"/>
              <w:spacing w:after="0" w:line="240" w:lineRule="auto"/>
              <w:jc w:val="center"/>
              <w:textAlignment w:val="baseline"/>
              <w:rPr>
                <w:noProof/>
              </w:rPr>
            </w:pPr>
            <w:r>
              <w:rPr>
                <w:noProof/>
              </w:rPr>
              <w:t>C6.1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9928B6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5FBD840" w14:textId="77777777" w:rsidR="003A3D51" w:rsidRDefault="0002775A">
            <w:pPr>
              <w:pStyle w:val="P68B1DB1-Normal64"/>
              <w:spacing w:after="0" w:line="240" w:lineRule="auto"/>
              <w:textAlignment w:val="baseline"/>
              <w:rPr>
                <w:noProof/>
              </w:rPr>
            </w:pPr>
            <w:r>
              <w:rPr>
                <w:noProof/>
              </w:rPr>
              <w:t>Energirenovering av flerbostadshus</w:t>
            </w:r>
          </w:p>
        </w:tc>
      </w:tr>
      <w:tr w:rsidR="003A3D51" w14:paraId="068FC73F"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B4401CE" w14:textId="77777777" w:rsidR="003A3D51" w:rsidRDefault="0002775A">
            <w:pPr>
              <w:pStyle w:val="P68B1DB1-Normal64"/>
              <w:spacing w:after="0" w:line="240" w:lineRule="auto"/>
              <w:jc w:val="center"/>
              <w:textAlignment w:val="baseline"/>
              <w:rPr>
                <w:noProof/>
              </w:rPr>
            </w:pPr>
            <w:r>
              <w:rPr>
                <w:noProof/>
              </w:rPr>
              <w:t>355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6B05F4EE" w14:textId="77777777" w:rsidR="003A3D51" w:rsidRDefault="0002775A">
            <w:pPr>
              <w:pStyle w:val="P68B1DB1-Normal64"/>
              <w:spacing w:after="0" w:line="240" w:lineRule="auto"/>
              <w:jc w:val="center"/>
              <w:textAlignment w:val="baseline"/>
              <w:rPr>
                <w:noProof/>
              </w:rPr>
            </w:pPr>
            <w:r>
              <w:rPr>
                <w:noProof/>
              </w:rPr>
              <w:t>C6.1 R1-I1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E92380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2A7C8890" w14:textId="77777777" w:rsidR="003A3D51" w:rsidRDefault="0002775A">
            <w:pPr>
              <w:pStyle w:val="P68B1DB1-Normal64"/>
              <w:spacing w:after="0" w:line="240" w:lineRule="auto"/>
              <w:textAlignment w:val="baseline"/>
              <w:rPr>
                <w:noProof/>
              </w:rPr>
            </w:pPr>
            <w:r>
              <w:rPr>
                <w:noProof/>
              </w:rPr>
              <w:t>Energirenovering av offentliga byggnader</w:t>
            </w:r>
          </w:p>
        </w:tc>
      </w:tr>
      <w:tr w:rsidR="003A3D51" w14:paraId="3FD0B899"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4DB6193" w14:textId="77777777" w:rsidR="003A3D51" w:rsidRDefault="0002775A">
            <w:pPr>
              <w:pStyle w:val="P68B1DB1-Normal64"/>
              <w:spacing w:after="0" w:line="240" w:lineRule="auto"/>
              <w:jc w:val="center"/>
              <w:textAlignment w:val="baseline"/>
              <w:rPr>
                <w:noProof/>
              </w:rPr>
            </w:pPr>
            <w:r>
              <w:rPr>
                <w:noProof/>
              </w:rPr>
              <w:t>358</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F3B2C40" w14:textId="77777777" w:rsidR="003A3D51" w:rsidRDefault="0002775A">
            <w:pPr>
              <w:pStyle w:val="P68B1DB1-Normal64"/>
              <w:spacing w:after="0" w:line="240" w:lineRule="auto"/>
              <w:jc w:val="center"/>
              <w:textAlignment w:val="baseline"/>
              <w:rPr>
                <w:noProof/>
              </w:rPr>
            </w:pPr>
            <w:r>
              <w:rPr>
                <w:noProof/>
              </w:rPr>
              <w:t>C6.1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C1D8A04"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4446B2F" w14:textId="77777777" w:rsidR="003A3D51" w:rsidRDefault="0002775A">
            <w:pPr>
              <w:pStyle w:val="P68B1DB1-Normal64"/>
              <w:spacing w:after="0" w:line="240" w:lineRule="auto"/>
              <w:textAlignment w:val="baseline"/>
              <w:rPr>
                <w:noProof/>
              </w:rPr>
            </w:pPr>
            <w:r>
              <w:rPr>
                <w:noProof/>
              </w:rPr>
              <w:t>Energirenovering av byggnader med status som kulturföremål</w:t>
            </w:r>
          </w:p>
        </w:tc>
      </w:tr>
      <w:tr w:rsidR="003A3D51" w14:paraId="203BB5C4"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546AD35" w14:textId="77777777" w:rsidR="003A3D51" w:rsidRDefault="0002775A">
            <w:pPr>
              <w:pStyle w:val="P68B1DB1-Normal64"/>
              <w:spacing w:after="0" w:line="240" w:lineRule="auto"/>
              <w:jc w:val="center"/>
              <w:textAlignment w:val="baseline"/>
              <w:rPr>
                <w:noProof/>
              </w:rPr>
            </w:pPr>
            <w:r>
              <w:rPr>
                <w:noProof/>
              </w:rPr>
              <w:t>360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36FAC1C" w14:textId="77777777" w:rsidR="003A3D51" w:rsidRDefault="0002775A">
            <w:pPr>
              <w:pStyle w:val="P68B1DB1-Normal64"/>
              <w:spacing w:after="0" w:line="240" w:lineRule="auto"/>
              <w:jc w:val="center"/>
              <w:textAlignment w:val="baseline"/>
              <w:rPr>
                <w:noProof/>
              </w:rPr>
            </w:pPr>
            <w:r>
              <w:rPr>
                <w:noProof/>
              </w:rPr>
              <w:t>C6.1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E2A908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31F85E05" w14:textId="77777777" w:rsidR="003A3D51" w:rsidRDefault="0002775A">
            <w:pPr>
              <w:pStyle w:val="P68B1DB1-Normal64"/>
              <w:spacing w:after="0" w:line="240" w:lineRule="auto"/>
              <w:textAlignment w:val="baseline"/>
              <w:rPr>
                <w:noProof/>
              </w:rPr>
            </w:pPr>
            <w:r>
              <w:rPr>
                <w:noProof/>
              </w:rPr>
              <w:t>Slutförd utbildning och vuxenutbildning för återuppbyggnad efter jordbävningen och energirenovering</w:t>
            </w:r>
          </w:p>
        </w:tc>
      </w:tr>
      <w:tr w:rsidR="003A3D51" w14:paraId="2CE143E3"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DB8F2C7" w14:textId="77777777" w:rsidR="003A3D51" w:rsidRDefault="0002775A">
            <w:pPr>
              <w:pStyle w:val="P68B1DB1-Normal64"/>
              <w:spacing w:after="0" w:line="240" w:lineRule="auto"/>
              <w:jc w:val="center"/>
              <w:textAlignment w:val="baseline"/>
              <w:rPr>
                <w:noProof/>
              </w:rPr>
            </w:pPr>
            <w:r>
              <w:rPr>
                <w:noProof/>
              </w:rPr>
              <w:t>364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467637" w14:textId="77777777" w:rsidR="003A3D51" w:rsidRDefault="0002775A">
            <w:pPr>
              <w:pStyle w:val="P68B1DB1-Normal64"/>
              <w:spacing w:after="0" w:line="240" w:lineRule="auto"/>
              <w:jc w:val="center"/>
              <w:textAlignment w:val="baseline"/>
              <w:rPr>
                <w:noProof/>
              </w:rPr>
            </w:pPr>
            <w:r>
              <w:rPr>
                <w:noProof/>
              </w:rPr>
              <w:t>C6.1 R3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4931DF1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9495226" w14:textId="77777777" w:rsidR="003A3D51" w:rsidRDefault="0002775A">
            <w:pPr>
              <w:pStyle w:val="P68B1DB1-Normal64"/>
              <w:spacing w:after="0" w:line="240" w:lineRule="auto"/>
              <w:textAlignment w:val="baseline"/>
              <w:rPr>
                <w:noProof/>
              </w:rPr>
            </w:pPr>
            <w:r>
              <w:rPr>
                <w:noProof/>
              </w:rPr>
              <w:t>Slutförd utbildning för offentliganställda för att tillhandahålla tjänster med en enda kontaktpunkt för energieffektivitet och återuppbyggnad efter jordbävningen.</w:t>
            </w:r>
          </w:p>
        </w:tc>
      </w:tr>
      <w:tr w:rsidR="003A3D51" w14:paraId="795A59CD"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8F62B43" w14:textId="77777777" w:rsidR="003A3D51" w:rsidRDefault="0002775A">
            <w:pPr>
              <w:pStyle w:val="P68B1DB1-Normal64"/>
              <w:spacing w:after="0" w:line="240" w:lineRule="auto"/>
              <w:jc w:val="center"/>
              <w:textAlignment w:val="baseline"/>
              <w:rPr>
                <w:noProof/>
              </w:rPr>
            </w:pPr>
            <w:r>
              <w:rPr>
                <w:noProof/>
              </w:rPr>
              <w:t>367</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6E69456" w14:textId="77777777" w:rsidR="003A3D51" w:rsidRDefault="0002775A">
            <w:pPr>
              <w:pStyle w:val="P68B1DB1-Normal64"/>
              <w:spacing w:after="0" w:line="240" w:lineRule="auto"/>
              <w:jc w:val="center"/>
              <w:textAlignment w:val="baseline"/>
              <w:rPr>
                <w:noProof/>
              </w:rPr>
            </w:pPr>
            <w:r>
              <w:rPr>
                <w:noProof/>
              </w:rPr>
              <w:t>C6.1 R4-I1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6D58FC5"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9F93B07" w14:textId="77777777" w:rsidR="003A3D51" w:rsidRDefault="0002775A">
            <w:pPr>
              <w:pStyle w:val="P68B1DB1-Normal64"/>
              <w:spacing w:after="0" w:line="240" w:lineRule="auto"/>
              <w:textAlignment w:val="baseline"/>
              <w:rPr>
                <w:noProof/>
              </w:rPr>
            </w:pPr>
            <w:r>
              <w:rPr>
                <w:noProof/>
              </w:rPr>
              <w:t>Anställning och utbildning av experter på Seismologisk undersökning</w:t>
            </w:r>
          </w:p>
        </w:tc>
      </w:tr>
      <w:tr w:rsidR="003A3D51" w14:paraId="2A2AB46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A33FAA5" w14:textId="77777777" w:rsidR="003A3D51" w:rsidRDefault="0002775A">
            <w:pPr>
              <w:pStyle w:val="P68B1DB1-Normal64"/>
              <w:spacing w:after="0" w:line="240" w:lineRule="auto"/>
              <w:jc w:val="center"/>
              <w:textAlignment w:val="baseline"/>
              <w:rPr>
                <w:noProof/>
              </w:rPr>
            </w:pPr>
            <w:r>
              <w:rPr>
                <w:noProof/>
              </w:rPr>
              <w:t>370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7235871" w14:textId="77777777" w:rsidR="003A3D51" w:rsidRDefault="0002775A">
            <w:pPr>
              <w:pStyle w:val="P68B1DB1-Normal64"/>
              <w:spacing w:after="0" w:line="240" w:lineRule="auto"/>
              <w:jc w:val="center"/>
              <w:textAlignment w:val="baseline"/>
              <w:rPr>
                <w:noProof/>
              </w:rPr>
            </w:pPr>
            <w:r>
              <w:rPr>
                <w:noProof/>
              </w:rPr>
              <w:t>C6.1 R5</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204D25A"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E067E5F" w14:textId="77777777" w:rsidR="003A3D51" w:rsidRDefault="0002775A">
            <w:pPr>
              <w:pStyle w:val="P68B1DB1-Normal64"/>
              <w:spacing w:after="0" w:line="240" w:lineRule="auto"/>
              <w:textAlignment w:val="baseline"/>
              <w:rPr>
                <w:noProof/>
              </w:rPr>
            </w:pPr>
            <w:r>
              <w:rPr>
                <w:noProof/>
              </w:rPr>
              <w:t>Genomförandet av ett pilotprojekt som identifierats genom strategier för grön stadsförnyelse och som är kopplat till de nationella programmen för grön infrastruktur och cirkulär förvaltning av utrymmen och byggnader.</w:t>
            </w:r>
          </w:p>
        </w:tc>
      </w:tr>
      <w:tr w:rsidR="003A3D51" w14:paraId="3601057A"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358364D" w14:textId="786A8A09" w:rsidR="003A3D51" w:rsidRDefault="0002775A">
            <w:pPr>
              <w:pStyle w:val="P68B1DB1-Normal64"/>
              <w:spacing w:after="0" w:line="240" w:lineRule="auto"/>
              <w:jc w:val="center"/>
              <w:textAlignment w:val="baseline"/>
              <w:rPr>
                <w:noProof/>
              </w:rPr>
            </w:pPr>
            <w:r>
              <w:rPr>
                <w:noProof/>
              </w:rPr>
              <w:t>381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A28021D" w14:textId="77777777" w:rsidR="003A3D51" w:rsidRDefault="0002775A">
            <w:pPr>
              <w:pStyle w:val="P68B1DB1-Normal64"/>
              <w:spacing w:after="0" w:line="240" w:lineRule="auto"/>
              <w:jc w:val="center"/>
              <w:textAlignment w:val="baseline"/>
              <w:rPr>
                <w:noProof/>
              </w:rPr>
            </w:pPr>
            <w:r>
              <w:rPr>
                <w:noProof/>
              </w:rPr>
              <w:t>C1.3 R2-I1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5BE5D9B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1BDE30C0" w14:textId="77777777" w:rsidR="003A3D51" w:rsidRDefault="0002775A">
            <w:pPr>
              <w:pStyle w:val="P68B1DB1-Normal64"/>
              <w:spacing w:after="0" w:line="240" w:lineRule="auto"/>
              <w:textAlignment w:val="baseline"/>
              <w:rPr>
                <w:noProof/>
              </w:rPr>
            </w:pPr>
            <w:r>
              <w:rPr>
                <w:noProof/>
              </w:rPr>
              <w:t xml:space="preserve">Uppförande av stationer för transport av avfall  </w:t>
            </w:r>
          </w:p>
        </w:tc>
      </w:tr>
      <w:tr w:rsidR="003A3D51" w14:paraId="6581DF4C"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03BD6FC" w14:textId="0C9E096D" w:rsidR="003A3D51" w:rsidRDefault="0002775A">
            <w:pPr>
              <w:pStyle w:val="P68B1DB1-Normal64"/>
              <w:spacing w:after="0" w:line="240" w:lineRule="auto"/>
              <w:jc w:val="center"/>
              <w:textAlignment w:val="baseline"/>
              <w:rPr>
                <w:noProof/>
              </w:rPr>
            </w:pPr>
            <w:r>
              <w:rPr>
                <w:noProof/>
              </w:rPr>
              <w:t>396</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2B36E31" w14:textId="77777777" w:rsidR="003A3D51" w:rsidRDefault="0002775A">
            <w:pPr>
              <w:pStyle w:val="P68B1DB1-Normal64"/>
              <w:spacing w:after="0" w:line="240" w:lineRule="auto"/>
              <w:jc w:val="center"/>
              <w:textAlignment w:val="baseline"/>
              <w:rPr>
                <w:noProof/>
              </w:rPr>
            </w:pPr>
            <w:r>
              <w:rPr>
                <w:noProof/>
              </w:rPr>
              <w:t>C3.1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897362C"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0C06373D" w14:textId="77777777" w:rsidR="003A3D51" w:rsidRDefault="0002775A">
            <w:pPr>
              <w:pStyle w:val="P68B1DB1-Normal64"/>
              <w:spacing w:after="0" w:line="240" w:lineRule="auto"/>
              <w:textAlignment w:val="baseline"/>
              <w:rPr>
                <w:noProof/>
              </w:rPr>
            </w:pPr>
            <w:r>
              <w:rPr>
                <w:noProof/>
              </w:rPr>
              <w:t>Antal klassrum för sekundärutbildning som renoverats eller byggts</w:t>
            </w:r>
          </w:p>
        </w:tc>
      </w:tr>
      <w:tr w:rsidR="003A3D51" w14:paraId="2406E445"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2605308" w14:textId="689099CB" w:rsidR="003A3D51" w:rsidRDefault="0002775A">
            <w:pPr>
              <w:pStyle w:val="P68B1DB1-Normal64"/>
              <w:spacing w:after="0" w:line="240" w:lineRule="auto"/>
              <w:jc w:val="center"/>
              <w:textAlignment w:val="baseline"/>
              <w:rPr>
                <w:noProof/>
              </w:rPr>
            </w:pPr>
            <w:r>
              <w:rPr>
                <w:noProof/>
              </w:rPr>
              <w:t>401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BFFA30E" w14:textId="16860815" w:rsidR="003A3D51" w:rsidRDefault="0002775A">
            <w:pPr>
              <w:pStyle w:val="P68B1DB1-Normal64"/>
              <w:spacing w:after="0" w:line="276" w:lineRule="auto"/>
              <w:jc w:val="center"/>
              <w:rPr>
                <w:noProof/>
              </w:rPr>
            </w:pPr>
            <w:r>
              <w:rPr>
                <w:noProof/>
              </w:rPr>
              <w:t xml:space="preserve">C6.1 R2 </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91F0823" w14:textId="77777777" w:rsidR="003A3D51" w:rsidRDefault="0002775A">
            <w:pPr>
              <w:pStyle w:val="P68B1DB1-Normal64"/>
              <w:spacing w:after="0" w:line="240" w:lineRule="auto"/>
              <w:jc w:val="center"/>
              <w:textAlignment w:val="baseline"/>
              <w:rPr>
                <w:noProof/>
              </w:rPr>
            </w:pPr>
            <w:r>
              <w:rPr>
                <w:noProof/>
              </w:rPr>
              <w:t>M</w:t>
            </w:r>
          </w:p>
        </w:tc>
        <w:tc>
          <w:tcPr>
            <w:tcW w:w="5347" w:type="dxa"/>
            <w:tcBorders>
              <w:top w:val="single" w:sz="6" w:space="0" w:color="auto"/>
              <w:left w:val="nil"/>
              <w:bottom w:val="single" w:sz="6" w:space="0" w:color="auto"/>
              <w:right w:val="single" w:sz="6" w:space="0" w:color="auto"/>
            </w:tcBorders>
            <w:shd w:val="clear" w:color="auto" w:fill="C6EFCE"/>
          </w:tcPr>
          <w:p w14:paraId="0687D519" w14:textId="29BA2D13" w:rsidR="003A3D51" w:rsidRDefault="0002775A">
            <w:pPr>
              <w:pStyle w:val="P68B1DB1-Normal64"/>
              <w:spacing w:after="0" w:line="276" w:lineRule="auto"/>
              <w:rPr>
                <w:noProof/>
              </w:rPr>
            </w:pPr>
            <w:r>
              <w:rPr>
                <w:noProof/>
              </w:rPr>
              <w:t>Deltagande i det nya masterprogram som erbjuds</w:t>
            </w:r>
          </w:p>
        </w:tc>
      </w:tr>
      <w:tr w:rsidR="003A3D51" w14:paraId="6B11C729"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48E464E9" w14:textId="35562F4C" w:rsidR="003A3D51" w:rsidRDefault="0002775A">
            <w:pPr>
              <w:pStyle w:val="P68B1DB1-Normal64"/>
              <w:spacing w:after="0" w:line="240" w:lineRule="auto"/>
              <w:jc w:val="center"/>
              <w:textAlignment w:val="baseline"/>
              <w:rPr>
                <w:noProof/>
              </w:rPr>
            </w:pPr>
            <w:r>
              <w:rPr>
                <w:noProof/>
              </w:rPr>
              <w:t>409</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D001316" w14:textId="401CB56D" w:rsidR="003A3D51" w:rsidRDefault="0002775A">
            <w:pPr>
              <w:pStyle w:val="P68B1DB1-Normal64"/>
              <w:spacing w:after="200" w:line="276" w:lineRule="auto"/>
              <w:jc w:val="center"/>
              <w:rPr>
                <w:noProof/>
              </w:rPr>
            </w:pPr>
            <w:r>
              <w:rPr>
                <w:noProof/>
              </w:rPr>
              <w:t>C7.1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06E9280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39B18A42" w14:textId="77777777" w:rsidR="003A3D51" w:rsidRDefault="0002775A">
            <w:pPr>
              <w:pStyle w:val="P68B1DB1-Normal64"/>
              <w:spacing w:after="0" w:line="276" w:lineRule="auto"/>
              <w:rPr>
                <w:noProof/>
              </w:rPr>
            </w:pPr>
            <w:r>
              <w:rPr>
                <w:noProof/>
              </w:rPr>
              <w:t>Samfinansiering av projekt för förnybar vätgas inom ramen för den norra adriatiska vätgasdalen</w:t>
            </w:r>
          </w:p>
        </w:tc>
      </w:tr>
      <w:tr w:rsidR="003A3D51" w14:paraId="4633F98D"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24127126" w14:textId="02CD8B03" w:rsidR="003A3D51" w:rsidRDefault="0002775A">
            <w:pPr>
              <w:pStyle w:val="P68B1DB1-Normal64"/>
              <w:spacing w:after="0" w:line="240" w:lineRule="auto"/>
              <w:jc w:val="center"/>
              <w:textAlignment w:val="baseline"/>
              <w:rPr>
                <w:noProof/>
              </w:rPr>
            </w:pPr>
            <w:r>
              <w:rPr>
                <w:noProof/>
              </w:rPr>
              <w:t>410</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728B7F04" w14:textId="00146248" w:rsidR="003A3D51" w:rsidRDefault="0002775A">
            <w:pPr>
              <w:pStyle w:val="P68B1DB1-Normal64"/>
              <w:spacing w:after="0" w:line="276" w:lineRule="auto"/>
              <w:jc w:val="center"/>
              <w:rPr>
                <w:noProof/>
              </w:rPr>
            </w:pPr>
            <w:r>
              <w:rPr>
                <w:noProof/>
              </w:rPr>
              <w:t>C7.1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C94AFD7"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1F2AC0D2" w14:textId="77777777" w:rsidR="003A3D51" w:rsidRDefault="0002775A">
            <w:pPr>
              <w:pStyle w:val="P68B1DB1-Normal64"/>
              <w:spacing w:after="0" w:line="276" w:lineRule="auto"/>
              <w:rPr>
                <w:noProof/>
              </w:rPr>
            </w:pPr>
            <w:r>
              <w:rPr>
                <w:noProof/>
              </w:rPr>
              <w:t>Eftermontering av diesellok på vätgas</w:t>
            </w:r>
          </w:p>
        </w:tc>
      </w:tr>
      <w:tr w:rsidR="003A3D51" w14:paraId="0949403F"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2F97814" w14:textId="4CACF945" w:rsidR="003A3D51" w:rsidRDefault="0002775A">
            <w:pPr>
              <w:pStyle w:val="P68B1DB1-Normal64"/>
              <w:spacing w:after="0" w:line="240" w:lineRule="auto"/>
              <w:jc w:val="center"/>
              <w:textAlignment w:val="baseline"/>
              <w:rPr>
                <w:noProof/>
              </w:rPr>
            </w:pPr>
            <w:r>
              <w:rPr>
                <w:noProof/>
              </w:rPr>
              <w:t>411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478079A5" w14:textId="2FE4DECF" w:rsidR="003A3D51" w:rsidRDefault="0002775A">
            <w:pPr>
              <w:pStyle w:val="P68B1DB1-Normal64"/>
              <w:spacing w:after="0" w:line="276" w:lineRule="auto"/>
              <w:jc w:val="center"/>
              <w:rPr>
                <w:noProof/>
              </w:rPr>
            </w:pPr>
            <w:r>
              <w:rPr>
                <w:noProof/>
              </w:rPr>
              <w:t>C7.1 R1-I2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26C79BB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52AE719C" w14:textId="77777777" w:rsidR="003A3D51" w:rsidRDefault="0002775A">
            <w:pPr>
              <w:pStyle w:val="P68B1DB1-Normal64"/>
              <w:spacing w:after="0" w:line="276" w:lineRule="auto"/>
              <w:rPr>
                <w:noProof/>
              </w:rPr>
            </w:pPr>
            <w:r>
              <w:rPr>
                <w:noProof/>
              </w:rPr>
              <w:t>Laddningsstationer för vätgas</w:t>
            </w:r>
          </w:p>
        </w:tc>
      </w:tr>
      <w:tr w:rsidR="003A3D51" w14:paraId="3602035C"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5A326ACE" w14:textId="37D9FE06" w:rsidR="003A3D51" w:rsidRDefault="0002775A">
            <w:pPr>
              <w:pStyle w:val="P68B1DB1-Normal64"/>
              <w:spacing w:after="0" w:line="240" w:lineRule="auto"/>
              <w:jc w:val="center"/>
              <w:textAlignment w:val="baseline"/>
              <w:rPr>
                <w:noProof/>
              </w:rPr>
            </w:pPr>
            <w:r>
              <w:rPr>
                <w:noProof/>
              </w:rPr>
              <w:t>413</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5B384A55" w14:textId="2D20E7F5" w:rsidR="003A3D51" w:rsidRDefault="0002775A">
            <w:pPr>
              <w:pStyle w:val="P68B1DB1-Normal64"/>
              <w:spacing w:after="0" w:line="276" w:lineRule="auto"/>
              <w:jc w:val="center"/>
              <w:rPr>
                <w:noProof/>
              </w:rPr>
            </w:pPr>
            <w:r>
              <w:rPr>
                <w:noProof/>
              </w:rPr>
              <w:t>C7.1 R1-I3</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988957E"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27DBCADB" w14:textId="77777777" w:rsidR="003A3D51" w:rsidRDefault="0002775A">
            <w:pPr>
              <w:pStyle w:val="P68B1DB1-Normal64"/>
              <w:spacing w:after="0" w:line="276" w:lineRule="auto"/>
              <w:rPr>
                <w:noProof/>
              </w:rPr>
            </w:pPr>
            <w:r>
              <w:rPr>
                <w:noProof/>
              </w:rPr>
              <w:t>Geotermiska borrningsarbeten som utförs</w:t>
            </w:r>
          </w:p>
        </w:tc>
      </w:tr>
      <w:tr w:rsidR="003A3D51" w14:paraId="7AE63EF8"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0647A50F" w14:textId="1BE6C5D7" w:rsidR="003A3D51" w:rsidRDefault="0002775A">
            <w:pPr>
              <w:pStyle w:val="P68B1DB1-Normal64"/>
              <w:spacing w:after="0" w:line="240" w:lineRule="auto"/>
              <w:jc w:val="center"/>
              <w:textAlignment w:val="baseline"/>
              <w:rPr>
                <w:noProof/>
              </w:rPr>
            </w:pPr>
            <w:r>
              <w:rPr>
                <w:noProof/>
              </w:rPr>
              <w:t>414</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0593F29D" w14:textId="5420B186" w:rsidR="003A3D51" w:rsidRDefault="0002775A">
            <w:pPr>
              <w:pStyle w:val="P68B1DB1-Normal64"/>
              <w:spacing w:after="0" w:line="276" w:lineRule="auto"/>
              <w:jc w:val="center"/>
              <w:rPr>
                <w:noProof/>
              </w:rPr>
            </w:pPr>
            <w:r>
              <w:rPr>
                <w:noProof/>
              </w:rPr>
              <w:t>C7.1 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17CF336D"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02F48D88" w14:textId="77777777" w:rsidR="003A3D51" w:rsidRDefault="0002775A">
            <w:pPr>
              <w:pStyle w:val="P68B1DB1-Normal64"/>
              <w:spacing w:after="0" w:line="276" w:lineRule="auto"/>
              <w:rPr>
                <w:noProof/>
              </w:rPr>
            </w:pPr>
            <w:r>
              <w:rPr>
                <w:noProof/>
              </w:rPr>
              <w:t xml:space="preserve">103 alternativbränsledrivna bussar (el- och vätgasdrivna) upphandlas och tas i bruk </w:t>
            </w:r>
          </w:p>
        </w:tc>
      </w:tr>
      <w:tr w:rsidR="003A3D51" w14:paraId="32AC9CFE" w14:textId="77777777">
        <w:trPr>
          <w:trHeight w:val="265"/>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6E0AA282" w14:textId="29515A58" w:rsidR="003A3D51" w:rsidRDefault="0002775A">
            <w:pPr>
              <w:pStyle w:val="P68B1DB1-Normal64"/>
              <w:spacing w:after="0" w:line="240" w:lineRule="auto"/>
              <w:jc w:val="center"/>
              <w:textAlignment w:val="baseline"/>
              <w:rPr>
                <w:noProof/>
              </w:rPr>
            </w:pPr>
            <w:r>
              <w:rPr>
                <w:noProof/>
              </w:rPr>
              <w:t>415</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29095415" w14:textId="1555EEE1" w:rsidR="003A3D51" w:rsidRDefault="0002775A">
            <w:pPr>
              <w:pStyle w:val="P68B1DB1-Normal64"/>
              <w:spacing w:after="0" w:line="276" w:lineRule="auto"/>
              <w:jc w:val="center"/>
              <w:rPr>
                <w:noProof/>
              </w:rPr>
            </w:pPr>
            <w:r>
              <w:rPr>
                <w:noProof/>
              </w:rPr>
              <w:t>C7.1 I1</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5EB7109"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145C4415" w14:textId="77777777" w:rsidR="003A3D51" w:rsidRDefault="0002775A">
            <w:pPr>
              <w:pStyle w:val="P68B1DB1-Normal64"/>
              <w:spacing w:after="0" w:line="276" w:lineRule="auto"/>
              <w:rPr>
                <w:noProof/>
              </w:rPr>
            </w:pPr>
            <w:r>
              <w:rPr>
                <w:noProof/>
              </w:rPr>
              <w:t>En vätgasenergienhet för drift av elektriska lok i en separat vagn (HERMES)</w:t>
            </w:r>
          </w:p>
        </w:tc>
      </w:tr>
      <w:tr w:rsidR="003A3D51" w14:paraId="434DC41F" w14:textId="77777777">
        <w:trPr>
          <w:trHeight w:val="1172"/>
        </w:trPr>
        <w:tc>
          <w:tcPr>
            <w:tcW w:w="1096" w:type="dxa"/>
            <w:tcBorders>
              <w:top w:val="single" w:sz="6" w:space="0" w:color="auto"/>
              <w:left w:val="single" w:sz="6" w:space="0" w:color="auto"/>
              <w:bottom w:val="single" w:sz="6" w:space="0" w:color="auto"/>
              <w:right w:val="single" w:sz="6" w:space="0" w:color="auto"/>
            </w:tcBorders>
            <w:shd w:val="clear" w:color="auto" w:fill="C6EFCE"/>
            <w:vAlign w:val="center"/>
          </w:tcPr>
          <w:p w14:paraId="118BC080" w14:textId="4AB7F39C" w:rsidR="003A3D51" w:rsidRDefault="0002775A">
            <w:pPr>
              <w:pStyle w:val="P68B1DB1-Normal64"/>
              <w:spacing w:after="0" w:line="240" w:lineRule="auto"/>
              <w:jc w:val="center"/>
              <w:textAlignment w:val="baseline"/>
              <w:rPr>
                <w:noProof/>
              </w:rPr>
            </w:pPr>
            <w:r>
              <w:rPr>
                <w:noProof/>
              </w:rPr>
              <w:t>431</w:t>
            </w:r>
          </w:p>
        </w:tc>
        <w:tc>
          <w:tcPr>
            <w:tcW w:w="1639" w:type="dxa"/>
            <w:tcBorders>
              <w:top w:val="single" w:sz="6" w:space="0" w:color="auto"/>
              <w:left w:val="nil"/>
              <w:bottom w:val="single" w:sz="6" w:space="0" w:color="auto"/>
              <w:right w:val="single" w:sz="6" w:space="0" w:color="auto"/>
            </w:tcBorders>
            <w:shd w:val="clear" w:color="auto" w:fill="C6EFCE"/>
            <w:vAlign w:val="center"/>
          </w:tcPr>
          <w:p w14:paraId="3964B336" w14:textId="546D9F91" w:rsidR="003A3D51" w:rsidRDefault="0002775A">
            <w:pPr>
              <w:pStyle w:val="P68B1DB1-Normal64"/>
              <w:spacing w:after="0" w:line="276" w:lineRule="auto"/>
              <w:jc w:val="center"/>
              <w:rPr>
                <w:noProof/>
              </w:rPr>
            </w:pPr>
            <w:r>
              <w:rPr>
                <w:noProof/>
              </w:rPr>
              <w:t>C7.2 R2</w:t>
            </w:r>
          </w:p>
        </w:tc>
        <w:tc>
          <w:tcPr>
            <w:tcW w:w="1274" w:type="dxa"/>
            <w:tcBorders>
              <w:top w:val="single" w:sz="6" w:space="0" w:color="auto"/>
              <w:left w:val="nil"/>
              <w:bottom w:val="single" w:sz="6" w:space="0" w:color="auto"/>
              <w:right w:val="single" w:sz="6" w:space="0" w:color="auto"/>
            </w:tcBorders>
            <w:shd w:val="clear" w:color="auto" w:fill="C6EFCE"/>
            <w:vAlign w:val="center"/>
          </w:tcPr>
          <w:p w14:paraId="673BE7BF" w14:textId="77777777" w:rsidR="003A3D51" w:rsidRDefault="0002775A">
            <w:pPr>
              <w:pStyle w:val="P68B1DB1-Normal64"/>
              <w:spacing w:after="0" w:line="240" w:lineRule="auto"/>
              <w:jc w:val="center"/>
              <w:textAlignment w:val="baseline"/>
              <w:rPr>
                <w:noProof/>
              </w:rPr>
            </w:pPr>
            <w:r>
              <w:rPr>
                <w:noProof/>
              </w:rPr>
              <w:t>T</w:t>
            </w:r>
          </w:p>
        </w:tc>
        <w:tc>
          <w:tcPr>
            <w:tcW w:w="5347" w:type="dxa"/>
            <w:tcBorders>
              <w:top w:val="single" w:sz="6" w:space="0" w:color="auto"/>
              <w:left w:val="nil"/>
              <w:bottom w:val="single" w:sz="6" w:space="0" w:color="auto"/>
              <w:right w:val="single" w:sz="6" w:space="0" w:color="auto"/>
            </w:tcBorders>
            <w:shd w:val="clear" w:color="auto" w:fill="C6EFCE"/>
          </w:tcPr>
          <w:p w14:paraId="00366F05" w14:textId="77777777" w:rsidR="003A3D51" w:rsidRDefault="0002775A">
            <w:pPr>
              <w:pStyle w:val="P68B1DB1-Normal64"/>
              <w:spacing w:after="0" w:line="276" w:lineRule="auto"/>
              <w:rPr>
                <w:noProof/>
              </w:rPr>
            </w:pPr>
            <w:r>
              <w:rPr>
                <w:noProof/>
              </w:rPr>
              <w:t>Genomförande av pilotprojekt som identifierats genom strategierna för grön stadsförnyelse och som är kopplade till de nationella programmen för grön infrastruktur och cirkulär förvaltning av utrymmen och byggnader.</w:t>
            </w:r>
          </w:p>
        </w:tc>
      </w:tr>
      <w:tr w:rsidR="003A3D51" w14:paraId="619C2F3B" w14:textId="77777777">
        <w:trPr>
          <w:trHeight w:val="51"/>
        </w:trPr>
        <w:tc>
          <w:tcPr>
            <w:tcW w:w="1096" w:type="dxa"/>
            <w:tcBorders>
              <w:top w:val="single" w:sz="6" w:space="0" w:color="auto"/>
              <w:left w:val="single" w:sz="6" w:space="0" w:color="auto"/>
              <w:bottom w:val="single" w:sz="6" w:space="0" w:color="auto"/>
              <w:right w:val="single" w:sz="6" w:space="0" w:color="auto"/>
            </w:tcBorders>
            <w:shd w:val="clear" w:color="auto" w:fill="C6EFCE"/>
          </w:tcPr>
          <w:p w14:paraId="1969A0AC"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39" w:type="dxa"/>
            <w:tcBorders>
              <w:top w:val="single" w:sz="6" w:space="0" w:color="auto"/>
              <w:left w:val="nil"/>
              <w:bottom w:val="single" w:sz="6" w:space="0" w:color="auto"/>
              <w:right w:val="single" w:sz="6" w:space="0" w:color="auto"/>
            </w:tcBorders>
            <w:shd w:val="clear" w:color="auto" w:fill="C6EFCE"/>
          </w:tcPr>
          <w:p w14:paraId="0445AC52" w14:textId="77777777" w:rsidR="003A3D51" w:rsidRDefault="003A3D51">
            <w:pPr>
              <w:spacing w:after="0" w:line="240" w:lineRule="auto"/>
              <w:jc w:val="both"/>
              <w:textAlignment w:val="baseline"/>
              <w:rPr>
                <w:rFonts w:ascii="Times New Roman" w:hAnsi="Times New Roman" w:cs="Times New Roman"/>
                <w:noProof/>
                <w:color w:val="000000"/>
                <w:sz w:val="20"/>
              </w:rPr>
            </w:pPr>
          </w:p>
        </w:tc>
        <w:tc>
          <w:tcPr>
            <w:tcW w:w="1274" w:type="dxa"/>
            <w:tcBorders>
              <w:top w:val="single" w:sz="6" w:space="0" w:color="auto"/>
              <w:left w:val="nil"/>
              <w:bottom w:val="single" w:sz="6" w:space="0" w:color="auto"/>
              <w:right w:val="single" w:sz="6" w:space="0" w:color="auto"/>
            </w:tcBorders>
            <w:shd w:val="clear" w:color="auto" w:fill="C6EFCE"/>
          </w:tcPr>
          <w:p w14:paraId="7FF0845A" w14:textId="77777777" w:rsidR="003A3D51" w:rsidRDefault="0002775A">
            <w:pPr>
              <w:pStyle w:val="P68B1DB1-Normal64"/>
              <w:spacing w:after="0" w:line="240" w:lineRule="auto"/>
              <w:jc w:val="both"/>
              <w:textAlignment w:val="baseline"/>
              <w:rPr>
                <w:noProof/>
              </w:rPr>
            </w:pPr>
            <w:r>
              <w:rPr>
                <w:noProof/>
              </w:rPr>
              <w:t>Delbetalning, belopp</w:t>
            </w:r>
          </w:p>
        </w:tc>
        <w:tc>
          <w:tcPr>
            <w:tcW w:w="5347" w:type="dxa"/>
            <w:tcBorders>
              <w:top w:val="single" w:sz="6" w:space="0" w:color="auto"/>
              <w:left w:val="nil"/>
              <w:bottom w:val="single" w:sz="6" w:space="0" w:color="auto"/>
              <w:right w:val="single" w:sz="6" w:space="0" w:color="auto"/>
            </w:tcBorders>
            <w:shd w:val="clear" w:color="auto" w:fill="C6EFCE"/>
            <w:vAlign w:val="center"/>
          </w:tcPr>
          <w:p w14:paraId="4912643C" w14:textId="77777777" w:rsidR="003A3D51" w:rsidRDefault="0002775A">
            <w:pPr>
              <w:pStyle w:val="P68B1DB1-Normal64"/>
              <w:spacing w:after="0" w:line="240" w:lineRule="auto"/>
              <w:jc w:val="both"/>
              <w:textAlignment w:val="baseline"/>
              <w:rPr>
                <w:noProof/>
              </w:rPr>
            </w:pPr>
            <w:r>
              <w:rPr>
                <w:noProof/>
              </w:rPr>
              <w:t>657 119 562 EUR</w:t>
            </w:r>
          </w:p>
        </w:tc>
      </w:tr>
    </w:tbl>
    <w:p w14:paraId="3FCCD7AE" w14:textId="77777777" w:rsidR="003A3D51" w:rsidRDefault="003A3D51">
      <w:pPr>
        <w:spacing w:after="0" w:line="240" w:lineRule="auto"/>
        <w:jc w:val="both"/>
        <w:textAlignment w:val="baseline"/>
        <w:rPr>
          <w:rFonts w:ascii="Times New Roman" w:eastAsia="Times New Roman" w:hAnsi="Times New Roman" w:cs="Times New Roman"/>
          <w:noProof/>
          <w:sz w:val="20"/>
        </w:rPr>
      </w:pPr>
    </w:p>
    <w:p w14:paraId="307B019B" w14:textId="77777777" w:rsidR="003A3D51" w:rsidRDefault="003A3D51">
      <w:pPr>
        <w:spacing w:after="0" w:line="240" w:lineRule="auto"/>
        <w:jc w:val="both"/>
        <w:textAlignment w:val="baseline"/>
        <w:rPr>
          <w:rFonts w:ascii="Times New Roman" w:eastAsia="Times New Roman" w:hAnsi="Times New Roman" w:cs="Times New Roman"/>
          <w:noProof/>
          <w:sz w:val="24"/>
        </w:rPr>
      </w:pPr>
    </w:p>
    <w:p w14:paraId="79F97783" w14:textId="77777777" w:rsidR="003A3D51" w:rsidRDefault="0002775A">
      <w:pPr>
        <w:pStyle w:val="FooterText"/>
        <w:numPr>
          <w:ilvl w:val="0"/>
          <w:numId w:val="50"/>
        </w:numPr>
        <w:ind w:firstLine="0"/>
        <w:jc w:val="both"/>
        <w:textAlignment w:val="baseline"/>
        <w:rPr>
          <w:noProof/>
        </w:rPr>
      </w:pPr>
      <w:r>
        <w:rPr>
          <w:b/>
          <w:noProof/>
        </w:rPr>
        <w:t>Lån</w:t>
      </w:r>
      <w:r>
        <w:rPr>
          <w:noProof/>
        </w:rPr>
        <w:t> </w:t>
      </w:r>
    </w:p>
    <w:p w14:paraId="726AE57B" w14:textId="77777777" w:rsidR="003A3D51" w:rsidRDefault="0002775A">
      <w:pPr>
        <w:pStyle w:val="FooterText"/>
        <w:ind w:left="840"/>
        <w:jc w:val="both"/>
        <w:textAlignment w:val="baseline"/>
        <w:rPr>
          <w:rFonts w:ascii="Segoe UI" w:hAnsi="Segoe UI" w:cs="Segoe UI"/>
          <w:noProof/>
          <w:sz w:val="18"/>
        </w:rPr>
      </w:pPr>
      <w:r>
        <w:rPr>
          <w:noProof/>
        </w:rPr>
        <w:t>De delbetalningar som avses i artikel 3.2 ska organiseras på följande sätt: </w:t>
      </w:r>
    </w:p>
    <w:p w14:paraId="09F29A7F" w14:textId="77777777" w:rsidR="003A3D51" w:rsidRDefault="0002775A">
      <w:pPr>
        <w:pStyle w:val="FooterText"/>
        <w:jc w:val="both"/>
        <w:textAlignment w:val="baseline"/>
        <w:rPr>
          <w:rFonts w:ascii="Segoe UI" w:hAnsi="Segoe UI" w:cs="Segoe UI"/>
          <w:noProof/>
          <w:sz w:val="18"/>
        </w:rPr>
      </w:pPr>
      <w:r>
        <w:rPr>
          <w:noProof/>
        </w:rPr>
        <w:t> </w:t>
      </w:r>
    </w:p>
    <w:p w14:paraId="3B1DA286" w14:textId="77777777" w:rsidR="003A3D51" w:rsidRDefault="0002775A">
      <w:pPr>
        <w:pStyle w:val="P68B1DB1-Normal11"/>
        <w:numPr>
          <w:ilvl w:val="0"/>
          <w:numId w:val="51"/>
        </w:numPr>
        <w:spacing w:line="240" w:lineRule="auto"/>
        <w:ind w:firstLine="0"/>
        <w:jc w:val="both"/>
        <w:textAlignment w:val="baseline"/>
        <w:rPr>
          <w:noProof/>
        </w:rPr>
      </w:pPr>
      <w:r>
        <w:rPr>
          <w:noProof/>
        </w:rPr>
        <w:t>Första delbetalningen (lånestöd): </w:t>
      </w:r>
    </w:p>
    <w:tbl>
      <w:tblPr>
        <w:tblW w:w="937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6"/>
        <w:gridCol w:w="1274"/>
        <w:gridCol w:w="5326"/>
      </w:tblGrid>
      <w:tr w:rsidR="003A3D51" w14:paraId="5432CE18" w14:textId="77777777">
        <w:trPr>
          <w:trHeight w:val="1029"/>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AF0C4D8"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1BC8E54"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9ACE9BC"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65" w:type="dxa"/>
            <w:vMerge w:val="restart"/>
            <w:tcBorders>
              <w:top w:val="single" w:sz="6" w:space="0" w:color="auto"/>
              <w:left w:val="nil"/>
              <w:bottom w:val="single" w:sz="6" w:space="0" w:color="000000"/>
              <w:right w:val="single" w:sz="6" w:space="0" w:color="auto"/>
            </w:tcBorders>
            <w:shd w:val="clear" w:color="auto" w:fill="BDD7EE"/>
            <w:vAlign w:val="center"/>
            <w:hideMark/>
          </w:tcPr>
          <w:p w14:paraId="398F9423"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0BD5FB87" w14:textId="77777777">
        <w:trPr>
          <w:trHeight w:val="450"/>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C193E38"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F74B978" w14:textId="77777777" w:rsidR="003A3D51" w:rsidRDefault="003A3D51">
            <w:pPr>
              <w:spacing w:after="0" w:line="240" w:lineRule="auto"/>
              <w:rPr>
                <w:rFonts w:ascii="Times New Roman" w:eastAsia="Times New Roman" w:hAnsi="Times New Roman" w:cs="Times New Roman"/>
                <w:noProof/>
                <w:sz w:val="20"/>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BFC033E" w14:textId="77777777" w:rsidR="003A3D51" w:rsidRDefault="003A3D51">
            <w:pPr>
              <w:spacing w:after="0" w:line="240" w:lineRule="auto"/>
              <w:rPr>
                <w:rFonts w:ascii="Times New Roman" w:eastAsia="Times New Roman" w:hAnsi="Times New Roman" w:cs="Times New Roman"/>
                <w:noProof/>
                <w:sz w:val="20"/>
              </w:rPr>
            </w:pPr>
          </w:p>
        </w:tc>
        <w:tc>
          <w:tcPr>
            <w:tcW w:w="5365" w:type="dxa"/>
            <w:vMerge/>
            <w:tcBorders>
              <w:top w:val="single" w:sz="6" w:space="0" w:color="auto"/>
              <w:left w:val="nil"/>
              <w:bottom w:val="single" w:sz="6" w:space="0" w:color="000000"/>
              <w:right w:val="single" w:sz="6" w:space="0" w:color="auto"/>
            </w:tcBorders>
            <w:shd w:val="clear" w:color="auto" w:fill="auto"/>
            <w:vAlign w:val="center"/>
            <w:hideMark/>
          </w:tcPr>
          <w:p w14:paraId="7E152268" w14:textId="77777777" w:rsidR="003A3D51" w:rsidRDefault="003A3D51">
            <w:pPr>
              <w:spacing w:after="0" w:line="240" w:lineRule="auto"/>
              <w:rPr>
                <w:rFonts w:ascii="Times New Roman" w:eastAsia="Times New Roman" w:hAnsi="Times New Roman" w:cs="Times New Roman"/>
                <w:noProof/>
                <w:sz w:val="20"/>
              </w:rPr>
            </w:pPr>
          </w:p>
        </w:tc>
      </w:tr>
      <w:tr w:rsidR="003A3D51" w14:paraId="029E5EA1"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5E849EEC" w14:textId="3D564690" w:rsidR="003A3D51" w:rsidRDefault="0002775A">
            <w:pPr>
              <w:pStyle w:val="P68B1DB1-Normal64"/>
              <w:spacing w:after="0" w:line="240" w:lineRule="auto"/>
              <w:jc w:val="center"/>
              <w:textAlignment w:val="baseline"/>
              <w:rPr>
                <w:noProof/>
              </w:rPr>
            </w:pPr>
            <w:r>
              <w:rPr>
                <w:noProof/>
              </w:rPr>
              <w:t>55</w:t>
            </w:r>
          </w:p>
        </w:tc>
        <w:tc>
          <w:tcPr>
            <w:tcW w:w="1642" w:type="dxa"/>
            <w:tcBorders>
              <w:top w:val="nil"/>
              <w:left w:val="nil"/>
              <w:bottom w:val="single" w:sz="6" w:space="0" w:color="auto"/>
              <w:right w:val="single" w:sz="6" w:space="0" w:color="auto"/>
            </w:tcBorders>
            <w:shd w:val="clear" w:color="auto" w:fill="C6EFCE"/>
            <w:vAlign w:val="center"/>
          </w:tcPr>
          <w:p w14:paraId="20D1B1F5" w14:textId="046EDBCE" w:rsidR="003A3D51" w:rsidRDefault="0002775A">
            <w:pPr>
              <w:pStyle w:val="P68B1DB1-Normal64"/>
              <w:spacing w:after="0" w:line="240" w:lineRule="auto"/>
              <w:jc w:val="center"/>
              <w:textAlignment w:val="baseline"/>
              <w:rPr>
                <w:noProof/>
              </w:rPr>
            </w:pPr>
            <w:r>
              <w:rPr>
                <w:noProof/>
              </w:rPr>
              <w:t>C7.1 R1-I5</w:t>
            </w:r>
          </w:p>
        </w:tc>
        <w:tc>
          <w:tcPr>
            <w:tcW w:w="1276" w:type="dxa"/>
            <w:tcBorders>
              <w:top w:val="nil"/>
              <w:left w:val="nil"/>
              <w:bottom w:val="single" w:sz="6" w:space="0" w:color="auto"/>
              <w:right w:val="single" w:sz="6" w:space="0" w:color="auto"/>
            </w:tcBorders>
            <w:shd w:val="clear" w:color="auto" w:fill="C6EFCE"/>
            <w:vAlign w:val="center"/>
          </w:tcPr>
          <w:p w14:paraId="27A4BEE6" w14:textId="2819ECEB" w:rsidR="003A3D51" w:rsidRDefault="0002775A">
            <w:pPr>
              <w:pStyle w:val="P68B1DB1-Normal64"/>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tcPr>
          <w:p w14:paraId="763C4E8D" w14:textId="05A2BCF4" w:rsidR="003A3D51" w:rsidRDefault="0002775A">
            <w:pPr>
              <w:pStyle w:val="P68B1DB1-Normal64"/>
              <w:spacing w:after="0" w:line="240" w:lineRule="auto"/>
              <w:jc w:val="both"/>
              <w:textAlignment w:val="baseline"/>
              <w:rPr>
                <w:noProof/>
              </w:rPr>
            </w:pPr>
            <w:r>
              <w:rPr>
                <w:noProof/>
              </w:rPr>
              <w:t>Plan för produktion och användning av biodrivmedel inom transportsektorn antagen</w:t>
            </w:r>
          </w:p>
        </w:tc>
      </w:tr>
      <w:tr w:rsidR="003A3D51" w14:paraId="1C154844"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2B1F1461" w14:textId="181CBE46" w:rsidR="003A3D51" w:rsidRDefault="0002775A">
            <w:pPr>
              <w:pStyle w:val="P68B1DB1-Normal64"/>
              <w:spacing w:after="0" w:line="240" w:lineRule="auto"/>
              <w:jc w:val="center"/>
              <w:textAlignment w:val="baseline"/>
              <w:rPr>
                <w:noProof/>
              </w:rPr>
            </w:pPr>
            <w:r>
              <w:rPr>
                <w:noProof/>
              </w:rPr>
              <w:t>405</w:t>
            </w:r>
          </w:p>
        </w:tc>
        <w:tc>
          <w:tcPr>
            <w:tcW w:w="1642" w:type="dxa"/>
            <w:tcBorders>
              <w:top w:val="nil"/>
              <w:left w:val="nil"/>
              <w:bottom w:val="single" w:sz="6" w:space="0" w:color="auto"/>
              <w:right w:val="single" w:sz="6" w:space="0" w:color="auto"/>
            </w:tcBorders>
            <w:shd w:val="clear" w:color="auto" w:fill="C6EFCE"/>
            <w:vAlign w:val="center"/>
            <w:hideMark/>
          </w:tcPr>
          <w:p w14:paraId="625D98C4" w14:textId="6464E8A0" w:rsidR="003A3D51" w:rsidRDefault="0002775A">
            <w:pPr>
              <w:pStyle w:val="P68B1DB1-Normal64"/>
              <w:spacing w:after="0" w:line="240" w:lineRule="auto"/>
              <w:jc w:val="center"/>
              <w:textAlignment w:val="baseline"/>
              <w:rPr>
                <w:noProof/>
              </w:rPr>
            </w:pPr>
            <w:r>
              <w:rPr>
                <w:noProof/>
              </w:rPr>
              <w:t>C6.1 R1 -I4</w:t>
            </w:r>
          </w:p>
        </w:tc>
        <w:tc>
          <w:tcPr>
            <w:tcW w:w="1276" w:type="dxa"/>
            <w:tcBorders>
              <w:top w:val="nil"/>
              <w:left w:val="nil"/>
              <w:bottom w:val="single" w:sz="6" w:space="0" w:color="auto"/>
              <w:right w:val="single" w:sz="6" w:space="0" w:color="auto"/>
            </w:tcBorders>
            <w:shd w:val="clear" w:color="auto" w:fill="C6EFCE"/>
            <w:vAlign w:val="center"/>
            <w:hideMark/>
          </w:tcPr>
          <w:p w14:paraId="3BBA74A4" w14:textId="77777777" w:rsidR="003A3D51" w:rsidRDefault="0002775A">
            <w:pPr>
              <w:pStyle w:val="P68B1DB1-Normal64"/>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hideMark/>
          </w:tcPr>
          <w:p w14:paraId="7B197E75" w14:textId="77777777" w:rsidR="003A3D51" w:rsidRDefault="0002775A">
            <w:pPr>
              <w:pStyle w:val="P68B1DB1-Normal64"/>
              <w:spacing w:after="0" w:line="240" w:lineRule="auto"/>
              <w:jc w:val="both"/>
              <w:textAlignment w:val="baseline"/>
              <w:rPr>
                <w:noProof/>
              </w:rPr>
            </w:pPr>
            <w:r>
              <w:rPr>
                <w:noProof/>
              </w:rPr>
              <w:t>Riktlinjer för energirenovering av byggnader med status som kulturföremål</w:t>
            </w:r>
          </w:p>
        </w:tc>
      </w:tr>
      <w:tr w:rsidR="003A3D51" w14:paraId="322A4819"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49517D8B" w14:textId="3EBC5B90" w:rsidR="003A3D51" w:rsidRDefault="0002775A">
            <w:pPr>
              <w:pStyle w:val="P68B1DB1-Normal64"/>
              <w:spacing w:after="0" w:line="240" w:lineRule="auto"/>
              <w:jc w:val="center"/>
              <w:textAlignment w:val="baseline"/>
              <w:rPr>
                <w:noProof/>
              </w:rPr>
            </w:pPr>
            <w:r>
              <w:rPr>
                <w:noProof/>
              </w:rPr>
              <w:t>421</w:t>
            </w:r>
          </w:p>
        </w:tc>
        <w:tc>
          <w:tcPr>
            <w:tcW w:w="1642" w:type="dxa"/>
            <w:tcBorders>
              <w:top w:val="nil"/>
              <w:left w:val="nil"/>
              <w:bottom w:val="single" w:sz="6" w:space="0" w:color="auto"/>
              <w:right w:val="single" w:sz="6" w:space="0" w:color="auto"/>
            </w:tcBorders>
            <w:shd w:val="clear" w:color="auto" w:fill="C6EFCE"/>
            <w:vAlign w:val="center"/>
          </w:tcPr>
          <w:p w14:paraId="564A2605" w14:textId="210B85F9" w:rsidR="003A3D51" w:rsidRDefault="0002775A">
            <w:pPr>
              <w:pStyle w:val="P68B1DB1-Normal64"/>
              <w:spacing w:after="0" w:line="240" w:lineRule="auto"/>
              <w:jc w:val="center"/>
              <w:textAlignment w:val="baseline"/>
              <w:rPr>
                <w:noProof/>
              </w:rPr>
            </w:pPr>
            <w:r>
              <w:rPr>
                <w:noProof/>
              </w:rPr>
              <w:t>C7.1 I3</w:t>
            </w:r>
          </w:p>
        </w:tc>
        <w:tc>
          <w:tcPr>
            <w:tcW w:w="1276" w:type="dxa"/>
            <w:tcBorders>
              <w:top w:val="nil"/>
              <w:left w:val="nil"/>
              <w:bottom w:val="single" w:sz="6" w:space="0" w:color="auto"/>
              <w:right w:val="single" w:sz="6" w:space="0" w:color="auto"/>
            </w:tcBorders>
            <w:shd w:val="clear" w:color="auto" w:fill="C6EFCE"/>
            <w:vAlign w:val="center"/>
          </w:tcPr>
          <w:p w14:paraId="75A17690" w14:textId="77777777" w:rsidR="003A3D51" w:rsidRDefault="0002775A">
            <w:pPr>
              <w:pStyle w:val="P68B1DB1-Normal64"/>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tcPr>
          <w:p w14:paraId="4E4E6FF7" w14:textId="77777777" w:rsidR="003A3D51" w:rsidRDefault="0002775A">
            <w:pPr>
              <w:pStyle w:val="P68B1DB1-Normal64"/>
              <w:spacing w:after="0" w:line="240" w:lineRule="auto"/>
              <w:jc w:val="both"/>
              <w:textAlignment w:val="baseline"/>
              <w:rPr>
                <w:noProof/>
              </w:rPr>
            </w:pPr>
            <w:r>
              <w:rPr>
                <w:noProof/>
              </w:rPr>
              <w:t>Avtal om utrustning för utbyggnad av LNG-terminalen på ön Krk</w:t>
            </w:r>
          </w:p>
        </w:tc>
      </w:tr>
      <w:tr w:rsidR="003A3D51" w14:paraId="2CC034CB"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1B1CBA1B" w14:textId="499C4C5C" w:rsidR="003A3D51" w:rsidRDefault="0002775A">
            <w:pPr>
              <w:pStyle w:val="P68B1DB1-Normal64"/>
              <w:spacing w:after="0" w:line="240" w:lineRule="auto"/>
              <w:jc w:val="center"/>
              <w:textAlignment w:val="baseline"/>
              <w:rPr>
                <w:noProof/>
              </w:rPr>
            </w:pPr>
            <w:r>
              <w:rPr>
                <w:noProof/>
              </w:rPr>
              <w:t>423</w:t>
            </w:r>
          </w:p>
        </w:tc>
        <w:tc>
          <w:tcPr>
            <w:tcW w:w="1642" w:type="dxa"/>
            <w:tcBorders>
              <w:top w:val="nil"/>
              <w:left w:val="nil"/>
              <w:bottom w:val="single" w:sz="6" w:space="0" w:color="auto"/>
              <w:right w:val="single" w:sz="6" w:space="0" w:color="auto"/>
            </w:tcBorders>
            <w:shd w:val="clear" w:color="auto" w:fill="C6EFCE"/>
            <w:vAlign w:val="center"/>
          </w:tcPr>
          <w:p w14:paraId="381C5B2D" w14:textId="1CDE75E9" w:rsidR="003A3D51" w:rsidRDefault="0002775A">
            <w:pPr>
              <w:pStyle w:val="P68B1DB1-Normal64"/>
              <w:spacing w:after="0" w:line="240" w:lineRule="auto"/>
              <w:jc w:val="center"/>
              <w:textAlignment w:val="baseline"/>
              <w:rPr>
                <w:noProof/>
              </w:rPr>
            </w:pPr>
            <w:r>
              <w:rPr>
                <w:noProof/>
              </w:rPr>
              <w:t>C7.1 I3</w:t>
            </w:r>
          </w:p>
        </w:tc>
        <w:tc>
          <w:tcPr>
            <w:tcW w:w="1276" w:type="dxa"/>
            <w:tcBorders>
              <w:top w:val="nil"/>
              <w:left w:val="nil"/>
              <w:bottom w:val="single" w:sz="6" w:space="0" w:color="auto"/>
              <w:right w:val="single" w:sz="6" w:space="0" w:color="auto"/>
            </w:tcBorders>
            <w:shd w:val="clear" w:color="auto" w:fill="C6EFCE"/>
            <w:vAlign w:val="center"/>
          </w:tcPr>
          <w:p w14:paraId="32E29E1F" w14:textId="77777777" w:rsidR="003A3D51" w:rsidRDefault="0002775A">
            <w:pPr>
              <w:pStyle w:val="P68B1DB1-Normal64"/>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tcPr>
          <w:p w14:paraId="3AD8DDC2" w14:textId="77777777" w:rsidR="003A3D51" w:rsidRDefault="0002775A">
            <w:pPr>
              <w:pStyle w:val="P68B1DB1-Normal64"/>
              <w:spacing w:after="0" w:line="240" w:lineRule="auto"/>
              <w:jc w:val="both"/>
              <w:textAlignment w:val="baseline"/>
              <w:rPr>
                <w:noProof/>
              </w:rPr>
            </w:pPr>
            <w:r>
              <w:rPr>
                <w:noProof/>
              </w:rPr>
              <w:t>Kontrakt avseende utbyggnad av gasledningen Zlobin-Bosiljevo</w:t>
            </w:r>
          </w:p>
        </w:tc>
      </w:tr>
      <w:tr w:rsidR="003A3D51" w14:paraId="45B6F8A6" w14:textId="77777777">
        <w:trPr>
          <w:trHeight w:val="343"/>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64B61700" w14:textId="77777777" w:rsidR="003A3D51" w:rsidRDefault="0002775A">
            <w:pPr>
              <w:pStyle w:val="P68B1DB1-Normal68"/>
              <w:spacing w:after="0" w:line="240" w:lineRule="auto"/>
              <w:jc w:val="center"/>
              <w:textAlignment w:val="baseline"/>
              <w:rPr>
                <w:noProof/>
              </w:rPr>
            </w:pPr>
            <w:r>
              <w:rPr>
                <w:noProof/>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389D513D" w14:textId="77777777" w:rsidR="003A3D51" w:rsidRDefault="0002775A">
            <w:pPr>
              <w:pStyle w:val="P68B1DB1-Normal68"/>
              <w:spacing w:after="0" w:line="240" w:lineRule="auto"/>
              <w:jc w:val="both"/>
              <w:textAlignment w:val="baseline"/>
              <w:rPr>
                <w:noProof/>
              </w:rPr>
            </w:pPr>
            <w:r>
              <w:rPr>
                <w:noProof/>
              </w:rPr>
              <w:t> </w:t>
            </w:r>
          </w:p>
        </w:tc>
        <w:tc>
          <w:tcPr>
            <w:tcW w:w="1276" w:type="dxa"/>
            <w:tcBorders>
              <w:top w:val="single" w:sz="6" w:space="0" w:color="auto"/>
              <w:left w:val="nil"/>
              <w:bottom w:val="single" w:sz="6" w:space="0" w:color="auto"/>
              <w:right w:val="single" w:sz="6" w:space="0" w:color="auto"/>
            </w:tcBorders>
            <w:shd w:val="clear" w:color="auto" w:fill="C6EFCE"/>
            <w:vAlign w:val="bottom"/>
            <w:hideMark/>
          </w:tcPr>
          <w:p w14:paraId="06425CC4" w14:textId="77777777" w:rsidR="003A3D51" w:rsidRDefault="0002775A">
            <w:pPr>
              <w:pStyle w:val="P68B1DB1-Normal63"/>
              <w:spacing w:after="0" w:line="240" w:lineRule="auto"/>
              <w:jc w:val="both"/>
              <w:textAlignment w:val="baseline"/>
              <w:rPr>
                <w:noProof/>
              </w:rPr>
            </w:pPr>
            <w:r>
              <w:rPr>
                <w:noProof/>
              </w:rPr>
              <w:t>Delbetalning, belopp </w:t>
            </w:r>
          </w:p>
        </w:tc>
        <w:tc>
          <w:tcPr>
            <w:tcW w:w="5365" w:type="dxa"/>
            <w:tcBorders>
              <w:top w:val="single" w:sz="6" w:space="0" w:color="auto"/>
              <w:left w:val="nil"/>
              <w:bottom w:val="single" w:sz="6" w:space="0" w:color="auto"/>
              <w:right w:val="single" w:sz="6" w:space="0" w:color="auto"/>
            </w:tcBorders>
            <w:shd w:val="clear" w:color="auto" w:fill="C6EFCE"/>
            <w:vAlign w:val="bottom"/>
            <w:hideMark/>
          </w:tcPr>
          <w:p w14:paraId="3AED893F" w14:textId="3E77F1AC" w:rsidR="003A3D51" w:rsidRDefault="0002775A">
            <w:pPr>
              <w:pStyle w:val="P68B1DB1-Normal63"/>
              <w:spacing w:after="0" w:line="240" w:lineRule="auto"/>
              <w:jc w:val="both"/>
              <w:textAlignment w:val="baseline"/>
              <w:rPr>
                <w:noProof/>
              </w:rPr>
            </w:pPr>
            <w:r>
              <w:rPr>
                <w:noProof/>
              </w:rPr>
              <w:t>303 868 355 EUR</w:t>
            </w:r>
          </w:p>
        </w:tc>
      </w:tr>
    </w:tbl>
    <w:p w14:paraId="176DCC14" w14:textId="77777777" w:rsidR="003A3D51" w:rsidRDefault="0002775A">
      <w:pPr>
        <w:pStyle w:val="P68B1DB1-Normal11"/>
        <w:spacing w:line="240" w:lineRule="auto"/>
        <w:jc w:val="both"/>
        <w:textAlignment w:val="baseline"/>
        <w:rPr>
          <w:noProof/>
        </w:rPr>
      </w:pPr>
      <w:r>
        <w:rPr>
          <w:noProof/>
        </w:rPr>
        <w:t> </w:t>
      </w:r>
    </w:p>
    <w:p w14:paraId="6A3AD196" w14:textId="77777777" w:rsidR="003A3D51" w:rsidRDefault="0002775A">
      <w:pPr>
        <w:pStyle w:val="P68B1DB1-ListParagraph65"/>
        <w:numPr>
          <w:ilvl w:val="0"/>
          <w:numId w:val="51"/>
        </w:numPr>
        <w:spacing w:line="240" w:lineRule="auto"/>
        <w:jc w:val="both"/>
        <w:textAlignment w:val="baseline"/>
        <w:rPr>
          <w:noProof/>
        </w:rPr>
      </w:pPr>
      <w:r>
        <w:rPr>
          <w:noProof/>
        </w:rPr>
        <w:t>Andra delbetalningen (lånestöd):  </w:t>
      </w:r>
    </w:p>
    <w:p w14:paraId="6D875BC7" w14:textId="77777777" w:rsidR="003A3D51" w:rsidRDefault="003A3D51">
      <w:pPr>
        <w:spacing w:after="0" w:line="240" w:lineRule="auto"/>
        <w:ind w:left="720"/>
        <w:jc w:val="both"/>
        <w:textAlignment w:val="baseline"/>
        <w:rPr>
          <w:rFonts w:ascii="Times New Roman" w:eastAsia="Times New Roman" w:hAnsi="Times New Roman" w:cs="Times New Roman"/>
          <w:noProof/>
          <w:sz w:val="24"/>
        </w:rPr>
      </w:pPr>
    </w:p>
    <w:tbl>
      <w:tblPr>
        <w:tblW w:w="937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6"/>
        <w:gridCol w:w="1274"/>
        <w:gridCol w:w="5326"/>
      </w:tblGrid>
      <w:tr w:rsidR="003A3D51" w14:paraId="5AE8D8C3" w14:textId="77777777">
        <w:trPr>
          <w:trHeight w:val="1029"/>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CD8DDE5"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26C59D18"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62861C9"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65" w:type="dxa"/>
            <w:vMerge w:val="restart"/>
            <w:tcBorders>
              <w:top w:val="single" w:sz="6" w:space="0" w:color="auto"/>
              <w:left w:val="nil"/>
              <w:bottom w:val="single" w:sz="6" w:space="0" w:color="000000"/>
              <w:right w:val="single" w:sz="6" w:space="0" w:color="auto"/>
            </w:tcBorders>
            <w:shd w:val="clear" w:color="auto" w:fill="BDD7EE"/>
            <w:vAlign w:val="center"/>
            <w:hideMark/>
          </w:tcPr>
          <w:p w14:paraId="563C1B1C"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2AD31397" w14:textId="77777777">
        <w:trPr>
          <w:trHeight w:val="466"/>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1D097A5"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A565083" w14:textId="77777777" w:rsidR="003A3D51" w:rsidRDefault="003A3D51">
            <w:pPr>
              <w:spacing w:after="0" w:line="240" w:lineRule="auto"/>
              <w:rPr>
                <w:rFonts w:ascii="Times New Roman" w:eastAsia="Times New Roman" w:hAnsi="Times New Roman" w:cs="Times New Roman"/>
                <w:noProof/>
                <w:sz w:val="20"/>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5B7493" w14:textId="77777777" w:rsidR="003A3D51" w:rsidRDefault="003A3D51">
            <w:pPr>
              <w:spacing w:after="0" w:line="240" w:lineRule="auto"/>
              <w:rPr>
                <w:rFonts w:ascii="Times New Roman" w:eastAsia="Times New Roman" w:hAnsi="Times New Roman" w:cs="Times New Roman"/>
                <w:noProof/>
                <w:sz w:val="20"/>
              </w:rPr>
            </w:pPr>
          </w:p>
        </w:tc>
        <w:tc>
          <w:tcPr>
            <w:tcW w:w="5365" w:type="dxa"/>
            <w:vMerge/>
            <w:tcBorders>
              <w:top w:val="single" w:sz="6" w:space="0" w:color="auto"/>
              <w:left w:val="nil"/>
              <w:bottom w:val="single" w:sz="6" w:space="0" w:color="000000"/>
              <w:right w:val="single" w:sz="6" w:space="0" w:color="auto"/>
            </w:tcBorders>
            <w:shd w:val="clear" w:color="auto" w:fill="auto"/>
            <w:vAlign w:val="center"/>
            <w:hideMark/>
          </w:tcPr>
          <w:p w14:paraId="6B941413" w14:textId="77777777" w:rsidR="003A3D51" w:rsidRDefault="003A3D51">
            <w:pPr>
              <w:spacing w:after="0" w:line="240" w:lineRule="auto"/>
              <w:rPr>
                <w:rFonts w:ascii="Times New Roman" w:eastAsia="Times New Roman" w:hAnsi="Times New Roman" w:cs="Times New Roman"/>
                <w:noProof/>
                <w:sz w:val="20"/>
              </w:rPr>
            </w:pPr>
          </w:p>
        </w:tc>
      </w:tr>
      <w:tr w:rsidR="003A3D51" w14:paraId="21595DAB"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EA356E7" w14:textId="7BEBEA46" w:rsidR="003A3D51" w:rsidRDefault="0002775A">
            <w:pPr>
              <w:pStyle w:val="P68B1DB1-Normal63"/>
              <w:spacing w:after="0" w:line="240" w:lineRule="auto"/>
              <w:jc w:val="center"/>
              <w:textAlignment w:val="baseline"/>
              <w:rPr>
                <w:noProof/>
              </w:rPr>
            </w:pPr>
            <w:r>
              <w:rPr>
                <w:noProof/>
              </w:rPr>
              <w:t>382</w:t>
            </w:r>
          </w:p>
        </w:tc>
        <w:tc>
          <w:tcPr>
            <w:tcW w:w="1642" w:type="dxa"/>
            <w:tcBorders>
              <w:top w:val="nil"/>
              <w:left w:val="nil"/>
              <w:bottom w:val="single" w:sz="6" w:space="0" w:color="auto"/>
              <w:right w:val="single" w:sz="6" w:space="0" w:color="auto"/>
            </w:tcBorders>
            <w:shd w:val="clear" w:color="auto" w:fill="C6EFCE"/>
            <w:vAlign w:val="center"/>
            <w:hideMark/>
          </w:tcPr>
          <w:p w14:paraId="5B49CDF5" w14:textId="52E49C97" w:rsidR="003A3D51" w:rsidRDefault="0002775A">
            <w:pPr>
              <w:pStyle w:val="P68B1DB1-Normal63"/>
              <w:spacing w:after="0" w:line="240" w:lineRule="auto"/>
              <w:jc w:val="center"/>
              <w:textAlignment w:val="baseline"/>
              <w:rPr>
                <w:noProof/>
              </w:rPr>
            </w:pPr>
            <w:r>
              <w:rPr>
                <w:noProof/>
              </w:rPr>
              <w:t>C1.3 R3</w:t>
            </w:r>
          </w:p>
        </w:tc>
        <w:tc>
          <w:tcPr>
            <w:tcW w:w="1276" w:type="dxa"/>
            <w:tcBorders>
              <w:top w:val="nil"/>
              <w:left w:val="nil"/>
              <w:bottom w:val="single" w:sz="6" w:space="0" w:color="auto"/>
              <w:right w:val="single" w:sz="6" w:space="0" w:color="auto"/>
            </w:tcBorders>
            <w:shd w:val="clear" w:color="auto" w:fill="C6EFCE"/>
            <w:vAlign w:val="center"/>
            <w:hideMark/>
          </w:tcPr>
          <w:p w14:paraId="396F1B87" w14:textId="77777777" w:rsidR="003A3D51" w:rsidRDefault="0002775A">
            <w:pPr>
              <w:pStyle w:val="P68B1DB1-Normal63"/>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vAlign w:val="bottom"/>
            <w:hideMark/>
          </w:tcPr>
          <w:p w14:paraId="767FD69E" w14:textId="77777777" w:rsidR="003A3D51" w:rsidRDefault="0002775A">
            <w:pPr>
              <w:pStyle w:val="P68B1DB1-Normal63"/>
              <w:spacing w:after="0" w:line="240" w:lineRule="auto"/>
              <w:jc w:val="both"/>
              <w:textAlignment w:val="baseline"/>
              <w:rPr>
                <w:noProof/>
              </w:rPr>
            </w:pPr>
            <w:r>
              <w:rPr>
                <w:noProof/>
              </w:rPr>
              <w:t> Antagande av en nationell handlingsplan för minskning av vattenförluster</w:t>
            </w:r>
          </w:p>
        </w:tc>
      </w:tr>
      <w:tr w:rsidR="003A3D51" w14:paraId="1129E559"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C6B1CBE" w14:textId="3D9A5166" w:rsidR="003A3D51" w:rsidRDefault="0002775A">
            <w:pPr>
              <w:pStyle w:val="P68B1DB1-Normal63"/>
              <w:spacing w:after="0" w:line="240" w:lineRule="auto"/>
              <w:jc w:val="center"/>
              <w:textAlignment w:val="baseline"/>
              <w:rPr>
                <w:noProof/>
              </w:rPr>
            </w:pPr>
            <w:r>
              <w:rPr>
                <w:noProof/>
              </w:rPr>
              <w:t>385</w:t>
            </w:r>
          </w:p>
        </w:tc>
        <w:tc>
          <w:tcPr>
            <w:tcW w:w="1642" w:type="dxa"/>
            <w:tcBorders>
              <w:top w:val="nil"/>
              <w:left w:val="nil"/>
              <w:bottom w:val="single" w:sz="6" w:space="0" w:color="auto"/>
              <w:right w:val="single" w:sz="6" w:space="0" w:color="auto"/>
            </w:tcBorders>
            <w:shd w:val="clear" w:color="auto" w:fill="C6EFCE"/>
            <w:vAlign w:val="center"/>
            <w:hideMark/>
          </w:tcPr>
          <w:p w14:paraId="343AAAFF" w14:textId="6506EBD0" w:rsidR="003A3D51" w:rsidRDefault="0002775A">
            <w:pPr>
              <w:pStyle w:val="P68B1DB1-Normal63"/>
              <w:spacing w:after="0" w:line="240" w:lineRule="auto"/>
              <w:jc w:val="center"/>
              <w:textAlignment w:val="baseline"/>
              <w:rPr>
                <w:noProof/>
              </w:rPr>
            </w:pPr>
            <w:r>
              <w:rPr>
                <w:noProof/>
              </w:rPr>
              <w:t>C1.3 R3</w:t>
            </w:r>
          </w:p>
        </w:tc>
        <w:tc>
          <w:tcPr>
            <w:tcW w:w="1276" w:type="dxa"/>
            <w:tcBorders>
              <w:top w:val="nil"/>
              <w:left w:val="nil"/>
              <w:bottom w:val="single" w:sz="6" w:space="0" w:color="auto"/>
              <w:right w:val="single" w:sz="6" w:space="0" w:color="auto"/>
            </w:tcBorders>
            <w:shd w:val="clear" w:color="auto" w:fill="C6EFCE"/>
            <w:vAlign w:val="center"/>
            <w:hideMark/>
          </w:tcPr>
          <w:p w14:paraId="49BEC9C9" w14:textId="77777777" w:rsidR="003A3D51" w:rsidRDefault="0002775A">
            <w:pPr>
              <w:pStyle w:val="P68B1DB1-Normal63"/>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vAlign w:val="bottom"/>
            <w:hideMark/>
          </w:tcPr>
          <w:p w14:paraId="374FF2FF" w14:textId="77777777" w:rsidR="003A3D51" w:rsidRDefault="0002775A">
            <w:pPr>
              <w:pStyle w:val="P68B1DB1-Normal63"/>
              <w:spacing w:after="0" w:line="240" w:lineRule="auto"/>
              <w:jc w:val="both"/>
              <w:textAlignment w:val="baseline"/>
              <w:rPr>
                <w:noProof/>
              </w:rPr>
            </w:pPr>
            <w:r>
              <w:rPr>
                <w:noProof/>
              </w:rPr>
              <w:t> Ikraftträdande av förordningen om rådet för vattentjänster</w:t>
            </w:r>
          </w:p>
        </w:tc>
      </w:tr>
      <w:tr w:rsidR="003A3D51" w14:paraId="0D70BC57"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0F505077" w14:textId="714F81A5" w:rsidR="003A3D51" w:rsidRDefault="0002775A">
            <w:pPr>
              <w:pStyle w:val="P68B1DB1-Normal63"/>
              <w:spacing w:after="0" w:line="240" w:lineRule="auto"/>
              <w:jc w:val="center"/>
              <w:textAlignment w:val="baseline"/>
              <w:rPr>
                <w:noProof/>
              </w:rPr>
            </w:pPr>
            <w:r>
              <w:rPr>
                <w:noProof/>
              </w:rPr>
              <w:t>393</w:t>
            </w:r>
          </w:p>
        </w:tc>
        <w:tc>
          <w:tcPr>
            <w:tcW w:w="1642" w:type="dxa"/>
            <w:tcBorders>
              <w:top w:val="nil"/>
              <w:left w:val="nil"/>
              <w:bottom w:val="single" w:sz="6" w:space="0" w:color="auto"/>
              <w:right w:val="single" w:sz="6" w:space="0" w:color="auto"/>
            </w:tcBorders>
            <w:shd w:val="clear" w:color="auto" w:fill="C6EFCE"/>
            <w:vAlign w:val="center"/>
          </w:tcPr>
          <w:p w14:paraId="172BA380" w14:textId="467815B9" w:rsidR="003A3D51" w:rsidRDefault="0002775A">
            <w:pPr>
              <w:pStyle w:val="P68B1DB1-Normal63"/>
              <w:spacing w:after="0" w:line="240" w:lineRule="auto"/>
              <w:jc w:val="center"/>
              <w:textAlignment w:val="baseline"/>
              <w:rPr>
                <w:noProof/>
              </w:rPr>
            </w:pPr>
            <w:r>
              <w:rPr>
                <w:noProof/>
              </w:rPr>
              <w:t>C2.2 R5</w:t>
            </w:r>
          </w:p>
        </w:tc>
        <w:tc>
          <w:tcPr>
            <w:tcW w:w="1276" w:type="dxa"/>
            <w:tcBorders>
              <w:top w:val="nil"/>
              <w:left w:val="nil"/>
              <w:bottom w:val="single" w:sz="6" w:space="0" w:color="auto"/>
              <w:right w:val="single" w:sz="6" w:space="0" w:color="auto"/>
            </w:tcBorders>
            <w:shd w:val="clear" w:color="auto" w:fill="C6EFCE"/>
            <w:vAlign w:val="center"/>
          </w:tcPr>
          <w:p w14:paraId="002C16CF" w14:textId="77777777" w:rsidR="003A3D51" w:rsidRDefault="0002775A">
            <w:pPr>
              <w:pStyle w:val="P68B1DB1-Normal63"/>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vAlign w:val="bottom"/>
          </w:tcPr>
          <w:p w14:paraId="3673A43E" w14:textId="77777777" w:rsidR="003A3D51" w:rsidRDefault="0002775A">
            <w:pPr>
              <w:pStyle w:val="P68B1DB1-Normal63"/>
              <w:spacing w:after="0" w:line="240" w:lineRule="auto"/>
              <w:jc w:val="both"/>
              <w:textAlignment w:val="baseline"/>
              <w:rPr>
                <w:noProof/>
              </w:rPr>
            </w:pPr>
            <w:r>
              <w:rPr>
                <w:noProof/>
              </w:rPr>
              <w:t>Ikraftträdande av förordningar som reglerar de nya lönemodellerna och det centraliserade systemet för urval inom den offentliga och den offentliga sektorn</w:t>
            </w:r>
          </w:p>
        </w:tc>
      </w:tr>
      <w:tr w:rsidR="003A3D51" w14:paraId="781E4FFD"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38F600FD" w14:textId="23B46EAA" w:rsidR="003A3D51" w:rsidRDefault="0002775A">
            <w:pPr>
              <w:pStyle w:val="P68B1DB1-Normal63"/>
              <w:spacing w:after="0" w:line="240" w:lineRule="auto"/>
              <w:jc w:val="center"/>
              <w:textAlignment w:val="baseline"/>
              <w:rPr>
                <w:noProof/>
              </w:rPr>
            </w:pPr>
            <w:r>
              <w:rPr>
                <w:noProof/>
              </w:rPr>
              <w:t>425</w:t>
            </w:r>
          </w:p>
        </w:tc>
        <w:tc>
          <w:tcPr>
            <w:tcW w:w="1642" w:type="dxa"/>
            <w:tcBorders>
              <w:top w:val="nil"/>
              <w:left w:val="nil"/>
              <w:bottom w:val="single" w:sz="6" w:space="0" w:color="auto"/>
              <w:right w:val="single" w:sz="6" w:space="0" w:color="auto"/>
            </w:tcBorders>
            <w:shd w:val="clear" w:color="auto" w:fill="C6EFCE"/>
            <w:vAlign w:val="center"/>
          </w:tcPr>
          <w:p w14:paraId="5090CA44" w14:textId="007BBB63" w:rsidR="003A3D51" w:rsidRDefault="0002775A">
            <w:pPr>
              <w:pStyle w:val="P68B1DB1-Normal63"/>
              <w:spacing w:after="0" w:line="240" w:lineRule="auto"/>
              <w:jc w:val="center"/>
              <w:textAlignment w:val="baseline"/>
              <w:rPr>
                <w:noProof/>
              </w:rPr>
            </w:pPr>
            <w:r>
              <w:rPr>
                <w:noProof/>
              </w:rPr>
              <w:t>C7.1 I3</w:t>
            </w:r>
          </w:p>
        </w:tc>
        <w:tc>
          <w:tcPr>
            <w:tcW w:w="1276" w:type="dxa"/>
            <w:tcBorders>
              <w:top w:val="nil"/>
              <w:left w:val="nil"/>
              <w:bottom w:val="single" w:sz="6" w:space="0" w:color="auto"/>
              <w:right w:val="single" w:sz="6" w:space="0" w:color="auto"/>
            </w:tcBorders>
            <w:shd w:val="clear" w:color="auto" w:fill="C6EFCE"/>
            <w:vAlign w:val="center"/>
          </w:tcPr>
          <w:p w14:paraId="5DAC832B" w14:textId="77777777" w:rsidR="003A3D51" w:rsidRDefault="0002775A">
            <w:pPr>
              <w:pStyle w:val="P68B1DB1-Normal63"/>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tcPr>
          <w:p w14:paraId="3E30FB1D" w14:textId="77777777" w:rsidR="003A3D51" w:rsidRDefault="0002775A">
            <w:pPr>
              <w:pStyle w:val="P68B1DB1-Normal63"/>
              <w:spacing w:after="0" w:line="240" w:lineRule="auto"/>
              <w:jc w:val="both"/>
              <w:textAlignment w:val="baseline"/>
              <w:rPr>
                <w:noProof/>
              </w:rPr>
            </w:pPr>
            <w:r>
              <w:rPr>
                <w:noProof/>
              </w:rPr>
              <w:t>Anbudsförfarande för upphandling av rör för utbyggnad av gasledningen Bosiljevo-Sisak-Kozarac</w:t>
            </w:r>
          </w:p>
        </w:tc>
      </w:tr>
      <w:tr w:rsidR="003A3D51" w14:paraId="5A2A98FD"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3DEF8F8D" w14:textId="5606553A" w:rsidR="003A3D51" w:rsidRDefault="0002775A">
            <w:pPr>
              <w:pStyle w:val="P68B1DB1-Normal63"/>
              <w:spacing w:after="0" w:line="240" w:lineRule="auto"/>
              <w:jc w:val="center"/>
              <w:textAlignment w:val="baseline"/>
              <w:rPr>
                <w:noProof/>
              </w:rPr>
            </w:pPr>
            <w:r>
              <w:rPr>
                <w:noProof/>
              </w:rPr>
              <w:t>427</w:t>
            </w:r>
          </w:p>
        </w:tc>
        <w:tc>
          <w:tcPr>
            <w:tcW w:w="1642" w:type="dxa"/>
            <w:tcBorders>
              <w:top w:val="nil"/>
              <w:left w:val="nil"/>
              <w:bottom w:val="single" w:sz="6" w:space="0" w:color="auto"/>
              <w:right w:val="single" w:sz="6" w:space="0" w:color="auto"/>
            </w:tcBorders>
            <w:shd w:val="clear" w:color="auto" w:fill="C6EFCE"/>
            <w:vAlign w:val="center"/>
          </w:tcPr>
          <w:p w14:paraId="2A62EAC4" w14:textId="4593DED5" w:rsidR="003A3D51" w:rsidRDefault="0002775A">
            <w:pPr>
              <w:pStyle w:val="P68B1DB1-Normal63"/>
              <w:spacing w:after="0" w:line="240" w:lineRule="auto"/>
              <w:jc w:val="center"/>
              <w:textAlignment w:val="baseline"/>
              <w:rPr>
                <w:noProof/>
              </w:rPr>
            </w:pPr>
            <w:r>
              <w:rPr>
                <w:noProof/>
              </w:rPr>
              <w:t>C7.1 I3</w:t>
            </w:r>
          </w:p>
        </w:tc>
        <w:tc>
          <w:tcPr>
            <w:tcW w:w="1276" w:type="dxa"/>
            <w:tcBorders>
              <w:top w:val="nil"/>
              <w:left w:val="nil"/>
              <w:bottom w:val="single" w:sz="6" w:space="0" w:color="auto"/>
              <w:right w:val="single" w:sz="6" w:space="0" w:color="auto"/>
            </w:tcBorders>
            <w:shd w:val="clear" w:color="auto" w:fill="C6EFCE"/>
            <w:vAlign w:val="center"/>
          </w:tcPr>
          <w:p w14:paraId="2FD5332D" w14:textId="77777777" w:rsidR="003A3D51" w:rsidRDefault="0002775A">
            <w:pPr>
              <w:pStyle w:val="P68B1DB1-Normal63"/>
              <w:spacing w:after="0" w:line="240" w:lineRule="auto"/>
              <w:jc w:val="center"/>
              <w:textAlignment w:val="baseline"/>
              <w:rPr>
                <w:noProof/>
              </w:rPr>
            </w:pPr>
            <w:r>
              <w:rPr>
                <w:noProof/>
              </w:rPr>
              <w:t>M</w:t>
            </w:r>
          </w:p>
        </w:tc>
        <w:tc>
          <w:tcPr>
            <w:tcW w:w="5365" w:type="dxa"/>
            <w:tcBorders>
              <w:top w:val="nil"/>
              <w:left w:val="nil"/>
              <w:bottom w:val="single" w:sz="6" w:space="0" w:color="auto"/>
              <w:right w:val="single" w:sz="6" w:space="0" w:color="auto"/>
            </w:tcBorders>
            <w:shd w:val="clear" w:color="auto" w:fill="C6EFCE"/>
          </w:tcPr>
          <w:p w14:paraId="21191440" w14:textId="77777777" w:rsidR="003A3D51" w:rsidRDefault="0002775A">
            <w:pPr>
              <w:pStyle w:val="P68B1DB1-Normal63"/>
              <w:spacing w:after="0" w:line="240" w:lineRule="auto"/>
              <w:jc w:val="both"/>
              <w:textAlignment w:val="baseline"/>
              <w:rPr>
                <w:noProof/>
              </w:rPr>
            </w:pPr>
            <w:r>
              <w:rPr>
                <w:noProof/>
              </w:rPr>
              <w:t>Anbudsförfarande för upphandling av rör för utbyggnad av sträckan Lučko-Zabok i sammanlänkningen Kroatien-Slovenien</w:t>
            </w:r>
          </w:p>
        </w:tc>
      </w:tr>
      <w:tr w:rsidR="003A3D51" w14:paraId="12B87D63" w14:textId="77777777">
        <w:trPr>
          <w:trHeight w:val="343"/>
        </w:trPr>
        <w:tc>
          <w:tcPr>
            <w:tcW w:w="1096" w:type="dxa"/>
            <w:tcBorders>
              <w:top w:val="nil"/>
              <w:left w:val="single" w:sz="6" w:space="0" w:color="auto"/>
              <w:bottom w:val="single" w:sz="6" w:space="0" w:color="auto"/>
              <w:right w:val="single" w:sz="6" w:space="0" w:color="auto"/>
            </w:tcBorders>
            <w:shd w:val="clear" w:color="auto" w:fill="C6EFCE"/>
            <w:vAlign w:val="center"/>
          </w:tcPr>
          <w:p w14:paraId="2F3C1587" w14:textId="5F19E44F" w:rsidR="003A3D51" w:rsidRDefault="0002775A">
            <w:pPr>
              <w:pStyle w:val="P68B1DB1-Normal63"/>
              <w:spacing w:after="0" w:line="240" w:lineRule="auto"/>
              <w:jc w:val="center"/>
              <w:textAlignment w:val="baseline"/>
              <w:rPr>
                <w:noProof/>
              </w:rPr>
            </w:pPr>
            <w:r>
              <w:rPr>
                <w:noProof/>
              </w:rPr>
              <w:t>438</w:t>
            </w:r>
          </w:p>
        </w:tc>
        <w:tc>
          <w:tcPr>
            <w:tcW w:w="1642" w:type="dxa"/>
            <w:tcBorders>
              <w:top w:val="nil"/>
              <w:left w:val="nil"/>
              <w:bottom w:val="single" w:sz="6" w:space="0" w:color="auto"/>
              <w:right w:val="single" w:sz="6" w:space="0" w:color="auto"/>
            </w:tcBorders>
            <w:shd w:val="clear" w:color="auto" w:fill="C6EFCE"/>
            <w:vAlign w:val="center"/>
          </w:tcPr>
          <w:p w14:paraId="2F1299EF" w14:textId="5636CDA1" w:rsidR="003A3D51" w:rsidRDefault="0002775A">
            <w:pPr>
              <w:pStyle w:val="P68B1DB1-Normal63"/>
              <w:spacing w:after="0" w:line="240" w:lineRule="auto"/>
              <w:jc w:val="center"/>
              <w:textAlignment w:val="baseline"/>
              <w:rPr>
                <w:noProof/>
              </w:rPr>
            </w:pPr>
            <w:r>
              <w:rPr>
                <w:noProof/>
              </w:rPr>
              <w:t>C7.2 I2</w:t>
            </w:r>
          </w:p>
        </w:tc>
        <w:tc>
          <w:tcPr>
            <w:tcW w:w="1276" w:type="dxa"/>
            <w:tcBorders>
              <w:top w:val="nil"/>
              <w:left w:val="nil"/>
              <w:bottom w:val="single" w:sz="6" w:space="0" w:color="auto"/>
              <w:right w:val="single" w:sz="6" w:space="0" w:color="auto"/>
            </w:tcBorders>
            <w:shd w:val="clear" w:color="auto" w:fill="C6EFCE"/>
            <w:vAlign w:val="center"/>
          </w:tcPr>
          <w:p w14:paraId="77A84102" w14:textId="77777777" w:rsidR="003A3D51" w:rsidRDefault="0002775A">
            <w:pPr>
              <w:pStyle w:val="P68B1DB1-Normal63"/>
              <w:spacing w:after="0" w:line="240" w:lineRule="auto"/>
              <w:jc w:val="center"/>
              <w:textAlignment w:val="baseline"/>
              <w:rPr>
                <w:noProof/>
              </w:rPr>
            </w:pPr>
            <w:r>
              <w:rPr>
                <w:noProof/>
              </w:rPr>
              <w:t>T</w:t>
            </w:r>
          </w:p>
        </w:tc>
        <w:tc>
          <w:tcPr>
            <w:tcW w:w="5365" w:type="dxa"/>
            <w:tcBorders>
              <w:top w:val="nil"/>
              <w:left w:val="nil"/>
              <w:bottom w:val="single" w:sz="6" w:space="0" w:color="auto"/>
              <w:right w:val="single" w:sz="6" w:space="0" w:color="auto"/>
            </w:tcBorders>
            <w:shd w:val="clear" w:color="auto" w:fill="C6EFCE"/>
          </w:tcPr>
          <w:p w14:paraId="0CD2EC1B" w14:textId="77777777" w:rsidR="003A3D51" w:rsidRDefault="0002775A">
            <w:pPr>
              <w:pStyle w:val="P68B1DB1-Normal63"/>
              <w:spacing w:after="0" w:line="240" w:lineRule="auto"/>
              <w:jc w:val="both"/>
              <w:textAlignment w:val="baseline"/>
              <w:rPr>
                <w:noProof/>
              </w:rPr>
            </w:pPr>
            <w:r>
              <w:rPr>
                <w:noProof/>
              </w:rPr>
              <w:t>Avtal om energirenovering av flerbostadshus som skadats av jordbävningarna</w:t>
            </w:r>
          </w:p>
        </w:tc>
      </w:tr>
      <w:tr w:rsidR="003A3D51" w14:paraId="6C7D04F7" w14:textId="77777777">
        <w:trPr>
          <w:trHeight w:val="343"/>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4AAEED92" w14:textId="77777777" w:rsidR="003A3D51" w:rsidRDefault="0002775A">
            <w:pPr>
              <w:pStyle w:val="P68B1DB1-Normal68"/>
              <w:spacing w:after="0" w:line="240" w:lineRule="auto"/>
              <w:jc w:val="center"/>
              <w:textAlignment w:val="baseline"/>
              <w:rPr>
                <w:noProof/>
              </w:rPr>
            </w:pPr>
            <w:r>
              <w:rPr>
                <w:noProof/>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33DCD321" w14:textId="77777777" w:rsidR="003A3D51" w:rsidRDefault="0002775A">
            <w:pPr>
              <w:pStyle w:val="P68B1DB1-Normal68"/>
              <w:spacing w:after="0" w:line="240" w:lineRule="auto"/>
              <w:jc w:val="both"/>
              <w:textAlignment w:val="baseline"/>
              <w:rPr>
                <w:noProof/>
              </w:rPr>
            </w:pPr>
            <w:r>
              <w:rPr>
                <w:noProof/>
              </w:rPr>
              <w:t> </w:t>
            </w:r>
          </w:p>
        </w:tc>
        <w:tc>
          <w:tcPr>
            <w:tcW w:w="1276" w:type="dxa"/>
            <w:tcBorders>
              <w:top w:val="single" w:sz="6" w:space="0" w:color="auto"/>
              <w:left w:val="nil"/>
              <w:bottom w:val="single" w:sz="6" w:space="0" w:color="auto"/>
              <w:right w:val="single" w:sz="6" w:space="0" w:color="auto"/>
            </w:tcBorders>
            <w:shd w:val="clear" w:color="auto" w:fill="C6EFCE"/>
            <w:vAlign w:val="bottom"/>
            <w:hideMark/>
          </w:tcPr>
          <w:p w14:paraId="399C71B4" w14:textId="77777777" w:rsidR="003A3D51" w:rsidRDefault="0002775A">
            <w:pPr>
              <w:pStyle w:val="P68B1DB1-Normal63"/>
              <w:spacing w:after="0" w:line="240" w:lineRule="auto"/>
              <w:jc w:val="both"/>
              <w:textAlignment w:val="baseline"/>
              <w:rPr>
                <w:noProof/>
              </w:rPr>
            </w:pPr>
            <w:r>
              <w:rPr>
                <w:noProof/>
              </w:rPr>
              <w:t>Delbetalning, belopp </w:t>
            </w:r>
          </w:p>
        </w:tc>
        <w:tc>
          <w:tcPr>
            <w:tcW w:w="5365" w:type="dxa"/>
            <w:tcBorders>
              <w:top w:val="single" w:sz="6" w:space="0" w:color="auto"/>
              <w:left w:val="nil"/>
              <w:bottom w:val="single" w:sz="6" w:space="0" w:color="auto"/>
              <w:right w:val="single" w:sz="6" w:space="0" w:color="auto"/>
            </w:tcBorders>
            <w:shd w:val="clear" w:color="auto" w:fill="C6EFCE"/>
            <w:vAlign w:val="bottom"/>
            <w:hideMark/>
          </w:tcPr>
          <w:p w14:paraId="41C2E2A1" w14:textId="21E3C86D" w:rsidR="003A3D51" w:rsidRDefault="0002775A">
            <w:pPr>
              <w:pStyle w:val="P68B1DB1-Normal63"/>
              <w:spacing w:after="0" w:line="240" w:lineRule="auto"/>
              <w:jc w:val="both"/>
              <w:textAlignment w:val="baseline"/>
              <w:rPr>
                <w:noProof/>
              </w:rPr>
            </w:pPr>
            <w:r>
              <w:rPr>
                <w:noProof/>
              </w:rPr>
              <w:t>455 802 533 EUR</w:t>
            </w:r>
          </w:p>
        </w:tc>
      </w:tr>
    </w:tbl>
    <w:p w14:paraId="133466B4" w14:textId="77777777" w:rsidR="003A3D51" w:rsidRDefault="0002775A">
      <w:pPr>
        <w:pStyle w:val="FooterText"/>
        <w:jc w:val="both"/>
        <w:textAlignment w:val="baseline"/>
        <w:rPr>
          <w:rFonts w:ascii="Segoe UI" w:hAnsi="Segoe UI" w:cs="Segoe UI"/>
          <w:noProof/>
          <w:sz w:val="18"/>
        </w:rPr>
      </w:pPr>
      <w:r>
        <w:rPr>
          <w:noProof/>
        </w:rPr>
        <w:t> </w:t>
      </w:r>
    </w:p>
    <w:p w14:paraId="5C54BB51" w14:textId="77777777" w:rsidR="003A3D51" w:rsidRDefault="0002775A">
      <w:pPr>
        <w:pStyle w:val="P68B1DB1-ListParagraph65"/>
        <w:numPr>
          <w:ilvl w:val="0"/>
          <w:numId w:val="51"/>
        </w:numPr>
        <w:spacing w:line="240" w:lineRule="auto"/>
        <w:jc w:val="both"/>
        <w:textAlignment w:val="baseline"/>
        <w:rPr>
          <w:noProof/>
        </w:rPr>
      </w:pPr>
      <w:r>
        <w:rPr>
          <w:noProof/>
        </w:rPr>
        <w:t>Tredje delbetalningen (lånestöd):  </w:t>
      </w:r>
    </w:p>
    <w:tbl>
      <w:tblPr>
        <w:tblW w:w="936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5"/>
        <w:gridCol w:w="1274"/>
        <w:gridCol w:w="5313"/>
      </w:tblGrid>
      <w:tr w:rsidR="003A3D51" w14:paraId="24518DF8" w14:textId="77777777">
        <w:trPr>
          <w:trHeight w:val="948"/>
        </w:trPr>
        <w:tc>
          <w:tcPr>
            <w:tcW w:w="1097"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9A2E78C"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1"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999A686"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27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6963327"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351" w:type="dxa"/>
            <w:vMerge w:val="restart"/>
            <w:tcBorders>
              <w:top w:val="single" w:sz="6" w:space="0" w:color="auto"/>
              <w:left w:val="nil"/>
              <w:bottom w:val="single" w:sz="6" w:space="0" w:color="000000"/>
              <w:right w:val="single" w:sz="6" w:space="0" w:color="auto"/>
            </w:tcBorders>
            <w:shd w:val="clear" w:color="auto" w:fill="BDD7EE"/>
            <w:vAlign w:val="center"/>
            <w:hideMark/>
          </w:tcPr>
          <w:p w14:paraId="5B353C27"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39C8BFEE" w14:textId="77777777">
        <w:trPr>
          <w:trHeight w:val="450"/>
        </w:trPr>
        <w:tc>
          <w:tcPr>
            <w:tcW w:w="1097"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7C028DA" w14:textId="77777777" w:rsidR="003A3D51" w:rsidRDefault="003A3D51">
            <w:pPr>
              <w:spacing w:after="0" w:line="240" w:lineRule="auto"/>
              <w:rPr>
                <w:rFonts w:ascii="Times New Roman" w:eastAsia="Times New Roman" w:hAnsi="Times New Roman" w:cs="Times New Roman"/>
                <w:noProof/>
                <w:sz w:val="20"/>
              </w:rPr>
            </w:pPr>
          </w:p>
        </w:tc>
        <w:tc>
          <w:tcPr>
            <w:tcW w:w="1641"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1EC1128" w14:textId="77777777" w:rsidR="003A3D51" w:rsidRDefault="003A3D51">
            <w:pPr>
              <w:spacing w:after="0" w:line="240" w:lineRule="auto"/>
              <w:rPr>
                <w:rFonts w:ascii="Times New Roman" w:eastAsia="Times New Roman" w:hAnsi="Times New Roman" w:cs="Times New Roman"/>
                <w:noProof/>
                <w:sz w:val="20"/>
              </w:rPr>
            </w:pPr>
          </w:p>
        </w:tc>
        <w:tc>
          <w:tcPr>
            <w:tcW w:w="127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85AFCD4" w14:textId="77777777" w:rsidR="003A3D51" w:rsidRDefault="003A3D51">
            <w:pPr>
              <w:spacing w:after="0" w:line="240" w:lineRule="auto"/>
              <w:rPr>
                <w:rFonts w:ascii="Times New Roman" w:eastAsia="Times New Roman" w:hAnsi="Times New Roman" w:cs="Times New Roman"/>
                <w:noProof/>
                <w:sz w:val="20"/>
              </w:rPr>
            </w:pPr>
          </w:p>
        </w:tc>
        <w:tc>
          <w:tcPr>
            <w:tcW w:w="5351" w:type="dxa"/>
            <w:vMerge/>
            <w:tcBorders>
              <w:top w:val="single" w:sz="6" w:space="0" w:color="auto"/>
              <w:left w:val="nil"/>
              <w:bottom w:val="single" w:sz="6" w:space="0" w:color="000000"/>
              <w:right w:val="single" w:sz="6" w:space="0" w:color="auto"/>
            </w:tcBorders>
            <w:shd w:val="clear" w:color="auto" w:fill="auto"/>
            <w:vAlign w:val="center"/>
            <w:hideMark/>
          </w:tcPr>
          <w:p w14:paraId="05A22DEE" w14:textId="77777777" w:rsidR="003A3D51" w:rsidRDefault="003A3D51">
            <w:pPr>
              <w:spacing w:after="0" w:line="240" w:lineRule="auto"/>
              <w:rPr>
                <w:rFonts w:ascii="Times New Roman" w:eastAsia="Times New Roman" w:hAnsi="Times New Roman" w:cs="Times New Roman"/>
                <w:noProof/>
                <w:sz w:val="20"/>
              </w:rPr>
            </w:pPr>
          </w:p>
        </w:tc>
      </w:tr>
      <w:tr w:rsidR="003A3D51" w14:paraId="6705CF33"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71F5460D" w14:textId="6D2BFF0A" w:rsidR="003A3D51" w:rsidRDefault="0002775A">
            <w:pPr>
              <w:pStyle w:val="P68B1DB1-Normal63"/>
              <w:spacing w:after="0" w:line="240" w:lineRule="auto"/>
              <w:jc w:val="center"/>
              <w:textAlignment w:val="baseline"/>
              <w:rPr>
                <w:noProof/>
              </w:rPr>
            </w:pPr>
            <w:r>
              <w:rPr>
                <w:noProof/>
              </w:rPr>
              <w:t>154</w:t>
            </w:r>
          </w:p>
        </w:tc>
        <w:tc>
          <w:tcPr>
            <w:tcW w:w="1641" w:type="dxa"/>
            <w:tcBorders>
              <w:top w:val="nil"/>
              <w:left w:val="nil"/>
              <w:bottom w:val="single" w:sz="6" w:space="0" w:color="auto"/>
              <w:right w:val="single" w:sz="6" w:space="0" w:color="auto"/>
            </w:tcBorders>
            <w:shd w:val="clear" w:color="auto" w:fill="C6EFCE"/>
            <w:vAlign w:val="center"/>
          </w:tcPr>
          <w:p w14:paraId="698D620C" w14:textId="4BE415CC" w:rsidR="003A3D51" w:rsidRDefault="0002775A">
            <w:pPr>
              <w:pStyle w:val="P68B1DB1-Normal63"/>
              <w:spacing w:after="0" w:line="240" w:lineRule="auto"/>
              <w:jc w:val="center"/>
              <w:textAlignment w:val="baseline"/>
              <w:rPr>
                <w:noProof/>
              </w:rPr>
            </w:pPr>
            <w:r>
              <w:rPr>
                <w:noProof/>
              </w:rPr>
              <w:t>C2.1 R1-I2</w:t>
            </w:r>
          </w:p>
        </w:tc>
        <w:tc>
          <w:tcPr>
            <w:tcW w:w="1276" w:type="dxa"/>
            <w:tcBorders>
              <w:top w:val="nil"/>
              <w:left w:val="nil"/>
              <w:bottom w:val="single" w:sz="6" w:space="0" w:color="auto"/>
              <w:right w:val="single" w:sz="6" w:space="0" w:color="auto"/>
            </w:tcBorders>
            <w:shd w:val="clear" w:color="auto" w:fill="C6EFCE"/>
            <w:vAlign w:val="center"/>
          </w:tcPr>
          <w:p w14:paraId="6FF753FA" w14:textId="082513FF" w:rsidR="003A3D51" w:rsidRDefault="0002775A">
            <w:pPr>
              <w:pStyle w:val="P68B1DB1-Normal63"/>
              <w:spacing w:after="0" w:line="240" w:lineRule="auto"/>
              <w:jc w:val="center"/>
              <w:textAlignment w:val="baseline"/>
              <w:rPr>
                <w:noProof/>
              </w:rPr>
            </w:pPr>
            <w:r>
              <w:rPr>
                <w:noProof/>
              </w:rPr>
              <w:t>T</w:t>
            </w:r>
          </w:p>
        </w:tc>
        <w:tc>
          <w:tcPr>
            <w:tcW w:w="5351" w:type="dxa"/>
            <w:tcBorders>
              <w:top w:val="nil"/>
              <w:left w:val="nil"/>
              <w:bottom w:val="single" w:sz="6" w:space="0" w:color="auto"/>
              <w:right w:val="single" w:sz="6" w:space="0" w:color="auto"/>
            </w:tcBorders>
            <w:shd w:val="clear" w:color="auto" w:fill="C6EFCE"/>
            <w:vAlign w:val="bottom"/>
          </w:tcPr>
          <w:p w14:paraId="7E5D940E" w14:textId="117CCBCC" w:rsidR="003A3D51" w:rsidRDefault="0002775A">
            <w:pPr>
              <w:pStyle w:val="P68B1DB1-Normal63"/>
              <w:spacing w:after="0" w:line="240" w:lineRule="auto"/>
              <w:textAlignment w:val="baseline"/>
              <w:rPr>
                <w:noProof/>
              </w:rPr>
            </w:pPr>
            <w:r>
              <w:rPr>
                <w:noProof/>
              </w:rPr>
              <w:t>Utbildningsmoduler för strategisk planering och konsekvensbedömning på nationell, regional och lokal nivå</w:t>
            </w:r>
          </w:p>
        </w:tc>
      </w:tr>
      <w:tr w:rsidR="003A3D51" w14:paraId="1A1FDF79"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64EAC9F1" w14:textId="7BA30063" w:rsidR="003A3D51" w:rsidRDefault="0002775A">
            <w:pPr>
              <w:pStyle w:val="P68B1DB1-Normal67"/>
              <w:spacing w:after="0" w:line="240" w:lineRule="auto"/>
              <w:jc w:val="center"/>
              <w:textAlignment w:val="baseline"/>
              <w:rPr>
                <w:rFonts w:eastAsia="Times New Roman"/>
                <w:noProof/>
              </w:rPr>
            </w:pPr>
            <w:r>
              <w:rPr>
                <w:noProof/>
              </w:rPr>
              <w:t>315</w:t>
            </w:r>
          </w:p>
        </w:tc>
        <w:tc>
          <w:tcPr>
            <w:tcW w:w="1641" w:type="dxa"/>
            <w:tcBorders>
              <w:top w:val="nil"/>
              <w:left w:val="nil"/>
              <w:bottom w:val="single" w:sz="6" w:space="0" w:color="auto"/>
              <w:right w:val="single" w:sz="6" w:space="0" w:color="auto"/>
            </w:tcBorders>
            <w:shd w:val="clear" w:color="auto" w:fill="C6EFCE"/>
            <w:vAlign w:val="center"/>
          </w:tcPr>
          <w:p w14:paraId="1E520A67" w14:textId="3752C768" w:rsidR="003A3D51" w:rsidRDefault="0002775A">
            <w:pPr>
              <w:pStyle w:val="P68B1DB1-Normal67"/>
              <w:spacing w:after="0" w:line="240" w:lineRule="auto"/>
              <w:jc w:val="center"/>
              <w:textAlignment w:val="baseline"/>
              <w:rPr>
                <w:rFonts w:eastAsia="Times New Roman"/>
                <w:noProof/>
              </w:rPr>
            </w:pPr>
            <w:r>
              <w:rPr>
                <w:noProof/>
              </w:rPr>
              <w:t>C4.3 R3-I2</w:t>
            </w:r>
          </w:p>
        </w:tc>
        <w:tc>
          <w:tcPr>
            <w:tcW w:w="1276" w:type="dxa"/>
            <w:tcBorders>
              <w:top w:val="nil"/>
              <w:left w:val="nil"/>
              <w:bottom w:val="single" w:sz="6" w:space="0" w:color="auto"/>
              <w:right w:val="single" w:sz="6" w:space="0" w:color="auto"/>
            </w:tcBorders>
            <w:shd w:val="clear" w:color="auto" w:fill="C6EFCE"/>
            <w:vAlign w:val="center"/>
          </w:tcPr>
          <w:p w14:paraId="4C65E1D1" w14:textId="7DB8BAEB" w:rsidR="003A3D51" w:rsidRDefault="0002775A">
            <w:pPr>
              <w:pStyle w:val="P68B1DB1-Normal67"/>
              <w:spacing w:after="0" w:line="240" w:lineRule="auto"/>
              <w:jc w:val="center"/>
              <w:textAlignment w:val="baseline"/>
              <w:rPr>
                <w:rFonts w:eastAsia="Times New Roman"/>
                <w:noProof/>
              </w:rPr>
            </w:pPr>
            <w:r>
              <w:rPr>
                <w:noProof/>
              </w:rPr>
              <w:t>T</w:t>
            </w:r>
          </w:p>
        </w:tc>
        <w:tc>
          <w:tcPr>
            <w:tcW w:w="5351" w:type="dxa"/>
            <w:tcBorders>
              <w:top w:val="nil"/>
              <w:left w:val="nil"/>
              <w:bottom w:val="single" w:sz="6" w:space="0" w:color="auto"/>
              <w:right w:val="single" w:sz="6" w:space="0" w:color="auto"/>
            </w:tcBorders>
            <w:shd w:val="clear" w:color="auto" w:fill="C6EFCE"/>
            <w:vAlign w:val="center"/>
          </w:tcPr>
          <w:p w14:paraId="7B94E4F1" w14:textId="32E7B6EB" w:rsidR="003A3D51" w:rsidRDefault="0002775A">
            <w:pPr>
              <w:pStyle w:val="P68B1DB1-Normal67"/>
              <w:spacing w:after="0" w:line="240" w:lineRule="auto"/>
              <w:textAlignment w:val="baseline"/>
              <w:rPr>
                <w:rFonts w:eastAsia="Times New Roman"/>
                <w:noProof/>
              </w:rPr>
            </w:pPr>
            <w:r>
              <w:rPr>
                <w:noProof/>
              </w:rPr>
              <w:t>Det gemensamma informationssystemet (informationssystemet SocSkrb)</w:t>
            </w:r>
          </w:p>
        </w:tc>
      </w:tr>
      <w:tr w:rsidR="003A3D51" w14:paraId="7994EDF6"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hideMark/>
          </w:tcPr>
          <w:p w14:paraId="6577D757" w14:textId="1B270563" w:rsidR="003A3D51" w:rsidRDefault="0002775A">
            <w:pPr>
              <w:pStyle w:val="P68B1DB1-Normal63"/>
              <w:spacing w:after="0" w:line="240" w:lineRule="auto"/>
              <w:jc w:val="center"/>
              <w:textAlignment w:val="baseline"/>
              <w:rPr>
                <w:noProof/>
              </w:rPr>
            </w:pPr>
            <w:r>
              <w:rPr>
                <w:noProof/>
              </w:rPr>
              <w:t>373</w:t>
            </w:r>
          </w:p>
        </w:tc>
        <w:tc>
          <w:tcPr>
            <w:tcW w:w="1641" w:type="dxa"/>
            <w:tcBorders>
              <w:top w:val="nil"/>
              <w:left w:val="nil"/>
              <w:bottom w:val="single" w:sz="6" w:space="0" w:color="auto"/>
              <w:right w:val="single" w:sz="6" w:space="0" w:color="auto"/>
            </w:tcBorders>
            <w:shd w:val="clear" w:color="auto" w:fill="C6EFCE"/>
            <w:vAlign w:val="center"/>
            <w:hideMark/>
          </w:tcPr>
          <w:p w14:paraId="418D0231" w14:textId="02CA6CB3" w:rsidR="003A3D51" w:rsidRDefault="0002775A">
            <w:pPr>
              <w:pStyle w:val="P68B1DB1-Normal63"/>
              <w:spacing w:after="0" w:line="240" w:lineRule="auto"/>
              <w:jc w:val="center"/>
              <w:textAlignment w:val="baseline"/>
              <w:rPr>
                <w:noProof/>
              </w:rPr>
            </w:pPr>
            <w:r>
              <w:rPr>
                <w:noProof/>
              </w:rPr>
              <w:t>C1.1.1.R5</w:t>
            </w:r>
          </w:p>
        </w:tc>
        <w:tc>
          <w:tcPr>
            <w:tcW w:w="1276" w:type="dxa"/>
            <w:tcBorders>
              <w:top w:val="nil"/>
              <w:left w:val="nil"/>
              <w:bottom w:val="single" w:sz="6" w:space="0" w:color="auto"/>
              <w:right w:val="single" w:sz="6" w:space="0" w:color="auto"/>
            </w:tcBorders>
            <w:shd w:val="clear" w:color="auto" w:fill="C6EFCE"/>
            <w:vAlign w:val="center"/>
            <w:hideMark/>
          </w:tcPr>
          <w:p w14:paraId="5999E69E" w14:textId="77777777" w:rsidR="003A3D51" w:rsidRDefault="0002775A">
            <w:pPr>
              <w:pStyle w:val="P68B1DB1-Normal63"/>
              <w:spacing w:after="0" w:line="240" w:lineRule="auto"/>
              <w:jc w:val="center"/>
              <w:textAlignment w:val="baseline"/>
              <w:rPr>
                <w:noProof/>
              </w:rPr>
            </w:pPr>
            <w:r>
              <w:rPr>
                <w:noProof/>
              </w:rPr>
              <w:t>M</w:t>
            </w:r>
          </w:p>
        </w:tc>
        <w:tc>
          <w:tcPr>
            <w:tcW w:w="5351" w:type="dxa"/>
            <w:tcBorders>
              <w:top w:val="nil"/>
              <w:left w:val="nil"/>
              <w:bottom w:val="single" w:sz="6" w:space="0" w:color="auto"/>
              <w:right w:val="single" w:sz="6" w:space="0" w:color="auto"/>
            </w:tcBorders>
            <w:shd w:val="clear" w:color="auto" w:fill="C6EFCE"/>
            <w:vAlign w:val="bottom"/>
            <w:hideMark/>
          </w:tcPr>
          <w:p w14:paraId="00312CEB" w14:textId="77777777" w:rsidR="003A3D51" w:rsidRDefault="0002775A">
            <w:pPr>
              <w:pStyle w:val="P68B1DB1-Normal63"/>
              <w:spacing w:after="0" w:line="240" w:lineRule="auto"/>
              <w:textAlignment w:val="baseline"/>
              <w:rPr>
                <w:noProof/>
              </w:rPr>
            </w:pPr>
            <w:r>
              <w:rPr>
                <w:noProof/>
              </w:rPr>
              <w:t>Antagande av den strategiska ramen för utvecklingen av kapitalmarknaden i Kroatien och den första åtföljande handlingsplanen</w:t>
            </w:r>
          </w:p>
        </w:tc>
      </w:tr>
      <w:tr w:rsidR="003A3D51" w14:paraId="20B65326"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hideMark/>
          </w:tcPr>
          <w:p w14:paraId="6179F838" w14:textId="2C644F06" w:rsidR="003A3D51" w:rsidRDefault="0002775A">
            <w:pPr>
              <w:pStyle w:val="P68B1DB1-Normal63"/>
              <w:spacing w:after="0" w:line="240" w:lineRule="auto"/>
              <w:jc w:val="center"/>
              <w:textAlignment w:val="baseline"/>
              <w:rPr>
                <w:noProof/>
              </w:rPr>
            </w:pPr>
            <w:r>
              <w:rPr>
                <w:noProof/>
              </w:rPr>
              <w:t>383</w:t>
            </w:r>
          </w:p>
        </w:tc>
        <w:tc>
          <w:tcPr>
            <w:tcW w:w="1641" w:type="dxa"/>
            <w:tcBorders>
              <w:top w:val="nil"/>
              <w:left w:val="nil"/>
              <w:bottom w:val="single" w:sz="6" w:space="0" w:color="auto"/>
              <w:right w:val="single" w:sz="6" w:space="0" w:color="auto"/>
            </w:tcBorders>
            <w:shd w:val="clear" w:color="auto" w:fill="C6EFCE"/>
            <w:vAlign w:val="center"/>
            <w:hideMark/>
          </w:tcPr>
          <w:p w14:paraId="1F345C54" w14:textId="76FC23FE" w:rsidR="003A3D51" w:rsidRDefault="0002775A">
            <w:pPr>
              <w:pStyle w:val="P68B1DB1-Normal63"/>
              <w:spacing w:after="0" w:line="240" w:lineRule="auto"/>
              <w:jc w:val="center"/>
              <w:textAlignment w:val="baseline"/>
              <w:rPr>
                <w:noProof/>
              </w:rPr>
            </w:pPr>
            <w:r>
              <w:rPr>
                <w:noProof/>
              </w:rPr>
              <w:t>C1.3 R3</w:t>
            </w:r>
          </w:p>
        </w:tc>
        <w:tc>
          <w:tcPr>
            <w:tcW w:w="1276" w:type="dxa"/>
            <w:tcBorders>
              <w:top w:val="nil"/>
              <w:left w:val="nil"/>
              <w:bottom w:val="single" w:sz="6" w:space="0" w:color="auto"/>
              <w:right w:val="single" w:sz="6" w:space="0" w:color="auto"/>
            </w:tcBorders>
            <w:shd w:val="clear" w:color="auto" w:fill="C6EFCE"/>
            <w:vAlign w:val="center"/>
            <w:hideMark/>
          </w:tcPr>
          <w:p w14:paraId="36C6D024" w14:textId="77777777" w:rsidR="003A3D51" w:rsidRDefault="0002775A">
            <w:pPr>
              <w:pStyle w:val="P68B1DB1-Normal63"/>
              <w:spacing w:after="0" w:line="240" w:lineRule="auto"/>
              <w:jc w:val="center"/>
              <w:textAlignment w:val="baseline"/>
              <w:rPr>
                <w:noProof/>
              </w:rPr>
            </w:pPr>
            <w:r>
              <w:rPr>
                <w:noProof/>
              </w:rPr>
              <w:t>M</w:t>
            </w:r>
          </w:p>
        </w:tc>
        <w:tc>
          <w:tcPr>
            <w:tcW w:w="5351" w:type="dxa"/>
            <w:tcBorders>
              <w:top w:val="nil"/>
              <w:left w:val="nil"/>
              <w:bottom w:val="single" w:sz="6" w:space="0" w:color="auto"/>
              <w:right w:val="single" w:sz="6" w:space="0" w:color="auto"/>
            </w:tcBorders>
            <w:shd w:val="clear" w:color="auto" w:fill="C6EFCE"/>
            <w:vAlign w:val="bottom"/>
            <w:hideMark/>
          </w:tcPr>
          <w:p w14:paraId="042BD5D1" w14:textId="77777777" w:rsidR="003A3D51" w:rsidRDefault="0002775A">
            <w:pPr>
              <w:pStyle w:val="P68B1DB1-Normal63"/>
              <w:spacing w:after="0" w:line="240" w:lineRule="auto"/>
              <w:textAlignment w:val="baseline"/>
              <w:rPr>
                <w:noProof/>
              </w:rPr>
            </w:pPr>
            <w:r>
              <w:rPr>
                <w:noProof/>
              </w:rPr>
              <w:t>Nationell myndighet för övervakning av vattenförluster</w:t>
            </w:r>
          </w:p>
        </w:tc>
      </w:tr>
      <w:tr w:rsidR="003A3D51" w14:paraId="2BC53B68"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0DA09054" w14:textId="78A4C5B8" w:rsidR="003A3D51" w:rsidRDefault="0002775A">
            <w:pPr>
              <w:pStyle w:val="P68B1DB1-Normal63"/>
              <w:spacing w:after="0" w:line="240" w:lineRule="auto"/>
              <w:jc w:val="center"/>
              <w:textAlignment w:val="baseline"/>
              <w:rPr>
                <w:noProof/>
              </w:rPr>
            </w:pPr>
            <w:r>
              <w:rPr>
                <w:noProof/>
              </w:rPr>
              <w:t>386</w:t>
            </w:r>
          </w:p>
        </w:tc>
        <w:tc>
          <w:tcPr>
            <w:tcW w:w="1641" w:type="dxa"/>
            <w:tcBorders>
              <w:top w:val="nil"/>
              <w:left w:val="nil"/>
              <w:bottom w:val="single" w:sz="6" w:space="0" w:color="auto"/>
              <w:right w:val="single" w:sz="6" w:space="0" w:color="auto"/>
            </w:tcBorders>
            <w:shd w:val="clear" w:color="auto" w:fill="C6EFCE"/>
            <w:vAlign w:val="center"/>
          </w:tcPr>
          <w:p w14:paraId="63CDB0D8" w14:textId="494D3027" w:rsidR="003A3D51" w:rsidRDefault="0002775A">
            <w:pPr>
              <w:pStyle w:val="P68B1DB1-Normal63"/>
              <w:spacing w:after="0" w:line="240" w:lineRule="auto"/>
              <w:jc w:val="center"/>
              <w:textAlignment w:val="baseline"/>
              <w:rPr>
                <w:noProof/>
              </w:rPr>
            </w:pPr>
            <w:r>
              <w:rPr>
                <w:noProof/>
              </w:rPr>
              <w:t>C1.3 R3</w:t>
            </w:r>
          </w:p>
        </w:tc>
        <w:tc>
          <w:tcPr>
            <w:tcW w:w="1276" w:type="dxa"/>
            <w:tcBorders>
              <w:top w:val="nil"/>
              <w:left w:val="nil"/>
              <w:bottom w:val="single" w:sz="6" w:space="0" w:color="auto"/>
              <w:right w:val="single" w:sz="6" w:space="0" w:color="auto"/>
            </w:tcBorders>
            <w:shd w:val="clear" w:color="auto" w:fill="C6EFCE"/>
            <w:vAlign w:val="center"/>
          </w:tcPr>
          <w:p w14:paraId="65062F80" w14:textId="77777777" w:rsidR="003A3D51" w:rsidRDefault="0002775A">
            <w:pPr>
              <w:pStyle w:val="P68B1DB1-Normal63"/>
              <w:spacing w:after="0" w:line="240" w:lineRule="auto"/>
              <w:jc w:val="center"/>
              <w:textAlignment w:val="baseline"/>
              <w:rPr>
                <w:noProof/>
              </w:rPr>
            </w:pPr>
            <w:r>
              <w:rPr>
                <w:noProof/>
              </w:rPr>
              <w:t>T</w:t>
            </w:r>
          </w:p>
        </w:tc>
        <w:tc>
          <w:tcPr>
            <w:tcW w:w="5351" w:type="dxa"/>
            <w:tcBorders>
              <w:top w:val="nil"/>
              <w:left w:val="nil"/>
              <w:bottom w:val="single" w:sz="6" w:space="0" w:color="auto"/>
              <w:right w:val="single" w:sz="6" w:space="0" w:color="auto"/>
            </w:tcBorders>
            <w:shd w:val="clear" w:color="auto" w:fill="C6EFCE"/>
            <w:vAlign w:val="bottom"/>
          </w:tcPr>
          <w:p w14:paraId="395923F5" w14:textId="77777777" w:rsidR="003A3D51" w:rsidRDefault="0002775A">
            <w:pPr>
              <w:pStyle w:val="P68B1DB1-Normal63"/>
              <w:spacing w:after="0" w:line="240" w:lineRule="auto"/>
              <w:textAlignment w:val="baseline"/>
              <w:rPr>
                <w:noProof/>
              </w:rPr>
            </w:pPr>
            <w:r>
              <w:rPr>
                <w:noProof/>
              </w:rPr>
              <w:t>Kapacitetsuppbyggnad inom rådet för vattentjänster</w:t>
            </w:r>
          </w:p>
        </w:tc>
      </w:tr>
      <w:tr w:rsidR="003A3D51" w14:paraId="1C48E3CC" w14:textId="77777777">
        <w:trPr>
          <w:trHeight w:val="316"/>
        </w:trPr>
        <w:tc>
          <w:tcPr>
            <w:tcW w:w="1097" w:type="dxa"/>
            <w:tcBorders>
              <w:top w:val="nil"/>
              <w:left w:val="single" w:sz="6" w:space="0" w:color="auto"/>
              <w:bottom w:val="single" w:sz="6" w:space="0" w:color="auto"/>
              <w:right w:val="single" w:sz="6" w:space="0" w:color="auto"/>
            </w:tcBorders>
            <w:shd w:val="clear" w:color="auto" w:fill="C6EFCE"/>
            <w:vAlign w:val="center"/>
          </w:tcPr>
          <w:p w14:paraId="75FA5A45" w14:textId="749D0D47" w:rsidR="003A3D51" w:rsidRDefault="0002775A">
            <w:pPr>
              <w:pStyle w:val="P68B1DB1-Normal67"/>
              <w:spacing w:after="0" w:line="240" w:lineRule="auto"/>
              <w:jc w:val="center"/>
              <w:textAlignment w:val="baseline"/>
              <w:rPr>
                <w:noProof/>
              </w:rPr>
            </w:pPr>
            <w:r>
              <w:rPr>
                <w:noProof/>
              </w:rPr>
              <w:t>402</w:t>
            </w:r>
          </w:p>
        </w:tc>
        <w:tc>
          <w:tcPr>
            <w:tcW w:w="1641" w:type="dxa"/>
            <w:tcBorders>
              <w:top w:val="nil"/>
              <w:left w:val="nil"/>
              <w:bottom w:val="single" w:sz="6" w:space="0" w:color="auto"/>
              <w:right w:val="single" w:sz="6" w:space="0" w:color="auto"/>
            </w:tcBorders>
            <w:shd w:val="clear" w:color="auto" w:fill="C6EFCE"/>
            <w:vAlign w:val="center"/>
          </w:tcPr>
          <w:p w14:paraId="2065F9E9" w14:textId="77777777" w:rsidR="003A3D51" w:rsidRDefault="0002775A">
            <w:pPr>
              <w:pStyle w:val="P68B1DB1-Normal63"/>
              <w:spacing w:after="0" w:line="240" w:lineRule="auto"/>
              <w:jc w:val="center"/>
              <w:textAlignment w:val="baseline"/>
              <w:rPr>
                <w:noProof/>
              </w:rPr>
            </w:pPr>
            <w:r>
              <w:rPr>
                <w:noProof/>
              </w:rPr>
              <w:t>C6.1 R7</w:t>
            </w:r>
          </w:p>
          <w:p w14:paraId="03312867" w14:textId="77777777" w:rsidR="003A3D51" w:rsidRDefault="003A3D51">
            <w:pPr>
              <w:spacing w:after="0" w:line="240" w:lineRule="auto"/>
              <w:jc w:val="center"/>
              <w:textAlignment w:val="baseline"/>
              <w:rPr>
                <w:rFonts w:ascii="Times New Roman" w:hAnsi="Times New Roman" w:cs="Times New Roman"/>
                <w:noProof/>
                <w:sz w:val="20"/>
              </w:rPr>
            </w:pPr>
          </w:p>
        </w:tc>
        <w:tc>
          <w:tcPr>
            <w:tcW w:w="1276" w:type="dxa"/>
            <w:tcBorders>
              <w:top w:val="nil"/>
              <w:left w:val="nil"/>
              <w:bottom w:val="single" w:sz="6" w:space="0" w:color="auto"/>
              <w:right w:val="single" w:sz="6" w:space="0" w:color="auto"/>
            </w:tcBorders>
            <w:shd w:val="clear" w:color="auto" w:fill="C6EFCE"/>
            <w:vAlign w:val="center"/>
          </w:tcPr>
          <w:p w14:paraId="0FE7B935" w14:textId="77777777" w:rsidR="003A3D51" w:rsidRDefault="0002775A">
            <w:pPr>
              <w:pStyle w:val="P68B1DB1-Normal63"/>
              <w:spacing w:after="0" w:line="240" w:lineRule="auto"/>
              <w:jc w:val="center"/>
              <w:textAlignment w:val="baseline"/>
              <w:rPr>
                <w:noProof/>
              </w:rPr>
            </w:pPr>
            <w:r>
              <w:rPr>
                <w:noProof/>
              </w:rPr>
              <w:t>M</w:t>
            </w:r>
          </w:p>
        </w:tc>
        <w:tc>
          <w:tcPr>
            <w:tcW w:w="5351" w:type="dxa"/>
            <w:tcBorders>
              <w:top w:val="nil"/>
              <w:left w:val="nil"/>
              <w:bottom w:val="single" w:sz="6" w:space="0" w:color="auto"/>
              <w:right w:val="single" w:sz="6" w:space="0" w:color="auto"/>
            </w:tcBorders>
            <w:shd w:val="clear" w:color="auto" w:fill="C6EFCE"/>
            <w:vAlign w:val="center"/>
          </w:tcPr>
          <w:p w14:paraId="47B8EC2A" w14:textId="77777777" w:rsidR="003A3D51" w:rsidRDefault="0002775A">
            <w:pPr>
              <w:pStyle w:val="P68B1DB1-Normal63"/>
              <w:spacing w:after="0" w:line="240" w:lineRule="auto"/>
              <w:textAlignment w:val="baseline"/>
              <w:rPr>
                <w:noProof/>
              </w:rPr>
            </w:pPr>
            <w:r>
              <w:rPr>
                <w:noProof/>
              </w:rPr>
              <w:t xml:space="preserve">Undertecknade avtal om genomförande av pilotprojekt  </w:t>
            </w:r>
          </w:p>
        </w:tc>
      </w:tr>
      <w:tr w:rsidR="003A3D51" w14:paraId="4199CCAF" w14:textId="77777777">
        <w:trPr>
          <w:trHeight w:val="316"/>
        </w:trPr>
        <w:tc>
          <w:tcPr>
            <w:tcW w:w="1097"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6A2C2B4B" w14:textId="77777777" w:rsidR="003A3D51" w:rsidRDefault="0002775A">
            <w:pPr>
              <w:pStyle w:val="P68B1DB1-Normal63"/>
              <w:spacing w:after="0" w:line="240" w:lineRule="auto"/>
              <w:jc w:val="center"/>
              <w:textAlignment w:val="baseline"/>
              <w:rPr>
                <w:noProof/>
              </w:rPr>
            </w:pPr>
            <w:r>
              <w:rPr>
                <w:noProof/>
              </w:rPr>
              <w:t> </w:t>
            </w:r>
          </w:p>
        </w:tc>
        <w:tc>
          <w:tcPr>
            <w:tcW w:w="1641" w:type="dxa"/>
            <w:tcBorders>
              <w:top w:val="single" w:sz="6" w:space="0" w:color="auto"/>
              <w:left w:val="nil"/>
              <w:bottom w:val="single" w:sz="6" w:space="0" w:color="auto"/>
              <w:right w:val="single" w:sz="6" w:space="0" w:color="auto"/>
            </w:tcBorders>
            <w:shd w:val="clear" w:color="auto" w:fill="C6EFCE"/>
            <w:vAlign w:val="bottom"/>
            <w:hideMark/>
          </w:tcPr>
          <w:p w14:paraId="3B85BCFB" w14:textId="77777777" w:rsidR="003A3D51" w:rsidRDefault="0002775A">
            <w:pPr>
              <w:pStyle w:val="P68B1DB1-Normal63"/>
              <w:spacing w:after="0" w:line="240" w:lineRule="auto"/>
              <w:jc w:val="both"/>
              <w:textAlignment w:val="baseline"/>
              <w:rPr>
                <w:noProof/>
              </w:rPr>
            </w:pPr>
            <w:r>
              <w:rPr>
                <w:noProof/>
              </w:rPr>
              <w:t> </w:t>
            </w:r>
          </w:p>
        </w:tc>
        <w:tc>
          <w:tcPr>
            <w:tcW w:w="1276" w:type="dxa"/>
            <w:tcBorders>
              <w:top w:val="single" w:sz="6" w:space="0" w:color="auto"/>
              <w:left w:val="nil"/>
              <w:bottom w:val="single" w:sz="6" w:space="0" w:color="auto"/>
              <w:right w:val="single" w:sz="6" w:space="0" w:color="auto"/>
            </w:tcBorders>
            <w:shd w:val="clear" w:color="auto" w:fill="C6EFCE"/>
            <w:vAlign w:val="bottom"/>
            <w:hideMark/>
          </w:tcPr>
          <w:p w14:paraId="14AFAFC5" w14:textId="77777777" w:rsidR="003A3D51" w:rsidRDefault="0002775A">
            <w:pPr>
              <w:pStyle w:val="P68B1DB1-Normal63"/>
              <w:spacing w:after="0" w:line="240" w:lineRule="auto"/>
              <w:jc w:val="both"/>
              <w:textAlignment w:val="baseline"/>
              <w:rPr>
                <w:noProof/>
              </w:rPr>
            </w:pPr>
            <w:r>
              <w:rPr>
                <w:noProof/>
              </w:rPr>
              <w:t>Delbetalning, belopp </w:t>
            </w:r>
          </w:p>
        </w:tc>
        <w:tc>
          <w:tcPr>
            <w:tcW w:w="5351" w:type="dxa"/>
            <w:tcBorders>
              <w:top w:val="single" w:sz="6" w:space="0" w:color="auto"/>
              <w:left w:val="nil"/>
              <w:bottom w:val="single" w:sz="6" w:space="0" w:color="auto"/>
              <w:right w:val="single" w:sz="6" w:space="0" w:color="auto"/>
            </w:tcBorders>
            <w:shd w:val="clear" w:color="auto" w:fill="C6EFCE"/>
            <w:vAlign w:val="bottom"/>
            <w:hideMark/>
          </w:tcPr>
          <w:p w14:paraId="32F6D017" w14:textId="6E8650AD" w:rsidR="003A3D51" w:rsidRDefault="0002775A">
            <w:pPr>
              <w:pStyle w:val="P68B1DB1-Normal63"/>
              <w:spacing w:after="0" w:line="240" w:lineRule="auto"/>
              <w:jc w:val="both"/>
              <w:textAlignment w:val="baseline"/>
              <w:rPr>
                <w:noProof/>
              </w:rPr>
            </w:pPr>
            <w:r>
              <w:rPr>
                <w:noProof/>
              </w:rPr>
              <w:t>531 769 622 EUR</w:t>
            </w:r>
          </w:p>
        </w:tc>
      </w:tr>
    </w:tbl>
    <w:p w14:paraId="444E369B" w14:textId="77777777" w:rsidR="003A3D51" w:rsidRDefault="0002775A">
      <w:pPr>
        <w:pStyle w:val="FooterText"/>
        <w:jc w:val="both"/>
        <w:textAlignment w:val="baseline"/>
        <w:rPr>
          <w:rFonts w:ascii="Segoe UI" w:hAnsi="Segoe UI" w:cs="Segoe UI"/>
          <w:noProof/>
          <w:sz w:val="18"/>
        </w:rPr>
      </w:pPr>
      <w:r>
        <w:rPr>
          <w:noProof/>
        </w:rPr>
        <w:t> </w:t>
      </w:r>
    </w:p>
    <w:p w14:paraId="0791BAC5" w14:textId="77777777" w:rsidR="003A3D51" w:rsidRDefault="0002775A">
      <w:pPr>
        <w:pStyle w:val="P68B1DB1-ListParagraph65"/>
        <w:numPr>
          <w:ilvl w:val="0"/>
          <w:numId w:val="51"/>
        </w:numPr>
        <w:spacing w:line="240" w:lineRule="auto"/>
        <w:jc w:val="both"/>
        <w:textAlignment w:val="baseline"/>
        <w:rPr>
          <w:noProof/>
        </w:rPr>
      </w:pPr>
      <w:r>
        <w:rPr>
          <w:noProof/>
        </w:rPr>
        <w:t>Fjärde delbetalningen (lånestöd):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6"/>
        <w:gridCol w:w="1134"/>
        <w:gridCol w:w="5488"/>
      </w:tblGrid>
      <w:tr w:rsidR="003A3D51" w14:paraId="1FD5D86D" w14:textId="77777777">
        <w:trPr>
          <w:trHeight w:val="1088"/>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7CB6BE9A"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09BB0C24"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13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7CD6DA9"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529" w:type="dxa"/>
            <w:vMerge w:val="restart"/>
            <w:tcBorders>
              <w:top w:val="single" w:sz="6" w:space="0" w:color="auto"/>
              <w:left w:val="nil"/>
              <w:bottom w:val="single" w:sz="6" w:space="0" w:color="000000"/>
              <w:right w:val="single" w:sz="6" w:space="0" w:color="auto"/>
            </w:tcBorders>
            <w:shd w:val="clear" w:color="auto" w:fill="BDD7EE"/>
            <w:vAlign w:val="center"/>
            <w:hideMark/>
          </w:tcPr>
          <w:p w14:paraId="4EF4C928"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50206A21" w14:textId="77777777">
        <w:trPr>
          <w:trHeight w:val="493"/>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9DC9FB8"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FE832AE" w14:textId="77777777" w:rsidR="003A3D51" w:rsidRDefault="003A3D51">
            <w:pPr>
              <w:spacing w:after="0" w:line="240" w:lineRule="auto"/>
              <w:rPr>
                <w:rFonts w:ascii="Times New Roman" w:eastAsia="Times New Roman" w:hAnsi="Times New Roman" w:cs="Times New Roman"/>
                <w:noProof/>
                <w:sz w:val="20"/>
              </w:rPr>
            </w:pPr>
          </w:p>
        </w:tc>
        <w:tc>
          <w:tcPr>
            <w:tcW w:w="113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9ED1913" w14:textId="77777777" w:rsidR="003A3D51" w:rsidRDefault="003A3D51">
            <w:pPr>
              <w:spacing w:after="0" w:line="240" w:lineRule="auto"/>
              <w:rPr>
                <w:rFonts w:ascii="Times New Roman" w:eastAsia="Times New Roman" w:hAnsi="Times New Roman" w:cs="Times New Roman"/>
                <w:noProof/>
                <w:sz w:val="20"/>
              </w:rPr>
            </w:pPr>
          </w:p>
        </w:tc>
        <w:tc>
          <w:tcPr>
            <w:tcW w:w="5529" w:type="dxa"/>
            <w:vMerge/>
            <w:tcBorders>
              <w:top w:val="single" w:sz="6" w:space="0" w:color="auto"/>
              <w:left w:val="nil"/>
              <w:bottom w:val="single" w:sz="6" w:space="0" w:color="000000"/>
              <w:right w:val="single" w:sz="6" w:space="0" w:color="auto"/>
            </w:tcBorders>
            <w:shd w:val="clear" w:color="auto" w:fill="auto"/>
            <w:vAlign w:val="center"/>
            <w:hideMark/>
          </w:tcPr>
          <w:p w14:paraId="37E7BBE7" w14:textId="77777777" w:rsidR="003A3D51" w:rsidRDefault="003A3D51">
            <w:pPr>
              <w:spacing w:after="0" w:line="240" w:lineRule="auto"/>
              <w:rPr>
                <w:rFonts w:ascii="Times New Roman" w:eastAsia="Times New Roman" w:hAnsi="Times New Roman" w:cs="Times New Roman"/>
                <w:noProof/>
                <w:sz w:val="20"/>
              </w:rPr>
            </w:pPr>
          </w:p>
        </w:tc>
      </w:tr>
      <w:tr w:rsidR="003A3D51" w14:paraId="2AA76867"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06944C55" w14:textId="288687D5" w:rsidR="003A3D51" w:rsidRDefault="0002775A">
            <w:pPr>
              <w:pStyle w:val="P68B1DB1-Normal63"/>
              <w:spacing w:after="0" w:line="240" w:lineRule="auto"/>
              <w:jc w:val="center"/>
              <w:textAlignment w:val="baseline"/>
              <w:rPr>
                <w:noProof/>
              </w:rPr>
            </w:pPr>
            <w:r>
              <w:rPr>
                <w:noProof/>
              </w:rPr>
              <w:t>375</w:t>
            </w:r>
          </w:p>
        </w:tc>
        <w:tc>
          <w:tcPr>
            <w:tcW w:w="1642" w:type="dxa"/>
            <w:tcBorders>
              <w:top w:val="nil"/>
              <w:left w:val="nil"/>
              <w:bottom w:val="single" w:sz="6" w:space="0" w:color="auto"/>
              <w:right w:val="single" w:sz="6" w:space="0" w:color="auto"/>
            </w:tcBorders>
            <w:shd w:val="clear" w:color="auto" w:fill="C6EFCE"/>
            <w:vAlign w:val="center"/>
            <w:hideMark/>
          </w:tcPr>
          <w:p w14:paraId="02411247" w14:textId="77777777" w:rsidR="003A3D51" w:rsidRDefault="0002775A">
            <w:pPr>
              <w:pStyle w:val="P68B1DB1-Normal63"/>
              <w:spacing w:after="0" w:line="240" w:lineRule="auto"/>
              <w:jc w:val="center"/>
              <w:textAlignment w:val="baseline"/>
              <w:rPr>
                <w:noProof/>
              </w:rPr>
            </w:pPr>
            <w:r>
              <w:rPr>
                <w:noProof/>
              </w:rPr>
              <w:t>C1.1.1 R7</w:t>
            </w:r>
          </w:p>
        </w:tc>
        <w:tc>
          <w:tcPr>
            <w:tcW w:w="1134" w:type="dxa"/>
            <w:tcBorders>
              <w:top w:val="nil"/>
              <w:left w:val="nil"/>
              <w:bottom w:val="single" w:sz="6" w:space="0" w:color="auto"/>
              <w:right w:val="single" w:sz="6" w:space="0" w:color="auto"/>
            </w:tcBorders>
            <w:shd w:val="clear" w:color="auto" w:fill="C6EFCE"/>
            <w:vAlign w:val="center"/>
            <w:hideMark/>
          </w:tcPr>
          <w:p w14:paraId="1566E684" w14:textId="77777777" w:rsidR="003A3D51" w:rsidRDefault="0002775A">
            <w:pPr>
              <w:pStyle w:val="P68B1DB1-Normal63"/>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vAlign w:val="bottom"/>
            <w:hideMark/>
          </w:tcPr>
          <w:p w14:paraId="27A61CB1" w14:textId="77777777" w:rsidR="003A3D51" w:rsidRDefault="0002775A">
            <w:pPr>
              <w:pStyle w:val="P68B1DB1-Normal63"/>
              <w:spacing w:after="0" w:line="240" w:lineRule="auto"/>
              <w:jc w:val="both"/>
              <w:textAlignment w:val="baseline"/>
              <w:rPr>
                <w:noProof/>
              </w:rPr>
            </w:pPr>
            <w:r>
              <w:rPr>
                <w:noProof/>
              </w:rPr>
              <w:t xml:space="preserve"> Antagande av den första handlingsplanen till stöd för målen för hållbar finansiering  </w:t>
            </w:r>
          </w:p>
        </w:tc>
      </w:tr>
      <w:tr w:rsidR="003A3D51" w14:paraId="635077F5"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735CF070" w14:textId="77777777" w:rsidR="003A3D51" w:rsidRDefault="0002775A">
            <w:pPr>
              <w:pStyle w:val="P68B1DB1-Normal66"/>
              <w:spacing w:after="0" w:line="240" w:lineRule="auto"/>
              <w:jc w:val="center"/>
              <w:textAlignment w:val="baseline"/>
              <w:rPr>
                <w:rFonts w:eastAsia="Times New Roman"/>
                <w:noProof/>
              </w:rPr>
            </w:pPr>
            <w:r>
              <w:rPr>
                <w:noProof/>
              </w:rPr>
              <w:t>320</w:t>
            </w:r>
          </w:p>
        </w:tc>
        <w:tc>
          <w:tcPr>
            <w:tcW w:w="1642" w:type="dxa"/>
            <w:tcBorders>
              <w:top w:val="nil"/>
              <w:left w:val="nil"/>
              <w:bottom w:val="single" w:sz="6" w:space="0" w:color="auto"/>
              <w:right w:val="single" w:sz="6" w:space="0" w:color="auto"/>
            </w:tcBorders>
            <w:shd w:val="clear" w:color="auto" w:fill="C6EFCE"/>
            <w:vAlign w:val="center"/>
            <w:hideMark/>
          </w:tcPr>
          <w:p w14:paraId="4F80DB4B" w14:textId="77777777" w:rsidR="003A3D51" w:rsidRDefault="0002775A">
            <w:pPr>
              <w:pStyle w:val="P68B1DB1-Normal66"/>
              <w:spacing w:after="0" w:line="240" w:lineRule="auto"/>
              <w:jc w:val="center"/>
              <w:textAlignment w:val="baseline"/>
              <w:rPr>
                <w:rFonts w:eastAsia="Times New Roman"/>
                <w:noProof/>
              </w:rPr>
            </w:pPr>
            <w:r>
              <w:rPr>
                <w:noProof/>
              </w:rPr>
              <w:t>C5.1 R1-I1</w:t>
            </w:r>
          </w:p>
        </w:tc>
        <w:tc>
          <w:tcPr>
            <w:tcW w:w="1134" w:type="dxa"/>
            <w:tcBorders>
              <w:top w:val="nil"/>
              <w:left w:val="nil"/>
              <w:bottom w:val="single" w:sz="6" w:space="0" w:color="auto"/>
              <w:right w:val="single" w:sz="6" w:space="0" w:color="auto"/>
            </w:tcBorders>
            <w:shd w:val="clear" w:color="auto" w:fill="C6EFCE"/>
            <w:vAlign w:val="center"/>
            <w:hideMark/>
          </w:tcPr>
          <w:p w14:paraId="1D69A796" w14:textId="77777777" w:rsidR="003A3D51" w:rsidRDefault="0002775A">
            <w:pPr>
              <w:pStyle w:val="P68B1DB1-Normal66"/>
              <w:spacing w:after="0" w:line="240" w:lineRule="auto"/>
              <w:jc w:val="center"/>
              <w:textAlignment w:val="baseline"/>
              <w:rPr>
                <w:rFonts w:eastAsia="Times New Roman"/>
                <w:noProof/>
              </w:rPr>
            </w:pPr>
            <w:r>
              <w:rPr>
                <w:noProof/>
              </w:rPr>
              <w:t>T</w:t>
            </w:r>
          </w:p>
        </w:tc>
        <w:tc>
          <w:tcPr>
            <w:tcW w:w="5529" w:type="dxa"/>
            <w:tcBorders>
              <w:top w:val="nil"/>
              <w:left w:val="nil"/>
              <w:bottom w:val="single" w:sz="6" w:space="0" w:color="auto"/>
              <w:right w:val="single" w:sz="6" w:space="0" w:color="auto"/>
            </w:tcBorders>
            <w:shd w:val="clear" w:color="auto" w:fill="C6EFCE"/>
            <w:hideMark/>
          </w:tcPr>
          <w:p w14:paraId="794EE913" w14:textId="77777777" w:rsidR="003A3D51" w:rsidRDefault="0002775A">
            <w:pPr>
              <w:pStyle w:val="P68B1DB1-Normal66"/>
              <w:spacing w:after="0" w:line="240" w:lineRule="auto"/>
              <w:jc w:val="both"/>
              <w:textAlignment w:val="baseline"/>
              <w:rPr>
                <w:rFonts w:eastAsia="Times New Roman"/>
                <w:noProof/>
              </w:rPr>
            </w:pPr>
            <w:r>
              <w:rPr>
                <w:noProof/>
              </w:rPr>
              <w:t xml:space="preserve">Tillgång till apoteksvård och läkemedel </w:t>
            </w:r>
          </w:p>
        </w:tc>
      </w:tr>
      <w:tr w:rsidR="003A3D51" w14:paraId="52B5F10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116EE2A" w14:textId="248824B8" w:rsidR="003A3D51" w:rsidRDefault="0002775A">
            <w:pPr>
              <w:pStyle w:val="P68B1DB1-Normal63"/>
              <w:spacing w:after="0" w:line="240" w:lineRule="auto"/>
              <w:jc w:val="center"/>
              <w:textAlignment w:val="baseline"/>
              <w:rPr>
                <w:noProof/>
              </w:rPr>
            </w:pPr>
            <w:r>
              <w:rPr>
                <w:noProof/>
              </w:rPr>
              <w:t>424</w:t>
            </w:r>
          </w:p>
        </w:tc>
        <w:tc>
          <w:tcPr>
            <w:tcW w:w="1642" w:type="dxa"/>
            <w:tcBorders>
              <w:top w:val="nil"/>
              <w:left w:val="nil"/>
              <w:bottom w:val="single" w:sz="6" w:space="0" w:color="auto"/>
              <w:right w:val="single" w:sz="6" w:space="0" w:color="auto"/>
            </w:tcBorders>
            <w:shd w:val="clear" w:color="auto" w:fill="C6EFCE"/>
            <w:vAlign w:val="center"/>
          </w:tcPr>
          <w:p w14:paraId="07BB73EA" w14:textId="2B8A122D" w:rsidR="003A3D51" w:rsidRDefault="0002775A">
            <w:pPr>
              <w:pStyle w:val="P68B1DB1-Normal63"/>
              <w:spacing w:after="0" w:line="240" w:lineRule="auto"/>
              <w:jc w:val="center"/>
              <w:textAlignment w:val="baseline"/>
              <w:rPr>
                <w:noProof/>
              </w:rPr>
            </w:pPr>
            <w:r>
              <w:rPr>
                <w:noProof/>
              </w:rPr>
              <w:t>C7.1 I3</w:t>
            </w:r>
          </w:p>
        </w:tc>
        <w:tc>
          <w:tcPr>
            <w:tcW w:w="1134" w:type="dxa"/>
            <w:tcBorders>
              <w:top w:val="nil"/>
              <w:left w:val="nil"/>
              <w:bottom w:val="single" w:sz="6" w:space="0" w:color="auto"/>
              <w:right w:val="single" w:sz="6" w:space="0" w:color="auto"/>
            </w:tcBorders>
            <w:shd w:val="clear" w:color="auto" w:fill="C6EFCE"/>
            <w:vAlign w:val="center"/>
          </w:tcPr>
          <w:p w14:paraId="3D5A8364"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546F73AF" w14:textId="77777777" w:rsidR="003A3D51" w:rsidRDefault="0002775A">
            <w:pPr>
              <w:pStyle w:val="P68B1DB1-Normal63"/>
              <w:spacing w:after="0" w:line="240" w:lineRule="auto"/>
              <w:jc w:val="both"/>
              <w:textAlignment w:val="baseline"/>
              <w:rPr>
                <w:noProof/>
              </w:rPr>
            </w:pPr>
            <w:r>
              <w:rPr>
                <w:noProof/>
              </w:rPr>
              <w:t xml:space="preserve">Anläggning av den utvidgade gasledningen Zlobin-Bosiljevo </w:t>
            </w:r>
          </w:p>
        </w:tc>
      </w:tr>
      <w:tr w:rsidR="003A3D51" w14:paraId="24982B3F"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7043715" w14:textId="6D4A4918" w:rsidR="003A3D51" w:rsidRDefault="0002775A">
            <w:pPr>
              <w:pStyle w:val="P68B1DB1-Normal63"/>
              <w:spacing w:after="0" w:line="240" w:lineRule="auto"/>
              <w:jc w:val="center"/>
              <w:textAlignment w:val="baseline"/>
              <w:rPr>
                <w:noProof/>
              </w:rPr>
            </w:pPr>
            <w:r>
              <w:rPr>
                <w:noProof/>
              </w:rPr>
              <w:t>433</w:t>
            </w:r>
          </w:p>
        </w:tc>
        <w:tc>
          <w:tcPr>
            <w:tcW w:w="1642" w:type="dxa"/>
            <w:tcBorders>
              <w:top w:val="nil"/>
              <w:left w:val="nil"/>
              <w:bottom w:val="single" w:sz="6" w:space="0" w:color="auto"/>
              <w:right w:val="single" w:sz="6" w:space="0" w:color="auto"/>
            </w:tcBorders>
            <w:shd w:val="clear" w:color="auto" w:fill="C6EFCE"/>
            <w:vAlign w:val="center"/>
          </w:tcPr>
          <w:p w14:paraId="67C1ECE7" w14:textId="7C0259FA" w:rsidR="003A3D51" w:rsidRDefault="0002775A">
            <w:pPr>
              <w:pStyle w:val="P68B1DB1-Normal63"/>
              <w:spacing w:after="0" w:line="240" w:lineRule="auto"/>
              <w:jc w:val="center"/>
              <w:textAlignment w:val="baseline"/>
              <w:rPr>
                <w:noProof/>
              </w:rPr>
            </w:pPr>
            <w:r>
              <w:rPr>
                <w:noProof/>
              </w:rPr>
              <w:t>C7.2 R4</w:t>
            </w:r>
          </w:p>
        </w:tc>
        <w:tc>
          <w:tcPr>
            <w:tcW w:w="1134" w:type="dxa"/>
            <w:tcBorders>
              <w:top w:val="nil"/>
              <w:left w:val="nil"/>
              <w:bottom w:val="single" w:sz="6" w:space="0" w:color="auto"/>
              <w:right w:val="single" w:sz="6" w:space="0" w:color="auto"/>
            </w:tcBorders>
            <w:shd w:val="clear" w:color="auto" w:fill="C6EFCE"/>
            <w:vAlign w:val="center"/>
          </w:tcPr>
          <w:p w14:paraId="15AA56AD" w14:textId="77777777" w:rsidR="003A3D51" w:rsidRDefault="0002775A">
            <w:pPr>
              <w:pStyle w:val="P68B1DB1-Normal63"/>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tcPr>
          <w:p w14:paraId="42CBEEE2" w14:textId="77777777" w:rsidR="003A3D51" w:rsidRDefault="0002775A">
            <w:pPr>
              <w:pStyle w:val="P68B1DB1-Normal63"/>
              <w:spacing w:after="0" w:line="240" w:lineRule="auto"/>
              <w:jc w:val="both"/>
              <w:textAlignment w:val="baseline"/>
              <w:rPr>
                <w:noProof/>
              </w:rPr>
            </w:pPr>
            <w:r>
              <w:rPr>
                <w:noProof/>
              </w:rPr>
              <w:t xml:space="preserve">Ett utbildningsprogram för arbetstagare från tredjeländer </w:t>
            </w:r>
          </w:p>
        </w:tc>
      </w:tr>
      <w:tr w:rsidR="003A3D51" w14:paraId="2AAE7A61" w14:textId="77777777">
        <w:trPr>
          <w:trHeight w:val="362"/>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7CBFCCE0" w14:textId="77777777" w:rsidR="003A3D51" w:rsidRDefault="0002775A">
            <w:pPr>
              <w:pStyle w:val="P68B1DB1-Normal68"/>
              <w:spacing w:after="0" w:line="240" w:lineRule="auto"/>
              <w:jc w:val="center"/>
              <w:textAlignment w:val="baseline"/>
              <w:rPr>
                <w:noProof/>
              </w:rPr>
            </w:pPr>
            <w:r>
              <w:rPr>
                <w:noProof/>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6523A808" w14:textId="77777777" w:rsidR="003A3D51" w:rsidRDefault="0002775A">
            <w:pPr>
              <w:pStyle w:val="P68B1DB1-Normal68"/>
              <w:spacing w:after="0" w:line="240" w:lineRule="auto"/>
              <w:jc w:val="both"/>
              <w:textAlignment w:val="baseline"/>
              <w:rPr>
                <w:noProof/>
              </w:rPr>
            </w:pPr>
            <w:r>
              <w:rPr>
                <w:noProof/>
              </w:rPr>
              <w:t> </w:t>
            </w:r>
          </w:p>
        </w:tc>
        <w:tc>
          <w:tcPr>
            <w:tcW w:w="1134" w:type="dxa"/>
            <w:tcBorders>
              <w:top w:val="single" w:sz="6" w:space="0" w:color="auto"/>
              <w:left w:val="nil"/>
              <w:bottom w:val="single" w:sz="6" w:space="0" w:color="auto"/>
              <w:right w:val="single" w:sz="6" w:space="0" w:color="auto"/>
            </w:tcBorders>
            <w:shd w:val="clear" w:color="auto" w:fill="C6EFCE"/>
            <w:vAlign w:val="bottom"/>
            <w:hideMark/>
          </w:tcPr>
          <w:p w14:paraId="23F22216" w14:textId="77777777" w:rsidR="003A3D51" w:rsidRDefault="0002775A">
            <w:pPr>
              <w:pStyle w:val="P68B1DB1-Normal63"/>
              <w:spacing w:after="0" w:line="240" w:lineRule="auto"/>
              <w:jc w:val="both"/>
              <w:textAlignment w:val="baseline"/>
              <w:rPr>
                <w:noProof/>
              </w:rPr>
            </w:pPr>
            <w:r>
              <w:rPr>
                <w:noProof/>
              </w:rPr>
              <w:t>Delbetalning, belopp </w:t>
            </w:r>
          </w:p>
        </w:tc>
        <w:tc>
          <w:tcPr>
            <w:tcW w:w="5529" w:type="dxa"/>
            <w:tcBorders>
              <w:top w:val="single" w:sz="6" w:space="0" w:color="auto"/>
              <w:left w:val="nil"/>
              <w:bottom w:val="single" w:sz="6" w:space="0" w:color="auto"/>
              <w:right w:val="single" w:sz="6" w:space="0" w:color="auto"/>
            </w:tcBorders>
            <w:shd w:val="clear" w:color="auto" w:fill="C6EFCE"/>
            <w:vAlign w:val="bottom"/>
            <w:hideMark/>
          </w:tcPr>
          <w:p w14:paraId="1B125E0B" w14:textId="5C664D6E" w:rsidR="003A3D51" w:rsidRDefault="0002775A">
            <w:pPr>
              <w:pStyle w:val="P68B1DB1-Normal63"/>
              <w:spacing w:after="0" w:line="240" w:lineRule="auto"/>
              <w:jc w:val="both"/>
              <w:textAlignment w:val="baseline"/>
              <w:rPr>
                <w:noProof/>
              </w:rPr>
            </w:pPr>
            <w:r>
              <w:rPr>
                <w:noProof/>
              </w:rPr>
              <w:t>911 605 065 EUR</w:t>
            </w:r>
          </w:p>
        </w:tc>
      </w:tr>
    </w:tbl>
    <w:p w14:paraId="02999F6D" w14:textId="77777777" w:rsidR="003A3D51" w:rsidRDefault="0002775A">
      <w:pPr>
        <w:pStyle w:val="FooterText"/>
        <w:jc w:val="both"/>
        <w:textAlignment w:val="baseline"/>
        <w:rPr>
          <w:noProof/>
        </w:rPr>
      </w:pPr>
      <w:r>
        <w:rPr>
          <w:noProof/>
        </w:rPr>
        <w:t> </w:t>
      </w:r>
    </w:p>
    <w:p w14:paraId="5A85D750" w14:textId="77777777" w:rsidR="003A3D51" w:rsidRDefault="0002775A">
      <w:pPr>
        <w:pStyle w:val="P68B1DB1-ListParagraph65"/>
        <w:numPr>
          <w:ilvl w:val="0"/>
          <w:numId w:val="51"/>
        </w:numPr>
        <w:spacing w:line="240" w:lineRule="auto"/>
        <w:jc w:val="both"/>
        <w:textAlignment w:val="baseline"/>
        <w:rPr>
          <w:noProof/>
        </w:rPr>
      </w:pPr>
      <w:r>
        <w:rPr>
          <w:noProof/>
        </w:rPr>
        <w:t>Femte delbetalningen (lånestöd):</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4"/>
        <w:gridCol w:w="1134"/>
        <w:gridCol w:w="5490"/>
      </w:tblGrid>
      <w:tr w:rsidR="003A3D51" w14:paraId="557418AE" w14:textId="77777777">
        <w:trPr>
          <w:trHeight w:val="108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5BA1F32D"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6EFAF164"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13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2C0B86AF"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529" w:type="dxa"/>
            <w:vMerge w:val="restart"/>
            <w:tcBorders>
              <w:top w:val="single" w:sz="6" w:space="0" w:color="auto"/>
              <w:left w:val="nil"/>
              <w:bottom w:val="single" w:sz="6" w:space="0" w:color="000000"/>
              <w:right w:val="single" w:sz="6" w:space="0" w:color="auto"/>
            </w:tcBorders>
            <w:shd w:val="clear" w:color="auto" w:fill="BDD7EE"/>
            <w:vAlign w:val="center"/>
            <w:hideMark/>
          </w:tcPr>
          <w:p w14:paraId="513ABD11"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69176282" w14:textId="77777777">
        <w:trPr>
          <w:trHeight w:val="493"/>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1E3AD71"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81A6E8" w14:textId="77777777" w:rsidR="003A3D51" w:rsidRDefault="003A3D51">
            <w:pPr>
              <w:spacing w:after="0" w:line="240" w:lineRule="auto"/>
              <w:rPr>
                <w:rFonts w:ascii="Times New Roman" w:eastAsia="Times New Roman" w:hAnsi="Times New Roman" w:cs="Times New Roman"/>
                <w:noProof/>
                <w:sz w:val="20"/>
              </w:rPr>
            </w:pPr>
          </w:p>
        </w:tc>
        <w:tc>
          <w:tcPr>
            <w:tcW w:w="113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6ED10D5" w14:textId="77777777" w:rsidR="003A3D51" w:rsidRDefault="003A3D51">
            <w:pPr>
              <w:spacing w:after="0" w:line="240" w:lineRule="auto"/>
              <w:rPr>
                <w:rFonts w:ascii="Times New Roman" w:eastAsia="Times New Roman" w:hAnsi="Times New Roman" w:cs="Times New Roman"/>
                <w:noProof/>
                <w:sz w:val="20"/>
              </w:rPr>
            </w:pPr>
          </w:p>
        </w:tc>
        <w:tc>
          <w:tcPr>
            <w:tcW w:w="5529" w:type="dxa"/>
            <w:vMerge/>
            <w:tcBorders>
              <w:top w:val="single" w:sz="6" w:space="0" w:color="auto"/>
              <w:left w:val="nil"/>
              <w:bottom w:val="single" w:sz="6" w:space="0" w:color="000000"/>
              <w:right w:val="single" w:sz="6" w:space="0" w:color="auto"/>
            </w:tcBorders>
            <w:shd w:val="clear" w:color="auto" w:fill="auto"/>
            <w:vAlign w:val="center"/>
            <w:hideMark/>
          </w:tcPr>
          <w:p w14:paraId="2FABB3A4" w14:textId="77777777" w:rsidR="003A3D51" w:rsidRDefault="003A3D51">
            <w:pPr>
              <w:spacing w:after="0" w:line="240" w:lineRule="auto"/>
              <w:rPr>
                <w:rFonts w:ascii="Times New Roman" w:eastAsia="Times New Roman" w:hAnsi="Times New Roman" w:cs="Times New Roman"/>
                <w:noProof/>
                <w:sz w:val="20"/>
              </w:rPr>
            </w:pPr>
          </w:p>
        </w:tc>
      </w:tr>
      <w:tr w:rsidR="003A3D51" w14:paraId="020B6848"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8027706" w14:textId="27C80266" w:rsidR="003A3D51" w:rsidRDefault="0002775A">
            <w:pPr>
              <w:pStyle w:val="P68B1DB1-Normal64"/>
              <w:spacing w:after="0" w:line="240" w:lineRule="auto"/>
              <w:jc w:val="center"/>
              <w:textAlignment w:val="baseline"/>
              <w:rPr>
                <w:rFonts w:eastAsia="Times New Roman"/>
                <w:noProof/>
              </w:rPr>
            </w:pPr>
            <w:r>
              <w:rPr>
                <w:noProof/>
              </w:rPr>
              <w:t>155</w:t>
            </w:r>
          </w:p>
        </w:tc>
        <w:tc>
          <w:tcPr>
            <w:tcW w:w="1642" w:type="dxa"/>
            <w:tcBorders>
              <w:top w:val="nil"/>
              <w:left w:val="nil"/>
              <w:bottom w:val="single" w:sz="6" w:space="0" w:color="auto"/>
              <w:right w:val="single" w:sz="6" w:space="0" w:color="auto"/>
            </w:tcBorders>
            <w:shd w:val="clear" w:color="auto" w:fill="C6EFCE"/>
            <w:vAlign w:val="center"/>
          </w:tcPr>
          <w:p w14:paraId="619CDD32" w14:textId="3F10BCD3" w:rsidR="003A3D51" w:rsidRDefault="0002775A">
            <w:pPr>
              <w:pStyle w:val="P68B1DB1-Normal64"/>
              <w:spacing w:after="0" w:line="240" w:lineRule="auto"/>
              <w:jc w:val="center"/>
              <w:textAlignment w:val="baseline"/>
              <w:rPr>
                <w:rFonts w:eastAsia="Times New Roman"/>
                <w:noProof/>
              </w:rPr>
            </w:pPr>
            <w:r>
              <w:rPr>
                <w:noProof/>
              </w:rPr>
              <w:t>C2.1 R1-I2</w:t>
            </w:r>
          </w:p>
        </w:tc>
        <w:tc>
          <w:tcPr>
            <w:tcW w:w="1134" w:type="dxa"/>
            <w:tcBorders>
              <w:top w:val="nil"/>
              <w:left w:val="nil"/>
              <w:bottom w:val="single" w:sz="6" w:space="0" w:color="auto"/>
              <w:right w:val="single" w:sz="6" w:space="0" w:color="auto"/>
            </w:tcBorders>
            <w:shd w:val="clear" w:color="auto" w:fill="C6EFCE"/>
            <w:vAlign w:val="center"/>
          </w:tcPr>
          <w:p w14:paraId="59DEBF76" w14:textId="0028C638" w:rsidR="003A3D51" w:rsidRDefault="0002775A">
            <w:pPr>
              <w:pStyle w:val="P68B1DB1-Normal64"/>
              <w:spacing w:after="0" w:line="240" w:lineRule="auto"/>
              <w:jc w:val="center"/>
              <w:textAlignment w:val="baseline"/>
              <w:rPr>
                <w:rFonts w:eastAsia="Times New Roman"/>
                <w:noProof/>
              </w:rPr>
            </w:pPr>
            <w:r>
              <w:rPr>
                <w:noProof/>
              </w:rPr>
              <w:t>T</w:t>
            </w:r>
          </w:p>
        </w:tc>
        <w:tc>
          <w:tcPr>
            <w:tcW w:w="5529" w:type="dxa"/>
            <w:tcBorders>
              <w:top w:val="nil"/>
              <w:left w:val="nil"/>
              <w:bottom w:val="single" w:sz="6" w:space="0" w:color="auto"/>
              <w:right w:val="single" w:sz="6" w:space="0" w:color="auto"/>
            </w:tcBorders>
            <w:shd w:val="clear" w:color="auto" w:fill="C6EFCE"/>
            <w:vAlign w:val="center"/>
          </w:tcPr>
          <w:p w14:paraId="5163F06D" w14:textId="37490479" w:rsidR="003A3D51" w:rsidRDefault="0002775A">
            <w:pPr>
              <w:pStyle w:val="P68B1DB1-Normal64"/>
              <w:spacing w:after="0" w:line="240" w:lineRule="auto"/>
              <w:jc w:val="both"/>
              <w:textAlignment w:val="baseline"/>
              <w:rPr>
                <w:rFonts w:eastAsia="Times New Roman"/>
                <w:noProof/>
              </w:rPr>
            </w:pPr>
            <w:r>
              <w:rPr>
                <w:noProof/>
              </w:rPr>
              <w:t>Utbildning av tjänstemän kopplat till systemet för strategisk planering och genomförande av regleringseffekter på nationell och regional nivå</w:t>
            </w:r>
          </w:p>
        </w:tc>
      </w:tr>
      <w:tr w:rsidR="003A3D51" w14:paraId="79E4F1D4"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AAC4E1A" w14:textId="40D8AD1F" w:rsidR="003A3D51" w:rsidRDefault="0002775A">
            <w:pPr>
              <w:pStyle w:val="P68B1DB1-Normal64"/>
              <w:spacing w:after="0" w:line="240" w:lineRule="auto"/>
              <w:jc w:val="center"/>
              <w:textAlignment w:val="baseline"/>
              <w:rPr>
                <w:rFonts w:eastAsia="Times New Roman"/>
                <w:noProof/>
              </w:rPr>
            </w:pPr>
            <w:r>
              <w:rPr>
                <w:noProof/>
              </w:rPr>
              <w:t>321</w:t>
            </w:r>
          </w:p>
        </w:tc>
        <w:tc>
          <w:tcPr>
            <w:tcW w:w="1642" w:type="dxa"/>
            <w:tcBorders>
              <w:top w:val="nil"/>
              <w:left w:val="nil"/>
              <w:bottom w:val="single" w:sz="6" w:space="0" w:color="auto"/>
              <w:right w:val="single" w:sz="6" w:space="0" w:color="auto"/>
            </w:tcBorders>
            <w:shd w:val="clear" w:color="auto" w:fill="C6EFCE"/>
            <w:vAlign w:val="center"/>
          </w:tcPr>
          <w:p w14:paraId="0F3CFAEA" w14:textId="53764465" w:rsidR="003A3D51" w:rsidRDefault="0002775A">
            <w:pPr>
              <w:pStyle w:val="P68B1DB1-Normal64"/>
              <w:spacing w:after="0" w:line="240" w:lineRule="auto"/>
              <w:jc w:val="center"/>
              <w:textAlignment w:val="baseline"/>
              <w:rPr>
                <w:rFonts w:eastAsia="Times New Roman"/>
                <w:noProof/>
              </w:rPr>
            </w:pPr>
            <w:r>
              <w:rPr>
                <w:noProof/>
              </w:rPr>
              <w:t>C5.1 R1-I2</w:t>
            </w:r>
          </w:p>
        </w:tc>
        <w:tc>
          <w:tcPr>
            <w:tcW w:w="1134" w:type="dxa"/>
            <w:tcBorders>
              <w:top w:val="nil"/>
              <w:left w:val="nil"/>
              <w:bottom w:val="single" w:sz="6" w:space="0" w:color="auto"/>
              <w:right w:val="single" w:sz="6" w:space="0" w:color="auto"/>
            </w:tcBorders>
            <w:shd w:val="clear" w:color="auto" w:fill="C6EFCE"/>
            <w:vAlign w:val="center"/>
          </w:tcPr>
          <w:p w14:paraId="3172A7B5" w14:textId="7B2AB120" w:rsidR="003A3D51" w:rsidRDefault="0002775A">
            <w:pPr>
              <w:pStyle w:val="P68B1DB1-Normal64"/>
              <w:spacing w:after="0" w:line="240" w:lineRule="auto"/>
              <w:jc w:val="center"/>
              <w:textAlignment w:val="baseline"/>
              <w:rPr>
                <w:rFonts w:eastAsia="Times New Roman"/>
                <w:noProof/>
              </w:rPr>
            </w:pPr>
            <w:r>
              <w:rPr>
                <w:noProof/>
              </w:rPr>
              <w:t>T</w:t>
            </w:r>
          </w:p>
        </w:tc>
        <w:tc>
          <w:tcPr>
            <w:tcW w:w="5529" w:type="dxa"/>
            <w:tcBorders>
              <w:top w:val="nil"/>
              <w:left w:val="nil"/>
              <w:bottom w:val="single" w:sz="6" w:space="0" w:color="auto"/>
              <w:right w:val="single" w:sz="6" w:space="0" w:color="auto"/>
            </w:tcBorders>
            <w:shd w:val="clear" w:color="auto" w:fill="C6EFCE"/>
          </w:tcPr>
          <w:p w14:paraId="1698AB01" w14:textId="2FDA220B" w:rsidR="003A3D51" w:rsidRDefault="0002775A">
            <w:pPr>
              <w:pStyle w:val="P68B1DB1-Normal64"/>
              <w:spacing w:after="0" w:line="240" w:lineRule="auto"/>
              <w:jc w:val="both"/>
              <w:textAlignment w:val="baseline"/>
              <w:rPr>
                <w:rFonts w:eastAsia="Times New Roman"/>
                <w:noProof/>
              </w:rPr>
            </w:pPr>
            <w:r>
              <w:rPr>
                <w:noProof/>
              </w:rPr>
              <w:t xml:space="preserve">Tillhandahållande av mobil öppenvård, primärvård </w:t>
            </w:r>
          </w:p>
        </w:tc>
      </w:tr>
      <w:tr w:rsidR="003A3D51" w14:paraId="15D2D96D"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412AFD74" w14:textId="4D983F2D" w:rsidR="003A3D51" w:rsidRDefault="0002775A">
            <w:pPr>
              <w:pStyle w:val="P68B1DB1-Normal63"/>
              <w:spacing w:after="0" w:line="240" w:lineRule="auto"/>
              <w:jc w:val="center"/>
              <w:textAlignment w:val="baseline"/>
              <w:rPr>
                <w:noProof/>
              </w:rPr>
            </w:pPr>
            <w:r>
              <w:rPr>
                <w:noProof/>
              </w:rPr>
              <w:t>384</w:t>
            </w:r>
          </w:p>
        </w:tc>
        <w:tc>
          <w:tcPr>
            <w:tcW w:w="1642" w:type="dxa"/>
            <w:tcBorders>
              <w:top w:val="nil"/>
              <w:left w:val="nil"/>
              <w:bottom w:val="single" w:sz="6" w:space="0" w:color="auto"/>
              <w:right w:val="single" w:sz="6" w:space="0" w:color="auto"/>
            </w:tcBorders>
            <w:shd w:val="clear" w:color="auto" w:fill="C6EFCE"/>
            <w:vAlign w:val="center"/>
            <w:hideMark/>
          </w:tcPr>
          <w:p w14:paraId="294A1805" w14:textId="08334D6F" w:rsidR="003A3D51" w:rsidRDefault="0002775A">
            <w:pPr>
              <w:pStyle w:val="P68B1DB1-Normal63"/>
              <w:spacing w:after="0" w:line="240" w:lineRule="auto"/>
              <w:jc w:val="center"/>
              <w:textAlignment w:val="baseline"/>
              <w:rPr>
                <w:noProof/>
              </w:rPr>
            </w:pPr>
            <w:r>
              <w:rPr>
                <w:noProof/>
              </w:rPr>
              <w:t>C1.3 R3</w:t>
            </w:r>
          </w:p>
        </w:tc>
        <w:tc>
          <w:tcPr>
            <w:tcW w:w="1134" w:type="dxa"/>
            <w:tcBorders>
              <w:top w:val="nil"/>
              <w:left w:val="nil"/>
              <w:bottom w:val="single" w:sz="6" w:space="0" w:color="auto"/>
              <w:right w:val="single" w:sz="6" w:space="0" w:color="auto"/>
            </w:tcBorders>
            <w:shd w:val="clear" w:color="auto" w:fill="C6EFCE"/>
            <w:vAlign w:val="center"/>
            <w:hideMark/>
          </w:tcPr>
          <w:p w14:paraId="1A88393B"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hideMark/>
          </w:tcPr>
          <w:p w14:paraId="770855DC" w14:textId="77777777" w:rsidR="003A3D51" w:rsidRDefault="0002775A">
            <w:pPr>
              <w:pStyle w:val="P68B1DB1-Normal63"/>
              <w:spacing w:after="0" w:line="240" w:lineRule="auto"/>
              <w:jc w:val="both"/>
              <w:textAlignment w:val="baseline"/>
              <w:rPr>
                <w:noProof/>
              </w:rPr>
            </w:pPr>
            <w:r>
              <w:rPr>
                <w:noProof/>
              </w:rPr>
              <w:t> Antagande av vattenoperatörers handlingsplaner för att minska vattenförluster</w:t>
            </w:r>
          </w:p>
        </w:tc>
      </w:tr>
      <w:tr w:rsidR="003A3D51" w14:paraId="44FF3A92"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54EBF1DA" w14:textId="60D81FAE" w:rsidR="003A3D51" w:rsidRDefault="0002775A">
            <w:pPr>
              <w:pStyle w:val="P68B1DB1-Normal63"/>
              <w:spacing w:after="0" w:line="240" w:lineRule="auto"/>
              <w:jc w:val="center"/>
              <w:textAlignment w:val="baseline"/>
              <w:rPr>
                <w:noProof/>
              </w:rPr>
            </w:pPr>
            <w:r>
              <w:rPr>
                <w:noProof/>
              </w:rPr>
              <w:t>389</w:t>
            </w:r>
          </w:p>
        </w:tc>
        <w:tc>
          <w:tcPr>
            <w:tcW w:w="1642" w:type="dxa"/>
            <w:tcBorders>
              <w:top w:val="nil"/>
              <w:left w:val="nil"/>
              <w:bottom w:val="single" w:sz="6" w:space="0" w:color="auto"/>
              <w:right w:val="single" w:sz="6" w:space="0" w:color="auto"/>
            </w:tcBorders>
            <w:shd w:val="clear" w:color="auto" w:fill="C6EFCE"/>
            <w:vAlign w:val="center"/>
            <w:hideMark/>
          </w:tcPr>
          <w:p w14:paraId="7AAA2E6E" w14:textId="178730FC" w:rsidR="003A3D51" w:rsidRDefault="0002775A">
            <w:pPr>
              <w:pStyle w:val="P68B1DB1-Normal63"/>
              <w:spacing w:after="0" w:line="240" w:lineRule="auto"/>
              <w:jc w:val="center"/>
              <w:textAlignment w:val="baseline"/>
              <w:rPr>
                <w:noProof/>
              </w:rPr>
            </w:pPr>
            <w:r>
              <w:rPr>
                <w:noProof/>
              </w:rPr>
              <w:t>C1.3 R3</w:t>
            </w:r>
          </w:p>
        </w:tc>
        <w:tc>
          <w:tcPr>
            <w:tcW w:w="1134" w:type="dxa"/>
            <w:tcBorders>
              <w:top w:val="nil"/>
              <w:left w:val="nil"/>
              <w:bottom w:val="single" w:sz="6" w:space="0" w:color="auto"/>
              <w:right w:val="single" w:sz="6" w:space="0" w:color="auto"/>
            </w:tcBorders>
            <w:shd w:val="clear" w:color="auto" w:fill="C6EFCE"/>
            <w:vAlign w:val="center"/>
            <w:hideMark/>
          </w:tcPr>
          <w:p w14:paraId="6DC423ED"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hideMark/>
          </w:tcPr>
          <w:p w14:paraId="18A31F94" w14:textId="77777777" w:rsidR="003A3D51" w:rsidRDefault="0002775A">
            <w:pPr>
              <w:pStyle w:val="P68B1DB1-Normal63"/>
              <w:spacing w:after="0" w:line="240" w:lineRule="auto"/>
              <w:jc w:val="both"/>
              <w:textAlignment w:val="baseline"/>
              <w:rPr>
                <w:noProof/>
              </w:rPr>
            </w:pPr>
            <w:r>
              <w:rPr>
                <w:noProof/>
              </w:rPr>
              <w:t> Offentligt avloppsnät som uppförts eller rekonstruerats</w:t>
            </w:r>
          </w:p>
        </w:tc>
      </w:tr>
      <w:tr w:rsidR="003A3D51" w14:paraId="4361AC44"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E76C9A9" w14:textId="146E1CA5" w:rsidR="003A3D51" w:rsidRDefault="0002775A">
            <w:pPr>
              <w:pStyle w:val="P68B1DB1-Normal63"/>
              <w:spacing w:after="0" w:line="240" w:lineRule="auto"/>
              <w:jc w:val="center"/>
              <w:textAlignment w:val="baseline"/>
              <w:rPr>
                <w:noProof/>
              </w:rPr>
            </w:pPr>
            <w:r>
              <w:rPr>
                <w:noProof/>
              </w:rPr>
              <w:t>391</w:t>
            </w:r>
          </w:p>
        </w:tc>
        <w:tc>
          <w:tcPr>
            <w:tcW w:w="1642" w:type="dxa"/>
            <w:tcBorders>
              <w:top w:val="nil"/>
              <w:left w:val="nil"/>
              <w:bottom w:val="single" w:sz="6" w:space="0" w:color="auto"/>
              <w:right w:val="single" w:sz="6" w:space="0" w:color="auto"/>
            </w:tcBorders>
            <w:shd w:val="clear" w:color="auto" w:fill="C6EFCE"/>
            <w:vAlign w:val="center"/>
          </w:tcPr>
          <w:p w14:paraId="7E230AF8" w14:textId="4D740B7F" w:rsidR="003A3D51" w:rsidRDefault="0002775A">
            <w:pPr>
              <w:pStyle w:val="P68B1DB1-Normal63"/>
              <w:spacing w:after="0" w:line="240" w:lineRule="auto"/>
              <w:jc w:val="center"/>
              <w:textAlignment w:val="baseline"/>
              <w:rPr>
                <w:noProof/>
              </w:rPr>
            </w:pPr>
            <w:r>
              <w:rPr>
                <w:noProof/>
              </w:rPr>
              <w:t>C1.3 R3-I2</w:t>
            </w:r>
          </w:p>
        </w:tc>
        <w:tc>
          <w:tcPr>
            <w:tcW w:w="1134" w:type="dxa"/>
            <w:tcBorders>
              <w:top w:val="nil"/>
              <w:left w:val="nil"/>
              <w:bottom w:val="single" w:sz="6" w:space="0" w:color="auto"/>
              <w:right w:val="single" w:sz="6" w:space="0" w:color="auto"/>
            </w:tcBorders>
            <w:shd w:val="clear" w:color="auto" w:fill="C6EFCE"/>
            <w:vAlign w:val="center"/>
          </w:tcPr>
          <w:p w14:paraId="2168BD3D"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tcPr>
          <w:p w14:paraId="4A308B6D" w14:textId="77777777" w:rsidR="003A3D51" w:rsidRDefault="0002775A">
            <w:pPr>
              <w:pStyle w:val="P68B1DB1-Normal63"/>
              <w:spacing w:after="0" w:line="240" w:lineRule="auto"/>
              <w:jc w:val="both"/>
              <w:textAlignment w:val="baseline"/>
              <w:rPr>
                <w:noProof/>
              </w:rPr>
            </w:pPr>
            <w:r>
              <w:rPr>
                <w:noProof/>
              </w:rPr>
              <w:t>Allmänt vattenförsörjningsnät konstruerat eller ombyggt</w:t>
            </w:r>
          </w:p>
        </w:tc>
      </w:tr>
      <w:tr w:rsidR="003A3D51" w14:paraId="69F71198"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CEE4CB5" w14:textId="11FDA9D0" w:rsidR="003A3D51" w:rsidRDefault="0002775A">
            <w:pPr>
              <w:pStyle w:val="P68B1DB1-Normal64"/>
              <w:spacing w:after="0" w:line="240" w:lineRule="auto"/>
              <w:jc w:val="center"/>
              <w:textAlignment w:val="baseline"/>
              <w:rPr>
                <w:noProof/>
                <w:highlight w:val="yellow"/>
              </w:rPr>
            </w:pPr>
            <w:r>
              <w:rPr>
                <w:noProof/>
              </w:rPr>
              <w:t>394</w:t>
            </w:r>
          </w:p>
        </w:tc>
        <w:tc>
          <w:tcPr>
            <w:tcW w:w="1642" w:type="dxa"/>
            <w:tcBorders>
              <w:top w:val="nil"/>
              <w:left w:val="nil"/>
              <w:bottom w:val="single" w:sz="6" w:space="0" w:color="auto"/>
              <w:right w:val="single" w:sz="6" w:space="0" w:color="auto"/>
            </w:tcBorders>
            <w:shd w:val="clear" w:color="auto" w:fill="C6EFCE"/>
            <w:vAlign w:val="center"/>
          </w:tcPr>
          <w:p w14:paraId="2D0175D3" w14:textId="77777777" w:rsidR="003A3D51" w:rsidRDefault="0002775A">
            <w:pPr>
              <w:pStyle w:val="P68B1DB1-Normal64"/>
              <w:spacing w:after="0" w:line="240" w:lineRule="auto"/>
              <w:jc w:val="center"/>
              <w:textAlignment w:val="baseline"/>
              <w:rPr>
                <w:noProof/>
                <w:highlight w:val="yellow"/>
              </w:rPr>
            </w:pPr>
            <w:r>
              <w:rPr>
                <w:noProof/>
              </w:rPr>
              <w:t>C2.3 R3- I17</w:t>
            </w:r>
          </w:p>
        </w:tc>
        <w:tc>
          <w:tcPr>
            <w:tcW w:w="1134" w:type="dxa"/>
            <w:tcBorders>
              <w:top w:val="nil"/>
              <w:left w:val="nil"/>
              <w:bottom w:val="single" w:sz="6" w:space="0" w:color="auto"/>
              <w:right w:val="single" w:sz="6" w:space="0" w:color="auto"/>
            </w:tcBorders>
            <w:shd w:val="clear" w:color="auto" w:fill="C6EFCE"/>
            <w:vAlign w:val="center"/>
          </w:tcPr>
          <w:p w14:paraId="2C11F0BA" w14:textId="77777777" w:rsidR="003A3D51" w:rsidRDefault="0002775A">
            <w:pPr>
              <w:pStyle w:val="P68B1DB1-Normal64"/>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vAlign w:val="center"/>
          </w:tcPr>
          <w:p w14:paraId="474CD794" w14:textId="77777777" w:rsidR="003A3D51" w:rsidRDefault="0002775A">
            <w:pPr>
              <w:pStyle w:val="P68B1DB1-Normal64"/>
              <w:spacing w:after="0" w:line="240" w:lineRule="auto"/>
              <w:jc w:val="both"/>
              <w:textAlignment w:val="baseline"/>
              <w:rPr>
                <w:noProof/>
              </w:rPr>
            </w:pPr>
            <w:r>
              <w:rPr>
                <w:noProof/>
              </w:rPr>
              <w:t>Folk-, familje- och hushållsregister (SOK)</w:t>
            </w:r>
          </w:p>
        </w:tc>
      </w:tr>
      <w:tr w:rsidR="003A3D51" w14:paraId="1C179DBF"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886C30C" w14:textId="548ECE99" w:rsidR="003A3D51" w:rsidRDefault="0002775A">
            <w:pPr>
              <w:pStyle w:val="P68B1DB1-Normal64"/>
              <w:spacing w:after="0" w:line="240" w:lineRule="auto"/>
              <w:jc w:val="center"/>
              <w:textAlignment w:val="baseline"/>
              <w:rPr>
                <w:noProof/>
              </w:rPr>
            </w:pPr>
            <w:r>
              <w:rPr>
                <w:noProof/>
              </w:rPr>
              <w:t>416</w:t>
            </w:r>
          </w:p>
        </w:tc>
        <w:tc>
          <w:tcPr>
            <w:tcW w:w="1642" w:type="dxa"/>
            <w:tcBorders>
              <w:top w:val="nil"/>
              <w:left w:val="nil"/>
              <w:bottom w:val="single" w:sz="6" w:space="0" w:color="auto"/>
              <w:right w:val="single" w:sz="6" w:space="0" w:color="auto"/>
            </w:tcBorders>
            <w:shd w:val="clear" w:color="auto" w:fill="C6EFCE"/>
            <w:vAlign w:val="center"/>
          </w:tcPr>
          <w:p w14:paraId="34F54AFF" w14:textId="4B0D9DD8" w:rsidR="003A3D51" w:rsidRDefault="0002775A">
            <w:pPr>
              <w:pStyle w:val="P68B1DB1-Normal64"/>
              <w:spacing w:after="0" w:line="240" w:lineRule="auto"/>
              <w:jc w:val="center"/>
              <w:textAlignment w:val="baseline"/>
              <w:rPr>
                <w:noProof/>
              </w:rPr>
            </w:pPr>
            <w:r>
              <w:rPr>
                <w:noProof/>
              </w:rPr>
              <w:t>C7.1 R1-I4</w:t>
            </w:r>
          </w:p>
        </w:tc>
        <w:tc>
          <w:tcPr>
            <w:tcW w:w="1134" w:type="dxa"/>
            <w:tcBorders>
              <w:top w:val="nil"/>
              <w:left w:val="nil"/>
              <w:bottom w:val="single" w:sz="6" w:space="0" w:color="auto"/>
              <w:right w:val="single" w:sz="6" w:space="0" w:color="auto"/>
            </w:tcBorders>
            <w:shd w:val="clear" w:color="auto" w:fill="C6EFCE"/>
            <w:vAlign w:val="center"/>
          </w:tcPr>
          <w:p w14:paraId="414AF5D9" w14:textId="77777777" w:rsidR="003A3D51" w:rsidRDefault="0002775A">
            <w:pPr>
              <w:pStyle w:val="P68B1DB1-Normal64"/>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tcPr>
          <w:p w14:paraId="73C65E2B" w14:textId="77777777" w:rsidR="003A3D51" w:rsidRDefault="0002775A">
            <w:pPr>
              <w:pStyle w:val="P68B1DB1-Normal64"/>
              <w:spacing w:after="0" w:line="240" w:lineRule="auto"/>
              <w:jc w:val="both"/>
              <w:textAlignment w:val="baseline"/>
              <w:rPr>
                <w:noProof/>
              </w:rPr>
            </w:pPr>
            <w:r>
              <w:rPr>
                <w:noProof/>
              </w:rPr>
              <w:t>Rättslig ram för biogasproduktion</w:t>
            </w:r>
          </w:p>
        </w:tc>
      </w:tr>
      <w:tr w:rsidR="003A3D51" w14:paraId="5BECCBB1"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510B6142" w14:textId="11AAA48F" w:rsidR="003A3D51" w:rsidRDefault="0002775A">
            <w:pPr>
              <w:pStyle w:val="P68B1DB1-Normal64"/>
              <w:spacing w:after="0" w:line="240" w:lineRule="auto"/>
              <w:jc w:val="center"/>
              <w:textAlignment w:val="baseline"/>
              <w:rPr>
                <w:noProof/>
              </w:rPr>
            </w:pPr>
            <w:r>
              <w:rPr>
                <w:noProof/>
              </w:rPr>
              <w:t>422</w:t>
            </w:r>
          </w:p>
        </w:tc>
        <w:tc>
          <w:tcPr>
            <w:tcW w:w="1642" w:type="dxa"/>
            <w:tcBorders>
              <w:top w:val="nil"/>
              <w:left w:val="nil"/>
              <w:bottom w:val="single" w:sz="6" w:space="0" w:color="auto"/>
              <w:right w:val="single" w:sz="6" w:space="0" w:color="auto"/>
            </w:tcBorders>
            <w:shd w:val="clear" w:color="auto" w:fill="C6EFCE"/>
            <w:vAlign w:val="center"/>
          </w:tcPr>
          <w:p w14:paraId="3C9EF5A5" w14:textId="1F27CEA3" w:rsidR="003A3D51" w:rsidRDefault="0002775A">
            <w:pPr>
              <w:pStyle w:val="P68B1DB1-Normal64"/>
              <w:spacing w:after="0" w:line="240" w:lineRule="auto"/>
              <w:jc w:val="center"/>
              <w:textAlignment w:val="baseline"/>
              <w:rPr>
                <w:noProof/>
              </w:rPr>
            </w:pPr>
            <w:r>
              <w:rPr>
                <w:noProof/>
              </w:rPr>
              <w:t>C7.1 I3</w:t>
            </w:r>
          </w:p>
        </w:tc>
        <w:tc>
          <w:tcPr>
            <w:tcW w:w="1134" w:type="dxa"/>
            <w:tcBorders>
              <w:top w:val="nil"/>
              <w:left w:val="nil"/>
              <w:bottom w:val="single" w:sz="6" w:space="0" w:color="auto"/>
              <w:right w:val="single" w:sz="6" w:space="0" w:color="auto"/>
            </w:tcBorders>
            <w:shd w:val="clear" w:color="auto" w:fill="C6EFCE"/>
            <w:vAlign w:val="center"/>
          </w:tcPr>
          <w:p w14:paraId="39429E86" w14:textId="77777777" w:rsidR="003A3D51" w:rsidRDefault="0002775A">
            <w:pPr>
              <w:pStyle w:val="P68B1DB1-Normal64"/>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4BC83D84" w14:textId="77777777" w:rsidR="003A3D51" w:rsidRDefault="0002775A">
            <w:pPr>
              <w:pStyle w:val="P68B1DB1-Normal64"/>
              <w:spacing w:after="0" w:line="240" w:lineRule="auto"/>
              <w:jc w:val="both"/>
              <w:textAlignment w:val="baseline"/>
              <w:rPr>
                <w:noProof/>
              </w:rPr>
            </w:pPr>
            <w:r>
              <w:rPr>
                <w:noProof/>
              </w:rPr>
              <w:t>Utbyggnad av LNG-terminalen på ön Krk i drift</w:t>
            </w:r>
          </w:p>
        </w:tc>
      </w:tr>
      <w:tr w:rsidR="003A3D51" w14:paraId="5273FA06"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64F1DDE" w14:textId="74F9D8A7" w:rsidR="003A3D51" w:rsidRDefault="0002775A">
            <w:pPr>
              <w:pStyle w:val="P68B1DB1-Normal64"/>
              <w:spacing w:after="0" w:line="240" w:lineRule="auto"/>
              <w:jc w:val="center"/>
              <w:textAlignment w:val="baseline"/>
              <w:rPr>
                <w:noProof/>
              </w:rPr>
            </w:pPr>
            <w:r>
              <w:rPr>
                <w:noProof/>
              </w:rPr>
              <w:t>434</w:t>
            </w:r>
          </w:p>
          <w:p w14:paraId="44399BF3" w14:textId="77777777" w:rsidR="003A3D51" w:rsidRDefault="003A3D51">
            <w:pPr>
              <w:spacing w:after="0" w:line="240" w:lineRule="auto"/>
              <w:jc w:val="center"/>
              <w:textAlignment w:val="baseline"/>
              <w:rPr>
                <w:rFonts w:ascii="Times New Roman" w:hAnsi="Times New Roman" w:cs="Times New Roman"/>
                <w:noProof/>
                <w:color w:val="000000"/>
                <w:sz w:val="20"/>
              </w:rPr>
            </w:pPr>
          </w:p>
        </w:tc>
        <w:tc>
          <w:tcPr>
            <w:tcW w:w="1642" w:type="dxa"/>
            <w:tcBorders>
              <w:top w:val="nil"/>
              <w:left w:val="nil"/>
              <w:bottom w:val="single" w:sz="6" w:space="0" w:color="auto"/>
              <w:right w:val="single" w:sz="6" w:space="0" w:color="auto"/>
            </w:tcBorders>
            <w:shd w:val="clear" w:color="auto" w:fill="C6EFCE"/>
            <w:vAlign w:val="center"/>
          </w:tcPr>
          <w:p w14:paraId="08A7A3DC" w14:textId="7A7ADFF4" w:rsidR="003A3D51" w:rsidRDefault="0002775A">
            <w:pPr>
              <w:pStyle w:val="P68B1DB1-Normal64"/>
              <w:spacing w:after="200" w:line="240" w:lineRule="auto"/>
              <w:jc w:val="center"/>
              <w:textAlignment w:val="baseline"/>
              <w:rPr>
                <w:noProof/>
              </w:rPr>
            </w:pPr>
            <w:r>
              <w:rPr>
                <w:noProof/>
              </w:rPr>
              <w:t>C7.2 R4</w:t>
            </w:r>
          </w:p>
        </w:tc>
        <w:tc>
          <w:tcPr>
            <w:tcW w:w="1134" w:type="dxa"/>
            <w:tcBorders>
              <w:top w:val="nil"/>
              <w:left w:val="nil"/>
              <w:bottom w:val="single" w:sz="6" w:space="0" w:color="auto"/>
              <w:right w:val="single" w:sz="6" w:space="0" w:color="auto"/>
            </w:tcBorders>
            <w:shd w:val="clear" w:color="auto" w:fill="C6EFCE"/>
            <w:vAlign w:val="center"/>
          </w:tcPr>
          <w:p w14:paraId="2245E9E5" w14:textId="77777777" w:rsidR="003A3D51" w:rsidRDefault="0002775A">
            <w:pPr>
              <w:pStyle w:val="P68B1DB1-Normal64"/>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6F2AA7CB" w14:textId="14D82BD5" w:rsidR="003A3D51" w:rsidRDefault="0002775A">
            <w:pPr>
              <w:pStyle w:val="P68B1DB1-Normal64"/>
              <w:spacing w:after="0" w:line="240" w:lineRule="auto"/>
              <w:jc w:val="both"/>
              <w:textAlignment w:val="baseline"/>
              <w:rPr>
                <w:noProof/>
              </w:rPr>
            </w:pPr>
            <w:r>
              <w:rPr>
                <w:noProof/>
              </w:rPr>
              <w:t>Presentera vuxenutbildningsprogrammet för arbetsgivare och berörda parter</w:t>
            </w:r>
          </w:p>
        </w:tc>
      </w:tr>
      <w:tr w:rsidR="003A3D51" w14:paraId="1C499D74" w14:textId="77777777">
        <w:trPr>
          <w:trHeight w:val="362"/>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464BABF2" w14:textId="77777777" w:rsidR="003A3D51" w:rsidRDefault="0002775A">
            <w:pPr>
              <w:pStyle w:val="P68B1DB1-Normal68"/>
              <w:spacing w:after="0" w:line="240" w:lineRule="auto"/>
              <w:jc w:val="center"/>
              <w:textAlignment w:val="baseline"/>
              <w:rPr>
                <w:noProof/>
              </w:rPr>
            </w:pPr>
            <w:r>
              <w:rPr>
                <w:noProof/>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60102EBD" w14:textId="77777777" w:rsidR="003A3D51" w:rsidRDefault="0002775A">
            <w:pPr>
              <w:pStyle w:val="P68B1DB1-Normal68"/>
              <w:spacing w:after="0" w:line="240" w:lineRule="auto"/>
              <w:jc w:val="both"/>
              <w:textAlignment w:val="baseline"/>
              <w:rPr>
                <w:noProof/>
              </w:rPr>
            </w:pPr>
            <w:r>
              <w:rPr>
                <w:noProof/>
              </w:rPr>
              <w:t> </w:t>
            </w:r>
          </w:p>
        </w:tc>
        <w:tc>
          <w:tcPr>
            <w:tcW w:w="1134" w:type="dxa"/>
            <w:tcBorders>
              <w:top w:val="single" w:sz="6" w:space="0" w:color="auto"/>
              <w:left w:val="nil"/>
              <w:bottom w:val="single" w:sz="6" w:space="0" w:color="auto"/>
              <w:right w:val="single" w:sz="6" w:space="0" w:color="auto"/>
            </w:tcBorders>
            <w:shd w:val="clear" w:color="auto" w:fill="C6EFCE"/>
            <w:vAlign w:val="bottom"/>
            <w:hideMark/>
          </w:tcPr>
          <w:p w14:paraId="67DE01F8" w14:textId="77777777" w:rsidR="003A3D51" w:rsidRDefault="0002775A">
            <w:pPr>
              <w:pStyle w:val="P68B1DB1-Normal63"/>
              <w:spacing w:after="0" w:line="240" w:lineRule="auto"/>
              <w:jc w:val="both"/>
              <w:textAlignment w:val="baseline"/>
              <w:rPr>
                <w:noProof/>
              </w:rPr>
            </w:pPr>
            <w:r>
              <w:rPr>
                <w:noProof/>
              </w:rPr>
              <w:t>Delbetalning, belopp </w:t>
            </w:r>
          </w:p>
        </w:tc>
        <w:tc>
          <w:tcPr>
            <w:tcW w:w="5529" w:type="dxa"/>
            <w:tcBorders>
              <w:top w:val="single" w:sz="6" w:space="0" w:color="auto"/>
              <w:left w:val="nil"/>
              <w:bottom w:val="single" w:sz="6" w:space="0" w:color="auto"/>
              <w:right w:val="single" w:sz="6" w:space="0" w:color="auto"/>
            </w:tcBorders>
            <w:shd w:val="clear" w:color="auto" w:fill="C6EFCE"/>
            <w:vAlign w:val="bottom"/>
            <w:hideMark/>
          </w:tcPr>
          <w:p w14:paraId="4AFE63DB" w14:textId="26D33F60" w:rsidR="003A3D51" w:rsidRDefault="0002775A">
            <w:pPr>
              <w:pStyle w:val="P68B1DB1-Normal63"/>
              <w:spacing w:after="0" w:line="240" w:lineRule="auto"/>
              <w:jc w:val="both"/>
              <w:textAlignment w:val="baseline"/>
              <w:rPr>
                <w:noProof/>
              </w:rPr>
            </w:pPr>
            <w:r>
              <w:rPr>
                <w:noProof/>
              </w:rPr>
              <w:t>551 111 397 EUR</w:t>
            </w:r>
          </w:p>
        </w:tc>
      </w:tr>
    </w:tbl>
    <w:p w14:paraId="4F2A3D43" w14:textId="77777777" w:rsidR="003A3D51" w:rsidRDefault="003A3D51">
      <w:pPr>
        <w:spacing w:after="0" w:line="240" w:lineRule="auto"/>
        <w:ind w:left="705"/>
        <w:jc w:val="both"/>
        <w:textAlignment w:val="baseline"/>
        <w:rPr>
          <w:rFonts w:ascii="Times New Roman" w:eastAsia="Times New Roman" w:hAnsi="Times New Roman" w:cs="Times New Roman"/>
          <w:i/>
          <w:noProof/>
          <w:color w:val="4F81BD"/>
          <w:sz w:val="24"/>
        </w:rPr>
      </w:pPr>
    </w:p>
    <w:p w14:paraId="227D102E" w14:textId="77777777" w:rsidR="003A3D51" w:rsidRDefault="0002775A">
      <w:pPr>
        <w:pStyle w:val="P68B1DB1-ListParagraph65"/>
        <w:numPr>
          <w:ilvl w:val="0"/>
          <w:numId w:val="51"/>
        </w:numPr>
        <w:spacing w:line="240" w:lineRule="auto"/>
        <w:jc w:val="both"/>
        <w:textAlignment w:val="baseline"/>
        <w:rPr>
          <w:noProof/>
        </w:rPr>
      </w:pPr>
      <w:r>
        <w:rPr>
          <w:noProof/>
        </w:rPr>
        <w:t xml:space="preserve">Sjätte delbetalningen (lånestöd): </w:t>
      </w:r>
    </w:p>
    <w:tbl>
      <w:tblPr>
        <w:tblW w:w="940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1635"/>
        <w:gridCol w:w="1134"/>
        <w:gridCol w:w="5489"/>
      </w:tblGrid>
      <w:tr w:rsidR="003A3D51" w14:paraId="140D64DA" w14:textId="77777777">
        <w:trPr>
          <w:trHeight w:val="1088"/>
          <w:tblHeader/>
        </w:trPr>
        <w:tc>
          <w:tcPr>
            <w:tcW w:w="1096"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2E26A36" w14:textId="77777777" w:rsidR="003A3D51" w:rsidRDefault="0002775A">
            <w:pPr>
              <w:pStyle w:val="P68B1DB1-Normal63"/>
              <w:spacing w:after="0" w:line="240" w:lineRule="auto"/>
              <w:jc w:val="center"/>
              <w:textAlignment w:val="baseline"/>
              <w:rPr>
                <w:noProof/>
              </w:rPr>
            </w:pPr>
            <w:r>
              <w:rPr>
                <w:b/>
                <w:noProof/>
              </w:rPr>
              <w:t>Löpnummer</w:t>
            </w:r>
            <w:r>
              <w:rPr>
                <w:noProof/>
              </w:rPr>
              <w:t> </w:t>
            </w:r>
          </w:p>
        </w:tc>
        <w:tc>
          <w:tcPr>
            <w:tcW w:w="1642"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311679E" w14:textId="77777777" w:rsidR="003A3D51" w:rsidRDefault="0002775A">
            <w:pPr>
              <w:pStyle w:val="P68B1DB1-Normal63"/>
              <w:spacing w:after="0" w:line="240" w:lineRule="auto"/>
              <w:jc w:val="center"/>
              <w:textAlignment w:val="baseline"/>
              <w:rPr>
                <w:noProof/>
              </w:rPr>
            </w:pPr>
            <w:r>
              <w:rPr>
                <w:b/>
                <w:noProof/>
              </w:rPr>
              <w:t>Berörd åtgärd (reform eller investering)</w:t>
            </w:r>
            <w:r>
              <w:rPr>
                <w:noProof/>
              </w:rPr>
              <w:t> </w:t>
            </w:r>
          </w:p>
        </w:tc>
        <w:tc>
          <w:tcPr>
            <w:tcW w:w="1134" w:type="dxa"/>
            <w:vMerge w:val="restart"/>
            <w:tcBorders>
              <w:top w:val="single" w:sz="6" w:space="0" w:color="auto"/>
              <w:left w:val="single" w:sz="6" w:space="0" w:color="auto"/>
              <w:bottom w:val="single" w:sz="6" w:space="0" w:color="000000"/>
              <w:right w:val="single" w:sz="6" w:space="0" w:color="auto"/>
            </w:tcBorders>
            <w:shd w:val="clear" w:color="auto" w:fill="BDD7EE"/>
            <w:vAlign w:val="center"/>
            <w:hideMark/>
          </w:tcPr>
          <w:p w14:paraId="3DC0F59C" w14:textId="77777777" w:rsidR="003A3D51" w:rsidRDefault="0002775A">
            <w:pPr>
              <w:pStyle w:val="P68B1DB1-Normal63"/>
              <w:spacing w:after="0" w:line="240" w:lineRule="auto"/>
              <w:jc w:val="center"/>
              <w:textAlignment w:val="baseline"/>
              <w:rPr>
                <w:noProof/>
              </w:rPr>
            </w:pPr>
            <w:r>
              <w:rPr>
                <w:b/>
                <w:noProof/>
              </w:rPr>
              <w:t>Delmål/mål</w:t>
            </w:r>
            <w:r>
              <w:rPr>
                <w:noProof/>
              </w:rPr>
              <w:t> </w:t>
            </w:r>
          </w:p>
        </w:tc>
        <w:tc>
          <w:tcPr>
            <w:tcW w:w="5529" w:type="dxa"/>
            <w:vMerge w:val="restart"/>
            <w:tcBorders>
              <w:top w:val="single" w:sz="6" w:space="0" w:color="auto"/>
              <w:left w:val="nil"/>
              <w:bottom w:val="single" w:sz="6" w:space="0" w:color="000000"/>
              <w:right w:val="single" w:sz="6" w:space="0" w:color="auto"/>
            </w:tcBorders>
            <w:shd w:val="clear" w:color="auto" w:fill="BDD7EE"/>
            <w:vAlign w:val="center"/>
            <w:hideMark/>
          </w:tcPr>
          <w:p w14:paraId="2E9B3A04" w14:textId="77777777" w:rsidR="003A3D51" w:rsidRDefault="0002775A">
            <w:pPr>
              <w:pStyle w:val="P68B1DB1-Normal63"/>
              <w:spacing w:after="0" w:line="240" w:lineRule="auto"/>
              <w:jc w:val="center"/>
              <w:textAlignment w:val="baseline"/>
              <w:rPr>
                <w:noProof/>
              </w:rPr>
            </w:pPr>
            <w:r>
              <w:rPr>
                <w:b/>
                <w:noProof/>
              </w:rPr>
              <w:t>Namn</w:t>
            </w:r>
            <w:r>
              <w:rPr>
                <w:noProof/>
              </w:rPr>
              <w:t> </w:t>
            </w:r>
          </w:p>
        </w:tc>
      </w:tr>
      <w:tr w:rsidR="003A3D51" w14:paraId="0AC924D3" w14:textId="77777777">
        <w:trPr>
          <w:trHeight w:val="493"/>
        </w:trPr>
        <w:tc>
          <w:tcPr>
            <w:tcW w:w="109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0E2B7EA" w14:textId="77777777" w:rsidR="003A3D51" w:rsidRDefault="003A3D51">
            <w:pPr>
              <w:spacing w:after="0" w:line="240" w:lineRule="auto"/>
              <w:rPr>
                <w:rFonts w:ascii="Times New Roman" w:eastAsia="Times New Roman" w:hAnsi="Times New Roman" w:cs="Times New Roman"/>
                <w:noProof/>
                <w:sz w:val="20"/>
              </w:rPr>
            </w:pPr>
          </w:p>
        </w:tc>
        <w:tc>
          <w:tcPr>
            <w:tcW w:w="1642"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4B6791A" w14:textId="77777777" w:rsidR="003A3D51" w:rsidRDefault="003A3D51">
            <w:pPr>
              <w:spacing w:after="0" w:line="240" w:lineRule="auto"/>
              <w:rPr>
                <w:rFonts w:ascii="Times New Roman" w:eastAsia="Times New Roman" w:hAnsi="Times New Roman" w:cs="Times New Roman"/>
                <w:noProof/>
                <w:sz w:val="20"/>
              </w:rPr>
            </w:pPr>
          </w:p>
        </w:tc>
        <w:tc>
          <w:tcPr>
            <w:tcW w:w="113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50C645" w14:textId="77777777" w:rsidR="003A3D51" w:rsidRDefault="003A3D51">
            <w:pPr>
              <w:spacing w:after="0" w:line="240" w:lineRule="auto"/>
              <w:rPr>
                <w:rFonts w:ascii="Times New Roman" w:eastAsia="Times New Roman" w:hAnsi="Times New Roman" w:cs="Times New Roman"/>
                <w:noProof/>
                <w:sz w:val="20"/>
              </w:rPr>
            </w:pPr>
          </w:p>
        </w:tc>
        <w:tc>
          <w:tcPr>
            <w:tcW w:w="5529" w:type="dxa"/>
            <w:vMerge/>
            <w:tcBorders>
              <w:top w:val="single" w:sz="6" w:space="0" w:color="auto"/>
              <w:left w:val="nil"/>
              <w:bottom w:val="single" w:sz="6" w:space="0" w:color="000000"/>
              <w:right w:val="single" w:sz="6" w:space="0" w:color="auto"/>
            </w:tcBorders>
            <w:shd w:val="clear" w:color="auto" w:fill="auto"/>
            <w:vAlign w:val="center"/>
            <w:hideMark/>
          </w:tcPr>
          <w:p w14:paraId="10D3073B" w14:textId="77777777" w:rsidR="003A3D51" w:rsidRDefault="003A3D51">
            <w:pPr>
              <w:spacing w:after="0" w:line="240" w:lineRule="auto"/>
              <w:rPr>
                <w:rFonts w:ascii="Times New Roman" w:eastAsia="Times New Roman" w:hAnsi="Times New Roman" w:cs="Times New Roman"/>
                <w:noProof/>
                <w:sz w:val="20"/>
              </w:rPr>
            </w:pPr>
          </w:p>
        </w:tc>
      </w:tr>
      <w:tr w:rsidR="003A3D51" w14:paraId="3E09D009"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9AF9BCC" w14:textId="253618AC" w:rsidR="003A3D51" w:rsidRDefault="0002775A">
            <w:pPr>
              <w:pStyle w:val="P68B1DB1-Normal63"/>
              <w:spacing w:after="0" w:line="240" w:lineRule="auto"/>
              <w:jc w:val="center"/>
              <w:textAlignment w:val="baseline"/>
              <w:rPr>
                <w:noProof/>
              </w:rPr>
            </w:pPr>
            <w:r>
              <w:rPr>
                <w:noProof/>
              </w:rPr>
              <w:t>57</w:t>
            </w:r>
          </w:p>
        </w:tc>
        <w:tc>
          <w:tcPr>
            <w:tcW w:w="1642" w:type="dxa"/>
            <w:tcBorders>
              <w:top w:val="nil"/>
              <w:left w:val="nil"/>
              <w:bottom w:val="single" w:sz="6" w:space="0" w:color="auto"/>
              <w:right w:val="single" w:sz="6" w:space="0" w:color="auto"/>
            </w:tcBorders>
            <w:shd w:val="clear" w:color="auto" w:fill="C6EFCE"/>
            <w:vAlign w:val="center"/>
          </w:tcPr>
          <w:p w14:paraId="60F8CB22" w14:textId="580096DB" w:rsidR="003A3D51" w:rsidRDefault="0002775A">
            <w:pPr>
              <w:pStyle w:val="P68B1DB1-Normal63"/>
              <w:spacing w:after="0" w:line="240" w:lineRule="auto"/>
              <w:jc w:val="center"/>
              <w:textAlignment w:val="baseline"/>
              <w:rPr>
                <w:rStyle w:val="normaltextrun"/>
                <w:noProof/>
                <w:bdr w:val="none" w:sz="0" w:space="0" w:color="auto" w:frame="1"/>
              </w:rPr>
            </w:pPr>
            <w:r>
              <w:rPr>
                <w:noProof/>
              </w:rPr>
              <w:t>C7.1 R1-I5</w:t>
            </w:r>
          </w:p>
        </w:tc>
        <w:tc>
          <w:tcPr>
            <w:tcW w:w="1134" w:type="dxa"/>
            <w:tcBorders>
              <w:top w:val="nil"/>
              <w:left w:val="nil"/>
              <w:bottom w:val="single" w:sz="6" w:space="0" w:color="auto"/>
              <w:right w:val="single" w:sz="6" w:space="0" w:color="auto"/>
            </w:tcBorders>
            <w:shd w:val="clear" w:color="auto" w:fill="C6EFCE"/>
            <w:vAlign w:val="center"/>
          </w:tcPr>
          <w:p w14:paraId="4395B217" w14:textId="3D9D38AD"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60DDF4EB" w14:textId="5394262E" w:rsidR="003A3D51" w:rsidRDefault="0002775A">
            <w:pPr>
              <w:pStyle w:val="P68B1DB1-Normal63"/>
              <w:spacing w:after="0" w:line="240" w:lineRule="auto"/>
              <w:jc w:val="both"/>
              <w:textAlignment w:val="baseline"/>
              <w:rPr>
                <w:noProof/>
              </w:rPr>
            </w:pPr>
            <w:r>
              <w:rPr>
                <w:noProof/>
              </w:rPr>
              <w:t>Bioraffinaderier byggda och i drift</w:t>
            </w:r>
          </w:p>
        </w:tc>
      </w:tr>
      <w:tr w:rsidR="003A3D51" w14:paraId="67E22635"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081C8B6" w14:textId="60C16EAB" w:rsidR="003A3D51" w:rsidRDefault="0002775A">
            <w:pPr>
              <w:pStyle w:val="P68B1DB1-Normal63"/>
              <w:spacing w:after="0" w:line="240" w:lineRule="auto"/>
              <w:jc w:val="center"/>
              <w:textAlignment w:val="baseline"/>
              <w:rPr>
                <w:noProof/>
              </w:rPr>
            </w:pPr>
            <w:r>
              <w:rPr>
                <w:noProof/>
              </w:rPr>
              <w:t>93</w:t>
            </w:r>
          </w:p>
        </w:tc>
        <w:tc>
          <w:tcPr>
            <w:tcW w:w="1642" w:type="dxa"/>
            <w:tcBorders>
              <w:top w:val="nil"/>
              <w:left w:val="nil"/>
              <w:bottom w:val="single" w:sz="6" w:space="0" w:color="auto"/>
              <w:right w:val="single" w:sz="6" w:space="0" w:color="auto"/>
            </w:tcBorders>
            <w:shd w:val="clear" w:color="auto" w:fill="C6EFCE"/>
            <w:vAlign w:val="center"/>
          </w:tcPr>
          <w:p w14:paraId="2DFDB440" w14:textId="77BF73C7" w:rsidR="003A3D51" w:rsidRDefault="0002775A">
            <w:pPr>
              <w:pStyle w:val="P68B1DB1-Normal63"/>
              <w:spacing w:after="0" w:line="240" w:lineRule="auto"/>
              <w:jc w:val="center"/>
              <w:textAlignment w:val="baseline"/>
              <w:rPr>
                <w:noProof/>
              </w:rPr>
            </w:pPr>
            <w:r>
              <w:rPr>
                <w:noProof/>
              </w:rPr>
              <w:t>C1.4 R1-I1</w:t>
            </w:r>
          </w:p>
        </w:tc>
        <w:tc>
          <w:tcPr>
            <w:tcW w:w="1134" w:type="dxa"/>
            <w:tcBorders>
              <w:top w:val="nil"/>
              <w:left w:val="nil"/>
              <w:bottom w:val="single" w:sz="6" w:space="0" w:color="auto"/>
              <w:right w:val="single" w:sz="6" w:space="0" w:color="auto"/>
            </w:tcBorders>
            <w:shd w:val="clear" w:color="auto" w:fill="C6EFCE"/>
            <w:vAlign w:val="center"/>
          </w:tcPr>
          <w:p w14:paraId="78F8D5AF" w14:textId="06C99B72" w:rsidR="003A3D51" w:rsidRDefault="0002775A">
            <w:pPr>
              <w:pStyle w:val="P68B1DB1-Normal63"/>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vAlign w:val="bottom"/>
          </w:tcPr>
          <w:p w14:paraId="7D2AA3FD" w14:textId="7F5D2B84" w:rsidR="003A3D51" w:rsidRDefault="0002775A">
            <w:pPr>
              <w:pStyle w:val="P68B1DB1-Normal63"/>
              <w:spacing w:after="0" w:line="240" w:lineRule="auto"/>
              <w:jc w:val="both"/>
              <w:textAlignment w:val="baseline"/>
              <w:rPr>
                <w:noProof/>
              </w:rPr>
            </w:pPr>
            <w:r>
              <w:rPr>
                <w:noProof/>
              </w:rPr>
              <w:t>Nytt elektroniskt vägtullsystem</w:t>
            </w:r>
          </w:p>
        </w:tc>
      </w:tr>
      <w:tr w:rsidR="003A3D51" w14:paraId="1201ABB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F3CD02C" w14:textId="5379B534" w:rsidR="003A3D51" w:rsidRDefault="0002775A">
            <w:pPr>
              <w:pStyle w:val="P68B1DB1-Normal63"/>
              <w:spacing w:after="0" w:line="240" w:lineRule="auto"/>
              <w:jc w:val="center"/>
              <w:textAlignment w:val="baseline"/>
              <w:rPr>
                <w:noProof/>
              </w:rPr>
            </w:pPr>
            <w:r>
              <w:rPr>
                <w:noProof/>
              </w:rPr>
              <w:t>101</w:t>
            </w:r>
          </w:p>
        </w:tc>
        <w:tc>
          <w:tcPr>
            <w:tcW w:w="1642" w:type="dxa"/>
            <w:tcBorders>
              <w:top w:val="nil"/>
              <w:left w:val="nil"/>
              <w:bottom w:val="single" w:sz="6" w:space="0" w:color="auto"/>
              <w:right w:val="single" w:sz="6" w:space="0" w:color="auto"/>
            </w:tcBorders>
            <w:shd w:val="clear" w:color="auto" w:fill="C6EFCE"/>
            <w:vAlign w:val="center"/>
          </w:tcPr>
          <w:p w14:paraId="7B0AD829" w14:textId="7F295BE9" w:rsidR="003A3D51" w:rsidRDefault="0002775A">
            <w:pPr>
              <w:pStyle w:val="P68B1DB1-Normal63"/>
              <w:spacing w:after="0" w:line="240" w:lineRule="auto"/>
              <w:jc w:val="center"/>
              <w:textAlignment w:val="baseline"/>
              <w:rPr>
                <w:noProof/>
              </w:rPr>
            </w:pPr>
            <w:r>
              <w:rPr>
                <w:noProof/>
              </w:rPr>
              <w:t>C1.4 R2-I1</w:t>
            </w:r>
          </w:p>
        </w:tc>
        <w:tc>
          <w:tcPr>
            <w:tcW w:w="1134" w:type="dxa"/>
            <w:tcBorders>
              <w:top w:val="nil"/>
              <w:left w:val="nil"/>
              <w:bottom w:val="single" w:sz="6" w:space="0" w:color="auto"/>
              <w:right w:val="single" w:sz="6" w:space="0" w:color="auto"/>
            </w:tcBorders>
            <w:shd w:val="clear" w:color="auto" w:fill="C6EFCE"/>
            <w:vAlign w:val="center"/>
          </w:tcPr>
          <w:p w14:paraId="6A13953A" w14:textId="70B7F98B"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tcPr>
          <w:p w14:paraId="0C50C77D" w14:textId="5CED4C18" w:rsidR="003A3D51" w:rsidRDefault="0002775A">
            <w:pPr>
              <w:pStyle w:val="P68B1DB1-Normal63"/>
              <w:spacing w:after="0" w:line="240" w:lineRule="auto"/>
              <w:jc w:val="both"/>
              <w:textAlignment w:val="baseline"/>
              <w:rPr>
                <w:noProof/>
              </w:rPr>
            </w:pPr>
            <w:r>
              <w:rPr>
                <w:noProof/>
              </w:rPr>
              <w:t>Elektrifierade dubbelspår byggda och ombyggda på sträckan Dugo Selo-Novska, underavsnitt Kutina-Novska</w:t>
            </w:r>
          </w:p>
        </w:tc>
      </w:tr>
      <w:tr w:rsidR="003A3D51" w14:paraId="5A785C18"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61966394" w14:textId="53F1D9C6" w:rsidR="003A3D51" w:rsidRDefault="0002775A">
            <w:pPr>
              <w:pStyle w:val="P68B1DB1-Normal63"/>
              <w:spacing w:after="0" w:line="240" w:lineRule="auto"/>
              <w:jc w:val="center"/>
              <w:textAlignment w:val="baseline"/>
              <w:rPr>
                <w:noProof/>
              </w:rPr>
            </w:pPr>
            <w:r>
              <w:rPr>
                <w:noProof/>
              </w:rPr>
              <w:t>374</w:t>
            </w:r>
          </w:p>
        </w:tc>
        <w:tc>
          <w:tcPr>
            <w:tcW w:w="1642" w:type="dxa"/>
            <w:tcBorders>
              <w:top w:val="nil"/>
              <w:left w:val="nil"/>
              <w:bottom w:val="single" w:sz="6" w:space="0" w:color="auto"/>
              <w:right w:val="single" w:sz="6" w:space="0" w:color="auto"/>
            </w:tcBorders>
            <w:shd w:val="clear" w:color="auto" w:fill="C6EFCE"/>
            <w:vAlign w:val="center"/>
            <w:hideMark/>
          </w:tcPr>
          <w:p w14:paraId="6177160E" w14:textId="1A258DC3" w:rsidR="003A3D51" w:rsidRDefault="0002775A">
            <w:pPr>
              <w:spacing w:after="0" w:line="240" w:lineRule="auto"/>
              <w:jc w:val="center"/>
              <w:textAlignment w:val="baseline"/>
              <w:rPr>
                <w:rFonts w:ascii="Times New Roman" w:eastAsia="Times New Roman" w:hAnsi="Times New Roman" w:cs="Times New Roman"/>
                <w:noProof/>
                <w:sz w:val="20"/>
              </w:rPr>
            </w:pPr>
            <w:r>
              <w:rPr>
                <w:rStyle w:val="normaltextrun"/>
                <w:rFonts w:ascii="Times New Roman" w:hAnsi="Times New Roman" w:cs="Times New Roman"/>
                <w:noProof/>
                <w:sz w:val="20"/>
                <w:bdr w:val="none" w:sz="0" w:space="0" w:color="auto" w:frame="1"/>
              </w:rPr>
              <w:t>C1.1.1 R5</w:t>
            </w:r>
          </w:p>
        </w:tc>
        <w:tc>
          <w:tcPr>
            <w:tcW w:w="1134" w:type="dxa"/>
            <w:tcBorders>
              <w:top w:val="nil"/>
              <w:left w:val="nil"/>
              <w:bottom w:val="single" w:sz="6" w:space="0" w:color="auto"/>
              <w:right w:val="single" w:sz="6" w:space="0" w:color="auto"/>
            </w:tcBorders>
            <w:shd w:val="clear" w:color="auto" w:fill="C6EFCE"/>
            <w:vAlign w:val="center"/>
            <w:hideMark/>
          </w:tcPr>
          <w:p w14:paraId="30960981" w14:textId="61C3EF0F" w:rsidR="003A3D51" w:rsidRDefault="0002775A">
            <w:pPr>
              <w:pStyle w:val="P68B1DB1-Normal63"/>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vAlign w:val="bottom"/>
            <w:hideMark/>
          </w:tcPr>
          <w:p w14:paraId="06F75B5B" w14:textId="77777777" w:rsidR="003A3D51" w:rsidRDefault="0002775A">
            <w:pPr>
              <w:pStyle w:val="P68B1DB1-Normal63"/>
              <w:spacing w:after="0" w:line="240" w:lineRule="auto"/>
              <w:jc w:val="both"/>
              <w:textAlignment w:val="baseline"/>
              <w:rPr>
                <w:noProof/>
              </w:rPr>
            </w:pPr>
            <w:r>
              <w:rPr>
                <w:noProof/>
              </w:rPr>
              <w:t> Antagande av den andra handlingsplanen för utvecklingen av kapitalmarknaden i Kroatien</w:t>
            </w:r>
          </w:p>
        </w:tc>
      </w:tr>
      <w:tr w:rsidR="003A3D51" w14:paraId="332BA2A0"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hideMark/>
          </w:tcPr>
          <w:p w14:paraId="5671DABC" w14:textId="00FD508A" w:rsidR="003A3D51" w:rsidRDefault="0002775A">
            <w:pPr>
              <w:pStyle w:val="P68B1DB1-Normal63"/>
              <w:spacing w:after="0" w:line="240" w:lineRule="auto"/>
              <w:jc w:val="center"/>
              <w:textAlignment w:val="baseline"/>
              <w:rPr>
                <w:noProof/>
              </w:rPr>
            </w:pPr>
            <w:r>
              <w:rPr>
                <w:noProof/>
              </w:rPr>
              <w:t>376</w:t>
            </w:r>
          </w:p>
        </w:tc>
        <w:tc>
          <w:tcPr>
            <w:tcW w:w="1642" w:type="dxa"/>
            <w:tcBorders>
              <w:top w:val="nil"/>
              <w:left w:val="nil"/>
              <w:bottom w:val="single" w:sz="6" w:space="0" w:color="auto"/>
              <w:right w:val="single" w:sz="6" w:space="0" w:color="auto"/>
            </w:tcBorders>
            <w:shd w:val="clear" w:color="auto" w:fill="C6EFCE"/>
            <w:vAlign w:val="center"/>
            <w:hideMark/>
          </w:tcPr>
          <w:p w14:paraId="68E14C37" w14:textId="6DA6EA19" w:rsidR="003A3D51" w:rsidRDefault="0002775A">
            <w:pPr>
              <w:pStyle w:val="P68B1DB1-Normal63"/>
              <w:spacing w:after="0" w:line="240" w:lineRule="auto"/>
              <w:jc w:val="center"/>
              <w:textAlignment w:val="baseline"/>
              <w:rPr>
                <w:noProof/>
              </w:rPr>
            </w:pPr>
            <w:r>
              <w:rPr>
                <w:noProof/>
              </w:rPr>
              <w:t>C1.2 R1-I1</w:t>
            </w:r>
          </w:p>
        </w:tc>
        <w:tc>
          <w:tcPr>
            <w:tcW w:w="1134" w:type="dxa"/>
            <w:tcBorders>
              <w:top w:val="nil"/>
              <w:left w:val="nil"/>
              <w:bottom w:val="single" w:sz="6" w:space="0" w:color="auto"/>
              <w:right w:val="single" w:sz="6" w:space="0" w:color="auto"/>
            </w:tcBorders>
            <w:shd w:val="clear" w:color="auto" w:fill="C6EFCE"/>
            <w:vAlign w:val="center"/>
            <w:hideMark/>
          </w:tcPr>
          <w:p w14:paraId="2635C5BB" w14:textId="376FAB8E"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hideMark/>
          </w:tcPr>
          <w:p w14:paraId="77EF520D" w14:textId="77777777" w:rsidR="003A3D51" w:rsidRDefault="0002775A">
            <w:pPr>
              <w:pStyle w:val="P68B1DB1-Normal63"/>
              <w:spacing w:after="0" w:line="240" w:lineRule="auto"/>
              <w:jc w:val="both"/>
              <w:textAlignment w:val="baseline"/>
              <w:rPr>
                <w:noProof/>
              </w:rPr>
            </w:pPr>
            <w:r>
              <w:rPr>
                <w:noProof/>
              </w:rPr>
              <w:t> Antal nya konsumenter som är anslutna till det smarta nätet</w:t>
            </w:r>
          </w:p>
        </w:tc>
      </w:tr>
      <w:tr w:rsidR="003A3D51" w14:paraId="2D782C41"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C0AAF2A" w14:textId="44DC69DA" w:rsidR="003A3D51" w:rsidRDefault="0002775A">
            <w:pPr>
              <w:pStyle w:val="P68B1DB1-Normal63"/>
              <w:spacing w:after="0" w:line="240" w:lineRule="auto"/>
              <w:jc w:val="center"/>
              <w:textAlignment w:val="baseline"/>
              <w:rPr>
                <w:noProof/>
              </w:rPr>
            </w:pPr>
            <w:r>
              <w:rPr>
                <w:noProof/>
              </w:rPr>
              <w:t>377</w:t>
            </w:r>
          </w:p>
        </w:tc>
        <w:tc>
          <w:tcPr>
            <w:tcW w:w="1642" w:type="dxa"/>
            <w:tcBorders>
              <w:top w:val="nil"/>
              <w:left w:val="nil"/>
              <w:bottom w:val="single" w:sz="6" w:space="0" w:color="auto"/>
              <w:right w:val="single" w:sz="6" w:space="0" w:color="auto"/>
            </w:tcBorders>
            <w:shd w:val="clear" w:color="auto" w:fill="C6EFCE"/>
            <w:vAlign w:val="center"/>
          </w:tcPr>
          <w:p w14:paraId="30EEAC56" w14:textId="77777777" w:rsidR="003A3D51" w:rsidRDefault="0002775A">
            <w:pPr>
              <w:pStyle w:val="P68B1DB1-Normal63"/>
              <w:spacing w:after="0" w:line="240" w:lineRule="auto"/>
              <w:jc w:val="center"/>
              <w:textAlignment w:val="baseline"/>
              <w:rPr>
                <w:noProof/>
              </w:rPr>
            </w:pPr>
            <w:r>
              <w:rPr>
                <w:noProof/>
              </w:rPr>
              <w:t>C1.2 R1-I1</w:t>
            </w:r>
          </w:p>
        </w:tc>
        <w:tc>
          <w:tcPr>
            <w:tcW w:w="1134" w:type="dxa"/>
            <w:tcBorders>
              <w:top w:val="nil"/>
              <w:left w:val="nil"/>
              <w:bottom w:val="single" w:sz="6" w:space="0" w:color="auto"/>
              <w:right w:val="single" w:sz="6" w:space="0" w:color="auto"/>
            </w:tcBorders>
            <w:shd w:val="clear" w:color="auto" w:fill="C6EFCE"/>
            <w:vAlign w:val="center"/>
          </w:tcPr>
          <w:p w14:paraId="4F561D0F"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tcPr>
          <w:p w14:paraId="35A59CAB" w14:textId="77777777" w:rsidR="003A3D51" w:rsidRDefault="0002775A">
            <w:pPr>
              <w:pStyle w:val="P68B1DB1-Normal63"/>
              <w:spacing w:after="0" w:line="240" w:lineRule="auto"/>
              <w:jc w:val="both"/>
              <w:textAlignment w:val="baseline"/>
              <w:rPr>
                <w:noProof/>
              </w:rPr>
            </w:pPr>
            <w:r>
              <w:rPr>
                <w:noProof/>
              </w:rPr>
              <w:t>Ny lagringskapacitet för energibatterier</w:t>
            </w:r>
          </w:p>
        </w:tc>
      </w:tr>
      <w:tr w:rsidR="003A3D51" w14:paraId="24801FC8"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646952C" w14:textId="45DCB828" w:rsidR="003A3D51" w:rsidRDefault="0002775A">
            <w:pPr>
              <w:pStyle w:val="P68B1DB1-Normal63"/>
              <w:spacing w:after="0" w:line="240" w:lineRule="auto"/>
              <w:jc w:val="center"/>
              <w:textAlignment w:val="baseline"/>
              <w:rPr>
                <w:noProof/>
              </w:rPr>
            </w:pPr>
            <w:r>
              <w:rPr>
                <w:noProof/>
              </w:rPr>
              <w:t>390</w:t>
            </w:r>
          </w:p>
        </w:tc>
        <w:tc>
          <w:tcPr>
            <w:tcW w:w="1642" w:type="dxa"/>
            <w:tcBorders>
              <w:top w:val="nil"/>
              <w:left w:val="nil"/>
              <w:bottom w:val="single" w:sz="6" w:space="0" w:color="auto"/>
              <w:right w:val="single" w:sz="6" w:space="0" w:color="auto"/>
            </w:tcBorders>
            <w:shd w:val="clear" w:color="auto" w:fill="C6EFCE"/>
            <w:vAlign w:val="center"/>
          </w:tcPr>
          <w:p w14:paraId="0CD5B7D7" w14:textId="0B7E3BF9" w:rsidR="003A3D51" w:rsidRDefault="0002775A">
            <w:pPr>
              <w:pStyle w:val="P68B1DB1-Normal63"/>
              <w:spacing w:after="0" w:line="240" w:lineRule="auto"/>
              <w:jc w:val="center"/>
              <w:textAlignment w:val="baseline"/>
              <w:rPr>
                <w:noProof/>
              </w:rPr>
            </w:pPr>
            <w:r>
              <w:rPr>
                <w:noProof/>
              </w:rPr>
              <w:t>C1.3 R3-I1</w:t>
            </w:r>
          </w:p>
        </w:tc>
        <w:tc>
          <w:tcPr>
            <w:tcW w:w="1134" w:type="dxa"/>
            <w:tcBorders>
              <w:top w:val="nil"/>
              <w:left w:val="nil"/>
              <w:bottom w:val="single" w:sz="6" w:space="0" w:color="auto"/>
              <w:right w:val="single" w:sz="6" w:space="0" w:color="auto"/>
            </w:tcBorders>
            <w:shd w:val="clear" w:color="auto" w:fill="C6EFCE"/>
            <w:vAlign w:val="center"/>
          </w:tcPr>
          <w:p w14:paraId="7DFA7A82"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tcPr>
          <w:p w14:paraId="0D3AD167" w14:textId="77777777" w:rsidR="003A3D51" w:rsidRDefault="0002775A">
            <w:pPr>
              <w:pStyle w:val="P68B1DB1-Normal63"/>
              <w:spacing w:after="0" w:line="240" w:lineRule="auto"/>
              <w:jc w:val="both"/>
              <w:textAlignment w:val="baseline"/>
              <w:rPr>
                <w:noProof/>
              </w:rPr>
            </w:pPr>
            <w:r>
              <w:rPr>
                <w:noProof/>
              </w:rPr>
              <w:t>Befolkning som gynnas av förbättrad tillgång till ett förbättrat system för rening av avloppsvatten</w:t>
            </w:r>
          </w:p>
        </w:tc>
      </w:tr>
      <w:tr w:rsidR="003A3D51" w14:paraId="1AEC402D"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624FFA72" w14:textId="6E85DC3D" w:rsidR="003A3D51" w:rsidRDefault="0002775A">
            <w:pPr>
              <w:pStyle w:val="P68B1DB1-Normal63"/>
              <w:spacing w:after="0" w:line="240" w:lineRule="auto"/>
              <w:jc w:val="center"/>
              <w:textAlignment w:val="baseline"/>
              <w:rPr>
                <w:noProof/>
              </w:rPr>
            </w:pPr>
            <w:r>
              <w:rPr>
                <w:noProof/>
              </w:rPr>
              <w:t>392</w:t>
            </w:r>
          </w:p>
        </w:tc>
        <w:tc>
          <w:tcPr>
            <w:tcW w:w="1642" w:type="dxa"/>
            <w:tcBorders>
              <w:top w:val="nil"/>
              <w:left w:val="nil"/>
              <w:bottom w:val="single" w:sz="6" w:space="0" w:color="auto"/>
              <w:right w:val="single" w:sz="6" w:space="0" w:color="auto"/>
            </w:tcBorders>
            <w:shd w:val="clear" w:color="auto" w:fill="C6EFCE"/>
            <w:vAlign w:val="center"/>
          </w:tcPr>
          <w:p w14:paraId="3147C97F" w14:textId="29CCDB09" w:rsidR="003A3D51" w:rsidRDefault="0002775A">
            <w:pPr>
              <w:pStyle w:val="P68B1DB1-Normal63"/>
              <w:spacing w:after="0" w:line="240" w:lineRule="auto"/>
              <w:jc w:val="center"/>
              <w:textAlignment w:val="baseline"/>
              <w:rPr>
                <w:noProof/>
                <w:highlight w:val="yellow"/>
              </w:rPr>
            </w:pPr>
            <w:r>
              <w:rPr>
                <w:noProof/>
              </w:rPr>
              <w:t>C1.3 R3-I2</w:t>
            </w:r>
          </w:p>
        </w:tc>
        <w:tc>
          <w:tcPr>
            <w:tcW w:w="1134" w:type="dxa"/>
            <w:tcBorders>
              <w:top w:val="nil"/>
              <w:left w:val="nil"/>
              <w:bottom w:val="single" w:sz="6" w:space="0" w:color="auto"/>
              <w:right w:val="single" w:sz="6" w:space="0" w:color="auto"/>
            </w:tcBorders>
            <w:shd w:val="clear" w:color="auto" w:fill="C6EFCE"/>
            <w:vAlign w:val="center"/>
          </w:tcPr>
          <w:p w14:paraId="2A09DE10"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tcPr>
          <w:p w14:paraId="5798C5E1" w14:textId="77777777" w:rsidR="003A3D51" w:rsidRDefault="0002775A">
            <w:pPr>
              <w:pStyle w:val="P68B1DB1-Normal63"/>
              <w:spacing w:after="0" w:line="240" w:lineRule="auto"/>
              <w:jc w:val="both"/>
              <w:textAlignment w:val="baseline"/>
              <w:rPr>
                <w:noProof/>
              </w:rPr>
            </w:pPr>
            <w:r>
              <w:rPr>
                <w:noProof/>
              </w:rPr>
              <w:t>Befolkning som gynnas av förbättrad tillgång till vattenförsörjning</w:t>
            </w:r>
          </w:p>
        </w:tc>
      </w:tr>
      <w:tr w:rsidR="003A3D51" w14:paraId="4858AA9B"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8171743" w14:textId="43849434" w:rsidR="003A3D51" w:rsidRDefault="0002775A">
            <w:pPr>
              <w:pStyle w:val="P68B1DB1-Normal63"/>
              <w:spacing w:after="0" w:line="240" w:lineRule="auto"/>
              <w:jc w:val="center"/>
              <w:textAlignment w:val="baseline"/>
              <w:rPr>
                <w:noProof/>
              </w:rPr>
            </w:pPr>
            <w:r>
              <w:rPr>
                <w:noProof/>
              </w:rPr>
              <w:t>395</w:t>
            </w:r>
          </w:p>
        </w:tc>
        <w:tc>
          <w:tcPr>
            <w:tcW w:w="1642" w:type="dxa"/>
            <w:tcBorders>
              <w:top w:val="nil"/>
              <w:left w:val="nil"/>
              <w:bottom w:val="single" w:sz="6" w:space="0" w:color="auto"/>
              <w:right w:val="single" w:sz="6" w:space="0" w:color="auto"/>
            </w:tcBorders>
            <w:shd w:val="clear" w:color="auto" w:fill="C6EFCE"/>
            <w:vAlign w:val="center"/>
          </w:tcPr>
          <w:p w14:paraId="28E46026" w14:textId="77777777" w:rsidR="003A3D51" w:rsidRDefault="0002775A">
            <w:pPr>
              <w:pStyle w:val="P68B1DB1-Normal63"/>
              <w:spacing w:after="0" w:line="240" w:lineRule="auto"/>
              <w:jc w:val="center"/>
              <w:textAlignment w:val="baseline"/>
              <w:rPr>
                <w:noProof/>
                <w:highlight w:val="yellow"/>
              </w:rPr>
            </w:pPr>
            <w:r>
              <w:rPr>
                <w:noProof/>
              </w:rPr>
              <w:t>C2.3 R3- I17</w:t>
            </w:r>
          </w:p>
        </w:tc>
        <w:tc>
          <w:tcPr>
            <w:tcW w:w="1134" w:type="dxa"/>
            <w:tcBorders>
              <w:top w:val="nil"/>
              <w:left w:val="nil"/>
              <w:bottom w:val="single" w:sz="6" w:space="0" w:color="auto"/>
              <w:right w:val="single" w:sz="6" w:space="0" w:color="auto"/>
            </w:tcBorders>
            <w:shd w:val="clear" w:color="auto" w:fill="C6EFCE"/>
            <w:vAlign w:val="center"/>
          </w:tcPr>
          <w:p w14:paraId="5C49608E" w14:textId="77777777" w:rsidR="003A3D51" w:rsidRDefault="0002775A">
            <w:pPr>
              <w:pStyle w:val="P68B1DB1-Normal63"/>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vAlign w:val="bottom"/>
          </w:tcPr>
          <w:p w14:paraId="0609FDC2" w14:textId="77777777" w:rsidR="003A3D51" w:rsidRDefault="0002775A">
            <w:pPr>
              <w:pStyle w:val="P68B1DB1-Normal63"/>
              <w:spacing w:after="0" w:line="240" w:lineRule="auto"/>
              <w:jc w:val="both"/>
              <w:textAlignment w:val="baseline"/>
              <w:rPr>
                <w:noProof/>
              </w:rPr>
            </w:pPr>
            <w:r>
              <w:rPr>
                <w:noProof/>
              </w:rPr>
              <w:t>Folk-, familje- och hushållsregister (SOK) som är kopplat till e-skattesystemet</w:t>
            </w:r>
          </w:p>
        </w:tc>
      </w:tr>
      <w:tr w:rsidR="003A3D51" w14:paraId="6EA3B423"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C95DFD1" w14:textId="0F6D047F" w:rsidR="003A3D51" w:rsidRDefault="0002775A">
            <w:pPr>
              <w:pStyle w:val="P68B1DB1-Normal63"/>
              <w:spacing w:after="0" w:line="240" w:lineRule="auto"/>
              <w:jc w:val="center"/>
              <w:textAlignment w:val="baseline"/>
              <w:rPr>
                <w:noProof/>
              </w:rPr>
            </w:pPr>
            <w:r>
              <w:rPr>
                <w:noProof/>
              </w:rPr>
              <w:t>397</w:t>
            </w:r>
          </w:p>
        </w:tc>
        <w:tc>
          <w:tcPr>
            <w:tcW w:w="1642" w:type="dxa"/>
            <w:tcBorders>
              <w:top w:val="nil"/>
              <w:left w:val="nil"/>
              <w:bottom w:val="single" w:sz="6" w:space="0" w:color="auto"/>
              <w:right w:val="single" w:sz="6" w:space="0" w:color="auto"/>
            </w:tcBorders>
            <w:shd w:val="clear" w:color="auto" w:fill="C6EFCE"/>
            <w:vAlign w:val="center"/>
          </w:tcPr>
          <w:p w14:paraId="6CB810CB" w14:textId="77777777" w:rsidR="003A3D51" w:rsidRDefault="0002775A">
            <w:pPr>
              <w:pStyle w:val="P68B1DB1-Normal63"/>
              <w:spacing w:after="0" w:line="240" w:lineRule="auto"/>
              <w:jc w:val="center"/>
              <w:textAlignment w:val="baseline"/>
              <w:rPr>
                <w:noProof/>
              </w:rPr>
            </w:pPr>
            <w:r>
              <w:rPr>
                <w:noProof/>
              </w:rPr>
              <w:t>C3.1 R1-I4</w:t>
            </w:r>
          </w:p>
        </w:tc>
        <w:tc>
          <w:tcPr>
            <w:tcW w:w="1134" w:type="dxa"/>
            <w:tcBorders>
              <w:top w:val="nil"/>
              <w:left w:val="nil"/>
              <w:bottom w:val="single" w:sz="6" w:space="0" w:color="auto"/>
              <w:right w:val="single" w:sz="6" w:space="0" w:color="auto"/>
            </w:tcBorders>
            <w:shd w:val="clear" w:color="auto" w:fill="C6EFCE"/>
            <w:vAlign w:val="center"/>
          </w:tcPr>
          <w:p w14:paraId="6C691A9A"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bottom"/>
          </w:tcPr>
          <w:p w14:paraId="172E84A7" w14:textId="77777777" w:rsidR="003A3D51" w:rsidRDefault="0002775A">
            <w:pPr>
              <w:pStyle w:val="P68B1DB1-Normal63"/>
              <w:spacing w:after="0" w:line="240" w:lineRule="auto"/>
              <w:jc w:val="both"/>
              <w:textAlignment w:val="baseline"/>
              <w:rPr>
                <w:noProof/>
              </w:rPr>
            </w:pPr>
            <w:r>
              <w:rPr>
                <w:noProof/>
              </w:rPr>
              <w:t>Andel elever som går i grundskolan i ett skift</w:t>
            </w:r>
          </w:p>
        </w:tc>
      </w:tr>
      <w:tr w:rsidR="003A3D51" w14:paraId="677AE22D"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94288C5" w14:textId="77777777" w:rsidR="003A3D51" w:rsidRDefault="0002775A">
            <w:pPr>
              <w:pStyle w:val="P68B1DB1-Normal69"/>
              <w:spacing w:after="0" w:line="240" w:lineRule="auto"/>
              <w:jc w:val="center"/>
              <w:textAlignment w:val="baseline"/>
              <w:rPr>
                <w:rFonts w:eastAsia="Times New Roman"/>
                <w:noProof/>
                <w:highlight w:val="yellow"/>
              </w:rPr>
            </w:pPr>
            <w:r>
              <w:rPr>
                <w:noProof/>
              </w:rPr>
              <w:t>322</w:t>
            </w:r>
          </w:p>
        </w:tc>
        <w:tc>
          <w:tcPr>
            <w:tcW w:w="1642" w:type="dxa"/>
            <w:tcBorders>
              <w:top w:val="nil"/>
              <w:left w:val="nil"/>
              <w:bottom w:val="single" w:sz="6" w:space="0" w:color="auto"/>
              <w:right w:val="single" w:sz="6" w:space="0" w:color="auto"/>
            </w:tcBorders>
            <w:shd w:val="clear" w:color="auto" w:fill="C6EFCE"/>
            <w:vAlign w:val="center"/>
          </w:tcPr>
          <w:p w14:paraId="2885B054" w14:textId="77777777" w:rsidR="003A3D51" w:rsidRDefault="0002775A">
            <w:pPr>
              <w:pStyle w:val="P68B1DB1-Normal69"/>
              <w:spacing w:after="0" w:line="240" w:lineRule="auto"/>
              <w:jc w:val="center"/>
              <w:textAlignment w:val="baseline"/>
              <w:rPr>
                <w:rFonts w:eastAsia="Times New Roman"/>
                <w:noProof/>
              </w:rPr>
            </w:pPr>
            <w:r>
              <w:rPr>
                <w:noProof/>
              </w:rPr>
              <w:t>C5.1 R1-I3</w:t>
            </w:r>
          </w:p>
        </w:tc>
        <w:tc>
          <w:tcPr>
            <w:tcW w:w="1134" w:type="dxa"/>
            <w:tcBorders>
              <w:top w:val="nil"/>
              <w:left w:val="nil"/>
              <w:bottom w:val="single" w:sz="6" w:space="0" w:color="auto"/>
              <w:right w:val="single" w:sz="6" w:space="0" w:color="auto"/>
            </w:tcBorders>
            <w:shd w:val="clear" w:color="auto" w:fill="C6EFCE"/>
            <w:vAlign w:val="center"/>
          </w:tcPr>
          <w:p w14:paraId="2BCA5A49" w14:textId="77777777" w:rsidR="003A3D51" w:rsidRDefault="0002775A">
            <w:pPr>
              <w:pStyle w:val="P68B1DB1-Normal69"/>
              <w:spacing w:after="0" w:line="240" w:lineRule="auto"/>
              <w:jc w:val="center"/>
              <w:textAlignment w:val="baseline"/>
              <w:rPr>
                <w:rFonts w:eastAsia="Times New Roman"/>
                <w:noProof/>
              </w:rPr>
            </w:pPr>
            <w:r>
              <w:rPr>
                <w:noProof/>
              </w:rPr>
              <w:t>T</w:t>
            </w:r>
          </w:p>
        </w:tc>
        <w:tc>
          <w:tcPr>
            <w:tcW w:w="5529" w:type="dxa"/>
            <w:tcBorders>
              <w:top w:val="nil"/>
              <w:left w:val="nil"/>
              <w:bottom w:val="single" w:sz="6" w:space="0" w:color="auto"/>
              <w:right w:val="single" w:sz="6" w:space="0" w:color="auto"/>
            </w:tcBorders>
            <w:shd w:val="clear" w:color="auto" w:fill="C6EFCE"/>
          </w:tcPr>
          <w:p w14:paraId="0CF67F36" w14:textId="77777777" w:rsidR="003A3D51" w:rsidRDefault="0002775A">
            <w:pPr>
              <w:pStyle w:val="P68B1DB1-Normal69"/>
              <w:spacing w:after="0" w:line="240" w:lineRule="auto"/>
              <w:jc w:val="both"/>
              <w:textAlignment w:val="baseline"/>
              <w:rPr>
                <w:rFonts w:eastAsia="Times New Roman"/>
                <w:noProof/>
              </w:rPr>
            </w:pPr>
            <w:r>
              <w:rPr>
                <w:noProof/>
              </w:rPr>
              <w:t xml:space="preserve">Ny byggnad i komplexet Infectious Disease Clinic Dr Fran Mihaljević </w:t>
            </w:r>
          </w:p>
        </w:tc>
      </w:tr>
      <w:tr w:rsidR="003A3D51" w14:paraId="426026C0"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043D4F3" w14:textId="77777777" w:rsidR="003A3D51" w:rsidRDefault="0002775A">
            <w:pPr>
              <w:pStyle w:val="P68B1DB1-Normal69"/>
              <w:spacing w:after="0" w:line="240" w:lineRule="auto"/>
              <w:jc w:val="center"/>
              <w:textAlignment w:val="baseline"/>
              <w:rPr>
                <w:noProof/>
              </w:rPr>
            </w:pPr>
            <w:r>
              <w:rPr>
                <w:noProof/>
              </w:rPr>
              <w:t>345</w:t>
            </w:r>
          </w:p>
        </w:tc>
        <w:tc>
          <w:tcPr>
            <w:tcW w:w="1642" w:type="dxa"/>
            <w:tcBorders>
              <w:top w:val="nil"/>
              <w:left w:val="nil"/>
              <w:bottom w:val="single" w:sz="6" w:space="0" w:color="auto"/>
              <w:right w:val="single" w:sz="6" w:space="0" w:color="auto"/>
            </w:tcBorders>
            <w:shd w:val="clear" w:color="auto" w:fill="C6EFCE"/>
            <w:vAlign w:val="center"/>
          </w:tcPr>
          <w:p w14:paraId="754D7119" w14:textId="77777777" w:rsidR="003A3D51" w:rsidRDefault="0002775A">
            <w:pPr>
              <w:pStyle w:val="P68B1DB1-Normal69"/>
              <w:spacing w:after="0" w:line="240" w:lineRule="auto"/>
              <w:jc w:val="center"/>
              <w:textAlignment w:val="baseline"/>
              <w:rPr>
                <w:noProof/>
              </w:rPr>
            </w:pPr>
            <w:r>
              <w:rPr>
                <w:noProof/>
              </w:rPr>
              <w:t>C5.1 R4-I6</w:t>
            </w:r>
          </w:p>
        </w:tc>
        <w:tc>
          <w:tcPr>
            <w:tcW w:w="1134" w:type="dxa"/>
            <w:tcBorders>
              <w:top w:val="nil"/>
              <w:left w:val="nil"/>
              <w:bottom w:val="single" w:sz="6" w:space="0" w:color="auto"/>
              <w:right w:val="single" w:sz="6" w:space="0" w:color="auto"/>
            </w:tcBorders>
            <w:shd w:val="clear" w:color="auto" w:fill="C6EFCE"/>
            <w:vAlign w:val="center"/>
          </w:tcPr>
          <w:p w14:paraId="36F8D1FB" w14:textId="77777777" w:rsidR="003A3D51" w:rsidRDefault="0002775A">
            <w:pPr>
              <w:pStyle w:val="P68B1DB1-Normal69"/>
              <w:spacing w:after="0" w:line="240" w:lineRule="auto"/>
              <w:jc w:val="center"/>
              <w:textAlignment w:val="baseline"/>
              <w:rPr>
                <w:noProof/>
              </w:rPr>
            </w:pPr>
            <w:r>
              <w:rPr>
                <w:noProof/>
              </w:rPr>
              <w:t>M</w:t>
            </w:r>
          </w:p>
        </w:tc>
        <w:tc>
          <w:tcPr>
            <w:tcW w:w="5529" w:type="dxa"/>
            <w:tcBorders>
              <w:top w:val="nil"/>
              <w:left w:val="nil"/>
              <w:bottom w:val="single" w:sz="6" w:space="0" w:color="auto"/>
              <w:right w:val="single" w:sz="6" w:space="0" w:color="auto"/>
            </w:tcBorders>
            <w:shd w:val="clear" w:color="auto" w:fill="C6EFCE"/>
          </w:tcPr>
          <w:p w14:paraId="029C5471" w14:textId="77777777" w:rsidR="003A3D51" w:rsidRDefault="0002775A">
            <w:pPr>
              <w:pStyle w:val="P68B1DB1-Normal69"/>
              <w:spacing w:after="0" w:line="240" w:lineRule="auto"/>
              <w:jc w:val="both"/>
              <w:textAlignment w:val="baseline"/>
              <w:rPr>
                <w:noProof/>
              </w:rPr>
            </w:pPr>
            <w:r>
              <w:rPr>
                <w:noProof/>
              </w:rPr>
              <w:t>Anläggning för medicinskt avfall vid KBC (KBC) Zagreb</w:t>
            </w:r>
          </w:p>
        </w:tc>
      </w:tr>
      <w:tr w:rsidR="003A3D51" w14:paraId="4B8482CD"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9C78F92" w14:textId="5999C2D9" w:rsidR="003A3D51" w:rsidRDefault="0002775A">
            <w:pPr>
              <w:pStyle w:val="P68B1DB1-Normal63"/>
              <w:spacing w:after="0" w:line="240" w:lineRule="auto"/>
              <w:jc w:val="center"/>
              <w:textAlignment w:val="baseline"/>
              <w:rPr>
                <w:rFonts w:eastAsia="Calibri"/>
                <w:noProof/>
              </w:rPr>
            </w:pPr>
            <w:r>
              <w:rPr>
                <w:noProof/>
              </w:rPr>
              <w:t>356</w:t>
            </w:r>
          </w:p>
        </w:tc>
        <w:tc>
          <w:tcPr>
            <w:tcW w:w="1642" w:type="dxa"/>
            <w:tcBorders>
              <w:top w:val="nil"/>
              <w:left w:val="nil"/>
              <w:bottom w:val="single" w:sz="6" w:space="0" w:color="auto"/>
              <w:right w:val="single" w:sz="6" w:space="0" w:color="auto"/>
            </w:tcBorders>
            <w:shd w:val="clear" w:color="auto" w:fill="C6EFCE"/>
            <w:vAlign w:val="center"/>
          </w:tcPr>
          <w:p w14:paraId="17DB881E" w14:textId="7AD4D765" w:rsidR="003A3D51" w:rsidRDefault="0002775A">
            <w:pPr>
              <w:pStyle w:val="P68B1DB1-Normal63"/>
              <w:spacing w:after="0" w:line="240" w:lineRule="auto"/>
              <w:jc w:val="center"/>
              <w:textAlignment w:val="baseline"/>
              <w:rPr>
                <w:rFonts w:eastAsia="Calibri"/>
                <w:noProof/>
              </w:rPr>
            </w:pPr>
            <w:r>
              <w:rPr>
                <w:noProof/>
              </w:rPr>
              <w:t>C7.2 I2</w:t>
            </w:r>
          </w:p>
        </w:tc>
        <w:tc>
          <w:tcPr>
            <w:tcW w:w="1134" w:type="dxa"/>
            <w:tcBorders>
              <w:top w:val="nil"/>
              <w:left w:val="nil"/>
              <w:bottom w:val="single" w:sz="6" w:space="0" w:color="auto"/>
              <w:right w:val="single" w:sz="6" w:space="0" w:color="auto"/>
            </w:tcBorders>
            <w:shd w:val="clear" w:color="auto" w:fill="C6EFCE"/>
            <w:vAlign w:val="center"/>
          </w:tcPr>
          <w:p w14:paraId="5C01A397" w14:textId="5258325B" w:rsidR="003A3D51" w:rsidRDefault="0002775A">
            <w:pPr>
              <w:pStyle w:val="P68B1DB1-Normal63"/>
              <w:spacing w:after="0" w:line="240" w:lineRule="auto"/>
              <w:jc w:val="center"/>
              <w:textAlignment w:val="baseline"/>
              <w:rPr>
                <w:rFonts w:eastAsia="Calibri"/>
                <w:noProof/>
              </w:rPr>
            </w:pPr>
            <w:r>
              <w:rPr>
                <w:noProof/>
              </w:rPr>
              <w:t>T</w:t>
            </w:r>
          </w:p>
        </w:tc>
        <w:tc>
          <w:tcPr>
            <w:tcW w:w="5529" w:type="dxa"/>
            <w:tcBorders>
              <w:top w:val="nil"/>
              <w:left w:val="nil"/>
              <w:bottom w:val="single" w:sz="6" w:space="0" w:color="auto"/>
              <w:right w:val="single" w:sz="6" w:space="0" w:color="auto"/>
            </w:tcBorders>
            <w:shd w:val="clear" w:color="auto" w:fill="C6EFCE"/>
          </w:tcPr>
          <w:p w14:paraId="45EDB6A4" w14:textId="1C909FDB" w:rsidR="003A3D51" w:rsidRDefault="0002775A">
            <w:pPr>
              <w:pStyle w:val="P68B1DB1-Normal63"/>
              <w:spacing w:after="0" w:line="240" w:lineRule="auto"/>
              <w:jc w:val="both"/>
              <w:textAlignment w:val="baseline"/>
              <w:rPr>
                <w:rFonts w:eastAsia="Calibri"/>
                <w:noProof/>
              </w:rPr>
            </w:pPr>
            <w:r>
              <w:rPr>
                <w:noProof/>
              </w:rPr>
              <w:t>Energirenovering och efterjordbävning av flerbostadshus som skadats av jordbävningarna</w:t>
            </w:r>
          </w:p>
        </w:tc>
      </w:tr>
      <w:tr w:rsidR="003A3D51" w14:paraId="053D8CD4"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359AC86B" w14:textId="73516361" w:rsidR="003A3D51" w:rsidRDefault="0002775A">
            <w:pPr>
              <w:pStyle w:val="P68B1DB1-Normal63"/>
              <w:spacing w:after="0" w:line="240" w:lineRule="auto"/>
              <w:jc w:val="center"/>
              <w:textAlignment w:val="baseline"/>
              <w:rPr>
                <w:rFonts w:eastAsia="Calibri"/>
                <w:noProof/>
              </w:rPr>
            </w:pPr>
            <w:r>
              <w:rPr>
                <w:noProof/>
              </w:rPr>
              <w:t>357</w:t>
            </w:r>
          </w:p>
        </w:tc>
        <w:tc>
          <w:tcPr>
            <w:tcW w:w="1642" w:type="dxa"/>
            <w:tcBorders>
              <w:top w:val="nil"/>
              <w:left w:val="nil"/>
              <w:bottom w:val="single" w:sz="6" w:space="0" w:color="auto"/>
              <w:right w:val="single" w:sz="6" w:space="0" w:color="auto"/>
            </w:tcBorders>
            <w:shd w:val="clear" w:color="auto" w:fill="C6EFCE"/>
            <w:vAlign w:val="center"/>
          </w:tcPr>
          <w:p w14:paraId="0E077176" w14:textId="145E83BE" w:rsidR="003A3D51" w:rsidRDefault="0002775A">
            <w:pPr>
              <w:pStyle w:val="P68B1DB1-Normal63"/>
              <w:spacing w:after="0" w:line="240" w:lineRule="auto"/>
              <w:jc w:val="center"/>
              <w:textAlignment w:val="baseline"/>
              <w:rPr>
                <w:rFonts w:eastAsia="Calibri"/>
                <w:noProof/>
              </w:rPr>
            </w:pPr>
            <w:r>
              <w:rPr>
                <w:noProof/>
              </w:rPr>
              <w:t>C7.2 I2</w:t>
            </w:r>
          </w:p>
        </w:tc>
        <w:tc>
          <w:tcPr>
            <w:tcW w:w="1134" w:type="dxa"/>
            <w:tcBorders>
              <w:top w:val="nil"/>
              <w:left w:val="nil"/>
              <w:bottom w:val="single" w:sz="6" w:space="0" w:color="auto"/>
              <w:right w:val="single" w:sz="6" w:space="0" w:color="auto"/>
            </w:tcBorders>
            <w:shd w:val="clear" w:color="auto" w:fill="C6EFCE"/>
            <w:vAlign w:val="center"/>
          </w:tcPr>
          <w:p w14:paraId="4E98855F" w14:textId="08F0BB1C" w:rsidR="003A3D51" w:rsidRDefault="0002775A">
            <w:pPr>
              <w:pStyle w:val="P68B1DB1-Normal63"/>
              <w:spacing w:after="0" w:line="240" w:lineRule="auto"/>
              <w:jc w:val="center"/>
              <w:textAlignment w:val="baseline"/>
              <w:rPr>
                <w:rFonts w:eastAsia="Calibri"/>
                <w:noProof/>
              </w:rPr>
            </w:pPr>
            <w:r>
              <w:rPr>
                <w:noProof/>
              </w:rPr>
              <w:t>T</w:t>
            </w:r>
          </w:p>
        </w:tc>
        <w:tc>
          <w:tcPr>
            <w:tcW w:w="5529" w:type="dxa"/>
            <w:tcBorders>
              <w:top w:val="nil"/>
              <w:left w:val="nil"/>
              <w:bottom w:val="single" w:sz="6" w:space="0" w:color="auto"/>
              <w:right w:val="single" w:sz="6" w:space="0" w:color="auto"/>
            </w:tcBorders>
            <w:shd w:val="clear" w:color="auto" w:fill="C6EFCE"/>
          </w:tcPr>
          <w:p w14:paraId="4C416E9E" w14:textId="1646E5A9" w:rsidR="003A3D51" w:rsidRDefault="0002775A">
            <w:pPr>
              <w:pStyle w:val="P68B1DB1-Normal63"/>
              <w:spacing w:after="0" w:line="240" w:lineRule="auto"/>
              <w:jc w:val="both"/>
              <w:textAlignment w:val="baseline"/>
              <w:rPr>
                <w:rFonts w:eastAsia="Calibri"/>
                <w:noProof/>
              </w:rPr>
            </w:pPr>
            <w:r>
              <w:rPr>
                <w:noProof/>
              </w:rPr>
              <w:t>Energirenovering och efterjordbävning av offentliga byggnader som skadats av jordbävningarna</w:t>
            </w:r>
          </w:p>
        </w:tc>
      </w:tr>
      <w:tr w:rsidR="003A3D51" w14:paraId="46145260"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7DBB7A53" w14:textId="4FDFB88C" w:rsidR="003A3D51" w:rsidRDefault="0002775A">
            <w:pPr>
              <w:pStyle w:val="P68B1DB1-Normal66"/>
              <w:spacing w:after="0" w:line="240" w:lineRule="auto"/>
              <w:jc w:val="center"/>
              <w:textAlignment w:val="baseline"/>
              <w:rPr>
                <w:noProof/>
              </w:rPr>
            </w:pPr>
            <w:r>
              <w:rPr>
                <w:noProof/>
              </w:rPr>
              <w:t>403</w:t>
            </w:r>
          </w:p>
        </w:tc>
        <w:tc>
          <w:tcPr>
            <w:tcW w:w="1642" w:type="dxa"/>
            <w:tcBorders>
              <w:top w:val="nil"/>
              <w:left w:val="nil"/>
              <w:bottom w:val="single" w:sz="6" w:space="0" w:color="auto"/>
              <w:right w:val="single" w:sz="6" w:space="0" w:color="auto"/>
            </w:tcBorders>
            <w:shd w:val="clear" w:color="auto" w:fill="C6EFCE"/>
            <w:vAlign w:val="center"/>
          </w:tcPr>
          <w:p w14:paraId="62C3DD37" w14:textId="56097CBC" w:rsidR="003A3D51" w:rsidRDefault="0002775A">
            <w:pPr>
              <w:pStyle w:val="P68B1DB1-Normal66"/>
              <w:spacing w:after="0" w:line="240" w:lineRule="auto"/>
              <w:jc w:val="center"/>
              <w:textAlignment w:val="baseline"/>
              <w:rPr>
                <w:noProof/>
              </w:rPr>
            </w:pPr>
            <w:r>
              <w:rPr>
                <w:noProof/>
              </w:rPr>
              <w:t>C6.1 R7</w:t>
            </w:r>
          </w:p>
        </w:tc>
        <w:tc>
          <w:tcPr>
            <w:tcW w:w="1134" w:type="dxa"/>
            <w:tcBorders>
              <w:top w:val="nil"/>
              <w:left w:val="nil"/>
              <w:bottom w:val="single" w:sz="6" w:space="0" w:color="auto"/>
              <w:right w:val="single" w:sz="6" w:space="0" w:color="auto"/>
            </w:tcBorders>
            <w:shd w:val="clear" w:color="auto" w:fill="C6EFCE"/>
            <w:vAlign w:val="center"/>
          </w:tcPr>
          <w:p w14:paraId="0F0A7654" w14:textId="77777777" w:rsidR="003A3D51" w:rsidRDefault="0002775A">
            <w:pPr>
              <w:pStyle w:val="P68B1DB1-Normal66"/>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vAlign w:val="center"/>
          </w:tcPr>
          <w:p w14:paraId="1F6A24D9" w14:textId="77777777" w:rsidR="003A3D51" w:rsidRDefault="0002775A">
            <w:pPr>
              <w:pStyle w:val="P68B1DB1-Normal66"/>
              <w:spacing w:after="0" w:line="240" w:lineRule="auto"/>
              <w:jc w:val="both"/>
              <w:textAlignment w:val="baseline"/>
              <w:rPr>
                <w:noProof/>
              </w:rPr>
            </w:pPr>
            <w:r>
              <w:rPr>
                <w:noProof/>
              </w:rPr>
              <w:t>Pilotprojektet slutfört</w:t>
            </w:r>
          </w:p>
        </w:tc>
      </w:tr>
      <w:tr w:rsidR="003A3D51" w14:paraId="0C6A787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4A919E6" w14:textId="264E1465" w:rsidR="003A3D51" w:rsidRDefault="0002775A">
            <w:pPr>
              <w:pStyle w:val="P68B1DB1-Normal66"/>
              <w:spacing w:after="0" w:line="240" w:lineRule="auto"/>
              <w:jc w:val="center"/>
              <w:textAlignment w:val="baseline"/>
              <w:rPr>
                <w:noProof/>
              </w:rPr>
            </w:pPr>
            <w:r>
              <w:rPr>
                <w:noProof/>
              </w:rPr>
              <w:t>404</w:t>
            </w:r>
          </w:p>
        </w:tc>
        <w:tc>
          <w:tcPr>
            <w:tcW w:w="1642" w:type="dxa"/>
            <w:tcBorders>
              <w:top w:val="nil"/>
              <w:left w:val="nil"/>
              <w:bottom w:val="single" w:sz="6" w:space="0" w:color="auto"/>
              <w:right w:val="single" w:sz="6" w:space="0" w:color="auto"/>
            </w:tcBorders>
            <w:shd w:val="clear" w:color="auto" w:fill="C6EFCE"/>
            <w:vAlign w:val="center"/>
          </w:tcPr>
          <w:p w14:paraId="3472D191" w14:textId="41B21363" w:rsidR="003A3D51" w:rsidRDefault="0002775A">
            <w:pPr>
              <w:pStyle w:val="P68B1DB1-Normal66"/>
              <w:spacing w:after="0" w:line="240" w:lineRule="auto"/>
              <w:jc w:val="center"/>
              <w:textAlignment w:val="baseline"/>
              <w:rPr>
                <w:noProof/>
              </w:rPr>
            </w:pPr>
            <w:r>
              <w:rPr>
                <w:noProof/>
              </w:rPr>
              <w:t>     C6.1 R7</w:t>
            </w:r>
          </w:p>
        </w:tc>
        <w:tc>
          <w:tcPr>
            <w:tcW w:w="1134" w:type="dxa"/>
            <w:tcBorders>
              <w:top w:val="nil"/>
              <w:left w:val="nil"/>
              <w:bottom w:val="single" w:sz="6" w:space="0" w:color="auto"/>
              <w:right w:val="single" w:sz="6" w:space="0" w:color="auto"/>
            </w:tcBorders>
            <w:shd w:val="clear" w:color="auto" w:fill="C6EFCE"/>
            <w:vAlign w:val="center"/>
          </w:tcPr>
          <w:p w14:paraId="33DE8915" w14:textId="77777777" w:rsidR="003A3D51" w:rsidRDefault="0002775A">
            <w:pPr>
              <w:pStyle w:val="P68B1DB1-Normal66"/>
              <w:spacing w:after="0" w:line="240" w:lineRule="auto"/>
              <w:jc w:val="center"/>
              <w:textAlignment w:val="baseline"/>
              <w:rPr>
                <w:noProof/>
              </w:rPr>
            </w:pPr>
            <w:r>
              <w:rPr>
                <w:noProof/>
              </w:rPr>
              <w:t>  M</w:t>
            </w:r>
          </w:p>
        </w:tc>
        <w:tc>
          <w:tcPr>
            <w:tcW w:w="5529" w:type="dxa"/>
            <w:tcBorders>
              <w:top w:val="nil"/>
              <w:left w:val="nil"/>
              <w:bottom w:val="single" w:sz="6" w:space="0" w:color="auto"/>
              <w:right w:val="single" w:sz="6" w:space="0" w:color="auto"/>
            </w:tcBorders>
            <w:shd w:val="clear" w:color="auto" w:fill="C6EFCE"/>
            <w:vAlign w:val="center"/>
          </w:tcPr>
          <w:p w14:paraId="7B3DC98F" w14:textId="77777777" w:rsidR="003A3D51" w:rsidRDefault="0002775A">
            <w:pPr>
              <w:pStyle w:val="P68B1DB1-Normal66"/>
              <w:spacing w:after="0" w:line="240" w:lineRule="auto"/>
              <w:jc w:val="both"/>
              <w:textAlignment w:val="baseline"/>
              <w:rPr>
                <w:noProof/>
              </w:rPr>
            </w:pPr>
            <w:r>
              <w:rPr>
                <w:noProof/>
              </w:rPr>
              <w:t> Nationella riktlinjer för cirkulär användning av byggavfall från byggnader med status som kulturföremål har antagits</w:t>
            </w:r>
          </w:p>
        </w:tc>
      </w:tr>
      <w:tr w:rsidR="003A3D51" w14:paraId="44493FD2"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3F058AA0" w14:textId="609965F7" w:rsidR="003A3D51" w:rsidRDefault="0002775A">
            <w:pPr>
              <w:pStyle w:val="P68B1DB1-Normal63"/>
              <w:spacing w:after="0" w:line="240" w:lineRule="auto"/>
              <w:jc w:val="center"/>
              <w:textAlignment w:val="baseline"/>
              <w:rPr>
                <w:noProof/>
              </w:rPr>
            </w:pPr>
            <w:r>
              <w:rPr>
                <w:noProof/>
              </w:rPr>
              <w:t>417</w:t>
            </w:r>
          </w:p>
        </w:tc>
        <w:tc>
          <w:tcPr>
            <w:tcW w:w="1642" w:type="dxa"/>
            <w:tcBorders>
              <w:top w:val="nil"/>
              <w:left w:val="nil"/>
              <w:bottom w:val="single" w:sz="6" w:space="0" w:color="auto"/>
              <w:right w:val="single" w:sz="6" w:space="0" w:color="auto"/>
            </w:tcBorders>
            <w:shd w:val="clear" w:color="auto" w:fill="C6EFCE"/>
            <w:vAlign w:val="center"/>
          </w:tcPr>
          <w:p w14:paraId="52A3FB48" w14:textId="1D9F313D" w:rsidR="003A3D51" w:rsidRDefault="0002775A">
            <w:pPr>
              <w:pStyle w:val="P68B1DB1-Normal63"/>
              <w:spacing w:after="0" w:line="240" w:lineRule="auto"/>
              <w:jc w:val="center"/>
              <w:textAlignment w:val="baseline"/>
              <w:rPr>
                <w:noProof/>
              </w:rPr>
            </w:pPr>
            <w:r>
              <w:rPr>
                <w:noProof/>
              </w:rPr>
              <w:t>C7.1 R1-I4</w:t>
            </w:r>
          </w:p>
        </w:tc>
        <w:tc>
          <w:tcPr>
            <w:tcW w:w="1134" w:type="dxa"/>
            <w:tcBorders>
              <w:top w:val="nil"/>
              <w:left w:val="nil"/>
              <w:bottom w:val="single" w:sz="6" w:space="0" w:color="auto"/>
              <w:right w:val="single" w:sz="6" w:space="0" w:color="auto"/>
            </w:tcBorders>
            <w:shd w:val="clear" w:color="auto" w:fill="C6EFCE"/>
            <w:vAlign w:val="center"/>
          </w:tcPr>
          <w:p w14:paraId="77EBED38"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30F8650C" w14:textId="77777777" w:rsidR="003A3D51" w:rsidRDefault="0002775A">
            <w:pPr>
              <w:pStyle w:val="P68B1DB1-Normal63"/>
              <w:spacing w:after="0" w:line="240" w:lineRule="auto"/>
              <w:jc w:val="both"/>
              <w:textAlignment w:val="baseline"/>
              <w:rPr>
                <w:noProof/>
              </w:rPr>
            </w:pPr>
            <w:r>
              <w:rPr>
                <w:noProof/>
              </w:rPr>
              <w:t xml:space="preserve">Produktionsanläggning för biometan </w:t>
            </w:r>
          </w:p>
        </w:tc>
      </w:tr>
      <w:tr w:rsidR="003A3D51" w14:paraId="6C539868"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4922398C" w14:textId="74CF2577" w:rsidR="003A3D51" w:rsidRDefault="0002775A">
            <w:pPr>
              <w:pStyle w:val="P68B1DB1-Normal63"/>
              <w:spacing w:after="0" w:line="240" w:lineRule="auto"/>
              <w:jc w:val="center"/>
              <w:textAlignment w:val="baseline"/>
              <w:rPr>
                <w:noProof/>
              </w:rPr>
            </w:pPr>
            <w:r>
              <w:rPr>
                <w:noProof/>
              </w:rPr>
              <w:t>418</w:t>
            </w:r>
          </w:p>
        </w:tc>
        <w:tc>
          <w:tcPr>
            <w:tcW w:w="1642" w:type="dxa"/>
            <w:tcBorders>
              <w:top w:val="nil"/>
              <w:left w:val="nil"/>
              <w:bottom w:val="single" w:sz="6" w:space="0" w:color="auto"/>
              <w:right w:val="single" w:sz="6" w:space="0" w:color="auto"/>
            </w:tcBorders>
            <w:shd w:val="clear" w:color="auto" w:fill="C6EFCE"/>
            <w:vAlign w:val="center"/>
          </w:tcPr>
          <w:p w14:paraId="41069D08" w14:textId="6745C8E0" w:rsidR="003A3D51" w:rsidRDefault="0002775A">
            <w:pPr>
              <w:pStyle w:val="P68B1DB1-Normal63"/>
              <w:spacing w:after="0" w:line="240" w:lineRule="auto"/>
              <w:jc w:val="center"/>
              <w:textAlignment w:val="baseline"/>
              <w:rPr>
                <w:noProof/>
              </w:rPr>
            </w:pPr>
            <w:r>
              <w:rPr>
                <w:noProof/>
              </w:rPr>
              <w:t>C7.1 R1-I4</w:t>
            </w:r>
          </w:p>
        </w:tc>
        <w:tc>
          <w:tcPr>
            <w:tcW w:w="1134" w:type="dxa"/>
            <w:tcBorders>
              <w:top w:val="nil"/>
              <w:left w:val="nil"/>
              <w:bottom w:val="single" w:sz="6" w:space="0" w:color="auto"/>
              <w:right w:val="single" w:sz="6" w:space="0" w:color="auto"/>
            </w:tcBorders>
            <w:shd w:val="clear" w:color="auto" w:fill="C6EFCE"/>
            <w:vAlign w:val="center"/>
          </w:tcPr>
          <w:p w14:paraId="35C30856"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16238936" w14:textId="77777777" w:rsidR="003A3D51" w:rsidRDefault="0002775A">
            <w:pPr>
              <w:pStyle w:val="P68B1DB1-Normal63"/>
              <w:spacing w:after="0" w:line="240" w:lineRule="auto"/>
              <w:jc w:val="both"/>
              <w:textAlignment w:val="baseline"/>
              <w:rPr>
                <w:noProof/>
              </w:rPr>
            </w:pPr>
            <w:r>
              <w:rPr>
                <w:noProof/>
              </w:rPr>
              <w:t>Laddningsinfrastruktur för elbussar</w:t>
            </w:r>
          </w:p>
        </w:tc>
      </w:tr>
      <w:tr w:rsidR="003A3D51" w14:paraId="6DDCFA5C"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627C31B" w14:textId="5F842A29" w:rsidR="003A3D51" w:rsidRDefault="0002775A">
            <w:pPr>
              <w:pStyle w:val="P68B1DB1-Normal63"/>
              <w:spacing w:after="0" w:line="240" w:lineRule="auto"/>
              <w:jc w:val="center"/>
              <w:textAlignment w:val="baseline"/>
              <w:rPr>
                <w:noProof/>
              </w:rPr>
            </w:pPr>
            <w:r>
              <w:rPr>
                <w:noProof/>
              </w:rPr>
              <w:t>419</w:t>
            </w:r>
          </w:p>
        </w:tc>
        <w:tc>
          <w:tcPr>
            <w:tcW w:w="1642" w:type="dxa"/>
            <w:tcBorders>
              <w:top w:val="nil"/>
              <w:left w:val="nil"/>
              <w:bottom w:val="single" w:sz="6" w:space="0" w:color="auto"/>
              <w:right w:val="single" w:sz="6" w:space="0" w:color="auto"/>
            </w:tcBorders>
            <w:shd w:val="clear" w:color="auto" w:fill="C6EFCE"/>
            <w:vAlign w:val="center"/>
          </w:tcPr>
          <w:p w14:paraId="3E74A4D2" w14:textId="50CE8899" w:rsidR="003A3D51" w:rsidRDefault="0002775A">
            <w:pPr>
              <w:pStyle w:val="P68B1DB1-Normal63"/>
              <w:spacing w:after="0" w:line="240" w:lineRule="auto"/>
              <w:jc w:val="center"/>
              <w:textAlignment w:val="baseline"/>
              <w:rPr>
                <w:noProof/>
              </w:rPr>
            </w:pPr>
            <w:r>
              <w:rPr>
                <w:noProof/>
              </w:rPr>
              <w:t>C7.1 R1-I6</w:t>
            </w:r>
          </w:p>
        </w:tc>
        <w:tc>
          <w:tcPr>
            <w:tcW w:w="1134" w:type="dxa"/>
            <w:tcBorders>
              <w:top w:val="nil"/>
              <w:left w:val="nil"/>
              <w:bottom w:val="single" w:sz="6" w:space="0" w:color="auto"/>
              <w:right w:val="single" w:sz="6" w:space="0" w:color="auto"/>
            </w:tcBorders>
            <w:shd w:val="clear" w:color="auto" w:fill="C6EFCE"/>
            <w:vAlign w:val="center"/>
          </w:tcPr>
          <w:p w14:paraId="1BE3E71B"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1125AFFB" w14:textId="77777777" w:rsidR="003A3D51" w:rsidRDefault="0002775A">
            <w:pPr>
              <w:pStyle w:val="P68B1DB1-Normal63"/>
              <w:spacing w:after="0" w:line="240" w:lineRule="auto"/>
              <w:jc w:val="both"/>
              <w:textAlignment w:val="baseline"/>
              <w:rPr>
                <w:noProof/>
              </w:rPr>
            </w:pPr>
            <w:r>
              <w:rPr>
                <w:noProof/>
              </w:rPr>
              <w:t>Ersättning av eltransformatorer</w:t>
            </w:r>
          </w:p>
        </w:tc>
      </w:tr>
      <w:tr w:rsidR="003A3D51" w14:paraId="243E5551"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517D94E1" w14:textId="510F5FAD" w:rsidR="003A3D51" w:rsidRDefault="0002775A">
            <w:pPr>
              <w:pStyle w:val="P68B1DB1-Normal63"/>
              <w:spacing w:after="0" w:line="240" w:lineRule="auto"/>
              <w:jc w:val="center"/>
              <w:textAlignment w:val="baseline"/>
              <w:rPr>
                <w:noProof/>
              </w:rPr>
            </w:pPr>
            <w:r>
              <w:rPr>
                <w:noProof/>
              </w:rPr>
              <w:t>420</w:t>
            </w:r>
          </w:p>
        </w:tc>
        <w:tc>
          <w:tcPr>
            <w:tcW w:w="1642" w:type="dxa"/>
            <w:tcBorders>
              <w:top w:val="nil"/>
              <w:left w:val="nil"/>
              <w:bottom w:val="single" w:sz="6" w:space="0" w:color="auto"/>
              <w:right w:val="single" w:sz="6" w:space="0" w:color="auto"/>
            </w:tcBorders>
            <w:shd w:val="clear" w:color="auto" w:fill="C6EFCE"/>
            <w:vAlign w:val="center"/>
          </w:tcPr>
          <w:p w14:paraId="59C56683" w14:textId="6245E005" w:rsidR="003A3D51" w:rsidRDefault="0002775A">
            <w:pPr>
              <w:pStyle w:val="P68B1DB1-Normal63"/>
              <w:spacing w:after="0" w:line="240" w:lineRule="auto"/>
              <w:jc w:val="center"/>
              <w:textAlignment w:val="baseline"/>
              <w:rPr>
                <w:noProof/>
              </w:rPr>
            </w:pPr>
            <w:r>
              <w:rPr>
                <w:noProof/>
              </w:rPr>
              <w:t>C7.1 R1-I6</w:t>
            </w:r>
          </w:p>
        </w:tc>
        <w:tc>
          <w:tcPr>
            <w:tcW w:w="1134" w:type="dxa"/>
            <w:tcBorders>
              <w:top w:val="nil"/>
              <w:left w:val="nil"/>
              <w:bottom w:val="single" w:sz="6" w:space="0" w:color="auto"/>
              <w:right w:val="single" w:sz="6" w:space="0" w:color="auto"/>
            </w:tcBorders>
            <w:shd w:val="clear" w:color="auto" w:fill="C6EFCE"/>
            <w:vAlign w:val="center"/>
          </w:tcPr>
          <w:p w14:paraId="04FA8337" w14:textId="77777777" w:rsidR="003A3D51" w:rsidRDefault="003A3D51">
            <w:pPr>
              <w:spacing w:after="0" w:line="240" w:lineRule="auto"/>
              <w:jc w:val="center"/>
              <w:textAlignment w:val="baseline"/>
              <w:rPr>
                <w:rFonts w:ascii="Times New Roman" w:eastAsia="Times New Roman" w:hAnsi="Times New Roman" w:cs="Times New Roman"/>
                <w:noProof/>
                <w:sz w:val="20"/>
              </w:rPr>
            </w:pPr>
          </w:p>
        </w:tc>
        <w:tc>
          <w:tcPr>
            <w:tcW w:w="5529" w:type="dxa"/>
            <w:tcBorders>
              <w:top w:val="nil"/>
              <w:left w:val="nil"/>
              <w:bottom w:val="single" w:sz="6" w:space="0" w:color="auto"/>
              <w:right w:val="single" w:sz="6" w:space="0" w:color="auto"/>
            </w:tcBorders>
            <w:shd w:val="clear" w:color="auto" w:fill="C6EFCE"/>
          </w:tcPr>
          <w:p w14:paraId="19887D5F" w14:textId="77777777" w:rsidR="003A3D51" w:rsidRDefault="0002775A">
            <w:pPr>
              <w:pStyle w:val="P68B1DB1-Normal63"/>
              <w:spacing w:after="0" w:line="240" w:lineRule="auto"/>
              <w:jc w:val="both"/>
              <w:textAlignment w:val="baseline"/>
              <w:rPr>
                <w:noProof/>
              </w:rPr>
            </w:pPr>
            <w:r>
              <w:rPr>
                <w:noProof/>
              </w:rPr>
              <w:t xml:space="preserve">Ombyggnad av elektriska understationer </w:t>
            </w:r>
          </w:p>
        </w:tc>
      </w:tr>
      <w:tr w:rsidR="003A3D51" w14:paraId="11D154D1"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65BD9EC" w14:textId="0A6FC5F0" w:rsidR="003A3D51" w:rsidRDefault="0002775A">
            <w:pPr>
              <w:pStyle w:val="P68B1DB1-Normal63"/>
              <w:spacing w:after="0" w:line="240" w:lineRule="auto"/>
              <w:jc w:val="center"/>
              <w:textAlignment w:val="baseline"/>
              <w:rPr>
                <w:noProof/>
              </w:rPr>
            </w:pPr>
            <w:r>
              <w:rPr>
                <w:noProof/>
              </w:rPr>
              <w:t>426</w:t>
            </w:r>
          </w:p>
        </w:tc>
        <w:tc>
          <w:tcPr>
            <w:tcW w:w="1642" w:type="dxa"/>
            <w:tcBorders>
              <w:top w:val="nil"/>
              <w:left w:val="nil"/>
              <w:bottom w:val="single" w:sz="6" w:space="0" w:color="auto"/>
              <w:right w:val="single" w:sz="6" w:space="0" w:color="auto"/>
            </w:tcBorders>
            <w:shd w:val="clear" w:color="auto" w:fill="C6EFCE"/>
            <w:vAlign w:val="center"/>
          </w:tcPr>
          <w:p w14:paraId="0CC3EFE1" w14:textId="1623C248" w:rsidR="003A3D51" w:rsidRDefault="0002775A">
            <w:pPr>
              <w:pStyle w:val="P68B1DB1-Normal63"/>
              <w:spacing w:after="0" w:line="240" w:lineRule="auto"/>
              <w:jc w:val="center"/>
              <w:textAlignment w:val="baseline"/>
              <w:rPr>
                <w:noProof/>
              </w:rPr>
            </w:pPr>
            <w:r>
              <w:rPr>
                <w:noProof/>
              </w:rPr>
              <w:t>C7.1 I3</w:t>
            </w:r>
          </w:p>
        </w:tc>
        <w:tc>
          <w:tcPr>
            <w:tcW w:w="1134" w:type="dxa"/>
            <w:tcBorders>
              <w:top w:val="nil"/>
              <w:left w:val="nil"/>
              <w:bottom w:val="single" w:sz="6" w:space="0" w:color="auto"/>
              <w:right w:val="single" w:sz="6" w:space="0" w:color="auto"/>
            </w:tcBorders>
            <w:shd w:val="clear" w:color="auto" w:fill="C6EFCE"/>
            <w:vAlign w:val="center"/>
          </w:tcPr>
          <w:p w14:paraId="53D6469B"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5E5F872B" w14:textId="77777777" w:rsidR="003A3D51" w:rsidRDefault="0002775A">
            <w:pPr>
              <w:pStyle w:val="P68B1DB1-Normal63"/>
              <w:spacing w:after="0" w:line="240" w:lineRule="auto"/>
              <w:jc w:val="both"/>
              <w:textAlignment w:val="baseline"/>
              <w:rPr>
                <w:noProof/>
              </w:rPr>
            </w:pPr>
            <w:r>
              <w:rPr>
                <w:noProof/>
              </w:rPr>
              <w:t xml:space="preserve">Uppförande av den utvidgade gasledningen Bosiljevo-Sisak-Kozarac </w:t>
            </w:r>
          </w:p>
        </w:tc>
      </w:tr>
      <w:tr w:rsidR="003A3D51" w14:paraId="1911E84F"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26AF8163" w14:textId="61DB928B" w:rsidR="003A3D51" w:rsidRDefault="0002775A">
            <w:pPr>
              <w:pStyle w:val="P68B1DB1-Normal63"/>
              <w:spacing w:after="0" w:line="240" w:lineRule="auto"/>
              <w:jc w:val="center"/>
              <w:textAlignment w:val="baseline"/>
              <w:rPr>
                <w:noProof/>
              </w:rPr>
            </w:pPr>
            <w:r>
              <w:rPr>
                <w:noProof/>
              </w:rPr>
              <w:t>428</w:t>
            </w:r>
          </w:p>
        </w:tc>
        <w:tc>
          <w:tcPr>
            <w:tcW w:w="1642" w:type="dxa"/>
            <w:tcBorders>
              <w:top w:val="nil"/>
              <w:left w:val="nil"/>
              <w:bottom w:val="single" w:sz="6" w:space="0" w:color="auto"/>
              <w:right w:val="single" w:sz="6" w:space="0" w:color="auto"/>
            </w:tcBorders>
            <w:shd w:val="clear" w:color="auto" w:fill="C6EFCE"/>
            <w:vAlign w:val="center"/>
          </w:tcPr>
          <w:p w14:paraId="360373EE" w14:textId="15317A54" w:rsidR="003A3D51" w:rsidRDefault="0002775A">
            <w:pPr>
              <w:pStyle w:val="P68B1DB1-Normal63"/>
              <w:spacing w:after="0" w:line="240" w:lineRule="auto"/>
              <w:jc w:val="center"/>
              <w:textAlignment w:val="baseline"/>
              <w:rPr>
                <w:noProof/>
              </w:rPr>
            </w:pPr>
            <w:r>
              <w:rPr>
                <w:noProof/>
              </w:rPr>
              <w:t>C7.1 I3</w:t>
            </w:r>
          </w:p>
        </w:tc>
        <w:tc>
          <w:tcPr>
            <w:tcW w:w="1134" w:type="dxa"/>
            <w:tcBorders>
              <w:top w:val="nil"/>
              <w:left w:val="nil"/>
              <w:bottom w:val="single" w:sz="6" w:space="0" w:color="auto"/>
              <w:right w:val="single" w:sz="6" w:space="0" w:color="auto"/>
            </w:tcBorders>
            <w:shd w:val="clear" w:color="auto" w:fill="C6EFCE"/>
            <w:vAlign w:val="center"/>
          </w:tcPr>
          <w:p w14:paraId="3D833772"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6DF2DCEA" w14:textId="77777777" w:rsidR="003A3D51" w:rsidRDefault="0002775A">
            <w:pPr>
              <w:pStyle w:val="P68B1DB1-Normal63"/>
              <w:spacing w:after="0" w:line="240" w:lineRule="auto"/>
              <w:jc w:val="both"/>
              <w:textAlignment w:val="baseline"/>
              <w:rPr>
                <w:noProof/>
              </w:rPr>
            </w:pPr>
            <w:r>
              <w:rPr>
                <w:noProof/>
              </w:rPr>
              <w:t>Uppförande av den utvidgade sträckan Lučko-Zabok i sammanlänkningen Kroatien-Slovenien</w:t>
            </w:r>
          </w:p>
        </w:tc>
      </w:tr>
      <w:tr w:rsidR="003A3D51" w14:paraId="2DC13780"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1771D2C8" w14:textId="1C7EA669" w:rsidR="003A3D51" w:rsidRDefault="0002775A">
            <w:pPr>
              <w:pStyle w:val="P68B1DB1-Normal63"/>
              <w:spacing w:after="0" w:line="240" w:lineRule="auto"/>
              <w:jc w:val="center"/>
              <w:textAlignment w:val="baseline"/>
              <w:rPr>
                <w:noProof/>
              </w:rPr>
            </w:pPr>
            <w:r>
              <w:rPr>
                <w:noProof/>
              </w:rPr>
              <w:t>432</w:t>
            </w:r>
          </w:p>
        </w:tc>
        <w:tc>
          <w:tcPr>
            <w:tcW w:w="1642" w:type="dxa"/>
            <w:tcBorders>
              <w:top w:val="nil"/>
              <w:left w:val="nil"/>
              <w:bottom w:val="single" w:sz="6" w:space="0" w:color="auto"/>
              <w:right w:val="single" w:sz="6" w:space="0" w:color="auto"/>
            </w:tcBorders>
            <w:shd w:val="clear" w:color="auto" w:fill="C6EFCE"/>
            <w:vAlign w:val="center"/>
          </w:tcPr>
          <w:p w14:paraId="04AFF516" w14:textId="68C3CEC3" w:rsidR="003A3D51" w:rsidRDefault="0002775A">
            <w:pPr>
              <w:pStyle w:val="P68B1DB1-Normal63"/>
              <w:spacing w:after="0" w:line="240" w:lineRule="auto"/>
              <w:jc w:val="center"/>
              <w:textAlignment w:val="baseline"/>
              <w:rPr>
                <w:noProof/>
              </w:rPr>
            </w:pPr>
            <w:r>
              <w:rPr>
                <w:noProof/>
              </w:rPr>
              <w:t>C7.2 R3</w:t>
            </w:r>
          </w:p>
        </w:tc>
        <w:tc>
          <w:tcPr>
            <w:tcW w:w="1134" w:type="dxa"/>
            <w:tcBorders>
              <w:top w:val="nil"/>
              <w:left w:val="nil"/>
              <w:bottom w:val="single" w:sz="6" w:space="0" w:color="auto"/>
              <w:right w:val="single" w:sz="6" w:space="0" w:color="auto"/>
            </w:tcBorders>
            <w:shd w:val="clear" w:color="auto" w:fill="C6EFCE"/>
            <w:vAlign w:val="center"/>
          </w:tcPr>
          <w:p w14:paraId="6D5A09D5"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32381D1A" w14:textId="77777777" w:rsidR="003A3D51" w:rsidRDefault="0002775A">
            <w:pPr>
              <w:pStyle w:val="P68B1DB1-Normal63"/>
              <w:spacing w:after="0" w:line="240" w:lineRule="auto"/>
              <w:jc w:val="both"/>
              <w:textAlignment w:val="baseline"/>
              <w:rPr>
                <w:noProof/>
              </w:rPr>
            </w:pPr>
            <w:r>
              <w:rPr>
                <w:noProof/>
              </w:rPr>
              <w:t>Genomförande av pilotprojekt som identifierats genom strategierna för grön stadsförnyelse och som är kopplade till de nationella programmen för grön infrastruktur och cirkulär förvaltning av utrymmen och byggnader.</w:t>
            </w:r>
          </w:p>
        </w:tc>
      </w:tr>
      <w:tr w:rsidR="003A3D51" w14:paraId="7B84F18A"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687B0729" w14:textId="68D9FBEE" w:rsidR="003A3D51" w:rsidRDefault="0002775A">
            <w:pPr>
              <w:pStyle w:val="P68B1DB1-Normal63"/>
              <w:spacing w:after="0" w:line="240" w:lineRule="auto"/>
              <w:jc w:val="center"/>
              <w:textAlignment w:val="baseline"/>
              <w:rPr>
                <w:noProof/>
              </w:rPr>
            </w:pPr>
            <w:r>
              <w:rPr>
                <w:noProof/>
              </w:rPr>
              <w:t>435</w:t>
            </w:r>
          </w:p>
        </w:tc>
        <w:tc>
          <w:tcPr>
            <w:tcW w:w="1642" w:type="dxa"/>
            <w:tcBorders>
              <w:top w:val="nil"/>
              <w:left w:val="nil"/>
              <w:bottom w:val="single" w:sz="6" w:space="0" w:color="auto"/>
              <w:right w:val="single" w:sz="6" w:space="0" w:color="auto"/>
            </w:tcBorders>
            <w:shd w:val="clear" w:color="auto" w:fill="C6EFCE"/>
            <w:vAlign w:val="center"/>
          </w:tcPr>
          <w:p w14:paraId="52CE8BAE" w14:textId="54FC22E1" w:rsidR="003A3D51" w:rsidRDefault="0002775A">
            <w:pPr>
              <w:pStyle w:val="P68B1DB1-Normal63"/>
              <w:spacing w:after="0" w:line="240" w:lineRule="auto"/>
              <w:jc w:val="center"/>
              <w:textAlignment w:val="baseline"/>
              <w:rPr>
                <w:noProof/>
              </w:rPr>
            </w:pPr>
            <w:r>
              <w:rPr>
                <w:noProof/>
              </w:rPr>
              <w:t>C7.2 I1</w:t>
            </w:r>
          </w:p>
        </w:tc>
        <w:tc>
          <w:tcPr>
            <w:tcW w:w="1134" w:type="dxa"/>
            <w:tcBorders>
              <w:top w:val="nil"/>
              <w:left w:val="nil"/>
              <w:bottom w:val="single" w:sz="6" w:space="0" w:color="auto"/>
              <w:right w:val="single" w:sz="6" w:space="0" w:color="auto"/>
            </w:tcBorders>
            <w:shd w:val="clear" w:color="auto" w:fill="C6EFCE"/>
            <w:vAlign w:val="center"/>
          </w:tcPr>
          <w:p w14:paraId="58D17F9B"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78193EA3" w14:textId="77777777" w:rsidR="003A3D51" w:rsidRDefault="0002775A">
            <w:pPr>
              <w:pStyle w:val="P68B1DB1-Normal63"/>
              <w:spacing w:after="0" w:line="240" w:lineRule="auto"/>
              <w:jc w:val="both"/>
              <w:textAlignment w:val="baseline"/>
              <w:rPr>
                <w:noProof/>
              </w:rPr>
            </w:pPr>
            <w:r>
              <w:rPr>
                <w:noProof/>
              </w:rPr>
              <w:t>Energirenovering av flerbostadshus</w:t>
            </w:r>
          </w:p>
        </w:tc>
      </w:tr>
      <w:tr w:rsidR="003A3D51" w14:paraId="767F5957"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363344ED" w14:textId="2BF48B66" w:rsidR="003A3D51" w:rsidRDefault="0002775A">
            <w:pPr>
              <w:pStyle w:val="P68B1DB1-Normal63"/>
              <w:spacing w:after="0" w:line="240" w:lineRule="auto"/>
              <w:jc w:val="center"/>
              <w:textAlignment w:val="baseline"/>
              <w:rPr>
                <w:noProof/>
              </w:rPr>
            </w:pPr>
            <w:r>
              <w:rPr>
                <w:noProof/>
              </w:rPr>
              <w:t>436</w:t>
            </w:r>
          </w:p>
        </w:tc>
        <w:tc>
          <w:tcPr>
            <w:tcW w:w="1642" w:type="dxa"/>
            <w:tcBorders>
              <w:top w:val="nil"/>
              <w:left w:val="nil"/>
              <w:bottom w:val="single" w:sz="6" w:space="0" w:color="auto"/>
              <w:right w:val="single" w:sz="6" w:space="0" w:color="auto"/>
            </w:tcBorders>
            <w:shd w:val="clear" w:color="auto" w:fill="C6EFCE"/>
            <w:vAlign w:val="center"/>
          </w:tcPr>
          <w:p w14:paraId="67E8136F" w14:textId="4F64AD1B" w:rsidR="003A3D51" w:rsidRDefault="0002775A">
            <w:pPr>
              <w:pStyle w:val="P68B1DB1-Normal63"/>
              <w:spacing w:after="0" w:line="240" w:lineRule="auto"/>
              <w:jc w:val="center"/>
              <w:textAlignment w:val="baseline"/>
              <w:rPr>
                <w:noProof/>
              </w:rPr>
            </w:pPr>
            <w:r>
              <w:rPr>
                <w:noProof/>
              </w:rPr>
              <w:t>C7.2 I1</w:t>
            </w:r>
          </w:p>
        </w:tc>
        <w:tc>
          <w:tcPr>
            <w:tcW w:w="1134" w:type="dxa"/>
            <w:tcBorders>
              <w:top w:val="nil"/>
              <w:left w:val="nil"/>
              <w:bottom w:val="single" w:sz="6" w:space="0" w:color="auto"/>
              <w:right w:val="single" w:sz="6" w:space="0" w:color="auto"/>
            </w:tcBorders>
            <w:shd w:val="clear" w:color="auto" w:fill="C6EFCE"/>
            <w:vAlign w:val="center"/>
          </w:tcPr>
          <w:p w14:paraId="4D3E7346"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6FD9181F" w14:textId="77777777" w:rsidR="003A3D51" w:rsidRDefault="0002775A">
            <w:pPr>
              <w:pStyle w:val="P68B1DB1-Normal63"/>
              <w:spacing w:after="0" w:line="240" w:lineRule="auto"/>
              <w:jc w:val="both"/>
              <w:textAlignment w:val="baseline"/>
              <w:rPr>
                <w:noProof/>
              </w:rPr>
            </w:pPr>
            <w:r>
              <w:rPr>
                <w:noProof/>
              </w:rPr>
              <w:t>Energirenovering av offentliga byggnader</w:t>
            </w:r>
          </w:p>
        </w:tc>
      </w:tr>
      <w:tr w:rsidR="003A3D51" w14:paraId="4D1ED085"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E935705" w14:textId="18003B4F" w:rsidR="003A3D51" w:rsidRDefault="0002775A">
            <w:pPr>
              <w:pStyle w:val="P68B1DB1-Normal63"/>
              <w:spacing w:after="0" w:line="240" w:lineRule="auto"/>
              <w:jc w:val="center"/>
              <w:textAlignment w:val="baseline"/>
              <w:rPr>
                <w:noProof/>
              </w:rPr>
            </w:pPr>
            <w:r>
              <w:rPr>
                <w:noProof/>
              </w:rPr>
              <w:t>437</w:t>
            </w:r>
          </w:p>
        </w:tc>
        <w:tc>
          <w:tcPr>
            <w:tcW w:w="1642" w:type="dxa"/>
            <w:tcBorders>
              <w:top w:val="nil"/>
              <w:left w:val="nil"/>
              <w:bottom w:val="single" w:sz="6" w:space="0" w:color="auto"/>
              <w:right w:val="single" w:sz="6" w:space="0" w:color="auto"/>
            </w:tcBorders>
            <w:shd w:val="clear" w:color="auto" w:fill="C6EFCE"/>
            <w:vAlign w:val="center"/>
          </w:tcPr>
          <w:p w14:paraId="457E0A65" w14:textId="168B8D3C" w:rsidR="003A3D51" w:rsidRDefault="0002775A">
            <w:pPr>
              <w:pStyle w:val="P68B1DB1-Normal63"/>
              <w:spacing w:after="0" w:line="240" w:lineRule="auto"/>
              <w:jc w:val="center"/>
              <w:textAlignment w:val="baseline"/>
              <w:rPr>
                <w:noProof/>
              </w:rPr>
            </w:pPr>
            <w:r>
              <w:rPr>
                <w:noProof/>
              </w:rPr>
              <w:t>C7.2 I1</w:t>
            </w:r>
          </w:p>
        </w:tc>
        <w:tc>
          <w:tcPr>
            <w:tcW w:w="1134" w:type="dxa"/>
            <w:tcBorders>
              <w:top w:val="nil"/>
              <w:left w:val="nil"/>
              <w:bottom w:val="single" w:sz="6" w:space="0" w:color="auto"/>
              <w:right w:val="single" w:sz="6" w:space="0" w:color="auto"/>
            </w:tcBorders>
            <w:shd w:val="clear" w:color="auto" w:fill="C6EFCE"/>
            <w:vAlign w:val="center"/>
          </w:tcPr>
          <w:p w14:paraId="0F61ABA5"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3102A273" w14:textId="77777777" w:rsidR="003A3D51" w:rsidRDefault="0002775A">
            <w:pPr>
              <w:pStyle w:val="P68B1DB1-Normal63"/>
              <w:spacing w:after="0" w:line="240" w:lineRule="auto"/>
              <w:jc w:val="both"/>
              <w:textAlignment w:val="baseline"/>
              <w:rPr>
                <w:noProof/>
              </w:rPr>
            </w:pPr>
            <w:r>
              <w:rPr>
                <w:noProof/>
              </w:rPr>
              <w:t>Installation av system för förnybar energi i offentliga byggnader</w:t>
            </w:r>
          </w:p>
        </w:tc>
      </w:tr>
      <w:tr w:rsidR="003A3D51" w14:paraId="04244626" w14:textId="77777777">
        <w:trPr>
          <w:trHeight w:val="362"/>
        </w:trPr>
        <w:tc>
          <w:tcPr>
            <w:tcW w:w="1096" w:type="dxa"/>
            <w:tcBorders>
              <w:top w:val="nil"/>
              <w:left w:val="single" w:sz="6" w:space="0" w:color="auto"/>
              <w:bottom w:val="single" w:sz="6" w:space="0" w:color="auto"/>
              <w:right w:val="single" w:sz="6" w:space="0" w:color="auto"/>
            </w:tcBorders>
            <w:shd w:val="clear" w:color="auto" w:fill="C6EFCE"/>
            <w:vAlign w:val="center"/>
          </w:tcPr>
          <w:p w14:paraId="06729C65" w14:textId="33531BC3" w:rsidR="003A3D51" w:rsidRDefault="0002775A">
            <w:pPr>
              <w:pStyle w:val="P68B1DB1-Normal63"/>
              <w:spacing w:after="0" w:line="240" w:lineRule="auto"/>
              <w:jc w:val="center"/>
              <w:textAlignment w:val="baseline"/>
              <w:rPr>
                <w:noProof/>
              </w:rPr>
            </w:pPr>
            <w:r>
              <w:rPr>
                <w:noProof/>
              </w:rPr>
              <w:t>439</w:t>
            </w:r>
          </w:p>
        </w:tc>
        <w:tc>
          <w:tcPr>
            <w:tcW w:w="1642" w:type="dxa"/>
            <w:tcBorders>
              <w:top w:val="nil"/>
              <w:left w:val="nil"/>
              <w:bottom w:val="single" w:sz="6" w:space="0" w:color="auto"/>
              <w:right w:val="single" w:sz="6" w:space="0" w:color="auto"/>
            </w:tcBorders>
            <w:shd w:val="clear" w:color="auto" w:fill="C6EFCE"/>
            <w:vAlign w:val="center"/>
          </w:tcPr>
          <w:p w14:paraId="75E68503" w14:textId="517554F8" w:rsidR="003A3D51" w:rsidRDefault="0002775A">
            <w:pPr>
              <w:pStyle w:val="P68B1DB1-Normal63"/>
              <w:spacing w:after="0" w:line="240" w:lineRule="auto"/>
              <w:jc w:val="center"/>
              <w:textAlignment w:val="baseline"/>
              <w:rPr>
                <w:noProof/>
              </w:rPr>
            </w:pPr>
            <w:r>
              <w:rPr>
                <w:noProof/>
              </w:rPr>
              <w:t>C7.2 I2</w:t>
            </w:r>
          </w:p>
        </w:tc>
        <w:tc>
          <w:tcPr>
            <w:tcW w:w="1134" w:type="dxa"/>
            <w:tcBorders>
              <w:top w:val="nil"/>
              <w:left w:val="nil"/>
              <w:bottom w:val="single" w:sz="6" w:space="0" w:color="auto"/>
              <w:right w:val="single" w:sz="6" w:space="0" w:color="auto"/>
            </w:tcBorders>
            <w:shd w:val="clear" w:color="auto" w:fill="C6EFCE"/>
            <w:vAlign w:val="center"/>
          </w:tcPr>
          <w:p w14:paraId="2789B861" w14:textId="77777777" w:rsidR="003A3D51" w:rsidRDefault="0002775A">
            <w:pPr>
              <w:pStyle w:val="P68B1DB1-Normal63"/>
              <w:spacing w:after="0" w:line="240" w:lineRule="auto"/>
              <w:jc w:val="center"/>
              <w:textAlignment w:val="baseline"/>
              <w:rPr>
                <w:noProof/>
              </w:rPr>
            </w:pPr>
            <w:r>
              <w:rPr>
                <w:noProof/>
              </w:rPr>
              <w:t>T</w:t>
            </w:r>
          </w:p>
        </w:tc>
        <w:tc>
          <w:tcPr>
            <w:tcW w:w="5529" w:type="dxa"/>
            <w:tcBorders>
              <w:top w:val="nil"/>
              <w:left w:val="nil"/>
              <w:bottom w:val="single" w:sz="6" w:space="0" w:color="auto"/>
              <w:right w:val="single" w:sz="6" w:space="0" w:color="auto"/>
            </w:tcBorders>
            <w:shd w:val="clear" w:color="auto" w:fill="C6EFCE"/>
          </w:tcPr>
          <w:p w14:paraId="6973377B" w14:textId="77777777" w:rsidR="003A3D51" w:rsidRDefault="0002775A">
            <w:pPr>
              <w:pStyle w:val="P68B1DB1-Normal63"/>
              <w:spacing w:after="0" w:line="240" w:lineRule="auto"/>
              <w:jc w:val="both"/>
              <w:textAlignment w:val="baseline"/>
              <w:rPr>
                <w:noProof/>
              </w:rPr>
            </w:pPr>
            <w:r>
              <w:rPr>
                <w:noProof/>
              </w:rPr>
              <w:t>Installation av system för förnybar energi i offentliga byggnader som skadats av jordbävningarna</w:t>
            </w:r>
          </w:p>
        </w:tc>
      </w:tr>
      <w:tr w:rsidR="003A3D51" w14:paraId="2596E5A8" w14:textId="77777777">
        <w:trPr>
          <w:trHeight w:val="362"/>
        </w:trPr>
        <w:tc>
          <w:tcPr>
            <w:tcW w:w="1096" w:type="dxa"/>
            <w:tcBorders>
              <w:top w:val="single" w:sz="6" w:space="0" w:color="auto"/>
              <w:left w:val="single" w:sz="6" w:space="0" w:color="auto"/>
              <w:bottom w:val="single" w:sz="6" w:space="0" w:color="auto"/>
              <w:right w:val="single" w:sz="6" w:space="0" w:color="auto"/>
            </w:tcBorders>
            <w:shd w:val="clear" w:color="auto" w:fill="C6EFCE"/>
            <w:vAlign w:val="bottom"/>
            <w:hideMark/>
          </w:tcPr>
          <w:p w14:paraId="7EA3D8D2" w14:textId="77777777" w:rsidR="003A3D51" w:rsidRDefault="0002775A">
            <w:pPr>
              <w:pStyle w:val="P68B1DB1-Normal63"/>
              <w:spacing w:after="0" w:line="240" w:lineRule="auto"/>
              <w:jc w:val="center"/>
              <w:textAlignment w:val="baseline"/>
              <w:rPr>
                <w:noProof/>
              </w:rPr>
            </w:pPr>
            <w:r>
              <w:rPr>
                <w:noProof/>
              </w:rPr>
              <w:t> </w:t>
            </w:r>
          </w:p>
        </w:tc>
        <w:tc>
          <w:tcPr>
            <w:tcW w:w="1642" w:type="dxa"/>
            <w:tcBorders>
              <w:top w:val="single" w:sz="6" w:space="0" w:color="auto"/>
              <w:left w:val="nil"/>
              <w:bottom w:val="single" w:sz="6" w:space="0" w:color="auto"/>
              <w:right w:val="single" w:sz="6" w:space="0" w:color="auto"/>
            </w:tcBorders>
            <w:shd w:val="clear" w:color="auto" w:fill="C6EFCE"/>
            <w:vAlign w:val="bottom"/>
            <w:hideMark/>
          </w:tcPr>
          <w:p w14:paraId="6EC1F941" w14:textId="77777777" w:rsidR="003A3D51" w:rsidRDefault="0002775A">
            <w:pPr>
              <w:pStyle w:val="P68B1DB1-Normal63"/>
              <w:spacing w:after="0" w:line="240" w:lineRule="auto"/>
              <w:jc w:val="both"/>
              <w:textAlignment w:val="baseline"/>
              <w:rPr>
                <w:noProof/>
              </w:rPr>
            </w:pPr>
            <w:r>
              <w:rPr>
                <w:noProof/>
              </w:rPr>
              <w:t> </w:t>
            </w:r>
          </w:p>
        </w:tc>
        <w:tc>
          <w:tcPr>
            <w:tcW w:w="1134" w:type="dxa"/>
            <w:tcBorders>
              <w:top w:val="single" w:sz="6" w:space="0" w:color="auto"/>
              <w:left w:val="nil"/>
              <w:bottom w:val="single" w:sz="6" w:space="0" w:color="auto"/>
              <w:right w:val="single" w:sz="6" w:space="0" w:color="auto"/>
            </w:tcBorders>
            <w:shd w:val="clear" w:color="auto" w:fill="C6EFCE"/>
            <w:vAlign w:val="bottom"/>
            <w:hideMark/>
          </w:tcPr>
          <w:p w14:paraId="22843451" w14:textId="77777777" w:rsidR="003A3D51" w:rsidRDefault="0002775A">
            <w:pPr>
              <w:pStyle w:val="P68B1DB1-Normal63"/>
              <w:spacing w:after="0" w:line="240" w:lineRule="auto"/>
              <w:jc w:val="both"/>
              <w:textAlignment w:val="baseline"/>
              <w:rPr>
                <w:noProof/>
              </w:rPr>
            </w:pPr>
            <w:r>
              <w:rPr>
                <w:noProof/>
              </w:rPr>
              <w:t>Delbetalning, belopp </w:t>
            </w:r>
          </w:p>
        </w:tc>
        <w:tc>
          <w:tcPr>
            <w:tcW w:w="5529" w:type="dxa"/>
            <w:tcBorders>
              <w:top w:val="single" w:sz="6" w:space="0" w:color="auto"/>
              <w:left w:val="nil"/>
              <w:bottom w:val="single" w:sz="6" w:space="0" w:color="auto"/>
              <w:right w:val="single" w:sz="6" w:space="0" w:color="auto"/>
            </w:tcBorders>
            <w:shd w:val="clear" w:color="auto" w:fill="C6EFCE"/>
            <w:vAlign w:val="bottom"/>
            <w:hideMark/>
          </w:tcPr>
          <w:p w14:paraId="44D7CB16" w14:textId="77777777" w:rsidR="003A3D51" w:rsidRDefault="0002775A">
            <w:pPr>
              <w:pStyle w:val="P68B1DB1-Normal63"/>
              <w:spacing w:after="0" w:line="240" w:lineRule="auto"/>
              <w:jc w:val="both"/>
              <w:textAlignment w:val="baseline"/>
              <w:rPr>
                <w:noProof/>
              </w:rPr>
            </w:pPr>
            <w:r>
              <w:rPr>
                <w:noProof/>
              </w:rPr>
              <w:t>1 500 000 000 EUR</w:t>
            </w:r>
          </w:p>
        </w:tc>
      </w:tr>
    </w:tbl>
    <w:p w14:paraId="28F52FA1" w14:textId="77777777" w:rsidR="003A3D51" w:rsidRDefault="0002775A">
      <w:pPr>
        <w:pStyle w:val="P68B1DB1-Normal70"/>
        <w:spacing w:after="0" w:line="240" w:lineRule="auto"/>
        <w:ind w:left="705"/>
        <w:jc w:val="both"/>
        <w:textAlignment w:val="baseline"/>
        <w:rPr>
          <w:rFonts w:ascii="Segoe UI" w:hAnsi="Segoe UI" w:cs="Segoe UI"/>
          <w:noProof/>
          <w:sz w:val="18"/>
        </w:rPr>
      </w:pPr>
      <w:r>
        <w:rPr>
          <w:noProof/>
        </w:rPr>
        <w:t xml:space="preserve"> </w:t>
      </w:r>
    </w:p>
    <w:p w14:paraId="613105E8" w14:textId="77777777" w:rsidR="003A3D51" w:rsidRDefault="0002775A">
      <w:pPr>
        <w:pStyle w:val="FooterText"/>
        <w:jc w:val="both"/>
        <w:textAlignment w:val="baseline"/>
        <w:rPr>
          <w:rFonts w:ascii="Segoe UI" w:hAnsi="Segoe UI" w:cs="Segoe UI"/>
          <w:noProof/>
          <w:sz w:val="18"/>
        </w:rPr>
      </w:pPr>
      <w:r>
        <w:rPr>
          <w:noProof/>
        </w:rPr>
        <w:t> </w:t>
      </w:r>
    </w:p>
    <w:p w14:paraId="30BC8DFE" w14:textId="77777777" w:rsidR="003A3D51" w:rsidRDefault="003A3D51">
      <w:pPr>
        <w:spacing w:after="0" w:line="240" w:lineRule="auto"/>
        <w:jc w:val="both"/>
        <w:textAlignment w:val="baseline"/>
        <w:rPr>
          <w:rFonts w:ascii="Times New Roman" w:eastAsia="Times New Roman" w:hAnsi="Times New Roman" w:cs="Times New Roman"/>
          <w:b/>
          <w:noProof/>
          <w:sz w:val="24"/>
        </w:rPr>
        <w:sectPr w:rsidR="003A3D51">
          <w:headerReference w:type="even" r:id="rId450"/>
          <w:headerReference w:type="default" r:id="rId451"/>
          <w:footerReference w:type="even" r:id="rId452"/>
          <w:footerReference w:type="default" r:id="rId453"/>
          <w:headerReference w:type="first" r:id="rId454"/>
          <w:footerReference w:type="first" r:id="rId455"/>
          <w:pgSz w:w="12240" w:h="15840"/>
          <w:pgMar w:top="1440" w:right="1440" w:bottom="1440" w:left="1440" w:header="708" w:footer="708" w:gutter="0"/>
          <w:cols w:space="708"/>
          <w:docGrid w:linePitch="360"/>
        </w:sectPr>
      </w:pPr>
    </w:p>
    <w:p w14:paraId="4CA014A7" w14:textId="77777777" w:rsidR="003A3D51" w:rsidRDefault="0002775A">
      <w:pPr>
        <w:pStyle w:val="P68B1DB1-Normal11"/>
        <w:spacing w:line="240" w:lineRule="auto"/>
        <w:jc w:val="both"/>
        <w:textAlignment w:val="baseline"/>
        <w:rPr>
          <w:rFonts w:ascii="Segoe UI" w:hAnsi="Segoe UI" w:cs="Segoe UI"/>
          <w:noProof/>
          <w:sz w:val="18"/>
        </w:rPr>
      </w:pPr>
      <w:r>
        <w:rPr>
          <w:b/>
          <w:noProof/>
        </w:rPr>
        <w:t xml:space="preserve">AVSNITT 3: YTTERLIGARE ARRANGEMANG </w:t>
      </w:r>
      <w:r>
        <w:rPr>
          <w:noProof/>
        </w:rPr>
        <w:t> </w:t>
      </w:r>
    </w:p>
    <w:p w14:paraId="34451A2B" w14:textId="77777777" w:rsidR="003A3D51" w:rsidRDefault="0002775A">
      <w:pPr>
        <w:pStyle w:val="P68B1DB1-Normal11"/>
        <w:numPr>
          <w:ilvl w:val="0"/>
          <w:numId w:val="54"/>
        </w:numPr>
        <w:spacing w:line="240" w:lineRule="auto"/>
        <w:ind w:firstLine="0"/>
        <w:jc w:val="both"/>
        <w:textAlignment w:val="baseline"/>
        <w:rPr>
          <w:noProof/>
        </w:rPr>
      </w:pPr>
      <w:r>
        <w:rPr>
          <w:b/>
          <w:noProof/>
        </w:rPr>
        <w:t>Arrangemang för övervakning och genomförande av återhämtnings- och resiliensplanen</w:t>
      </w:r>
      <w:r>
        <w:rPr>
          <w:noProof/>
        </w:rPr>
        <w:t> </w:t>
      </w:r>
    </w:p>
    <w:p w14:paraId="5A09B2BE" w14:textId="77777777" w:rsidR="003A3D51" w:rsidRDefault="0002775A">
      <w:pPr>
        <w:pStyle w:val="P68B1DB1-Normal11"/>
        <w:spacing w:line="240" w:lineRule="auto"/>
        <w:jc w:val="both"/>
        <w:textAlignment w:val="baseline"/>
        <w:rPr>
          <w:noProof/>
        </w:rPr>
      </w:pPr>
      <w:r>
        <w:rPr>
          <w:noProof/>
        </w:rPr>
        <w:t>Övervakningen och genomförandet av Kroatiens återhämtnings- och resiliensplan ska ske i enlighet med följande arrangemang: </w:t>
      </w:r>
    </w:p>
    <w:p w14:paraId="411B1C08" w14:textId="77777777" w:rsidR="003A3D51" w:rsidRDefault="0002775A">
      <w:pPr>
        <w:pStyle w:val="P68B1DB1-Normal11"/>
        <w:spacing w:line="240" w:lineRule="auto"/>
        <w:jc w:val="both"/>
        <w:textAlignment w:val="baseline"/>
        <w:rPr>
          <w:noProof/>
        </w:rPr>
      </w:pPr>
      <w:r>
        <w:rPr>
          <w:noProof/>
        </w:rPr>
        <w:t>En struktur för flernivåstyre, övervakning och genomförande ska inrättas med särskilda uppgifter och ansvarsområden som är tillämpliga på varje nivå enligt följande:</w:t>
      </w:r>
    </w:p>
    <w:p w14:paraId="480F4628" w14:textId="77777777" w:rsidR="003A3D51" w:rsidRDefault="0002775A">
      <w:pPr>
        <w:pStyle w:val="P68B1DB1-Normal11"/>
        <w:spacing w:line="240" w:lineRule="auto"/>
        <w:ind w:left="720"/>
        <w:jc w:val="both"/>
        <w:textAlignment w:val="baseline"/>
        <w:rPr>
          <w:noProof/>
        </w:rPr>
      </w:pPr>
      <w:r>
        <w:rPr>
          <w:noProof/>
        </w:rPr>
        <w:t>a) Styrelsen, under ledning av premiärministern, ansvarig för det politiska ledarskapet och övervakningen av planens genomförande.</w:t>
      </w:r>
    </w:p>
    <w:p w14:paraId="0D0351EA" w14:textId="77777777" w:rsidR="003A3D51" w:rsidRDefault="0002775A">
      <w:pPr>
        <w:pStyle w:val="P68B1DB1-Normal11"/>
        <w:spacing w:line="240" w:lineRule="auto"/>
        <w:ind w:left="720"/>
        <w:jc w:val="both"/>
        <w:textAlignment w:val="baseline"/>
        <w:rPr>
          <w:noProof/>
        </w:rPr>
      </w:pPr>
      <w:r>
        <w:rPr>
          <w:noProof/>
        </w:rPr>
        <w:t xml:space="preserve">b) Genomförandekommittén, bestående av företrädare för premiärministerns kansli, samordningsorgan, genomförandeorgan, revisionsmyndighet, organ med ansvar för att skicka betalningsansökningar samt ministeriet för regional utveckling och EU-medel, som ansvarar för den övergripande övervakningen och genomförandet av planen samt för att säkerställa överensstämmelse med andra EU-fonder. </w:t>
      </w:r>
    </w:p>
    <w:p w14:paraId="536A2844" w14:textId="77777777" w:rsidR="003A3D51" w:rsidRDefault="0002775A">
      <w:pPr>
        <w:pStyle w:val="P68B1DB1-Normal11"/>
        <w:spacing w:line="240" w:lineRule="auto"/>
        <w:ind w:left="720"/>
        <w:jc w:val="both"/>
        <w:textAlignment w:val="baseline"/>
        <w:rPr>
          <w:noProof/>
        </w:rPr>
      </w:pPr>
      <w:r>
        <w:rPr>
          <w:noProof/>
        </w:rPr>
        <w:t>c) Det centrala samordningsorgan som inrättats under finansministeriet (direktoratet för makroekonomisk analys) och som har till uppgift att samordna och övervaka återhämtnings- och resiliensplanen, inbegripet aktiv övervakning av framstegen med att genomföra åtgärderna på grundval av de delmål och mål som fastställts för varje komponent.</w:t>
      </w:r>
    </w:p>
    <w:p w14:paraId="2A97A3A1" w14:textId="77777777" w:rsidR="003A3D51" w:rsidRDefault="0002775A">
      <w:pPr>
        <w:pStyle w:val="P68B1DB1-Normal11"/>
        <w:spacing w:line="240" w:lineRule="auto"/>
        <w:ind w:left="720"/>
        <w:jc w:val="both"/>
        <w:textAlignment w:val="baseline"/>
        <w:rPr>
          <w:noProof/>
        </w:rPr>
      </w:pPr>
      <w:r>
        <w:rPr>
          <w:noProof/>
        </w:rPr>
        <w:t>d) Revisionsmyndighet, byrån för revision av systemet för genomförande av Europeiska unionens program, som fått i uppdrag att utföra revisioner inom ramen för Kroatiens återhämtnings- och resiliensplan.</w:t>
      </w:r>
    </w:p>
    <w:p w14:paraId="166D12AF" w14:textId="77777777" w:rsidR="003A3D51" w:rsidRDefault="0002775A">
      <w:pPr>
        <w:pStyle w:val="P68B1DB1-Normal11"/>
        <w:spacing w:line="240" w:lineRule="auto"/>
        <w:ind w:left="720"/>
        <w:jc w:val="both"/>
        <w:textAlignment w:val="baseline"/>
        <w:rPr>
          <w:noProof/>
        </w:rPr>
      </w:pPr>
      <w:r>
        <w:rPr>
          <w:noProof/>
        </w:rPr>
        <w:t>e) Organ som ansvarar för att skicka betalningsansökningar, den nationella fonden under finansministeriet, som ansvarar för att utarbeta och lämna in betalningsansökningar och förvaltningsförklaringar.</w:t>
      </w:r>
    </w:p>
    <w:p w14:paraId="71728A14" w14:textId="77777777" w:rsidR="003A3D51" w:rsidRDefault="0002775A">
      <w:pPr>
        <w:pStyle w:val="P68B1DB1-Normal11"/>
        <w:spacing w:line="240" w:lineRule="auto"/>
        <w:ind w:left="720"/>
        <w:jc w:val="both"/>
        <w:textAlignment w:val="baseline"/>
        <w:rPr>
          <w:noProof/>
        </w:rPr>
      </w:pPr>
      <w:r>
        <w:rPr>
          <w:noProof/>
        </w:rPr>
        <w:t xml:space="preserve">f) Genomförandeorgan och byråer som ansvarar för genomförandet av varje särskild åtgärd samt övervakning av projektens framsteg. </w:t>
      </w:r>
    </w:p>
    <w:p w14:paraId="52281E8C" w14:textId="77777777" w:rsidR="003A3D51" w:rsidRDefault="0002775A">
      <w:pPr>
        <w:pStyle w:val="P68B1DB1-Normal11"/>
        <w:spacing w:line="240" w:lineRule="auto"/>
        <w:jc w:val="both"/>
        <w:textAlignment w:val="baseline"/>
        <w:rPr>
          <w:noProof/>
        </w:rPr>
      </w:pPr>
      <w:r>
        <w:rPr>
          <w:noProof/>
        </w:rPr>
        <w:t>I Kroatiens återhämtnings- och resiliensplan anges att det finns förfaranden för att säkerställa efterlevnad av tillämplig unionsrätt och nationell rätt under hela genomförandet av åtgärderna. Dessutom ska dessa förfaranden tillämpas för att hantera alla allvarliga oriktigheter (bedrägerier, korruption, intressekonflikter) och dubbelfinansiering genom att göra det möjligt att genomföra kontroller och revisioner på linjedepartementsnivå. För att säkerställa att tillförlitliga uppgifter rapporteras ska de genomförandeorgan som ansvarar för varje komponent genomföra administrativa kontroller och kontroller på plats. Samordningsorganet ska i samarbete med den nationella fonden regelbundet kontrollera att uppgifterna är sanningsenliga och korrekta. Revisionsmyndigheten kommer dessutom att utföra kontroller på andra nivån på grundval av en halvårscykel, inklusive systemrevisioner och revisioner av uppnåendet av delmålen och målen.</w:t>
      </w:r>
      <w:r>
        <w:rPr>
          <w:noProof/>
        </w:rPr>
        <w:br/>
        <w:t> </w:t>
      </w:r>
    </w:p>
    <w:p w14:paraId="6828AF4F" w14:textId="77777777" w:rsidR="003A3D51" w:rsidRDefault="0002775A">
      <w:pPr>
        <w:pStyle w:val="P68B1DB1-Normal11"/>
        <w:pageBreakBefore/>
        <w:numPr>
          <w:ilvl w:val="0"/>
          <w:numId w:val="55"/>
        </w:numPr>
        <w:spacing w:line="240" w:lineRule="auto"/>
        <w:ind w:left="357" w:firstLine="0"/>
        <w:jc w:val="both"/>
        <w:textAlignment w:val="baseline"/>
        <w:rPr>
          <w:noProof/>
        </w:rPr>
      </w:pPr>
      <w:r>
        <w:rPr>
          <w:b/>
          <w:noProof/>
        </w:rPr>
        <w:t>Arrangemang för att ge kommissionen fullständig tillgång till de underliggande uppgifterna</w:t>
      </w:r>
      <w:r>
        <w:rPr>
          <w:noProof/>
        </w:rPr>
        <w:t> </w:t>
      </w:r>
    </w:p>
    <w:p w14:paraId="7BDA4A5A" w14:textId="77777777" w:rsidR="003A3D51" w:rsidRDefault="0002775A">
      <w:pPr>
        <w:pStyle w:val="P68B1DB1-Normal11"/>
        <w:spacing w:line="240" w:lineRule="auto"/>
        <w:jc w:val="both"/>
        <w:textAlignment w:val="baseline"/>
        <w:rPr>
          <w:noProof/>
        </w:rPr>
      </w:pPr>
      <w:r>
        <w:rPr>
          <w:noProof/>
        </w:rPr>
        <w:t>För att ge kommissionen fullständig tillgång till de underliggande relevanta uppgifterna ska Kroatien ha infört följande arrangemang: </w:t>
      </w:r>
    </w:p>
    <w:p w14:paraId="00636B0A" w14:textId="77777777" w:rsidR="003A3D51" w:rsidRDefault="0002775A">
      <w:pPr>
        <w:pStyle w:val="P68B1DB1-Normal11"/>
        <w:spacing w:line="240" w:lineRule="auto"/>
        <w:jc w:val="both"/>
        <w:textAlignment w:val="baseline"/>
        <w:rPr>
          <w:noProof/>
        </w:rPr>
      </w:pPr>
      <w:r>
        <w:rPr>
          <w:noProof/>
        </w:rPr>
        <w:t xml:space="preserve">Det centrala samordningsorganet ska ansvara för det övergripande genomförandet av planerna för återhämtning och resiliens, för att säkerställa samordning med andra relevanta myndigheter i landet (inbegripet att säkerställa samstämmighet när det gäller användningen av andra EU-medel), för att övervaka framstegen med delmål och mål och för att tillhandahålla all nödvändig rapportering. </w:t>
      </w:r>
    </w:p>
    <w:p w14:paraId="010E1A5B" w14:textId="77777777" w:rsidR="003A3D51" w:rsidRDefault="0002775A">
      <w:pPr>
        <w:pStyle w:val="P68B1DB1-Normal11"/>
        <w:spacing w:line="240" w:lineRule="auto"/>
        <w:jc w:val="both"/>
        <w:textAlignment w:val="baseline"/>
        <w:rPr>
          <w:noProof/>
        </w:rPr>
      </w:pPr>
      <w:r>
        <w:rPr>
          <w:noProof/>
        </w:rPr>
        <w:t>När samordningsorganet utför sina uppgifter ska det förlita sig på it-systemet eFondovi, som används för övervakning av de europeiska struktur- och investeringsfonderna, som ska uppgraderas med funktioner som utvecklats för rapportering om kvalitativa och kvantitativa indikatorer i planen för återhämtning och resiliens. It-systemet ska göra det möjligt att samla in information från projektstödmottagarna om hur genomförandet av bidragsöverenskommelserna fortskrider. De verkställande organen ska ansvara för att de insamlade uppgifterna är korrekta och fullständiga. Samordningsorganet ska i samarbete med den nationella fonden regelbundet kontrollera att uppgifterna är sanningsenliga och korrekta.</w:t>
      </w:r>
    </w:p>
    <w:p w14:paraId="1515BF9F" w14:textId="6AC65092" w:rsidR="003A3D51" w:rsidRDefault="0002775A">
      <w:pPr>
        <w:pStyle w:val="P68B1DB1-Normal11"/>
        <w:spacing w:line="240" w:lineRule="auto"/>
        <w:jc w:val="both"/>
        <w:textAlignment w:val="baseline"/>
        <w:rPr>
          <w:noProof/>
        </w:rPr>
      </w:pPr>
      <w:r>
        <w:rPr>
          <w:noProof/>
        </w:rPr>
        <w:t>I enlighet med artikel 24.2 i förordning (EU) 2021/241 ska Kroatien, när de relevanta överenskomna delmålen och målen i avsnitt 2.1 i denna bilaga har uppnåtts, lämna in en vederbörligen motiverad ansökan om utbetalning av det ekonomiska bidraget till kommissionen. Kroatien ska säkerställa att kommissionen på begäran har full tillgång till de underliggande relevanta uppgifter som ligger till grund för ansökan om utbetalning, både för bedömningen av ansökan om utbetalning i enlighet med artikel 24.3 i förordning (EU) 2021/241 och för revisions- och kontrolländamål.</w:t>
      </w:r>
    </w:p>
    <w:sectPr w:rsidR="003A3D51">
      <w:headerReference w:type="even" r:id="rId456"/>
      <w:headerReference w:type="default" r:id="rId457"/>
      <w:footerReference w:type="even" r:id="rId458"/>
      <w:footerReference w:type="default" r:id="rId459"/>
      <w:headerReference w:type="first" r:id="rId460"/>
      <w:footerReference w:type="first" r:id="rId4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58CE9" w14:textId="77777777" w:rsidR="003A3D51" w:rsidRDefault="0002775A">
      <w:pPr>
        <w:spacing w:after="0" w:line="240" w:lineRule="auto"/>
      </w:pPr>
      <w:r>
        <w:separator/>
      </w:r>
    </w:p>
  </w:endnote>
  <w:endnote w:type="continuationSeparator" w:id="0">
    <w:p w14:paraId="727C54F1" w14:textId="77777777" w:rsidR="003A3D51" w:rsidRDefault="0002775A">
      <w:pPr>
        <w:spacing w:after="0" w:line="240" w:lineRule="auto"/>
      </w:pPr>
      <w:r>
        <w:continuationSeparator/>
      </w:r>
    </w:p>
  </w:endnote>
  <w:endnote w:type="continuationNotice" w:id="1">
    <w:p w14:paraId="1ED1C7CC" w14:textId="77777777" w:rsidR="003A3D51" w:rsidRDefault="003A3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F35B" w14:textId="6468EB68" w:rsidR="0002775A" w:rsidRPr="00D31A2F" w:rsidRDefault="0002775A" w:rsidP="00D31A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19AD" w14:textId="77777777" w:rsidR="003A3D51" w:rsidRDefault="003A3D51">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1B78" w14:textId="77777777" w:rsidR="003A3D51" w:rsidRDefault="003A3D51">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61157"/>
      <w:docPartObj>
        <w:docPartGallery w:val="Page Numbers (Bottom of Page)"/>
        <w:docPartUnique/>
      </w:docPartObj>
    </w:sdtPr>
    <w:sdtEndPr>
      <w:rPr>
        <w:noProof/>
      </w:rPr>
    </w:sdtEndPr>
    <w:sdtContent>
      <w:p w14:paraId="3DCDAFE5" w14:textId="0B9358C2"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3499" w14:textId="77777777" w:rsidR="003A3D51" w:rsidRDefault="003A3D51">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6773" w14:textId="77777777" w:rsidR="003A3D51" w:rsidRDefault="003A3D51">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535233"/>
      <w:docPartObj>
        <w:docPartGallery w:val="Page Numbers (Bottom of Page)"/>
        <w:docPartUnique/>
      </w:docPartObj>
    </w:sdtPr>
    <w:sdtEndPr>
      <w:rPr>
        <w:noProof/>
      </w:rPr>
    </w:sdtEndPr>
    <w:sdtContent>
      <w:p w14:paraId="4E1B6FFD" w14:textId="6BFD5499"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8799" w14:textId="77777777" w:rsidR="003A3D51" w:rsidRDefault="003A3D51">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74BB" w14:textId="77777777" w:rsidR="003A3D51" w:rsidRDefault="003A3D51">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86656"/>
      <w:docPartObj>
        <w:docPartGallery w:val="Page Numbers (Bottom of Page)"/>
        <w:docPartUnique/>
      </w:docPartObj>
    </w:sdtPr>
    <w:sdtEndPr>
      <w:rPr>
        <w:noProof/>
      </w:rPr>
    </w:sdtEndPr>
    <w:sdtContent>
      <w:p w14:paraId="6FCCCA46" w14:textId="2897BBD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0A23" w14:textId="77777777" w:rsidR="003A3D51" w:rsidRDefault="003A3D51">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ECF0" w14:textId="77777777" w:rsidR="003A3D51" w:rsidRDefault="003A3D5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206680"/>
      <w:docPartObj>
        <w:docPartGallery w:val="Page Numbers (Bottom of Page)"/>
        <w:docPartUnique/>
      </w:docPartObj>
    </w:sdtPr>
    <w:sdtEndPr>
      <w:rPr>
        <w:noProof/>
      </w:rPr>
    </w:sdtEndPr>
    <w:sdtContent>
      <w:p w14:paraId="5A8B84E7" w14:textId="1DD7590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62040"/>
      <w:docPartObj>
        <w:docPartGallery w:val="Page Numbers (Bottom of Page)"/>
        <w:docPartUnique/>
      </w:docPartObj>
    </w:sdtPr>
    <w:sdtEndPr>
      <w:rPr>
        <w:noProof/>
      </w:rPr>
    </w:sdtEndPr>
    <w:sdtContent>
      <w:p w14:paraId="26E36B9E" w14:textId="7825954C"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1711" w14:textId="77777777" w:rsidR="003A3D51" w:rsidRDefault="003A3D51">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8280" w14:textId="77777777" w:rsidR="003A3D51" w:rsidRDefault="003A3D51">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755128"/>
      <w:docPartObj>
        <w:docPartGallery w:val="Page Numbers (Bottom of Page)"/>
        <w:docPartUnique/>
      </w:docPartObj>
    </w:sdtPr>
    <w:sdtEndPr>
      <w:rPr>
        <w:noProof/>
      </w:rPr>
    </w:sdtEndPr>
    <w:sdtContent>
      <w:p w14:paraId="08494849" w14:textId="21B62E0C"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13EA" w14:textId="77777777" w:rsidR="003A3D51" w:rsidRDefault="003A3D51">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2AAE" w14:textId="77777777" w:rsidR="003A3D51" w:rsidRDefault="003A3D51">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967848"/>
      <w:docPartObj>
        <w:docPartGallery w:val="Page Numbers (Bottom of Page)"/>
        <w:docPartUnique/>
      </w:docPartObj>
    </w:sdtPr>
    <w:sdtEndPr>
      <w:rPr>
        <w:noProof/>
      </w:rPr>
    </w:sdtEndPr>
    <w:sdtContent>
      <w:p w14:paraId="47E23B21" w14:textId="7FDF6B6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63D8" w14:textId="77777777" w:rsidR="003A3D51" w:rsidRDefault="003A3D51">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D0D8" w14:textId="77777777" w:rsidR="003A3D51" w:rsidRDefault="003A3D51">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16251"/>
      <w:docPartObj>
        <w:docPartGallery w:val="Page Numbers (Bottom of Page)"/>
        <w:docPartUnique/>
      </w:docPartObj>
    </w:sdtPr>
    <w:sdtEndPr>
      <w:rPr>
        <w:noProof/>
      </w:rPr>
    </w:sdtEndPr>
    <w:sdtContent>
      <w:p w14:paraId="7C3D1752" w14:textId="2D3527D1"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E0DB0" w14:textId="77777777" w:rsidR="003A3D51" w:rsidRDefault="003A3D51">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EC1D" w14:textId="77777777" w:rsidR="003A3D51" w:rsidRDefault="003A3D51">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5D9C" w14:textId="77777777" w:rsidR="003A3D51" w:rsidRDefault="003A3D51">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829934"/>
      <w:docPartObj>
        <w:docPartGallery w:val="Page Numbers (Bottom of Page)"/>
        <w:docPartUnique/>
      </w:docPartObj>
    </w:sdtPr>
    <w:sdtEndPr>
      <w:rPr>
        <w:noProof/>
      </w:rPr>
    </w:sdtEndPr>
    <w:sdtContent>
      <w:p w14:paraId="34C7975A" w14:textId="3DD97C3A"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7F9D" w14:textId="77777777" w:rsidR="003A3D51" w:rsidRDefault="003A3D51">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9D29" w14:textId="77777777" w:rsidR="003A3D51" w:rsidRDefault="003A3D51">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372022"/>
      <w:docPartObj>
        <w:docPartGallery w:val="Page Numbers (Bottom of Page)"/>
        <w:docPartUnique/>
      </w:docPartObj>
    </w:sdtPr>
    <w:sdtEndPr>
      <w:rPr>
        <w:noProof/>
      </w:rPr>
    </w:sdtEndPr>
    <w:sdtContent>
      <w:p w14:paraId="212467A4" w14:textId="68A3AE7D"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7D71" w14:textId="77777777" w:rsidR="003A3D51" w:rsidRDefault="003A3D51">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FF1C" w14:textId="77777777" w:rsidR="003A3D51" w:rsidRDefault="003A3D51">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461487"/>
      <w:docPartObj>
        <w:docPartGallery w:val="Page Numbers (Bottom of Page)"/>
        <w:docPartUnique/>
      </w:docPartObj>
    </w:sdtPr>
    <w:sdtEndPr>
      <w:rPr>
        <w:noProof/>
      </w:rPr>
    </w:sdtEndPr>
    <w:sdtContent>
      <w:p w14:paraId="27E0BB38" w14:textId="5C6C5981"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82FF" w14:textId="77777777" w:rsidR="003A3D51" w:rsidRDefault="003A3D5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0ADA" w14:textId="77777777" w:rsidR="003A3D51" w:rsidRDefault="003A3D51">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4DF8" w14:textId="77777777" w:rsidR="003A3D51" w:rsidRDefault="003A3D51">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99249"/>
      <w:docPartObj>
        <w:docPartGallery w:val="Page Numbers (Bottom of Page)"/>
        <w:docPartUnique/>
      </w:docPartObj>
    </w:sdtPr>
    <w:sdtEndPr>
      <w:rPr>
        <w:noProof/>
      </w:rPr>
    </w:sdtEndPr>
    <w:sdtContent>
      <w:p w14:paraId="26C37F04" w14:textId="14FA7F18"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73A4" w14:textId="77777777" w:rsidR="003A3D51" w:rsidRDefault="003A3D51">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9B56" w14:textId="77777777" w:rsidR="003A3D51" w:rsidRDefault="003A3D51">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98016"/>
      <w:docPartObj>
        <w:docPartGallery w:val="Page Numbers (Bottom of Page)"/>
        <w:docPartUnique/>
      </w:docPartObj>
    </w:sdtPr>
    <w:sdtEndPr>
      <w:rPr>
        <w:noProof/>
      </w:rPr>
    </w:sdtEndPr>
    <w:sdtContent>
      <w:p w14:paraId="33009314" w14:textId="44A72A72"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F215" w14:textId="77777777" w:rsidR="003A3D51" w:rsidRDefault="003A3D51">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E4BF" w14:textId="77777777" w:rsidR="003A3D51" w:rsidRDefault="003A3D51">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011165"/>
      <w:docPartObj>
        <w:docPartGallery w:val="Page Numbers (Bottom of Page)"/>
        <w:docPartUnique/>
      </w:docPartObj>
    </w:sdtPr>
    <w:sdtEndPr>
      <w:rPr>
        <w:noProof/>
      </w:rPr>
    </w:sdtEndPr>
    <w:sdtContent>
      <w:p w14:paraId="78B890AC" w14:textId="48FB7AE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7A20" w14:textId="77777777" w:rsidR="003A3D51" w:rsidRDefault="003A3D51">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9CF1" w14:textId="77777777" w:rsidR="003A3D51" w:rsidRDefault="003A3D5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98769"/>
      <w:docPartObj>
        <w:docPartGallery w:val="Page Numbers (Bottom of Page)"/>
        <w:docPartUnique/>
      </w:docPartObj>
    </w:sdtPr>
    <w:sdtEndPr>
      <w:rPr>
        <w:noProof/>
      </w:rPr>
    </w:sdtEndPr>
    <w:sdtContent>
      <w:p w14:paraId="1134BC27" w14:textId="65FCFCC7"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p w14:paraId="18295365" w14:textId="77777777" w:rsidR="003A3D51" w:rsidRDefault="003A3D51">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07286"/>
      <w:docPartObj>
        <w:docPartGallery w:val="Page Numbers (Bottom of Page)"/>
        <w:docPartUnique/>
      </w:docPartObj>
    </w:sdtPr>
    <w:sdtEndPr>
      <w:rPr>
        <w:noProof/>
      </w:rPr>
    </w:sdtEndPr>
    <w:sdtContent>
      <w:p w14:paraId="655B9F7C" w14:textId="22457316"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6311" w14:textId="77777777" w:rsidR="003A3D51" w:rsidRDefault="003A3D51">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F3F4" w14:textId="77777777" w:rsidR="003A3D51" w:rsidRDefault="003A3D51">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0271"/>
      <w:docPartObj>
        <w:docPartGallery w:val="Page Numbers (Bottom of Page)"/>
        <w:docPartUnique/>
      </w:docPartObj>
    </w:sdtPr>
    <w:sdtEndPr>
      <w:rPr>
        <w:noProof/>
      </w:rPr>
    </w:sdtEndPr>
    <w:sdtContent>
      <w:p w14:paraId="1D2FF97E" w14:textId="225DD83C"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p w14:paraId="0539CED3" w14:textId="77777777" w:rsidR="003A3D51" w:rsidRDefault="003A3D51">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F7DD" w14:textId="77777777" w:rsidR="003A3D51" w:rsidRDefault="003A3D51">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35C9" w14:textId="77777777" w:rsidR="003A3D51" w:rsidRDefault="003A3D51">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06211"/>
      <w:docPartObj>
        <w:docPartGallery w:val="Page Numbers (Bottom of Page)"/>
        <w:docPartUnique/>
      </w:docPartObj>
    </w:sdtPr>
    <w:sdtEndPr>
      <w:rPr>
        <w:noProof/>
      </w:rPr>
    </w:sdtEndPr>
    <w:sdtContent>
      <w:p w14:paraId="2B086A63" w14:textId="1532CA3C"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CFFD" w14:textId="77777777" w:rsidR="003A3D51" w:rsidRDefault="003A3D51">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28F0" w14:textId="77777777" w:rsidR="003A3D51" w:rsidRDefault="003A3D51">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196"/>
      <w:docPartObj>
        <w:docPartGallery w:val="Page Numbers (Bottom of Page)"/>
        <w:docPartUnique/>
      </w:docPartObj>
    </w:sdtPr>
    <w:sdtEndPr>
      <w:rPr>
        <w:noProof/>
      </w:rPr>
    </w:sdtEndPr>
    <w:sdtContent>
      <w:p w14:paraId="168F40D3" w14:textId="4DEC5C63"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6517" w14:textId="77777777" w:rsidR="003A3D51" w:rsidRDefault="003A3D51">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A183" w14:textId="77777777" w:rsidR="003A3D51" w:rsidRDefault="003A3D51">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81C3" w14:textId="77777777" w:rsidR="003A3D51" w:rsidRDefault="003A3D51">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151559"/>
      <w:docPartObj>
        <w:docPartGallery w:val="Page Numbers (Bottom of Page)"/>
        <w:docPartUnique/>
      </w:docPartObj>
    </w:sdtPr>
    <w:sdtEndPr>
      <w:rPr>
        <w:noProof/>
      </w:rPr>
    </w:sdtEndPr>
    <w:sdtContent>
      <w:p w14:paraId="697BA1A9" w14:textId="39E55AA3"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EA9C" w14:textId="77777777" w:rsidR="003A3D51" w:rsidRDefault="003A3D51">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D303" w14:textId="77777777" w:rsidR="003A3D51" w:rsidRDefault="003A3D51">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589329"/>
      <w:docPartObj>
        <w:docPartGallery w:val="Page Numbers (Bottom of Page)"/>
        <w:docPartUnique/>
      </w:docPartObj>
    </w:sdtPr>
    <w:sdtEndPr>
      <w:rPr>
        <w:noProof/>
      </w:rPr>
    </w:sdtEndPr>
    <w:sdtContent>
      <w:p w14:paraId="18555385" w14:textId="5322C152"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C6B0" w14:textId="77777777" w:rsidR="003A3D51" w:rsidRDefault="003A3D51">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EF60" w14:textId="77777777" w:rsidR="003A3D51" w:rsidRDefault="003A3D51">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665877"/>
      <w:docPartObj>
        <w:docPartGallery w:val="Page Numbers (Bottom of Page)"/>
        <w:docPartUnique/>
      </w:docPartObj>
    </w:sdtPr>
    <w:sdtEndPr>
      <w:rPr>
        <w:noProof/>
      </w:rPr>
    </w:sdtEndPr>
    <w:sdtContent>
      <w:p w14:paraId="75D19C55" w14:textId="199021E8"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2FBB" w14:textId="77777777" w:rsidR="003A3D51" w:rsidRDefault="003A3D5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63FE" w14:textId="77777777" w:rsidR="003A3D51" w:rsidRDefault="003A3D51">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9672" w14:textId="77777777" w:rsidR="003A3D51" w:rsidRDefault="003A3D51">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53236"/>
      <w:docPartObj>
        <w:docPartGallery w:val="Page Numbers (Bottom of Page)"/>
        <w:docPartUnique/>
      </w:docPartObj>
    </w:sdtPr>
    <w:sdtEndPr>
      <w:rPr>
        <w:noProof/>
      </w:rPr>
    </w:sdtEndPr>
    <w:sdtContent>
      <w:p w14:paraId="4D678E90" w14:textId="3CAE09A8"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4FD4" w14:textId="77777777" w:rsidR="003A3D51" w:rsidRDefault="003A3D51">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8652" w14:textId="77777777" w:rsidR="003A3D51" w:rsidRDefault="003A3D51">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519872"/>
      <w:docPartObj>
        <w:docPartGallery w:val="Page Numbers (Bottom of Page)"/>
        <w:docPartUnique/>
      </w:docPartObj>
    </w:sdtPr>
    <w:sdtEndPr>
      <w:rPr>
        <w:noProof/>
      </w:rPr>
    </w:sdtEndPr>
    <w:sdtContent>
      <w:p w14:paraId="55F9BAF2" w14:textId="117A2C3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FEE14" w14:textId="77777777" w:rsidR="003A3D51" w:rsidRDefault="003A3D51">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D32B" w14:textId="77777777" w:rsidR="003A3D51" w:rsidRDefault="003A3D51">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98885"/>
      <w:docPartObj>
        <w:docPartGallery w:val="Page Numbers (Bottom of Page)"/>
        <w:docPartUnique/>
      </w:docPartObj>
    </w:sdtPr>
    <w:sdtEndPr>
      <w:rPr>
        <w:noProof/>
      </w:rPr>
    </w:sdtEndPr>
    <w:sdtContent>
      <w:p w14:paraId="7F82979B" w14:textId="5C043ACE"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AA7F" w14:textId="77777777" w:rsidR="003A3D51" w:rsidRDefault="003A3D51">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F003" w14:textId="77777777" w:rsidR="003A3D51" w:rsidRDefault="003A3D5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77450"/>
      <w:docPartObj>
        <w:docPartGallery w:val="Page Numbers (Bottom of Page)"/>
        <w:docPartUnique/>
      </w:docPartObj>
    </w:sdtPr>
    <w:sdtEndPr>
      <w:rPr>
        <w:noProof/>
      </w:rPr>
    </w:sdtEndPr>
    <w:sdtContent>
      <w:p w14:paraId="2DD6BE04" w14:textId="5F37F8B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726544"/>
      <w:docPartObj>
        <w:docPartGallery w:val="Page Numbers (Bottom of Page)"/>
        <w:docPartUnique/>
      </w:docPartObj>
    </w:sdtPr>
    <w:sdtEndPr>
      <w:rPr>
        <w:noProof/>
      </w:rPr>
    </w:sdtEndPr>
    <w:sdtContent>
      <w:p w14:paraId="03774B92" w14:textId="63736466"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AEA5" w14:textId="77777777" w:rsidR="003A3D51" w:rsidRDefault="003A3D51">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C09D" w14:textId="77777777" w:rsidR="003A3D51" w:rsidRDefault="003A3D51">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95123"/>
      <w:docPartObj>
        <w:docPartGallery w:val="Page Numbers (Bottom of Page)"/>
        <w:docPartUnique/>
      </w:docPartObj>
    </w:sdtPr>
    <w:sdtEndPr>
      <w:rPr>
        <w:noProof/>
      </w:rPr>
    </w:sdtEndPr>
    <w:sdtContent>
      <w:p w14:paraId="37771C34" w14:textId="081AD16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85B2" w14:textId="77777777" w:rsidR="003A3D51" w:rsidRDefault="003A3D51">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68E45" w14:textId="77777777" w:rsidR="003A3D51" w:rsidRDefault="003A3D51">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200159"/>
      <w:docPartObj>
        <w:docPartGallery w:val="Page Numbers (Bottom of Page)"/>
        <w:docPartUnique/>
      </w:docPartObj>
    </w:sdtPr>
    <w:sdtEndPr>
      <w:rPr>
        <w:noProof/>
      </w:rPr>
    </w:sdtEndPr>
    <w:sdtContent>
      <w:p w14:paraId="594FD320" w14:textId="0E6077D9"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4F89" w14:textId="77777777" w:rsidR="003A3D51" w:rsidRDefault="003A3D51">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8761E" w14:textId="77777777" w:rsidR="003A3D51" w:rsidRDefault="003A3D51">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50919"/>
      <w:docPartObj>
        <w:docPartGallery w:val="Page Numbers (Bottom of Page)"/>
        <w:docPartUnique/>
      </w:docPartObj>
    </w:sdtPr>
    <w:sdtEndPr>
      <w:rPr>
        <w:noProof/>
      </w:rPr>
    </w:sdtEndPr>
    <w:sdtContent>
      <w:p w14:paraId="18CD8020" w14:textId="1FBE9F4C"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F096" w14:textId="77777777" w:rsidR="003A3D51" w:rsidRDefault="003A3D51">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09B3" w14:textId="77777777" w:rsidR="003A3D51" w:rsidRDefault="003A3D51">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7A29" w14:textId="77777777" w:rsidR="003A3D51" w:rsidRDefault="003A3D51">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27501"/>
      <w:docPartObj>
        <w:docPartGallery w:val="Page Numbers (Bottom of Page)"/>
        <w:docPartUnique/>
      </w:docPartObj>
    </w:sdtPr>
    <w:sdtEndPr>
      <w:rPr>
        <w:noProof/>
      </w:rPr>
    </w:sdtEndPr>
    <w:sdtContent>
      <w:p w14:paraId="7597C17B" w14:textId="63ABAFB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F2D1" w14:textId="77777777" w:rsidR="003A3D51" w:rsidRDefault="003A3D51">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BE2C" w14:textId="77777777" w:rsidR="003A3D51" w:rsidRDefault="003A3D51">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21703"/>
      <w:docPartObj>
        <w:docPartGallery w:val="Page Numbers (Bottom of Page)"/>
        <w:docPartUnique/>
      </w:docPartObj>
    </w:sdtPr>
    <w:sdtEndPr>
      <w:rPr>
        <w:noProof/>
      </w:rPr>
    </w:sdtEndPr>
    <w:sdtContent>
      <w:p w14:paraId="1FFF62F3" w14:textId="2C9560F6"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C1A4" w14:textId="77777777" w:rsidR="003A3D51" w:rsidRDefault="003A3D51">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8D5A9" w14:textId="77777777" w:rsidR="003A3D51" w:rsidRDefault="003A3D51">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008901"/>
      <w:docPartObj>
        <w:docPartGallery w:val="Page Numbers (Bottom of Page)"/>
        <w:docPartUnique/>
      </w:docPartObj>
    </w:sdtPr>
    <w:sdtEndPr>
      <w:rPr>
        <w:noProof/>
      </w:rPr>
    </w:sdtEndPr>
    <w:sdtContent>
      <w:p w14:paraId="1FCDFCA5" w14:textId="329891A5"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0C91" w14:textId="77777777" w:rsidR="003A3D51" w:rsidRDefault="003A3D5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CEA0" w14:textId="77777777" w:rsidR="003A3D51" w:rsidRDefault="003A3D51">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8CE3" w14:textId="77777777" w:rsidR="003A3D51" w:rsidRDefault="003A3D51">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064745"/>
      <w:docPartObj>
        <w:docPartGallery w:val="Page Numbers (Bottom of Page)"/>
        <w:docPartUnique/>
      </w:docPartObj>
    </w:sdtPr>
    <w:sdtEndPr>
      <w:rPr>
        <w:noProof/>
      </w:rPr>
    </w:sdtEndPr>
    <w:sdtContent>
      <w:p w14:paraId="2FF75BD1" w14:textId="28BF66C1"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F344" w14:textId="77777777" w:rsidR="003A3D51" w:rsidRDefault="003A3D51">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BC1E" w14:textId="77777777" w:rsidR="003A3D51" w:rsidRDefault="003A3D51">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65468"/>
      <w:docPartObj>
        <w:docPartGallery w:val="Page Numbers (Bottom of Page)"/>
        <w:docPartUnique/>
      </w:docPartObj>
    </w:sdtPr>
    <w:sdtEndPr>
      <w:rPr>
        <w:noProof/>
      </w:rPr>
    </w:sdtEndPr>
    <w:sdtContent>
      <w:p w14:paraId="05EDED38" w14:textId="0C9D960E"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5EB" w14:textId="77777777" w:rsidR="003A3D51" w:rsidRDefault="003A3D51">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7E31" w14:textId="77777777" w:rsidR="003A3D51" w:rsidRDefault="003A3D51">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26848"/>
      <w:docPartObj>
        <w:docPartGallery w:val="Page Numbers (Bottom of Page)"/>
        <w:docPartUnique/>
      </w:docPartObj>
    </w:sdtPr>
    <w:sdtEndPr>
      <w:rPr>
        <w:noProof/>
      </w:rPr>
    </w:sdtEndPr>
    <w:sdtContent>
      <w:p w14:paraId="175DB4C5" w14:textId="234D59B9"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403A" w14:textId="77777777" w:rsidR="003A3D51" w:rsidRDefault="003A3D51">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E404" w14:textId="77777777" w:rsidR="003A3D51" w:rsidRDefault="003A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69AF" w14:textId="69B54E31" w:rsidR="0002775A" w:rsidRPr="00D31A2F" w:rsidRDefault="00D31A2F" w:rsidP="00D31A2F">
    <w:pPr>
      <w:pStyle w:val="FooterCoverPage"/>
      <w:rPr>
        <w:rFonts w:ascii="Arial" w:hAnsi="Arial" w:cs="Arial"/>
        <w:b/>
        <w:sz w:val="48"/>
      </w:rPr>
    </w:pPr>
    <w:r w:rsidRPr="00D31A2F">
      <w:rPr>
        <w:rFonts w:ascii="Arial" w:hAnsi="Arial" w:cs="Arial"/>
        <w:b/>
        <w:sz w:val="48"/>
      </w:rPr>
      <w:t>SV</w:t>
    </w:r>
    <w:r w:rsidRPr="00D31A2F">
      <w:rPr>
        <w:rFonts w:ascii="Arial" w:hAnsi="Arial" w:cs="Arial"/>
        <w:b/>
        <w:sz w:val="48"/>
      </w:rPr>
      <w:tab/>
    </w:r>
    <w:r w:rsidRPr="00D31A2F">
      <w:rPr>
        <w:rFonts w:ascii="Arial" w:hAnsi="Arial" w:cs="Arial"/>
        <w:b/>
        <w:sz w:val="48"/>
      </w:rPr>
      <w:tab/>
    </w:r>
    <w:r w:rsidRPr="00D31A2F">
      <w:tab/>
    </w:r>
    <w:r w:rsidRPr="00D31A2F">
      <w:rPr>
        <w:rFonts w:ascii="Arial" w:hAnsi="Arial" w:cs="Arial"/>
        <w:b/>
        <w:sz w:val="48"/>
      </w:rPr>
      <w:t>SV</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5280"/>
      <w:docPartObj>
        <w:docPartGallery w:val="Page Numbers (Bottom of Page)"/>
        <w:docPartUnique/>
      </w:docPartObj>
    </w:sdtPr>
    <w:sdtEndPr>
      <w:rPr>
        <w:noProof/>
      </w:rPr>
    </w:sdtEndPr>
    <w:sdtContent>
      <w:p w14:paraId="78EECCA6" w14:textId="1B67E72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143731"/>
      <w:docPartObj>
        <w:docPartGallery w:val="Page Numbers (Bottom of Page)"/>
        <w:docPartUnique/>
      </w:docPartObj>
    </w:sdtPr>
    <w:sdtEndPr>
      <w:rPr>
        <w:noProof/>
      </w:rPr>
    </w:sdtEndPr>
    <w:sdtContent>
      <w:p w14:paraId="1A29CAE8" w14:textId="7C160E0D"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9284" w14:textId="77777777" w:rsidR="003A3D51" w:rsidRDefault="003A3D51">
    <w:pPr>
      <w:pStyle w:val="Footer"/>
    </w:pPr>
  </w:p>
</w:ftr>
</file>

<file path=word/footer2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52AA" w14:textId="77777777" w:rsidR="003A3D51" w:rsidRDefault="003A3D51">
    <w:pPr>
      <w:pStyle w:val="Footer"/>
    </w:pPr>
  </w:p>
</w:ftr>
</file>

<file path=word/footer2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135350"/>
      <w:docPartObj>
        <w:docPartGallery w:val="Page Numbers (Bottom of Page)"/>
        <w:docPartUnique/>
      </w:docPartObj>
    </w:sdtPr>
    <w:sdtEndPr>
      <w:rPr>
        <w:noProof/>
      </w:rPr>
    </w:sdtEndPr>
    <w:sdtContent>
      <w:p w14:paraId="2A8D305D" w14:textId="0C553F33"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DD" w14:textId="77777777" w:rsidR="003A3D51" w:rsidRDefault="003A3D51">
    <w:pPr>
      <w:pStyle w:val="Footer"/>
    </w:pPr>
  </w:p>
</w:ftr>
</file>

<file path=word/footer2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7D2B0" w14:textId="77777777" w:rsidR="003A3D51" w:rsidRDefault="003A3D51">
    <w:pPr>
      <w:pStyle w:val="Footer"/>
    </w:pPr>
  </w:p>
</w:ftr>
</file>

<file path=word/footer2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5303"/>
      <w:docPartObj>
        <w:docPartGallery w:val="Page Numbers (Bottom of Page)"/>
        <w:docPartUnique/>
      </w:docPartObj>
    </w:sdtPr>
    <w:sdtEndPr>
      <w:rPr>
        <w:noProof/>
      </w:rPr>
    </w:sdtEndPr>
    <w:sdtContent>
      <w:p w14:paraId="05A902A8" w14:textId="1C2965A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05E1" w14:textId="77777777" w:rsidR="003A3D51" w:rsidRDefault="003A3D51">
    <w:pPr>
      <w:pStyle w:val="Footer"/>
    </w:pPr>
  </w:p>
</w:ftr>
</file>

<file path=word/footer2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20E7" w14:textId="77777777" w:rsidR="003A3D51" w:rsidRDefault="003A3D51">
    <w:pPr>
      <w:pStyle w:val="Footer"/>
    </w:pPr>
  </w:p>
</w:ftr>
</file>

<file path=word/footer2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006557"/>
      <w:docPartObj>
        <w:docPartGallery w:val="Page Numbers (Bottom of Page)"/>
        <w:docPartUnique/>
      </w:docPartObj>
    </w:sdtPr>
    <w:sdtEndPr>
      <w:rPr>
        <w:noProof/>
      </w:rPr>
    </w:sdtEndPr>
    <w:sdtContent>
      <w:p w14:paraId="70E4A54D" w14:textId="16FC84A7"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6876" w14:textId="77777777" w:rsidR="003A3D51" w:rsidRDefault="003A3D51">
    <w:pPr>
      <w:pStyle w:val="Footer"/>
    </w:pPr>
  </w:p>
</w:ftr>
</file>

<file path=word/footer2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875A" w14:textId="77777777" w:rsidR="003A3D51" w:rsidRDefault="003A3D51">
    <w:pPr>
      <w:pStyle w:val="Footer"/>
    </w:pPr>
  </w:p>
</w:ftr>
</file>

<file path=word/footer2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D4BB" w14:textId="77777777" w:rsidR="003A3D51" w:rsidRDefault="003A3D51">
    <w:pPr>
      <w:pStyle w:val="Footer"/>
    </w:pPr>
  </w:p>
</w:ftr>
</file>

<file path=word/footer2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3609"/>
      <w:docPartObj>
        <w:docPartGallery w:val="Page Numbers (Bottom of Page)"/>
        <w:docPartUnique/>
      </w:docPartObj>
    </w:sdtPr>
    <w:sdtEndPr>
      <w:rPr>
        <w:noProof/>
      </w:rPr>
    </w:sdtEndPr>
    <w:sdtContent>
      <w:p w14:paraId="7590FD64" w14:textId="4659CBB5"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6DC3" w14:textId="77777777" w:rsidR="003A3D51" w:rsidRDefault="003A3D51">
    <w:pPr>
      <w:pStyle w:val="Footer"/>
    </w:pPr>
  </w:p>
</w:ftr>
</file>

<file path=word/footer2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3D73" w14:textId="77777777" w:rsidR="003A3D51" w:rsidRDefault="003A3D51">
    <w:pPr>
      <w:pStyle w:val="Footer"/>
    </w:pPr>
  </w:p>
</w:ftr>
</file>

<file path=word/footer2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300007"/>
      <w:docPartObj>
        <w:docPartGallery w:val="Page Numbers (Bottom of Page)"/>
        <w:docPartUnique/>
      </w:docPartObj>
    </w:sdtPr>
    <w:sdtEndPr>
      <w:rPr>
        <w:noProof/>
      </w:rPr>
    </w:sdtEndPr>
    <w:sdtContent>
      <w:p w14:paraId="4D2933CC" w14:textId="5B7B2F3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B5FA" w14:textId="77777777" w:rsidR="003A3D51" w:rsidRDefault="003A3D51">
    <w:pPr>
      <w:pStyle w:val="Footer"/>
    </w:pPr>
  </w:p>
</w:ftr>
</file>

<file path=word/footer2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4A4F" w14:textId="77777777" w:rsidR="003A3D51" w:rsidRDefault="003A3D51">
    <w:pPr>
      <w:pStyle w:val="Footer"/>
    </w:pPr>
  </w:p>
</w:ftr>
</file>

<file path=word/footer2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433649"/>
      <w:docPartObj>
        <w:docPartGallery w:val="Page Numbers (Bottom of Page)"/>
        <w:docPartUnique/>
      </w:docPartObj>
    </w:sdtPr>
    <w:sdtEndPr>
      <w:rPr>
        <w:noProof/>
      </w:rPr>
    </w:sdtEndPr>
    <w:sdtContent>
      <w:p w14:paraId="0B657D02" w14:textId="3C6A4D3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4F1D" w14:textId="77777777" w:rsidR="003A3D51" w:rsidRDefault="003A3D5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F4ED" w14:textId="77777777" w:rsidR="003A3D51" w:rsidRDefault="003A3D51">
    <w:pPr>
      <w:pStyle w:val="Footer"/>
    </w:pPr>
  </w:p>
</w:ftr>
</file>

<file path=word/footer2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103C" w14:textId="77777777" w:rsidR="003A3D51" w:rsidRDefault="003A3D51">
    <w:pPr>
      <w:pStyle w:val="Footer"/>
    </w:pPr>
  </w:p>
</w:ftr>
</file>

<file path=word/footer2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160686"/>
      <w:docPartObj>
        <w:docPartGallery w:val="Page Numbers (Bottom of Page)"/>
        <w:docPartUnique/>
      </w:docPartObj>
    </w:sdtPr>
    <w:sdtEndPr>
      <w:rPr>
        <w:noProof/>
      </w:rPr>
    </w:sdtEndPr>
    <w:sdtContent>
      <w:p w14:paraId="36D10417" w14:textId="0C9B6BE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9D14" w14:textId="77777777" w:rsidR="003A3D51" w:rsidRDefault="003A3D51">
    <w:pPr>
      <w:pStyle w:val="Footer"/>
    </w:pPr>
  </w:p>
</w:ftr>
</file>

<file path=word/footer2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FC2E" w14:textId="77777777" w:rsidR="003A3D51" w:rsidRDefault="003A3D51">
    <w:pPr>
      <w:pStyle w:val="Footer"/>
    </w:pPr>
  </w:p>
</w:ftr>
</file>

<file path=word/footer2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521922"/>
      <w:docPartObj>
        <w:docPartGallery w:val="Page Numbers (Bottom of Page)"/>
        <w:docPartUnique/>
      </w:docPartObj>
    </w:sdtPr>
    <w:sdtEndPr>
      <w:rPr>
        <w:noProof/>
      </w:rPr>
    </w:sdtEndPr>
    <w:sdtContent>
      <w:p w14:paraId="41744D51" w14:textId="1ED6B295"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9AFB" w14:textId="77777777" w:rsidR="003A3D51" w:rsidRDefault="003A3D5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9582"/>
      <w:docPartObj>
        <w:docPartGallery w:val="Page Numbers (Bottom of Page)"/>
        <w:docPartUnique/>
      </w:docPartObj>
    </w:sdtPr>
    <w:sdtEndPr>
      <w:rPr>
        <w:noProof/>
      </w:rPr>
    </w:sdtEndPr>
    <w:sdtContent>
      <w:p w14:paraId="7FCBC744" w14:textId="674918FA"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1338" w14:textId="77777777" w:rsidR="003A3D51" w:rsidRDefault="003A3D5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C87C" w14:textId="77777777" w:rsidR="003A3D51" w:rsidRDefault="003A3D5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128915"/>
      <w:docPartObj>
        <w:docPartGallery w:val="Page Numbers (Bottom of Page)"/>
        <w:docPartUnique/>
      </w:docPartObj>
    </w:sdtPr>
    <w:sdtEndPr>
      <w:rPr>
        <w:noProof/>
      </w:rPr>
    </w:sdtEndPr>
    <w:sdtContent>
      <w:p w14:paraId="0E51EA98" w14:textId="6054153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6990" w14:textId="77777777" w:rsidR="003A3D51" w:rsidRDefault="003A3D5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E2B1" w14:textId="77777777" w:rsidR="003A3D51" w:rsidRDefault="003A3D5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656471"/>
      <w:docPartObj>
        <w:docPartGallery w:val="Page Numbers (Bottom of Page)"/>
        <w:docPartUnique/>
      </w:docPartObj>
    </w:sdtPr>
    <w:sdtEndPr>
      <w:rPr>
        <w:noProof/>
      </w:rPr>
    </w:sdtEndPr>
    <w:sdtContent>
      <w:p w14:paraId="3D411BF2" w14:textId="4FEC9499"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7E20" w14:textId="77777777" w:rsidR="00D31A2F" w:rsidRPr="00D31A2F" w:rsidRDefault="00D31A2F" w:rsidP="00D31A2F">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6342" w14:textId="77777777" w:rsidR="003A3D51" w:rsidRDefault="003A3D5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6153" w14:textId="77777777" w:rsidR="003A3D51" w:rsidRDefault="003A3D5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76299"/>
      <w:docPartObj>
        <w:docPartGallery w:val="Page Numbers (Bottom of Page)"/>
        <w:docPartUnique/>
      </w:docPartObj>
    </w:sdtPr>
    <w:sdtEndPr>
      <w:rPr>
        <w:noProof/>
      </w:rPr>
    </w:sdtEndPr>
    <w:sdtContent>
      <w:p w14:paraId="3109D379" w14:textId="714530E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8A9" w14:textId="77777777" w:rsidR="003A3D51" w:rsidRDefault="003A3D51">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959B" w14:textId="77777777" w:rsidR="003A3D51" w:rsidRDefault="003A3D5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56641"/>
      <w:docPartObj>
        <w:docPartGallery w:val="Page Numbers (Bottom of Page)"/>
        <w:docPartUnique/>
      </w:docPartObj>
    </w:sdtPr>
    <w:sdtEndPr>
      <w:rPr>
        <w:noProof/>
      </w:rPr>
    </w:sdtEndPr>
    <w:sdtContent>
      <w:p w14:paraId="411DB116" w14:textId="2DC02BD7"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4769" w14:textId="77777777" w:rsidR="003A3D51" w:rsidRDefault="003A3D5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9A2B" w14:textId="77777777" w:rsidR="003A3D51" w:rsidRDefault="003A3D5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316527"/>
      <w:docPartObj>
        <w:docPartGallery w:val="Page Numbers (Bottom of Page)"/>
        <w:docPartUnique/>
      </w:docPartObj>
    </w:sdtPr>
    <w:sdtEndPr>
      <w:rPr>
        <w:noProof/>
      </w:rPr>
    </w:sdtEndPr>
    <w:sdtContent>
      <w:p w14:paraId="6AF36420" w14:textId="379205E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176B" w14:textId="77777777" w:rsidR="003A3D51" w:rsidRDefault="003A3D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6F8F" w14:textId="77777777" w:rsidR="003A3D51" w:rsidRDefault="003A3D5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17DA" w14:textId="77777777" w:rsidR="003A3D51" w:rsidRDefault="003A3D5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C7B8" w14:textId="77777777" w:rsidR="003A3D51" w:rsidRDefault="003A3D5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42F2" w14:textId="77777777" w:rsidR="003A3D51" w:rsidRDefault="003A3D51">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8FFE" w14:textId="77777777" w:rsidR="003A3D51" w:rsidRDefault="003A3D51">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573779"/>
      <w:docPartObj>
        <w:docPartGallery w:val="Page Numbers (Bottom of Page)"/>
        <w:docPartUnique/>
      </w:docPartObj>
    </w:sdtPr>
    <w:sdtEndPr>
      <w:rPr>
        <w:noProof/>
      </w:rPr>
    </w:sdtEndPr>
    <w:sdtContent>
      <w:p w14:paraId="6DD35D88" w14:textId="73BDC4A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5D8E" w14:textId="77777777" w:rsidR="003A3D51" w:rsidRDefault="003A3D51">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F56E" w14:textId="77777777" w:rsidR="003A3D51" w:rsidRDefault="003A3D51">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66079"/>
      <w:docPartObj>
        <w:docPartGallery w:val="Page Numbers (Bottom of Page)"/>
        <w:docPartUnique/>
      </w:docPartObj>
    </w:sdtPr>
    <w:sdtEndPr>
      <w:rPr>
        <w:noProof/>
      </w:rPr>
    </w:sdtEndPr>
    <w:sdtContent>
      <w:p w14:paraId="196E0828" w14:textId="0AA154CD"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65E7" w14:textId="77777777" w:rsidR="003A3D51" w:rsidRDefault="003A3D51">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36E1" w14:textId="77777777" w:rsidR="003A3D51" w:rsidRDefault="003A3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5689"/>
      <w:docPartObj>
        <w:docPartGallery w:val="Page Numbers (Bottom of Page)"/>
        <w:docPartUnique/>
      </w:docPartObj>
    </w:sdtPr>
    <w:sdtEndPr>
      <w:rPr>
        <w:noProof/>
      </w:rPr>
    </w:sdtEndPr>
    <w:sdtContent>
      <w:p w14:paraId="16C5A1D6" w14:textId="4EC5B33E" w:rsidR="003A3D51" w:rsidRDefault="0002775A">
        <w:pPr>
          <w:pStyle w:val="P68B1DB1-Footer71"/>
          <w:jc w:val="center"/>
        </w:pPr>
        <w:r>
          <w:fldChar w:fldCharType="begin"/>
        </w:r>
        <w:r>
          <w:instrText xml:space="preserve"> PAGE   \* MERGEFORMAT </w:instrText>
        </w:r>
        <w:r>
          <w:fldChar w:fldCharType="separate"/>
        </w:r>
        <w:r w:rsidR="00D31A2F">
          <w:rPr>
            <w:noProof/>
          </w:rPr>
          <w:t>3</w:t>
        </w:r>
        <w: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927457"/>
      <w:docPartObj>
        <w:docPartGallery w:val="Page Numbers (Bottom of Page)"/>
        <w:docPartUnique/>
      </w:docPartObj>
    </w:sdtPr>
    <w:sdtEndPr>
      <w:rPr>
        <w:noProof/>
      </w:rPr>
    </w:sdtEndPr>
    <w:sdtContent>
      <w:p w14:paraId="13B61D08" w14:textId="33433466"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9A4C" w14:textId="77777777" w:rsidR="003A3D51" w:rsidRDefault="003A3D51">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C6DE" w14:textId="77777777" w:rsidR="003A3D51" w:rsidRDefault="003A3D51">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64318"/>
      <w:docPartObj>
        <w:docPartGallery w:val="Page Numbers (Bottom of Page)"/>
        <w:docPartUnique/>
      </w:docPartObj>
    </w:sdtPr>
    <w:sdtEndPr>
      <w:rPr>
        <w:noProof/>
      </w:rPr>
    </w:sdtEndPr>
    <w:sdtContent>
      <w:p w14:paraId="18FC834E" w14:textId="7887A9D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9CAC" w14:textId="77777777" w:rsidR="003A3D51" w:rsidRDefault="003A3D51">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2752" w14:textId="77777777" w:rsidR="003A3D51" w:rsidRDefault="003A3D51">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29082"/>
      <w:docPartObj>
        <w:docPartGallery w:val="Page Numbers (Bottom of Page)"/>
        <w:docPartUnique/>
      </w:docPartObj>
    </w:sdtPr>
    <w:sdtEndPr>
      <w:rPr>
        <w:noProof/>
      </w:rPr>
    </w:sdtEndPr>
    <w:sdtContent>
      <w:p w14:paraId="6CEEBB38" w14:textId="173E0EB9" w:rsidR="003A3D51" w:rsidRDefault="0002775A">
        <w:pPr>
          <w:pStyle w:val="P68B1DB1-Footer73"/>
          <w:jc w:val="center"/>
        </w:pPr>
        <w:r>
          <w:fldChar w:fldCharType="begin"/>
        </w:r>
        <w:r>
          <w:instrText xml:space="preserve"> PAGE   \* MERGEFORMAT </w:instrText>
        </w:r>
        <w:r>
          <w:fldChar w:fldCharType="separate"/>
        </w:r>
        <w:r>
          <w:t>2</w:t>
        </w:r>
        <w:r>
          <w:fldChar w:fldCharType="end"/>
        </w:r>
      </w:p>
    </w:sdtContent>
  </w:sdt>
  <w:p w14:paraId="7360E757" w14:textId="77777777" w:rsidR="003A3D51" w:rsidRDefault="003A3D51">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5B25" w14:textId="77777777" w:rsidR="003A3D51" w:rsidRDefault="003A3D51">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D8C2" w14:textId="77777777" w:rsidR="003A3D51" w:rsidRDefault="003A3D51">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92326"/>
      <w:docPartObj>
        <w:docPartGallery w:val="Page Numbers (Bottom of Page)"/>
        <w:docPartUnique/>
      </w:docPartObj>
    </w:sdtPr>
    <w:sdtEndPr>
      <w:rPr>
        <w:noProof/>
      </w:rPr>
    </w:sdtEndPr>
    <w:sdtContent>
      <w:p w14:paraId="02F98BEF" w14:textId="63DC6FB7"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7513" w14:textId="77777777" w:rsidR="003A3D51" w:rsidRDefault="003A3D51">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6513" w14:textId="77777777" w:rsidR="003A3D51" w:rsidRDefault="003A3D5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8A40" w14:textId="77777777" w:rsidR="003A3D51" w:rsidRDefault="003A3D51">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81139"/>
      <w:docPartObj>
        <w:docPartGallery w:val="Page Numbers (Bottom of Page)"/>
        <w:docPartUnique/>
      </w:docPartObj>
    </w:sdtPr>
    <w:sdtEndPr>
      <w:rPr>
        <w:noProof/>
      </w:rPr>
    </w:sdtEndPr>
    <w:sdtContent>
      <w:p w14:paraId="3C23B86E" w14:textId="0241FA31"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6960" w14:textId="77777777" w:rsidR="003A3D51" w:rsidRDefault="003A3D51">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82B" w14:textId="77777777" w:rsidR="003A3D51" w:rsidRDefault="003A3D5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16328"/>
      <w:docPartObj>
        <w:docPartGallery w:val="Page Numbers (Bottom of Page)"/>
        <w:docPartUnique/>
      </w:docPartObj>
    </w:sdtPr>
    <w:sdtEndPr>
      <w:rPr>
        <w:noProof/>
      </w:rPr>
    </w:sdtEndPr>
    <w:sdtContent>
      <w:p w14:paraId="75DEE892" w14:textId="4E3B567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CD2E" w14:textId="77777777" w:rsidR="003A3D51" w:rsidRDefault="003A3D51">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2855" w14:textId="77777777" w:rsidR="003A3D51" w:rsidRDefault="003A3D51">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2006"/>
      <w:docPartObj>
        <w:docPartGallery w:val="Page Numbers (Bottom of Page)"/>
        <w:docPartUnique/>
      </w:docPartObj>
    </w:sdtPr>
    <w:sdtEndPr>
      <w:rPr>
        <w:noProof/>
      </w:rPr>
    </w:sdtEndPr>
    <w:sdtContent>
      <w:p w14:paraId="4B6A7979" w14:textId="30B0741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9EDE" w14:textId="77777777" w:rsidR="003A3D51" w:rsidRDefault="003A3D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9DCC" w14:textId="77777777" w:rsidR="003A3D51" w:rsidRDefault="003A3D51">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C355" w14:textId="77777777" w:rsidR="003A3D51" w:rsidRDefault="003A3D51">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14047"/>
      <w:docPartObj>
        <w:docPartGallery w:val="Page Numbers (Bottom of Page)"/>
        <w:docPartUnique/>
      </w:docPartObj>
    </w:sdtPr>
    <w:sdtEndPr>
      <w:rPr>
        <w:noProof/>
      </w:rPr>
    </w:sdtEndPr>
    <w:sdtContent>
      <w:p w14:paraId="2017BAF5" w14:textId="774FFE44"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BEA2" w14:textId="77777777" w:rsidR="003A3D51" w:rsidRDefault="003A3D51">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8A291" w14:textId="77777777" w:rsidR="003A3D51" w:rsidRDefault="003A3D51">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53072"/>
      <w:docPartObj>
        <w:docPartGallery w:val="Page Numbers (Bottom of Page)"/>
        <w:docPartUnique/>
      </w:docPartObj>
    </w:sdtPr>
    <w:sdtEndPr>
      <w:rPr>
        <w:noProof/>
      </w:rPr>
    </w:sdtEndPr>
    <w:sdtContent>
      <w:p w14:paraId="2064226D" w14:textId="3A8F54ED"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AEA7" w14:textId="77777777" w:rsidR="003A3D51" w:rsidRDefault="003A3D51">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6054" w14:textId="77777777" w:rsidR="003A3D51" w:rsidRDefault="003A3D51">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09188"/>
      <w:docPartObj>
        <w:docPartGallery w:val="Page Numbers (Bottom of Page)"/>
        <w:docPartUnique/>
      </w:docPartObj>
    </w:sdtPr>
    <w:sdtEndPr>
      <w:rPr>
        <w:noProof/>
      </w:rPr>
    </w:sdtEndPr>
    <w:sdtContent>
      <w:p w14:paraId="0B10A811" w14:textId="7B7822F2"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ACD5" w14:textId="77777777" w:rsidR="003A3D51" w:rsidRDefault="003A3D51">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E207" w14:textId="77777777" w:rsidR="003A3D51" w:rsidRDefault="003A3D5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832377"/>
      <w:docPartObj>
        <w:docPartGallery w:val="Page Numbers (Bottom of Page)"/>
        <w:docPartUnique/>
      </w:docPartObj>
    </w:sdtPr>
    <w:sdtEndPr>
      <w:rPr>
        <w:noProof/>
      </w:rPr>
    </w:sdtEndPr>
    <w:sdtContent>
      <w:p w14:paraId="783AAA53" w14:textId="7F688151"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705483"/>
      <w:docPartObj>
        <w:docPartGallery w:val="Page Numbers (Bottom of Page)"/>
        <w:docPartUnique/>
      </w:docPartObj>
    </w:sdtPr>
    <w:sdtEndPr>
      <w:rPr>
        <w:noProof/>
      </w:rPr>
    </w:sdtEndPr>
    <w:sdtContent>
      <w:p w14:paraId="17B5EEE2" w14:textId="682B71F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193A" w14:textId="77777777" w:rsidR="003A3D51" w:rsidRDefault="003A3D51">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87621" w14:textId="77777777" w:rsidR="003A3D51" w:rsidRDefault="003A3D51">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71158"/>
      <w:docPartObj>
        <w:docPartGallery w:val="Page Numbers (Bottom of Page)"/>
        <w:docPartUnique/>
      </w:docPartObj>
    </w:sdtPr>
    <w:sdtEndPr>
      <w:rPr>
        <w:noProof/>
      </w:rPr>
    </w:sdtEndPr>
    <w:sdtContent>
      <w:p w14:paraId="045F64EA" w14:textId="14FEEA28"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3C26A" w14:textId="77777777" w:rsidR="003A3D51" w:rsidRDefault="003A3D51">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09B3" w14:textId="77777777" w:rsidR="003A3D51" w:rsidRDefault="003A3D51">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16857"/>
      <w:docPartObj>
        <w:docPartGallery w:val="Page Numbers (Bottom of Page)"/>
        <w:docPartUnique/>
      </w:docPartObj>
    </w:sdtPr>
    <w:sdtEndPr>
      <w:rPr>
        <w:noProof/>
      </w:rPr>
    </w:sdtEndPr>
    <w:sdtContent>
      <w:p w14:paraId="37041195" w14:textId="49CFFBC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41CA" w14:textId="77777777" w:rsidR="003A3D51" w:rsidRDefault="003A3D51">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D1FC" w14:textId="77777777" w:rsidR="003A3D51" w:rsidRDefault="003A3D51">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0233"/>
      <w:docPartObj>
        <w:docPartGallery w:val="Page Numbers (Bottom of Page)"/>
        <w:docPartUnique/>
      </w:docPartObj>
    </w:sdtPr>
    <w:sdtEndPr>
      <w:rPr>
        <w:noProof/>
      </w:rPr>
    </w:sdtEndPr>
    <w:sdtContent>
      <w:p w14:paraId="59F0DD49" w14:textId="352CF527"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441E" w14:textId="77777777" w:rsidR="003A3D51" w:rsidRDefault="003A3D51">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E4FE" w14:textId="77777777" w:rsidR="003A3D51" w:rsidRDefault="003A3D51">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85F3" w14:textId="77777777" w:rsidR="003A3D51" w:rsidRDefault="003A3D51">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327692"/>
      <w:docPartObj>
        <w:docPartGallery w:val="Page Numbers (Bottom of Page)"/>
        <w:docPartUnique/>
      </w:docPartObj>
    </w:sdtPr>
    <w:sdtEndPr>
      <w:rPr>
        <w:noProof/>
      </w:rPr>
    </w:sdtEndPr>
    <w:sdtContent>
      <w:p w14:paraId="60151CE7" w14:textId="7B31759F"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F1CF" w14:textId="77777777" w:rsidR="003A3D51" w:rsidRDefault="003A3D51">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E0CB" w14:textId="77777777" w:rsidR="003A3D51" w:rsidRDefault="003A3D51">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342507"/>
      <w:docPartObj>
        <w:docPartGallery w:val="Page Numbers (Bottom of Page)"/>
        <w:docPartUnique/>
      </w:docPartObj>
    </w:sdtPr>
    <w:sdtEndPr>
      <w:rPr>
        <w:noProof/>
      </w:rPr>
    </w:sdtEndPr>
    <w:sdtContent>
      <w:p w14:paraId="536EE2FD" w14:textId="283F2ED1" w:rsidR="003A3D51" w:rsidRDefault="0002775A">
        <w:pPr>
          <w:pStyle w:val="P68B1DB1-Footer73"/>
          <w:jc w:val="center"/>
        </w:pPr>
        <w:r>
          <w:fldChar w:fldCharType="begin"/>
        </w:r>
        <w:r>
          <w:instrText xml:space="preserve"> PAGE   \* MERGEFORMAT </w:instrText>
        </w:r>
        <w:r>
          <w:fldChar w:fldCharType="separate"/>
        </w:r>
        <w:r>
          <w:t>2</w:t>
        </w:r>
        <w:r>
          <w:fldChar w:fldCharType="end"/>
        </w:r>
      </w:p>
    </w:sdtContent>
  </w:sdt>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B9A9" w14:textId="77777777" w:rsidR="003A3D51" w:rsidRDefault="003A3D51">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D3D5" w14:textId="77777777" w:rsidR="003A3D51" w:rsidRDefault="003A3D51">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03071"/>
      <w:docPartObj>
        <w:docPartGallery w:val="Page Numbers (Bottom of Page)"/>
        <w:docPartUnique/>
      </w:docPartObj>
    </w:sdtPr>
    <w:sdtEndPr>
      <w:rPr>
        <w:noProof/>
      </w:rPr>
    </w:sdtEndPr>
    <w:sdtContent>
      <w:p w14:paraId="75C470BD" w14:textId="5A7B85CB" w:rsidR="003A3D51" w:rsidRDefault="0002775A">
        <w:pPr>
          <w:pStyle w:val="P68B1DB1-Footer71"/>
          <w:jc w:val="center"/>
        </w:pPr>
        <w:r>
          <w:fldChar w:fldCharType="begin"/>
        </w:r>
        <w:r>
          <w:instrText xml:space="preserve"> PAGE   \* MERGEFORMAT </w:instrText>
        </w:r>
        <w:r>
          <w:fldChar w:fldCharType="separate"/>
        </w:r>
        <w:r>
          <w:t>2</w:t>
        </w:r>
        <w:r>
          <w:fldChar w:fldCharType="end"/>
        </w:r>
      </w:p>
    </w:sdtContent>
  </w:sdt>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B72D" w14:textId="77777777" w:rsidR="003A3D51" w:rsidRDefault="003A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915D" w14:textId="77777777" w:rsidR="003A3D51" w:rsidRDefault="0002775A">
      <w:pPr>
        <w:spacing w:after="0" w:line="240" w:lineRule="auto"/>
      </w:pPr>
      <w:r>
        <w:separator/>
      </w:r>
    </w:p>
  </w:footnote>
  <w:footnote w:type="continuationSeparator" w:id="0">
    <w:p w14:paraId="027155F1" w14:textId="77777777" w:rsidR="003A3D51" w:rsidRDefault="0002775A">
      <w:pPr>
        <w:spacing w:after="0" w:line="240" w:lineRule="auto"/>
      </w:pPr>
      <w:r>
        <w:continuationSeparator/>
      </w:r>
    </w:p>
  </w:footnote>
  <w:footnote w:type="continuationNotice" w:id="1">
    <w:p w14:paraId="3C0B2E0A" w14:textId="77777777" w:rsidR="003A3D51" w:rsidRDefault="003A3D51">
      <w:pPr>
        <w:spacing w:after="0" w:line="240" w:lineRule="auto"/>
      </w:pPr>
    </w:p>
  </w:footnote>
  <w:footnote w:id="2">
    <w:p w14:paraId="30329515"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8"/>
        </w:rPr>
        <w:t>C (2021) 2632 final slutlig</w:t>
      </w:r>
    </w:p>
  </w:footnote>
  <w:footnote w:id="3">
    <w:p w14:paraId="1F8E12FC"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4">
    <w:p w14:paraId="287B048C" w14:textId="2E9F0C51"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5">
    <w:p w14:paraId="126A2EC7" w14:textId="0760FB8D"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6">
    <w:p w14:paraId="0E913973" w14:textId="26A84CD4"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7">
    <w:p w14:paraId="7455AA3F" w14:textId="46B0E8C1"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8">
    <w:p w14:paraId="157118F1" w14:textId="0BDE1200"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9">
    <w:p w14:paraId="2ED69850" w14:textId="4240B01C"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10">
    <w:p w14:paraId="799E08D4" w14:textId="61655454" w:rsidR="003A3D51" w:rsidRDefault="0002775A">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11">
    <w:p w14:paraId="3EC5B011" w14:textId="02E3C0E0" w:rsidR="003A3D51" w:rsidRDefault="0002775A">
      <w:pPr>
        <w:pStyle w:val="P68B1DB1-FootnoteText72"/>
        <w:rPr>
          <w:sz w:val="18"/>
        </w:rPr>
      </w:pPr>
      <w:r>
        <w:footnoteRef/>
      </w:r>
      <w:r>
        <w:rPr>
          <w:sz w:val="18"/>
        </w:rPr>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12">
    <w:p w14:paraId="41004A2D" w14:textId="70059A3F" w:rsidR="003A3D51" w:rsidRDefault="0002775A">
      <w:pPr>
        <w:pStyle w:val="P68B1DB1-FootnoteText72"/>
        <w:rPr>
          <w:sz w:val="18"/>
        </w:rPr>
      </w:pPr>
      <w:r>
        <w:footnoteRef/>
      </w:r>
      <w:r>
        <w:rPr>
          <w:sz w:val="18"/>
        </w:rPr>
        <w:t>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13">
    <w:p w14:paraId="432A7D8F" w14:textId="766AF6B0" w:rsidR="003A3D51" w:rsidRDefault="0002775A">
      <w:pPr>
        <w:pStyle w:val="P68B1DB1-FootnoteText72"/>
        <w:rPr>
          <w:sz w:val="18"/>
        </w:rPr>
      </w:pPr>
      <w:r>
        <w:footnoteRef/>
      </w:r>
      <w:r>
        <w:t>Detta undantag</w:t>
      </w:r>
      <w:r>
        <w:rPr>
          <w:sz w:val="18"/>
        </w:rPr>
        <w:t xml:space="preserve">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14">
    <w:p w14:paraId="501FAF4A" w14:textId="21FB56E1" w:rsidR="003A3D51" w:rsidRDefault="0002775A">
      <w:pPr>
        <w:pStyle w:val="P68B1DB1-FootnoteText72"/>
        <w:rPr>
          <w:sz w:val="18"/>
        </w:rPr>
      </w:pPr>
      <w:r>
        <w:footnoteRef/>
      </w:r>
      <w:r>
        <w:t>Detta undantag</w:t>
      </w:r>
      <w:r>
        <w:rPr>
          <w:sz w:val="18"/>
        </w:rPr>
        <w:t xml:space="preserve">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15">
    <w:p w14:paraId="6A9489A4" w14:textId="6DB987EC" w:rsidR="003A3D51" w:rsidRDefault="0002775A">
      <w:pPr>
        <w:pStyle w:val="FootnoteText"/>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rPr>
        <w:t xml:space="preserve"> 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16">
    <w:p w14:paraId="5F7137A9" w14:textId="178FD898" w:rsidR="003A3D51" w:rsidRDefault="0002775A">
      <w:pPr>
        <w:pStyle w:val="FootnoteText"/>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rPr>
        <w:t xml:space="preserve"> 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17">
    <w:p w14:paraId="15713B7E" w14:textId="085248E3" w:rsidR="003A3D51" w:rsidRDefault="0002775A">
      <w:pPr>
        <w:pStyle w:val="FootnoteText"/>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rPr>
        <w:t xml:space="preserve"> 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18">
    <w:p w14:paraId="3404163C" w14:textId="38105BB7" w:rsidR="003A3D51" w:rsidRDefault="0002775A">
      <w:pPr>
        <w:pStyle w:val="FootnoteText"/>
        <w:jc w:val="both"/>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rPr>
        <w:t xml:space="preserve"> 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19">
    <w:p w14:paraId="54555C93"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Särskilt romska barn, barn med funktionsnedsättning, barn som bor i Kroatiens minst utvecklade regioner, barn från familjer med lägre socioekonomisk status och andra utsatta grupper av barn.</w:t>
      </w:r>
    </w:p>
  </w:footnote>
  <w:footnote w:id="20">
    <w:p w14:paraId="5DDD2073"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21">
    <w:p w14:paraId="0732B71E"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22">
    <w:p w14:paraId="3FA7BD7C"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23">
    <w:p w14:paraId="211D11BE"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24">
    <w:p w14:paraId="733E7BBD"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25">
    <w:p w14:paraId="3F1DFA12"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26">
    <w:p w14:paraId="7C0F5A7A" w14:textId="77777777" w:rsidR="003A3D51" w:rsidRDefault="0002775A">
      <w:pPr>
        <w:spacing w:after="0"/>
        <w:ind w:left="720" w:hanging="72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27">
    <w:p w14:paraId="740F07A2"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28">
    <w:p w14:paraId="7FA4C1DE"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29">
    <w:p w14:paraId="6EAE50C4" w14:textId="77777777" w:rsidR="003A3D51" w:rsidRDefault="0002775A">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w:t>
      </w:r>
    </w:p>
  </w:footnote>
  <w:footnote w:id="30">
    <w:p w14:paraId="305D576E" w14:textId="77777777" w:rsidR="003A3D51" w:rsidRDefault="0002775A">
      <w:pPr>
        <w:spacing w:after="0"/>
        <w:ind w:left="720" w:hanging="720"/>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31">
    <w:p w14:paraId="07EFE3EB" w14:textId="77777777" w:rsidR="003A3D51" w:rsidRDefault="0002775A">
      <w:pPr>
        <w:pStyle w:val="FootnoteText"/>
        <w:pageBreakBefore/>
        <w:spacing w:line="276" w:lineRule="auto"/>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cs="Times New Roman"/>
          <w:sz w:val="18"/>
        </w:rP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32">
    <w:p w14:paraId="4A518B99" w14:textId="0C3CA748" w:rsidR="003A3D51" w:rsidRDefault="000277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Åtgärden ska vara förenlig med fotnot 8 i bilaga VI till förordning (EU) 2021/241.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F87D" w14:textId="77777777" w:rsidR="00D31A2F" w:rsidRPr="00D31A2F" w:rsidRDefault="00D31A2F" w:rsidP="00D31A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9B50" w14:textId="77777777" w:rsidR="003A3D51" w:rsidRDefault="003A3D51">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7068" w14:textId="77777777" w:rsidR="003A3D51" w:rsidRDefault="003A3D51">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735A" w14:textId="77777777" w:rsidR="003A3D51" w:rsidRDefault="003A3D51">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B19" w14:textId="77777777" w:rsidR="003A3D51" w:rsidRDefault="003A3D51">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D56E" w14:textId="77777777" w:rsidR="003A3D51" w:rsidRDefault="003A3D51">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4070" w14:textId="77777777" w:rsidR="003A3D51" w:rsidRDefault="003A3D51">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75E3" w14:textId="77777777" w:rsidR="003A3D51" w:rsidRDefault="003A3D51">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2679" w14:textId="77777777" w:rsidR="003A3D51" w:rsidRDefault="003A3D51">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400" w14:textId="77777777" w:rsidR="003A3D51" w:rsidRDefault="003A3D51">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03D4" w14:textId="77777777" w:rsidR="003A3D51" w:rsidRDefault="003A3D51">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4406" w14:textId="77777777" w:rsidR="003A3D51" w:rsidRDefault="003A3D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53DB" w14:textId="77777777" w:rsidR="003A3D51" w:rsidRDefault="003A3D51">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1800" w14:textId="77777777" w:rsidR="003A3D51" w:rsidRDefault="003A3D51">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FDF0" w14:textId="77777777" w:rsidR="003A3D51" w:rsidRDefault="003A3D51">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FE22" w14:textId="77777777" w:rsidR="003A3D51" w:rsidRDefault="003A3D51">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1B6E" w14:textId="77777777" w:rsidR="003A3D51" w:rsidRDefault="003A3D51">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D4D1" w14:textId="77777777" w:rsidR="003A3D51" w:rsidRDefault="003A3D51">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B359" w14:textId="77777777" w:rsidR="003A3D51" w:rsidRDefault="003A3D51">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3679" w14:textId="77777777" w:rsidR="003A3D51" w:rsidRDefault="003A3D51">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4CDD" w14:textId="77777777" w:rsidR="003A3D51" w:rsidRDefault="003A3D51">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0576" w14:textId="77777777" w:rsidR="003A3D51" w:rsidRDefault="003A3D51">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0FCE" w14:textId="77777777" w:rsidR="003A3D51" w:rsidRDefault="003A3D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80518" w14:textId="77777777" w:rsidR="003A3D51" w:rsidRDefault="003A3D51">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7D76" w14:textId="77777777" w:rsidR="003A3D51" w:rsidRDefault="003A3D51">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CFC3" w14:textId="77777777" w:rsidR="003A3D51" w:rsidRDefault="003A3D51">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60BA" w14:textId="77777777" w:rsidR="003A3D51" w:rsidRDefault="003A3D51">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A034" w14:textId="77777777" w:rsidR="003A3D51" w:rsidRDefault="003A3D51">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BF41A" w14:textId="77777777" w:rsidR="003A3D51" w:rsidRDefault="003A3D51">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3A93" w14:textId="77777777" w:rsidR="003A3D51" w:rsidRDefault="003A3D51">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4DE2" w14:textId="77777777" w:rsidR="003A3D51" w:rsidRDefault="003A3D51">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FAC1" w14:textId="77777777" w:rsidR="003A3D51" w:rsidRDefault="003A3D51">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AB58" w14:textId="77777777" w:rsidR="003A3D51" w:rsidRDefault="003A3D51">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DB52" w14:textId="77777777" w:rsidR="003A3D51" w:rsidRDefault="003A3D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4EE4" w14:textId="77777777" w:rsidR="003A3D51" w:rsidRDefault="003A3D51">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6F8A" w14:textId="77777777" w:rsidR="003A3D51" w:rsidRDefault="003A3D51">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FA10" w14:textId="77777777" w:rsidR="003A3D51" w:rsidRDefault="003A3D51">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324B" w14:textId="77777777" w:rsidR="003A3D51" w:rsidRDefault="003A3D51">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1364" w14:textId="77777777" w:rsidR="003A3D51" w:rsidRDefault="003A3D51">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40C8" w14:textId="77777777" w:rsidR="003A3D51" w:rsidRDefault="003A3D51">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A430" w14:textId="77777777" w:rsidR="003A3D51" w:rsidRDefault="003A3D51">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C87E" w14:textId="77777777" w:rsidR="003A3D51" w:rsidRDefault="003A3D51">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2848" w14:textId="77777777" w:rsidR="003A3D51" w:rsidRDefault="003A3D51">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D98B" w14:textId="77777777" w:rsidR="003A3D51" w:rsidRDefault="003A3D51">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90F1" w14:textId="77777777" w:rsidR="003A3D51" w:rsidRDefault="003A3D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4E" w14:textId="77777777" w:rsidR="003A3D51" w:rsidRDefault="003A3D51">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06E5" w14:textId="77777777" w:rsidR="003A3D51" w:rsidRDefault="003A3D51">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75D8" w14:textId="77777777" w:rsidR="003A3D51" w:rsidRDefault="003A3D51">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EE95" w14:textId="77777777" w:rsidR="003A3D51" w:rsidRDefault="003A3D51">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8075" w14:textId="77777777" w:rsidR="003A3D51" w:rsidRDefault="003A3D51">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404F" w14:textId="77777777" w:rsidR="003A3D51" w:rsidRDefault="003A3D51">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530B" w14:textId="77777777" w:rsidR="003A3D51" w:rsidRDefault="003A3D51">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A7BE" w14:textId="77777777" w:rsidR="003A3D51" w:rsidRDefault="003A3D51">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0941" w14:textId="77777777" w:rsidR="003A3D51" w:rsidRDefault="003A3D51">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FC30" w14:textId="77777777" w:rsidR="003A3D51" w:rsidRDefault="003A3D51">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8FDE" w14:textId="77777777" w:rsidR="003A3D51" w:rsidRDefault="003A3D5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ADE8" w14:textId="77777777" w:rsidR="003A3D51" w:rsidRDefault="003A3D51">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92D3" w14:textId="77777777" w:rsidR="003A3D51" w:rsidRDefault="003A3D51">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AF33" w14:textId="77777777" w:rsidR="003A3D51" w:rsidRDefault="003A3D51">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52F" w14:textId="77777777" w:rsidR="003A3D51" w:rsidRDefault="003A3D51">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6B3C" w14:textId="77777777" w:rsidR="003A3D51" w:rsidRDefault="003A3D51">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18FD" w14:textId="77777777" w:rsidR="003A3D51" w:rsidRDefault="003A3D51">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EB52" w14:textId="77777777" w:rsidR="003A3D51" w:rsidRDefault="003A3D51">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4603" w14:textId="77777777" w:rsidR="003A3D51" w:rsidRDefault="003A3D51">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FDBF" w14:textId="77777777" w:rsidR="003A3D51" w:rsidRDefault="003A3D51">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600D" w14:textId="77777777" w:rsidR="003A3D51" w:rsidRDefault="003A3D51">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8E17" w14:textId="77777777" w:rsidR="003A3D51" w:rsidRDefault="003A3D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4C82" w14:textId="77777777" w:rsidR="003A3D51" w:rsidRDefault="003A3D51">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A965" w14:textId="77777777" w:rsidR="003A3D51" w:rsidRDefault="003A3D51">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6CE5" w14:textId="77777777" w:rsidR="003A3D51" w:rsidRDefault="003A3D51">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F8D46" w14:textId="77777777" w:rsidR="003A3D51" w:rsidRDefault="003A3D51">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FC14" w14:textId="77777777" w:rsidR="003A3D51" w:rsidRDefault="003A3D51">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6C9B" w14:textId="77777777" w:rsidR="003A3D51" w:rsidRDefault="003A3D51">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51DC" w14:textId="77777777" w:rsidR="003A3D51" w:rsidRDefault="003A3D51">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C3B5" w14:textId="77777777" w:rsidR="003A3D51" w:rsidRDefault="003A3D51">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BCC1" w14:textId="77777777" w:rsidR="003A3D51" w:rsidRDefault="003A3D51">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9B03" w14:textId="77777777" w:rsidR="003A3D51" w:rsidRDefault="003A3D51">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888" w14:textId="77777777" w:rsidR="003A3D51" w:rsidRDefault="003A3D5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4A45" w14:textId="77777777" w:rsidR="003A3D51" w:rsidRDefault="003A3D51">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FB09" w14:textId="77777777" w:rsidR="003A3D51" w:rsidRDefault="003A3D51">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A040" w14:textId="77777777" w:rsidR="003A3D51" w:rsidRDefault="003A3D51">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6182" w14:textId="77777777" w:rsidR="003A3D51" w:rsidRDefault="003A3D51">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5EA0" w14:textId="77777777" w:rsidR="003A3D51" w:rsidRDefault="003A3D51">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C5A4" w14:textId="77777777" w:rsidR="003A3D51" w:rsidRDefault="003A3D51">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F977" w14:textId="77777777" w:rsidR="003A3D51" w:rsidRDefault="003A3D51">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B11D" w14:textId="77777777" w:rsidR="003A3D51" w:rsidRDefault="003A3D51">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7E04" w14:textId="77777777" w:rsidR="003A3D51" w:rsidRDefault="003A3D51">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2540" w14:textId="77777777" w:rsidR="003A3D51" w:rsidRDefault="003A3D51">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647D" w14:textId="77777777" w:rsidR="003A3D51" w:rsidRDefault="003A3D5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E323" w14:textId="77777777" w:rsidR="003A3D51" w:rsidRDefault="003A3D51">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9AB6" w14:textId="77777777" w:rsidR="003A3D51" w:rsidRDefault="003A3D51">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84E3" w14:textId="77777777" w:rsidR="003A3D51" w:rsidRDefault="003A3D51">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9D86" w14:textId="77777777" w:rsidR="003A3D51" w:rsidRDefault="003A3D51">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B4C" w14:textId="77777777" w:rsidR="003A3D51" w:rsidRDefault="003A3D51">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8CCA" w14:textId="77777777" w:rsidR="003A3D51" w:rsidRDefault="003A3D51">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B631" w14:textId="77777777" w:rsidR="003A3D51" w:rsidRDefault="003A3D51">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383D" w14:textId="77777777" w:rsidR="003A3D51" w:rsidRDefault="003A3D51">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3CE" w14:textId="77777777" w:rsidR="003A3D51" w:rsidRDefault="003A3D51">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BDF2" w14:textId="77777777" w:rsidR="003A3D51" w:rsidRDefault="003A3D51">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62CD" w14:textId="77777777" w:rsidR="003A3D51" w:rsidRDefault="003A3D5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BDA2" w14:textId="77777777" w:rsidR="003A3D51" w:rsidRDefault="003A3D51">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2AC8" w14:textId="77777777" w:rsidR="003A3D51" w:rsidRDefault="003A3D51">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A606" w14:textId="77777777" w:rsidR="003A3D51" w:rsidRDefault="003A3D51">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F7F5" w14:textId="77777777" w:rsidR="003A3D51" w:rsidRDefault="003A3D51">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73A7" w14:textId="77777777" w:rsidR="003A3D51" w:rsidRDefault="003A3D51">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84EE" w14:textId="77777777" w:rsidR="003A3D51" w:rsidRDefault="003A3D51">
    <w:pPr>
      <w:pStyle w:val="Heade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B9B2" w14:textId="77777777" w:rsidR="003A3D51" w:rsidRDefault="003A3D51">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C27E" w14:textId="77777777" w:rsidR="003A3D51" w:rsidRDefault="003A3D51">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3944" w14:textId="77777777" w:rsidR="003A3D51" w:rsidRDefault="003A3D51">
    <w:pPr>
      <w:pStyle w:val="Heade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3520" w14:textId="77777777" w:rsidR="003A3D51" w:rsidRDefault="003A3D51">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0AB" w14:textId="77777777" w:rsidR="003A3D51" w:rsidRDefault="003A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D53F" w14:textId="77777777" w:rsidR="00D31A2F" w:rsidRPr="00D31A2F" w:rsidRDefault="00D31A2F" w:rsidP="00D31A2F">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472A" w14:textId="77777777" w:rsidR="003A3D51" w:rsidRDefault="003A3D51">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80F4" w14:textId="77777777" w:rsidR="003A3D51" w:rsidRDefault="003A3D51">
    <w:pPr>
      <w:pStyle w:val="Heade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3791" w14:textId="77777777" w:rsidR="003A3D51" w:rsidRDefault="003A3D51">
    <w:pPr>
      <w:pStyle w:val="Header"/>
    </w:pPr>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CB51" w14:textId="77777777" w:rsidR="003A3D51" w:rsidRDefault="003A3D51">
    <w:pPr>
      <w:pStyle w:val="Header"/>
    </w:pPr>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F331" w14:textId="77777777" w:rsidR="003A3D51" w:rsidRDefault="003A3D51">
    <w:pPr>
      <w:pStyle w:val="Header"/>
    </w:pP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FD1F" w14:textId="77777777" w:rsidR="003A3D51" w:rsidRDefault="003A3D51">
    <w:pPr>
      <w:pStyle w:val="Header"/>
    </w:pPr>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A1B0" w14:textId="77777777" w:rsidR="003A3D51" w:rsidRDefault="003A3D51">
    <w:pPr>
      <w:pStyle w:val="Header"/>
    </w:pPr>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3ADA" w14:textId="77777777" w:rsidR="003A3D51" w:rsidRDefault="003A3D51">
    <w:pPr>
      <w:pStyle w:val="Header"/>
    </w:pP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A8EC" w14:textId="77777777" w:rsidR="003A3D51" w:rsidRDefault="003A3D51">
    <w:pPr>
      <w:pStyle w:val="Header"/>
    </w:pPr>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875F" w14:textId="77777777" w:rsidR="003A3D51" w:rsidRDefault="003A3D51">
    <w:pPr>
      <w:pStyle w:val="Header"/>
    </w:pPr>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222F" w14:textId="77777777" w:rsidR="003A3D51" w:rsidRDefault="003A3D5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53EFD" w14:textId="77777777" w:rsidR="003A3D51" w:rsidRDefault="003A3D51">
    <w:pPr>
      <w:pStyle w:val="Header"/>
    </w:pPr>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134F" w14:textId="77777777" w:rsidR="003A3D51" w:rsidRDefault="003A3D51">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5FB1" w14:textId="77777777" w:rsidR="003A3D51" w:rsidRDefault="003A3D51">
    <w:pPr>
      <w:pStyle w:val="Header"/>
    </w:pPr>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67D0" w14:textId="77777777" w:rsidR="003A3D51" w:rsidRDefault="003A3D51">
    <w:pPr>
      <w:pStyle w:val="Header"/>
    </w:pP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EF77" w14:textId="77777777" w:rsidR="003A3D51" w:rsidRDefault="003A3D51">
    <w:pPr>
      <w:pStyle w:val="Header"/>
    </w:pPr>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A953" w14:textId="77777777" w:rsidR="003A3D51" w:rsidRDefault="003A3D51">
    <w:pPr>
      <w:pStyle w:val="Header"/>
    </w:pPr>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0A0F" w14:textId="77777777" w:rsidR="003A3D51" w:rsidRDefault="003A3D51">
    <w:pPr>
      <w:pStyle w:val="Header"/>
    </w:pP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9961D" w14:textId="77777777" w:rsidR="003A3D51" w:rsidRDefault="003A3D51">
    <w:pPr>
      <w:pStyle w:val="Header"/>
    </w:pPr>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B088" w14:textId="77777777" w:rsidR="003A3D51" w:rsidRDefault="003A3D51">
    <w:pPr>
      <w:pStyle w:val="Header"/>
    </w:pPr>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0C23" w14:textId="77777777" w:rsidR="003A3D51" w:rsidRDefault="003A3D51">
    <w:pPr>
      <w:pStyle w:val="Header"/>
    </w:pP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78D0" w14:textId="77777777" w:rsidR="003A3D51" w:rsidRDefault="003A3D5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085D" w14:textId="77777777" w:rsidR="003A3D51" w:rsidRDefault="003A3D51">
    <w:pPr>
      <w:pStyle w:val="Header"/>
    </w:pPr>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B9A8" w14:textId="77777777" w:rsidR="003A3D51" w:rsidRDefault="003A3D51">
    <w:pPr>
      <w:pStyle w:val="Header"/>
    </w:pPr>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F426" w14:textId="77777777" w:rsidR="003A3D51" w:rsidRDefault="003A3D51">
    <w:pPr>
      <w:pStyle w:val="Header"/>
    </w:pP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935D" w14:textId="77777777" w:rsidR="003A3D51" w:rsidRDefault="003A3D51">
    <w:pPr>
      <w:pStyle w:val="Header"/>
    </w:pPr>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FB90" w14:textId="77777777" w:rsidR="003A3D51" w:rsidRDefault="003A3D51">
    <w:pPr>
      <w:pStyle w:val="Header"/>
    </w:pPr>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469E" w14:textId="77777777" w:rsidR="003A3D51" w:rsidRDefault="003A3D51">
    <w:pPr>
      <w:pStyle w:val="Header"/>
    </w:pP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8406" w14:textId="77777777" w:rsidR="003A3D51" w:rsidRDefault="003A3D5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0C58" w14:textId="77777777" w:rsidR="003A3D51" w:rsidRDefault="003A3D5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30EF" w14:textId="77777777" w:rsidR="003A3D51" w:rsidRDefault="003A3D5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C8B8" w14:textId="77777777" w:rsidR="003A3D51" w:rsidRDefault="003A3D5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8A51" w14:textId="77777777" w:rsidR="003A3D51" w:rsidRDefault="003A3D5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D8AFC" w14:textId="77777777" w:rsidR="003A3D51" w:rsidRDefault="003A3D5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4E65" w14:textId="77777777" w:rsidR="003A3D51" w:rsidRDefault="003A3D5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47B8" w14:textId="77777777" w:rsidR="003A3D51" w:rsidRDefault="003A3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86DE7" w14:textId="77777777" w:rsidR="00D31A2F" w:rsidRPr="00D31A2F" w:rsidRDefault="00D31A2F" w:rsidP="00D31A2F">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A0C3" w14:textId="77777777" w:rsidR="003A3D51" w:rsidRDefault="003A3D5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811B" w14:textId="77777777" w:rsidR="003A3D51" w:rsidRDefault="003A3D5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BAFB" w14:textId="77777777" w:rsidR="003A3D51" w:rsidRDefault="003A3D5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03F1" w14:textId="77777777" w:rsidR="003A3D51" w:rsidRDefault="003A3D5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911C" w14:textId="77777777" w:rsidR="003A3D51" w:rsidRDefault="003A3D5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4F09" w14:textId="77777777" w:rsidR="003A3D51" w:rsidRDefault="003A3D5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AFD1" w14:textId="77777777" w:rsidR="003A3D51" w:rsidRDefault="003A3D5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EC42" w14:textId="77777777" w:rsidR="003A3D51" w:rsidRDefault="003A3D5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1B28" w14:textId="77777777" w:rsidR="003A3D51" w:rsidRDefault="003A3D5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6AAD" w14:textId="77777777" w:rsidR="003A3D51" w:rsidRDefault="003A3D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3269" w14:textId="77777777" w:rsidR="003A3D51" w:rsidRDefault="003A3D5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67AFB" w14:textId="77777777" w:rsidR="003A3D51" w:rsidRDefault="003A3D5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0DC7" w14:textId="77777777" w:rsidR="003A3D51" w:rsidRDefault="003A3D5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10C3" w14:textId="77777777" w:rsidR="003A3D51" w:rsidRDefault="003A3D5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904F" w14:textId="77777777" w:rsidR="003A3D51" w:rsidRDefault="003A3D5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4D5E8" w14:textId="77777777" w:rsidR="003A3D51" w:rsidRDefault="003A3D5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A9D0" w14:textId="77777777" w:rsidR="003A3D51" w:rsidRDefault="003A3D5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EB68" w14:textId="77777777" w:rsidR="003A3D51" w:rsidRDefault="003A3D5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B04C" w14:textId="77777777" w:rsidR="003A3D51" w:rsidRDefault="003A3D5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9B59" w14:textId="77777777" w:rsidR="003A3D51" w:rsidRDefault="003A3D51">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6819F" w14:textId="77777777" w:rsidR="003A3D51" w:rsidRDefault="003A3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4FE5E" w14:textId="77777777" w:rsidR="003A3D51" w:rsidRDefault="003A3D5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B6B0" w14:textId="77777777" w:rsidR="003A3D51" w:rsidRDefault="003A3D51">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39494" w14:textId="77777777" w:rsidR="003A3D51" w:rsidRDefault="003A3D51">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F4E7" w14:textId="77777777" w:rsidR="003A3D51" w:rsidRDefault="003A3D5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38A9" w14:textId="77777777" w:rsidR="003A3D51" w:rsidRDefault="003A3D5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C940" w14:textId="77777777" w:rsidR="003A3D51" w:rsidRDefault="003A3D5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2A69" w14:textId="77777777" w:rsidR="003A3D51" w:rsidRDefault="003A3D51">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A4E5" w14:textId="77777777" w:rsidR="003A3D51" w:rsidRDefault="003A3D51">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E294" w14:textId="77777777" w:rsidR="003A3D51" w:rsidRDefault="003A3D5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EEDB" w14:textId="77777777" w:rsidR="003A3D51" w:rsidRDefault="003A3D5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A7D94" w14:textId="77777777" w:rsidR="003A3D51" w:rsidRDefault="003A3D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EAF2" w14:textId="77777777" w:rsidR="003A3D51" w:rsidRDefault="003A3D5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0931" w14:textId="77777777" w:rsidR="003A3D51" w:rsidRDefault="003A3D5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E82" w14:textId="77777777" w:rsidR="003A3D51" w:rsidRDefault="003A3D51">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8EE7" w14:textId="77777777" w:rsidR="003A3D51" w:rsidRDefault="003A3D51">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CBA6" w14:textId="77777777" w:rsidR="003A3D51" w:rsidRDefault="003A3D5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A56E" w14:textId="77777777" w:rsidR="003A3D51" w:rsidRDefault="003A3D5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3FE4" w14:textId="77777777" w:rsidR="003A3D51" w:rsidRDefault="003A3D5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7DFD" w14:textId="77777777" w:rsidR="003A3D51" w:rsidRDefault="003A3D5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3491" w14:textId="77777777" w:rsidR="003A3D51" w:rsidRDefault="003A3D5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7911" w14:textId="77777777" w:rsidR="003A3D51" w:rsidRDefault="003A3D5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9A77" w14:textId="77777777" w:rsidR="003A3D51" w:rsidRDefault="003A3D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BDE3" w14:textId="77777777" w:rsidR="003A3D51" w:rsidRDefault="003A3D5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7722" w14:textId="77777777" w:rsidR="003A3D51" w:rsidRDefault="003A3D5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DA7E" w14:textId="77777777" w:rsidR="003A3D51" w:rsidRDefault="003A3D51">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B9D8" w14:textId="77777777" w:rsidR="003A3D51" w:rsidRDefault="003A3D51">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1C16" w14:textId="77777777" w:rsidR="003A3D51" w:rsidRDefault="003A3D51">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9619" w14:textId="77777777" w:rsidR="003A3D51" w:rsidRDefault="003A3D51">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7553" w14:textId="77777777" w:rsidR="003A3D51" w:rsidRDefault="003A3D51">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7AB5" w14:textId="77777777" w:rsidR="003A3D51" w:rsidRDefault="003A3D51">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1277" w14:textId="77777777" w:rsidR="003A3D51" w:rsidRDefault="003A3D51">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B776" w14:textId="77777777" w:rsidR="003A3D51" w:rsidRDefault="003A3D51">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5F61" w14:textId="77777777" w:rsidR="003A3D51" w:rsidRDefault="003A3D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8184" w14:textId="77777777" w:rsidR="003A3D51" w:rsidRDefault="003A3D51">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02A1" w14:textId="77777777" w:rsidR="003A3D51" w:rsidRDefault="003A3D51">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A46" w14:textId="77777777" w:rsidR="003A3D51" w:rsidRDefault="003A3D51">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65BB" w14:textId="77777777" w:rsidR="003A3D51" w:rsidRDefault="003A3D51">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33A5" w14:textId="77777777" w:rsidR="003A3D51" w:rsidRDefault="003A3D51">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A729" w14:textId="77777777" w:rsidR="003A3D51" w:rsidRDefault="003A3D51">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6207" w14:textId="77777777" w:rsidR="003A3D51" w:rsidRDefault="003A3D51">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1EB1" w14:textId="77777777" w:rsidR="003A3D51" w:rsidRDefault="003A3D51">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F52D" w14:textId="77777777" w:rsidR="003A3D51" w:rsidRDefault="003A3D51">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07B5" w14:textId="77777777" w:rsidR="003A3D51" w:rsidRDefault="003A3D51">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9FDC" w14:textId="77777777" w:rsidR="003A3D51" w:rsidRDefault="003A3D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83EB" w14:textId="77777777" w:rsidR="003A3D51" w:rsidRDefault="003A3D51">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4FCF" w14:textId="77777777" w:rsidR="003A3D51" w:rsidRDefault="003A3D51">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7BB6" w14:textId="77777777" w:rsidR="003A3D51" w:rsidRDefault="003A3D51">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A41B" w14:textId="77777777" w:rsidR="003A3D51" w:rsidRDefault="003A3D51">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4B0C" w14:textId="77777777" w:rsidR="003A3D51" w:rsidRDefault="003A3D51">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9F89" w14:textId="77777777" w:rsidR="003A3D51" w:rsidRDefault="003A3D51">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CC5A" w14:textId="77777777" w:rsidR="003A3D51" w:rsidRDefault="003A3D51">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5293" w14:textId="77777777" w:rsidR="003A3D51" w:rsidRDefault="003A3D51">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D36A" w14:textId="77777777" w:rsidR="003A3D51" w:rsidRDefault="003A3D51">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91E4" w14:textId="77777777" w:rsidR="003A3D51" w:rsidRDefault="003A3D51">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1C0" w14:textId="77777777" w:rsidR="003A3D51" w:rsidRDefault="003A3D51">
    <w:pPr>
      <w:pStyle w:val="Header"/>
    </w:pPr>
  </w:p>
</w:hdr>
</file>

<file path=word/intelligence2.xml><?xml version="1.0" encoding="utf-8"?>
<int2:intelligence xmlns:int2="http://schemas.microsoft.com/office/intelligence/2020/intelligence" xmlns:oel="http://schemas.microsoft.com/office/2019/extlst">
  <int2:observations>
    <int2:textHash int2:hashCode="WNzMADVnY3QrEV" int2:id="X4NMM2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463D"/>
    <w:multiLevelType w:val="hybridMultilevel"/>
    <w:tmpl w:val="FFFFFFFF"/>
    <w:lvl w:ilvl="0" w:tplc="3F367DC0">
      <w:start w:val="1"/>
      <w:numFmt w:val="bullet"/>
      <w:lvlText w:val="-"/>
      <w:lvlJc w:val="left"/>
      <w:pPr>
        <w:ind w:left="720" w:hanging="360"/>
      </w:pPr>
      <w:rPr>
        <w:rFonts w:ascii="Calibri" w:hAnsi="Calibri" w:hint="default"/>
      </w:rPr>
    </w:lvl>
    <w:lvl w:ilvl="1" w:tplc="8E26C0A4">
      <w:start w:val="1"/>
      <w:numFmt w:val="bullet"/>
      <w:lvlText w:val="o"/>
      <w:lvlJc w:val="left"/>
      <w:pPr>
        <w:ind w:left="1440" w:hanging="360"/>
      </w:pPr>
      <w:rPr>
        <w:rFonts w:ascii="Courier New" w:hAnsi="Courier New" w:hint="default"/>
      </w:rPr>
    </w:lvl>
    <w:lvl w:ilvl="2" w:tplc="065EA8BA">
      <w:start w:val="1"/>
      <w:numFmt w:val="bullet"/>
      <w:lvlText w:val=""/>
      <w:lvlJc w:val="left"/>
      <w:pPr>
        <w:ind w:left="2160" w:hanging="360"/>
      </w:pPr>
      <w:rPr>
        <w:rFonts w:ascii="Wingdings" w:hAnsi="Wingdings" w:hint="default"/>
      </w:rPr>
    </w:lvl>
    <w:lvl w:ilvl="3" w:tplc="951E2128">
      <w:start w:val="1"/>
      <w:numFmt w:val="bullet"/>
      <w:lvlText w:val=""/>
      <w:lvlJc w:val="left"/>
      <w:pPr>
        <w:ind w:left="2880" w:hanging="360"/>
      </w:pPr>
      <w:rPr>
        <w:rFonts w:ascii="Symbol" w:hAnsi="Symbol" w:hint="default"/>
      </w:rPr>
    </w:lvl>
    <w:lvl w:ilvl="4" w:tplc="7642611C">
      <w:start w:val="1"/>
      <w:numFmt w:val="bullet"/>
      <w:lvlText w:val="o"/>
      <w:lvlJc w:val="left"/>
      <w:pPr>
        <w:ind w:left="3600" w:hanging="360"/>
      </w:pPr>
      <w:rPr>
        <w:rFonts w:ascii="Courier New" w:hAnsi="Courier New" w:hint="default"/>
      </w:rPr>
    </w:lvl>
    <w:lvl w:ilvl="5" w:tplc="D3DAF462">
      <w:start w:val="1"/>
      <w:numFmt w:val="bullet"/>
      <w:lvlText w:val=""/>
      <w:lvlJc w:val="left"/>
      <w:pPr>
        <w:ind w:left="4320" w:hanging="360"/>
      </w:pPr>
      <w:rPr>
        <w:rFonts w:ascii="Wingdings" w:hAnsi="Wingdings" w:hint="default"/>
      </w:rPr>
    </w:lvl>
    <w:lvl w:ilvl="6" w:tplc="DA0A5D86">
      <w:start w:val="1"/>
      <w:numFmt w:val="bullet"/>
      <w:lvlText w:val=""/>
      <w:lvlJc w:val="left"/>
      <w:pPr>
        <w:ind w:left="5040" w:hanging="360"/>
      </w:pPr>
      <w:rPr>
        <w:rFonts w:ascii="Symbol" w:hAnsi="Symbol" w:hint="default"/>
      </w:rPr>
    </w:lvl>
    <w:lvl w:ilvl="7" w:tplc="3E406C64">
      <w:start w:val="1"/>
      <w:numFmt w:val="bullet"/>
      <w:lvlText w:val="o"/>
      <w:lvlJc w:val="left"/>
      <w:pPr>
        <w:ind w:left="5760" w:hanging="360"/>
      </w:pPr>
      <w:rPr>
        <w:rFonts w:ascii="Courier New" w:hAnsi="Courier New" w:hint="default"/>
      </w:rPr>
    </w:lvl>
    <w:lvl w:ilvl="8" w:tplc="97C62F8C">
      <w:start w:val="1"/>
      <w:numFmt w:val="bullet"/>
      <w:lvlText w:val=""/>
      <w:lvlJc w:val="left"/>
      <w:pPr>
        <w:ind w:left="6480" w:hanging="360"/>
      </w:pPr>
      <w:rPr>
        <w:rFonts w:ascii="Wingdings" w:hAnsi="Wingdings" w:hint="default"/>
      </w:rPr>
    </w:lvl>
  </w:abstractNum>
  <w:abstractNum w:abstractNumId="1" w15:restartNumberingAfterBreak="0">
    <w:nsid w:val="022161EA"/>
    <w:multiLevelType w:val="hybridMultilevel"/>
    <w:tmpl w:val="6DCE0BCC"/>
    <w:lvl w:ilvl="0" w:tplc="E7B24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77FD"/>
    <w:multiLevelType w:val="hybridMultilevel"/>
    <w:tmpl w:val="0DA84EE4"/>
    <w:lvl w:ilvl="0" w:tplc="4D866D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D163D"/>
    <w:multiLevelType w:val="hybridMultilevel"/>
    <w:tmpl w:val="E6726370"/>
    <w:lvl w:ilvl="0" w:tplc="0CEACD3E">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307DD"/>
    <w:multiLevelType w:val="hybridMultilevel"/>
    <w:tmpl w:val="13A60900"/>
    <w:lvl w:ilvl="0" w:tplc="760E76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252F"/>
    <w:multiLevelType w:val="hybridMultilevel"/>
    <w:tmpl w:val="877C0470"/>
    <w:lvl w:ilvl="0" w:tplc="0CEACD3E">
      <w:numFmt w:val="bullet"/>
      <w:lvlText w:val="-"/>
      <w:lvlJc w:val="left"/>
      <w:pPr>
        <w:ind w:left="1570" w:hanging="360"/>
      </w:pPr>
      <w:rPr>
        <w:rFonts w:ascii="Times New Roman" w:eastAsiaTheme="minorHAnsi" w:hAnsi="Times New Roman" w:cs="Times New Roman"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15:restartNumberingAfterBreak="0">
    <w:nsid w:val="0E30EA50"/>
    <w:multiLevelType w:val="hybridMultilevel"/>
    <w:tmpl w:val="FFFFFFFF"/>
    <w:lvl w:ilvl="0" w:tplc="402E91EE">
      <w:start w:val="1"/>
      <w:numFmt w:val="bullet"/>
      <w:lvlText w:val="-"/>
      <w:lvlJc w:val="left"/>
      <w:pPr>
        <w:ind w:left="720" w:hanging="360"/>
      </w:pPr>
      <w:rPr>
        <w:rFonts w:ascii="Calibri" w:hAnsi="Calibri" w:hint="default"/>
      </w:rPr>
    </w:lvl>
    <w:lvl w:ilvl="1" w:tplc="E918C2F8">
      <w:start w:val="1"/>
      <w:numFmt w:val="bullet"/>
      <w:lvlText w:val="o"/>
      <w:lvlJc w:val="left"/>
      <w:pPr>
        <w:ind w:left="1440" w:hanging="360"/>
      </w:pPr>
      <w:rPr>
        <w:rFonts w:ascii="Courier New" w:hAnsi="Courier New" w:hint="default"/>
      </w:rPr>
    </w:lvl>
    <w:lvl w:ilvl="2" w:tplc="52BA29F8">
      <w:start w:val="1"/>
      <w:numFmt w:val="bullet"/>
      <w:lvlText w:val=""/>
      <w:lvlJc w:val="left"/>
      <w:pPr>
        <w:ind w:left="2160" w:hanging="360"/>
      </w:pPr>
      <w:rPr>
        <w:rFonts w:ascii="Wingdings" w:hAnsi="Wingdings" w:hint="default"/>
      </w:rPr>
    </w:lvl>
    <w:lvl w:ilvl="3" w:tplc="5B1EEC98">
      <w:start w:val="1"/>
      <w:numFmt w:val="bullet"/>
      <w:lvlText w:val=""/>
      <w:lvlJc w:val="left"/>
      <w:pPr>
        <w:ind w:left="2880" w:hanging="360"/>
      </w:pPr>
      <w:rPr>
        <w:rFonts w:ascii="Symbol" w:hAnsi="Symbol" w:hint="default"/>
      </w:rPr>
    </w:lvl>
    <w:lvl w:ilvl="4" w:tplc="1D92C380">
      <w:start w:val="1"/>
      <w:numFmt w:val="bullet"/>
      <w:lvlText w:val="o"/>
      <w:lvlJc w:val="left"/>
      <w:pPr>
        <w:ind w:left="3600" w:hanging="360"/>
      </w:pPr>
      <w:rPr>
        <w:rFonts w:ascii="Courier New" w:hAnsi="Courier New" w:hint="default"/>
      </w:rPr>
    </w:lvl>
    <w:lvl w:ilvl="5" w:tplc="A2D68FFA">
      <w:start w:val="1"/>
      <w:numFmt w:val="bullet"/>
      <w:lvlText w:val=""/>
      <w:lvlJc w:val="left"/>
      <w:pPr>
        <w:ind w:left="4320" w:hanging="360"/>
      </w:pPr>
      <w:rPr>
        <w:rFonts w:ascii="Wingdings" w:hAnsi="Wingdings" w:hint="default"/>
      </w:rPr>
    </w:lvl>
    <w:lvl w:ilvl="6" w:tplc="0FCA141A">
      <w:start w:val="1"/>
      <w:numFmt w:val="bullet"/>
      <w:lvlText w:val=""/>
      <w:lvlJc w:val="left"/>
      <w:pPr>
        <w:ind w:left="5040" w:hanging="360"/>
      </w:pPr>
      <w:rPr>
        <w:rFonts w:ascii="Symbol" w:hAnsi="Symbol" w:hint="default"/>
      </w:rPr>
    </w:lvl>
    <w:lvl w:ilvl="7" w:tplc="8EB2E2FE">
      <w:start w:val="1"/>
      <w:numFmt w:val="bullet"/>
      <w:lvlText w:val="o"/>
      <w:lvlJc w:val="left"/>
      <w:pPr>
        <w:ind w:left="5760" w:hanging="360"/>
      </w:pPr>
      <w:rPr>
        <w:rFonts w:ascii="Courier New" w:hAnsi="Courier New" w:hint="default"/>
      </w:rPr>
    </w:lvl>
    <w:lvl w:ilvl="8" w:tplc="AA84003E">
      <w:start w:val="1"/>
      <w:numFmt w:val="bullet"/>
      <w:lvlText w:val=""/>
      <w:lvlJc w:val="left"/>
      <w:pPr>
        <w:ind w:left="6480" w:hanging="360"/>
      </w:pPr>
      <w:rPr>
        <w:rFonts w:ascii="Wingdings" w:hAnsi="Wingdings" w:hint="default"/>
      </w:rPr>
    </w:lvl>
  </w:abstractNum>
  <w:abstractNum w:abstractNumId="7" w15:restartNumberingAfterBreak="0">
    <w:nsid w:val="0F1B379E"/>
    <w:multiLevelType w:val="multilevel"/>
    <w:tmpl w:val="DD383CB8"/>
    <w:lvl w:ilvl="0">
      <w:start w:val="6"/>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6F4DA8"/>
    <w:multiLevelType w:val="multilevel"/>
    <w:tmpl w:val="FB62A0B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5505B68"/>
    <w:multiLevelType w:val="hybridMultilevel"/>
    <w:tmpl w:val="FE4A2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976477"/>
    <w:multiLevelType w:val="hybridMultilevel"/>
    <w:tmpl w:val="6A048E4C"/>
    <w:lvl w:ilvl="0" w:tplc="0CEACD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06282"/>
    <w:multiLevelType w:val="hybridMultilevel"/>
    <w:tmpl w:val="8A960314"/>
    <w:lvl w:ilvl="0" w:tplc="7FCC47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B06E9"/>
    <w:multiLevelType w:val="multilevel"/>
    <w:tmpl w:val="110097BC"/>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74AD3"/>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B688E"/>
    <w:multiLevelType w:val="hybridMultilevel"/>
    <w:tmpl w:val="2EA61348"/>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A5AC8"/>
    <w:multiLevelType w:val="hybridMultilevel"/>
    <w:tmpl w:val="FBFCB438"/>
    <w:lvl w:ilvl="0" w:tplc="0CEACD3E">
      <w:numFmt w:val="bullet"/>
      <w:lvlText w:val="-"/>
      <w:lvlJc w:val="left"/>
      <w:pPr>
        <w:ind w:left="1080" w:hanging="72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0D39C7"/>
    <w:multiLevelType w:val="hybridMultilevel"/>
    <w:tmpl w:val="6C381350"/>
    <w:lvl w:ilvl="0" w:tplc="63DC6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278B5"/>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84069E4"/>
    <w:multiLevelType w:val="hybridMultilevel"/>
    <w:tmpl w:val="70D4FB68"/>
    <w:lvl w:ilvl="0" w:tplc="9FB695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3457E"/>
    <w:multiLevelType w:val="hybridMultilevel"/>
    <w:tmpl w:val="8DA0A35C"/>
    <w:lvl w:ilvl="0" w:tplc="FFFFFFFF">
      <w:start w:val="1"/>
      <w:numFmt w:val="bullet"/>
      <w:lvlText w:val="-"/>
      <w:lvlJc w:val="left"/>
      <w:pPr>
        <w:ind w:left="720" w:hanging="360"/>
      </w:pPr>
      <w:rPr>
        <w:rFonts w:ascii="&quot;Times New Roman&quot;,serif" w:hAnsi="&quot;Times New Roman&quot;,serif" w:hint="default"/>
      </w:rPr>
    </w:lvl>
    <w:lvl w:ilvl="1" w:tplc="B58AF04C">
      <w:start w:val="1"/>
      <w:numFmt w:val="bullet"/>
      <w:lvlText w:val="o"/>
      <w:lvlJc w:val="left"/>
      <w:pPr>
        <w:ind w:left="1440" w:hanging="360"/>
      </w:pPr>
      <w:rPr>
        <w:rFonts w:ascii="Courier New" w:hAnsi="Courier New" w:hint="default"/>
      </w:rPr>
    </w:lvl>
    <w:lvl w:ilvl="2" w:tplc="2F5C360E">
      <w:start w:val="1"/>
      <w:numFmt w:val="bullet"/>
      <w:lvlText w:val=""/>
      <w:lvlJc w:val="left"/>
      <w:pPr>
        <w:ind w:left="2160" w:hanging="360"/>
      </w:pPr>
      <w:rPr>
        <w:rFonts w:ascii="Wingdings" w:hAnsi="Wingdings" w:hint="default"/>
      </w:rPr>
    </w:lvl>
    <w:lvl w:ilvl="3" w:tplc="3AFA0E6A">
      <w:start w:val="1"/>
      <w:numFmt w:val="bullet"/>
      <w:lvlText w:val=""/>
      <w:lvlJc w:val="left"/>
      <w:pPr>
        <w:ind w:left="2880" w:hanging="360"/>
      </w:pPr>
      <w:rPr>
        <w:rFonts w:ascii="Symbol" w:hAnsi="Symbol" w:hint="default"/>
      </w:rPr>
    </w:lvl>
    <w:lvl w:ilvl="4" w:tplc="656686B0">
      <w:start w:val="1"/>
      <w:numFmt w:val="bullet"/>
      <w:lvlText w:val="o"/>
      <w:lvlJc w:val="left"/>
      <w:pPr>
        <w:ind w:left="3600" w:hanging="360"/>
      </w:pPr>
      <w:rPr>
        <w:rFonts w:ascii="Courier New" w:hAnsi="Courier New" w:hint="default"/>
      </w:rPr>
    </w:lvl>
    <w:lvl w:ilvl="5" w:tplc="74D6B030">
      <w:start w:val="1"/>
      <w:numFmt w:val="bullet"/>
      <w:lvlText w:val=""/>
      <w:lvlJc w:val="left"/>
      <w:pPr>
        <w:ind w:left="4320" w:hanging="360"/>
      </w:pPr>
      <w:rPr>
        <w:rFonts w:ascii="Wingdings" w:hAnsi="Wingdings" w:hint="default"/>
      </w:rPr>
    </w:lvl>
    <w:lvl w:ilvl="6" w:tplc="D4DC818C">
      <w:start w:val="1"/>
      <w:numFmt w:val="bullet"/>
      <w:lvlText w:val=""/>
      <w:lvlJc w:val="left"/>
      <w:pPr>
        <w:ind w:left="5040" w:hanging="360"/>
      </w:pPr>
      <w:rPr>
        <w:rFonts w:ascii="Symbol" w:hAnsi="Symbol" w:hint="default"/>
      </w:rPr>
    </w:lvl>
    <w:lvl w:ilvl="7" w:tplc="5B4AA62A">
      <w:start w:val="1"/>
      <w:numFmt w:val="bullet"/>
      <w:lvlText w:val="o"/>
      <w:lvlJc w:val="left"/>
      <w:pPr>
        <w:ind w:left="5760" w:hanging="360"/>
      </w:pPr>
      <w:rPr>
        <w:rFonts w:ascii="Courier New" w:hAnsi="Courier New" w:hint="default"/>
      </w:rPr>
    </w:lvl>
    <w:lvl w:ilvl="8" w:tplc="0290C856">
      <w:start w:val="1"/>
      <w:numFmt w:val="bullet"/>
      <w:lvlText w:val=""/>
      <w:lvlJc w:val="left"/>
      <w:pPr>
        <w:ind w:left="6480" w:hanging="360"/>
      </w:pPr>
      <w:rPr>
        <w:rFonts w:ascii="Wingdings" w:hAnsi="Wingdings" w:hint="default"/>
      </w:rPr>
    </w:lvl>
  </w:abstractNum>
  <w:abstractNum w:abstractNumId="21" w15:restartNumberingAfterBreak="0">
    <w:nsid w:val="29CEE07F"/>
    <w:multiLevelType w:val="hybridMultilevel"/>
    <w:tmpl w:val="FFFFFFFF"/>
    <w:lvl w:ilvl="0" w:tplc="358CCA20">
      <w:start w:val="1"/>
      <w:numFmt w:val="bullet"/>
      <w:lvlText w:val="-"/>
      <w:lvlJc w:val="left"/>
      <w:pPr>
        <w:ind w:left="720" w:hanging="360"/>
      </w:pPr>
      <w:rPr>
        <w:rFonts w:ascii="Calibri" w:hAnsi="Calibri" w:hint="default"/>
      </w:rPr>
    </w:lvl>
    <w:lvl w:ilvl="1" w:tplc="CF766AFC">
      <w:start w:val="1"/>
      <w:numFmt w:val="bullet"/>
      <w:lvlText w:val="o"/>
      <w:lvlJc w:val="left"/>
      <w:pPr>
        <w:ind w:left="1440" w:hanging="360"/>
      </w:pPr>
      <w:rPr>
        <w:rFonts w:ascii="Courier New" w:hAnsi="Courier New" w:hint="default"/>
      </w:rPr>
    </w:lvl>
    <w:lvl w:ilvl="2" w:tplc="AD1E06BA">
      <w:start w:val="1"/>
      <w:numFmt w:val="bullet"/>
      <w:lvlText w:val=""/>
      <w:lvlJc w:val="left"/>
      <w:pPr>
        <w:ind w:left="2160" w:hanging="360"/>
      </w:pPr>
      <w:rPr>
        <w:rFonts w:ascii="Wingdings" w:hAnsi="Wingdings" w:hint="default"/>
      </w:rPr>
    </w:lvl>
    <w:lvl w:ilvl="3" w:tplc="91E4717A">
      <w:start w:val="1"/>
      <w:numFmt w:val="bullet"/>
      <w:lvlText w:val=""/>
      <w:lvlJc w:val="left"/>
      <w:pPr>
        <w:ind w:left="2880" w:hanging="360"/>
      </w:pPr>
      <w:rPr>
        <w:rFonts w:ascii="Symbol" w:hAnsi="Symbol" w:hint="default"/>
      </w:rPr>
    </w:lvl>
    <w:lvl w:ilvl="4" w:tplc="B82CF0CA">
      <w:start w:val="1"/>
      <w:numFmt w:val="bullet"/>
      <w:lvlText w:val="o"/>
      <w:lvlJc w:val="left"/>
      <w:pPr>
        <w:ind w:left="3600" w:hanging="360"/>
      </w:pPr>
      <w:rPr>
        <w:rFonts w:ascii="Courier New" w:hAnsi="Courier New" w:hint="default"/>
      </w:rPr>
    </w:lvl>
    <w:lvl w:ilvl="5" w:tplc="FC806948">
      <w:start w:val="1"/>
      <w:numFmt w:val="bullet"/>
      <w:lvlText w:val=""/>
      <w:lvlJc w:val="left"/>
      <w:pPr>
        <w:ind w:left="4320" w:hanging="360"/>
      </w:pPr>
      <w:rPr>
        <w:rFonts w:ascii="Wingdings" w:hAnsi="Wingdings" w:hint="default"/>
      </w:rPr>
    </w:lvl>
    <w:lvl w:ilvl="6" w:tplc="5B16B3D0">
      <w:start w:val="1"/>
      <w:numFmt w:val="bullet"/>
      <w:lvlText w:val=""/>
      <w:lvlJc w:val="left"/>
      <w:pPr>
        <w:ind w:left="5040" w:hanging="360"/>
      </w:pPr>
      <w:rPr>
        <w:rFonts w:ascii="Symbol" w:hAnsi="Symbol" w:hint="default"/>
      </w:rPr>
    </w:lvl>
    <w:lvl w:ilvl="7" w:tplc="A036A0BC">
      <w:start w:val="1"/>
      <w:numFmt w:val="bullet"/>
      <w:lvlText w:val="o"/>
      <w:lvlJc w:val="left"/>
      <w:pPr>
        <w:ind w:left="5760" w:hanging="360"/>
      </w:pPr>
      <w:rPr>
        <w:rFonts w:ascii="Courier New" w:hAnsi="Courier New" w:hint="default"/>
      </w:rPr>
    </w:lvl>
    <w:lvl w:ilvl="8" w:tplc="ECE843BA">
      <w:start w:val="1"/>
      <w:numFmt w:val="bullet"/>
      <w:lvlText w:val=""/>
      <w:lvlJc w:val="left"/>
      <w:pPr>
        <w:ind w:left="6480" w:hanging="360"/>
      </w:pPr>
      <w:rPr>
        <w:rFonts w:ascii="Wingdings" w:hAnsi="Wingdings" w:hint="default"/>
      </w:rPr>
    </w:lvl>
  </w:abstractNum>
  <w:abstractNum w:abstractNumId="22" w15:restartNumberingAfterBreak="0">
    <w:nsid w:val="29E8E952"/>
    <w:multiLevelType w:val="hybridMultilevel"/>
    <w:tmpl w:val="FFFFFFFF"/>
    <w:lvl w:ilvl="0" w:tplc="A4887A3A">
      <w:start w:val="1"/>
      <w:numFmt w:val="bullet"/>
      <w:lvlText w:val="-"/>
      <w:lvlJc w:val="left"/>
      <w:pPr>
        <w:ind w:left="720" w:hanging="360"/>
      </w:pPr>
      <w:rPr>
        <w:rFonts w:ascii="Calibri" w:hAnsi="Calibri" w:hint="default"/>
      </w:rPr>
    </w:lvl>
    <w:lvl w:ilvl="1" w:tplc="634859F8">
      <w:start w:val="1"/>
      <w:numFmt w:val="bullet"/>
      <w:lvlText w:val="o"/>
      <w:lvlJc w:val="left"/>
      <w:pPr>
        <w:ind w:left="1440" w:hanging="360"/>
      </w:pPr>
      <w:rPr>
        <w:rFonts w:ascii="Courier New" w:hAnsi="Courier New" w:hint="default"/>
      </w:rPr>
    </w:lvl>
    <w:lvl w:ilvl="2" w:tplc="E74007D4">
      <w:start w:val="1"/>
      <w:numFmt w:val="bullet"/>
      <w:lvlText w:val=""/>
      <w:lvlJc w:val="left"/>
      <w:pPr>
        <w:ind w:left="2160" w:hanging="360"/>
      </w:pPr>
      <w:rPr>
        <w:rFonts w:ascii="Wingdings" w:hAnsi="Wingdings" w:hint="default"/>
      </w:rPr>
    </w:lvl>
    <w:lvl w:ilvl="3" w:tplc="AC501EAC">
      <w:start w:val="1"/>
      <w:numFmt w:val="bullet"/>
      <w:lvlText w:val=""/>
      <w:lvlJc w:val="left"/>
      <w:pPr>
        <w:ind w:left="2880" w:hanging="360"/>
      </w:pPr>
      <w:rPr>
        <w:rFonts w:ascii="Symbol" w:hAnsi="Symbol" w:hint="default"/>
      </w:rPr>
    </w:lvl>
    <w:lvl w:ilvl="4" w:tplc="062280D4">
      <w:start w:val="1"/>
      <w:numFmt w:val="bullet"/>
      <w:lvlText w:val="o"/>
      <w:lvlJc w:val="left"/>
      <w:pPr>
        <w:ind w:left="3600" w:hanging="360"/>
      </w:pPr>
      <w:rPr>
        <w:rFonts w:ascii="Courier New" w:hAnsi="Courier New" w:hint="default"/>
      </w:rPr>
    </w:lvl>
    <w:lvl w:ilvl="5" w:tplc="B38ECA8E">
      <w:start w:val="1"/>
      <w:numFmt w:val="bullet"/>
      <w:lvlText w:val=""/>
      <w:lvlJc w:val="left"/>
      <w:pPr>
        <w:ind w:left="4320" w:hanging="360"/>
      </w:pPr>
      <w:rPr>
        <w:rFonts w:ascii="Wingdings" w:hAnsi="Wingdings" w:hint="default"/>
      </w:rPr>
    </w:lvl>
    <w:lvl w:ilvl="6" w:tplc="69122FE0">
      <w:start w:val="1"/>
      <w:numFmt w:val="bullet"/>
      <w:lvlText w:val=""/>
      <w:lvlJc w:val="left"/>
      <w:pPr>
        <w:ind w:left="5040" w:hanging="360"/>
      </w:pPr>
      <w:rPr>
        <w:rFonts w:ascii="Symbol" w:hAnsi="Symbol" w:hint="default"/>
      </w:rPr>
    </w:lvl>
    <w:lvl w:ilvl="7" w:tplc="F490B868">
      <w:start w:val="1"/>
      <w:numFmt w:val="bullet"/>
      <w:lvlText w:val="o"/>
      <w:lvlJc w:val="left"/>
      <w:pPr>
        <w:ind w:left="5760" w:hanging="360"/>
      </w:pPr>
      <w:rPr>
        <w:rFonts w:ascii="Courier New" w:hAnsi="Courier New" w:hint="default"/>
      </w:rPr>
    </w:lvl>
    <w:lvl w:ilvl="8" w:tplc="DB7E16EA">
      <w:start w:val="1"/>
      <w:numFmt w:val="bullet"/>
      <w:lvlText w:val=""/>
      <w:lvlJc w:val="left"/>
      <w:pPr>
        <w:ind w:left="6480" w:hanging="360"/>
      </w:pPr>
      <w:rPr>
        <w:rFonts w:ascii="Wingdings" w:hAnsi="Wingdings" w:hint="default"/>
      </w:rPr>
    </w:lvl>
  </w:abstractNum>
  <w:abstractNum w:abstractNumId="23" w15:restartNumberingAfterBreak="0">
    <w:nsid w:val="2BFE6D1A"/>
    <w:multiLevelType w:val="hybridMultilevel"/>
    <w:tmpl w:val="826872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C273D12"/>
    <w:multiLevelType w:val="hybridMultilevel"/>
    <w:tmpl w:val="E69A5BD6"/>
    <w:lvl w:ilvl="0" w:tplc="7BE6B042">
      <w:start w:val="1"/>
      <w:numFmt w:val="bullet"/>
      <w:lvlText w:val="-"/>
      <w:lvlJc w:val="left"/>
      <w:pPr>
        <w:ind w:left="720" w:hanging="360"/>
      </w:pPr>
      <w:rPr>
        <w:rFonts w:ascii="Calibri" w:hAnsi="Calibri" w:hint="default"/>
      </w:rPr>
    </w:lvl>
    <w:lvl w:ilvl="1" w:tplc="7098FE50">
      <w:start w:val="1"/>
      <w:numFmt w:val="bullet"/>
      <w:lvlText w:val="o"/>
      <w:lvlJc w:val="left"/>
      <w:pPr>
        <w:ind w:left="1440" w:hanging="360"/>
      </w:pPr>
      <w:rPr>
        <w:rFonts w:ascii="Courier New" w:hAnsi="Courier New" w:hint="default"/>
      </w:rPr>
    </w:lvl>
    <w:lvl w:ilvl="2" w:tplc="C834E79C">
      <w:start w:val="1"/>
      <w:numFmt w:val="bullet"/>
      <w:lvlText w:val=""/>
      <w:lvlJc w:val="left"/>
      <w:pPr>
        <w:ind w:left="2160" w:hanging="360"/>
      </w:pPr>
      <w:rPr>
        <w:rFonts w:ascii="Wingdings" w:hAnsi="Wingdings" w:hint="default"/>
      </w:rPr>
    </w:lvl>
    <w:lvl w:ilvl="3" w:tplc="0C9E705E">
      <w:start w:val="1"/>
      <w:numFmt w:val="bullet"/>
      <w:lvlText w:val=""/>
      <w:lvlJc w:val="left"/>
      <w:pPr>
        <w:ind w:left="2880" w:hanging="360"/>
      </w:pPr>
      <w:rPr>
        <w:rFonts w:ascii="Symbol" w:hAnsi="Symbol" w:hint="default"/>
      </w:rPr>
    </w:lvl>
    <w:lvl w:ilvl="4" w:tplc="35D0D9AE">
      <w:start w:val="1"/>
      <w:numFmt w:val="bullet"/>
      <w:lvlText w:val="o"/>
      <w:lvlJc w:val="left"/>
      <w:pPr>
        <w:ind w:left="3600" w:hanging="360"/>
      </w:pPr>
      <w:rPr>
        <w:rFonts w:ascii="Courier New" w:hAnsi="Courier New" w:hint="default"/>
      </w:rPr>
    </w:lvl>
    <w:lvl w:ilvl="5" w:tplc="87288FD2">
      <w:start w:val="1"/>
      <w:numFmt w:val="bullet"/>
      <w:lvlText w:val=""/>
      <w:lvlJc w:val="left"/>
      <w:pPr>
        <w:ind w:left="4320" w:hanging="360"/>
      </w:pPr>
      <w:rPr>
        <w:rFonts w:ascii="Wingdings" w:hAnsi="Wingdings" w:hint="default"/>
      </w:rPr>
    </w:lvl>
    <w:lvl w:ilvl="6" w:tplc="E0D03A1E">
      <w:start w:val="1"/>
      <w:numFmt w:val="bullet"/>
      <w:lvlText w:val=""/>
      <w:lvlJc w:val="left"/>
      <w:pPr>
        <w:ind w:left="5040" w:hanging="360"/>
      </w:pPr>
      <w:rPr>
        <w:rFonts w:ascii="Symbol" w:hAnsi="Symbol" w:hint="default"/>
      </w:rPr>
    </w:lvl>
    <w:lvl w:ilvl="7" w:tplc="0BE81964">
      <w:start w:val="1"/>
      <w:numFmt w:val="bullet"/>
      <w:lvlText w:val="o"/>
      <w:lvlJc w:val="left"/>
      <w:pPr>
        <w:ind w:left="5760" w:hanging="360"/>
      </w:pPr>
      <w:rPr>
        <w:rFonts w:ascii="Courier New" w:hAnsi="Courier New" w:hint="default"/>
      </w:rPr>
    </w:lvl>
    <w:lvl w:ilvl="8" w:tplc="89B8BB7E">
      <w:start w:val="1"/>
      <w:numFmt w:val="bullet"/>
      <w:lvlText w:val=""/>
      <w:lvlJc w:val="left"/>
      <w:pPr>
        <w:ind w:left="6480" w:hanging="360"/>
      </w:pPr>
      <w:rPr>
        <w:rFonts w:ascii="Wingdings" w:hAnsi="Wingdings" w:hint="default"/>
      </w:rPr>
    </w:lvl>
  </w:abstractNum>
  <w:abstractNum w:abstractNumId="25" w15:restartNumberingAfterBreak="0">
    <w:nsid w:val="2D7B7DD8"/>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DC11208"/>
    <w:multiLevelType w:val="hybridMultilevel"/>
    <w:tmpl w:val="FF309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E4A7CCE"/>
    <w:multiLevelType w:val="multilevel"/>
    <w:tmpl w:val="6B2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ADC865"/>
    <w:multiLevelType w:val="hybridMultilevel"/>
    <w:tmpl w:val="FFFFFFFF"/>
    <w:lvl w:ilvl="0" w:tplc="8A56908A">
      <w:start w:val="1"/>
      <w:numFmt w:val="bullet"/>
      <w:lvlText w:val="-"/>
      <w:lvlJc w:val="left"/>
      <w:pPr>
        <w:ind w:left="720" w:hanging="360"/>
      </w:pPr>
      <w:rPr>
        <w:rFonts w:ascii="Calibri" w:hAnsi="Calibri" w:hint="default"/>
      </w:rPr>
    </w:lvl>
    <w:lvl w:ilvl="1" w:tplc="78F23F24">
      <w:start w:val="1"/>
      <w:numFmt w:val="bullet"/>
      <w:lvlText w:val="o"/>
      <w:lvlJc w:val="left"/>
      <w:pPr>
        <w:ind w:left="1440" w:hanging="360"/>
      </w:pPr>
      <w:rPr>
        <w:rFonts w:ascii="Courier New" w:hAnsi="Courier New" w:hint="default"/>
      </w:rPr>
    </w:lvl>
    <w:lvl w:ilvl="2" w:tplc="ABBCF3A0">
      <w:start w:val="1"/>
      <w:numFmt w:val="bullet"/>
      <w:lvlText w:val=""/>
      <w:lvlJc w:val="left"/>
      <w:pPr>
        <w:ind w:left="2160" w:hanging="360"/>
      </w:pPr>
      <w:rPr>
        <w:rFonts w:ascii="Wingdings" w:hAnsi="Wingdings" w:hint="default"/>
      </w:rPr>
    </w:lvl>
    <w:lvl w:ilvl="3" w:tplc="F5008446">
      <w:start w:val="1"/>
      <w:numFmt w:val="bullet"/>
      <w:lvlText w:val=""/>
      <w:lvlJc w:val="left"/>
      <w:pPr>
        <w:ind w:left="2880" w:hanging="360"/>
      </w:pPr>
      <w:rPr>
        <w:rFonts w:ascii="Symbol" w:hAnsi="Symbol" w:hint="default"/>
      </w:rPr>
    </w:lvl>
    <w:lvl w:ilvl="4" w:tplc="DD84BB6C">
      <w:start w:val="1"/>
      <w:numFmt w:val="bullet"/>
      <w:lvlText w:val="o"/>
      <w:lvlJc w:val="left"/>
      <w:pPr>
        <w:ind w:left="3600" w:hanging="360"/>
      </w:pPr>
      <w:rPr>
        <w:rFonts w:ascii="Courier New" w:hAnsi="Courier New" w:hint="default"/>
      </w:rPr>
    </w:lvl>
    <w:lvl w:ilvl="5" w:tplc="BD3C374C">
      <w:start w:val="1"/>
      <w:numFmt w:val="bullet"/>
      <w:lvlText w:val=""/>
      <w:lvlJc w:val="left"/>
      <w:pPr>
        <w:ind w:left="4320" w:hanging="360"/>
      </w:pPr>
      <w:rPr>
        <w:rFonts w:ascii="Wingdings" w:hAnsi="Wingdings" w:hint="default"/>
      </w:rPr>
    </w:lvl>
    <w:lvl w:ilvl="6" w:tplc="EC2CEC2A">
      <w:start w:val="1"/>
      <w:numFmt w:val="bullet"/>
      <w:lvlText w:val=""/>
      <w:lvlJc w:val="left"/>
      <w:pPr>
        <w:ind w:left="5040" w:hanging="360"/>
      </w:pPr>
      <w:rPr>
        <w:rFonts w:ascii="Symbol" w:hAnsi="Symbol" w:hint="default"/>
      </w:rPr>
    </w:lvl>
    <w:lvl w:ilvl="7" w:tplc="94BA4354">
      <w:start w:val="1"/>
      <w:numFmt w:val="bullet"/>
      <w:lvlText w:val="o"/>
      <w:lvlJc w:val="left"/>
      <w:pPr>
        <w:ind w:left="5760" w:hanging="360"/>
      </w:pPr>
      <w:rPr>
        <w:rFonts w:ascii="Courier New" w:hAnsi="Courier New" w:hint="default"/>
      </w:rPr>
    </w:lvl>
    <w:lvl w:ilvl="8" w:tplc="44A86488">
      <w:start w:val="1"/>
      <w:numFmt w:val="bullet"/>
      <w:lvlText w:val=""/>
      <w:lvlJc w:val="left"/>
      <w:pPr>
        <w:ind w:left="6480" w:hanging="360"/>
      </w:pPr>
      <w:rPr>
        <w:rFonts w:ascii="Wingdings" w:hAnsi="Wingdings" w:hint="default"/>
      </w:rPr>
    </w:lvl>
  </w:abstractNum>
  <w:abstractNum w:abstractNumId="29" w15:restartNumberingAfterBreak="0">
    <w:nsid w:val="31584909"/>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7F87260"/>
    <w:multiLevelType w:val="hybridMultilevel"/>
    <w:tmpl w:val="682AAEE2"/>
    <w:lvl w:ilvl="0" w:tplc="C2CCAE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534DD"/>
    <w:multiLevelType w:val="hybridMultilevel"/>
    <w:tmpl w:val="FFFFFFFF"/>
    <w:lvl w:ilvl="0" w:tplc="580649AC">
      <w:start w:val="1"/>
      <w:numFmt w:val="bullet"/>
      <w:lvlText w:val="-"/>
      <w:lvlJc w:val="left"/>
      <w:pPr>
        <w:ind w:left="720" w:hanging="360"/>
      </w:pPr>
      <w:rPr>
        <w:rFonts w:ascii="Calibri" w:hAnsi="Calibri" w:hint="default"/>
      </w:rPr>
    </w:lvl>
    <w:lvl w:ilvl="1" w:tplc="AF062CFE">
      <w:start w:val="1"/>
      <w:numFmt w:val="bullet"/>
      <w:lvlText w:val="o"/>
      <w:lvlJc w:val="left"/>
      <w:pPr>
        <w:ind w:left="1440" w:hanging="360"/>
      </w:pPr>
      <w:rPr>
        <w:rFonts w:ascii="Courier New" w:hAnsi="Courier New" w:hint="default"/>
      </w:rPr>
    </w:lvl>
    <w:lvl w:ilvl="2" w:tplc="6A5A7F6E">
      <w:start w:val="1"/>
      <w:numFmt w:val="bullet"/>
      <w:lvlText w:val=""/>
      <w:lvlJc w:val="left"/>
      <w:pPr>
        <w:ind w:left="2160" w:hanging="360"/>
      </w:pPr>
      <w:rPr>
        <w:rFonts w:ascii="Wingdings" w:hAnsi="Wingdings" w:hint="default"/>
      </w:rPr>
    </w:lvl>
    <w:lvl w:ilvl="3" w:tplc="19681226">
      <w:start w:val="1"/>
      <w:numFmt w:val="bullet"/>
      <w:lvlText w:val=""/>
      <w:lvlJc w:val="left"/>
      <w:pPr>
        <w:ind w:left="2880" w:hanging="360"/>
      </w:pPr>
      <w:rPr>
        <w:rFonts w:ascii="Symbol" w:hAnsi="Symbol" w:hint="default"/>
      </w:rPr>
    </w:lvl>
    <w:lvl w:ilvl="4" w:tplc="7B4EE40E">
      <w:start w:val="1"/>
      <w:numFmt w:val="bullet"/>
      <w:lvlText w:val="o"/>
      <w:lvlJc w:val="left"/>
      <w:pPr>
        <w:ind w:left="3600" w:hanging="360"/>
      </w:pPr>
      <w:rPr>
        <w:rFonts w:ascii="Courier New" w:hAnsi="Courier New" w:hint="default"/>
      </w:rPr>
    </w:lvl>
    <w:lvl w:ilvl="5" w:tplc="B0DEC978">
      <w:start w:val="1"/>
      <w:numFmt w:val="bullet"/>
      <w:lvlText w:val=""/>
      <w:lvlJc w:val="left"/>
      <w:pPr>
        <w:ind w:left="4320" w:hanging="360"/>
      </w:pPr>
      <w:rPr>
        <w:rFonts w:ascii="Wingdings" w:hAnsi="Wingdings" w:hint="default"/>
      </w:rPr>
    </w:lvl>
    <w:lvl w:ilvl="6" w:tplc="B7C695F2">
      <w:start w:val="1"/>
      <w:numFmt w:val="bullet"/>
      <w:lvlText w:val=""/>
      <w:lvlJc w:val="left"/>
      <w:pPr>
        <w:ind w:left="5040" w:hanging="360"/>
      </w:pPr>
      <w:rPr>
        <w:rFonts w:ascii="Symbol" w:hAnsi="Symbol" w:hint="default"/>
      </w:rPr>
    </w:lvl>
    <w:lvl w:ilvl="7" w:tplc="EC8C6BC2">
      <w:start w:val="1"/>
      <w:numFmt w:val="bullet"/>
      <w:lvlText w:val="o"/>
      <w:lvlJc w:val="left"/>
      <w:pPr>
        <w:ind w:left="5760" w:hanging="360"/>
      </w:pPr>
      <w:rPr>
        <w:rFonts w:ascii="Courier New" w:hAnsi="Courier New" w:hint="default"/>
      </w:rPr>
    </w:lvl>
    <w:lvl w:ilvl="8" w:tplc="5950DBCE">
      <w:start w:val="1"/>
      <w:numFmt w:val="bullet"/>
      <w:lvlText w:val=""/>
      <w:lvlJc w:val="left"/>
      <w:pPr>
        <w:ind w:left="6480" w:hanging="360"/>
      </w:pPr>
      <w:rPr>
        <w:rFonts w:ascii="Wingdings" w:hAnsi="Wingdings" w:hint="default"/>
      </w:rPr>
    </w:lvl>
  </w:abstractNum>
  <w:abstractNum w:abstractNumId="32" w15:restartNumberingAfterBreak="0">
    <w:nsid w:val="3B36AD34"/>
    <w:multiLevelType w:val="hybridMultilevel"/>
    <w:tmpl w:val="FFFFFFFF"/>
    <w:lvl w:ilvl="0" w:tplc="A89CFBE4">
      <w:start w:val="1"/>
      <w:numFmt w:val="bullet"/>
      <w:lvlText w:val="-"/>
      <w:lvlJc w:val="left"/>
      <w:pPr>
        <w:ind w:left="720" w:hanging="360"/>
      </w:pPr>
      <w:rPr>
        <w:rFonts w:ascii="Calibri" w:hAnsi="Calibri" w:hint="default"/>
      </w:rPr>
    </w:lvl>
    <w:lvl w:ilvl="1" w:tplc="EF46FD06">
      <w:start w:val="1"/>
      <w:numFmt w:val="bullet"/>
      <w:lvlText w:val="o"/>
      <w:lvlJc w:val="left"/>
      <w:pPr>
        <w:ind w:left="1440" w:hanging="360"/>
      </w:pPr>
      <w:rPr>
        <w:rFonts w:ascii="Courier New" w:hAnsi="Courier New" w:hint="default"/>
      </w:rPr>
    </w:lvl>
    <w:lvl w:ilvl="2" w:tplc="8D7A212A">
      <w:start w:val="1"/>
      <w:numFmt w:val="bullet"/>
      <w:lvlText w:val=""/>
      <w:lvlJc w:val="left"/>
      <w:pPr>
        <w:ind w:left="2160" w:hanging="360"/>
      </w:pPr>
      <w:rPr>
        <w:rFonts w:ascii="Wingdings" w:hAnsi="Wingdings" w:hint="default"/>
      </w:rPr>
    </w:lvl>
    <w:lvl w:ilvl="3" w:tplc="A17E0618">
      <w:start w:val="1"/>
      <w:numFmt w:val="bullet"/>
      <w:lvlText w:val=""/>
      <w:lvlJc w:val="left"/>
      <w:pPr>
        <w:ind w:left="2880" w:hanging="360"/>
      </w:pPr>
      <w:rPr>
        <w:rFonts w:ascii="Symbol" w:hAnsi="Symbol" w:hint="default"/>
      </w:rPr>
    </w:lvl>
    <w:lvl w:ilvl="4" w:tplc="4118A1BC">
      <w:start w:val="1"/>
      <w:numFmt w:val="bullet"/>
      <w:lvlText w:val="o"/>
      <w:lvlJc w:val="left"/>
      <w:pPr>
        <w:ind w:left="3600" w:hanging="360"/>
      </w:pPr>
      <w:rPr>
        <w:rFonts w:ascii="Courier New" w:hAnsi="Courier New" w:hint="default"/>
      </w:rPr>
    </w:lvl>
    <w:lvl w:ilvl="5" w:tplc="43464CAE">
      <w:start w:val="1"/>
      <w:numFmt w:val="bullet"/>
      <w:lvlText w:val=""/>
      <w:lvlJc w:val="left"/>
      <w:pPr>
        <w:ind w:left="4320" w:hanging="360"/>
      </w:pPr>
      <w:rPr>
        <w:rFonts w:ascii="Wingdings" w:hAnsi="Wingdings" w:hint="default"/>
      </w:rPr>
    </w:lvl>
    <w:lvl w:ilvl="6" w:tplc="1EE6C896">
      <w:start w:val="1"/>
      <w:numFmt w:val="bullet"/>
      <w:lvlText w:val=""/>
      <w:lvlJc w:val="left"/>
      <w:pPr>
        <w:ind w:left="5040" w:hanging="360"/>
      </w:pPr>
      <w:rPr>
        <w:rFonts w:ascii="Symbol" w:hAnsi="Symbol" w:hint="default"/>
      </w:rPr>
    </w:lvl>
    <w:lvl w:ilvl="7" w:tplc="D42652B6">
      <w:start w:val="1"/>
      <w:numFmt w:val="bullet"/>
      <w:lvlText w:val="o"/>
      <w:lvlJc w:val="left"/>
      <w:pPr>
        <w:ind w:left="5760" w:hanging="360"/>
      </w:pPr>
      <w:rPr>
        <w:rFonts w:ascii="Courier New" w:hAnsi="Courier New" w:hint="default"/>
      </w:rPr>
    </w:lvl>
    <w:lvl w:ilvl="8" w:tplc="8DE2C086">
      <w:start w:val="1"/>
      <w:numFmt w:val="bullet"/>
      <w:lvlText w:val=""/>
      <w:lvlJc w:val="left"/>
      <w:pPr>
        <w:ind w:left="6480" w:hanging="360"/>
      </w:pPr>
      <w:rPr>
        <w:rFonts w:ascii="Wingdings" w:hAnsi="Wingdings" w:hint="default"/>
      </w:rPr>
    </w:lvl>
  </w:abstractNum>
  <w:abstractNum w:abstractNumId="33" w15:restartNumberingAfterBreak="0">
    <w:nsid w:val="3D3F4D90"/>
    <w:multiLevelType w:val="hybridMultilevel"/>
    <w:tmpl w:val="6FD0FEEC"/>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01D58D2"/>
    <w:multiLevelType w:val="hybridMultilevel"/>
    <w:tmpl w:val="8124E400"/>
    <w:lvl w:ilvl="0" w:tplc="0CEACD3E">
      <w:numFmt w:val="bullet"/>
      <w:lvlText w:val="-"/>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E54A10"/>
    <w:multiLevelType w:val="hybridMultilevel"/>
    <w:tmpl w:val="06845B2A"/>
    <w:lvl w:ilvl="0" w:tplc="63DC6B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F37608"/>
    <w:multiLevelType w:val="multilevel"/>
    <w:tmpl w:val="A7C6E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6605BC"/>
    <w:multiLevelType w:val="multilevel"/>
    <w:tmpl w:val="543E3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CEAB80"/>
    <w:multiLevelType w:val="hybridMultilevel"/>
    <w:tmpl w:val="FFFFFFFF"/>
    <w:lvl w:ilvl="0" w:tplc="B964AF10">
      <w:start w:val="1"/>
      <w:numFmt w:val="bullet"/>
      <w:lvlText w:val="-"/>
      <w:lvlJc w:val="left"/>
      <w:pPr>
        <w:ind w:left="720" w:hanging="360"/>
      </w:pPr>
      <w:rPr>
        <w:rFonts w:ascii="Calibri" w:hAnsi="Calibri" w:hint="default"/>
      </w:rPr>
    </w:lvl>
    <w:lvl w:ilvl="1" w:tplc="64104774">
      <w:start w:val="1"/>
      <w:numFmt w:val="bullet"/>
      <w:lvlText w:val="o"/>
      <w:lvlJc w:val="left"/>
      <w:pPr>
        <w:ind w:left="1440" w:hanging="360"/>
      </w:pPr>
      <w:rPr>
        <w:rFonts w:ascii="Courier New" w:hAnsi="Courier New" w:hint="default"/>
      </w:rPr>
    </w:lvl>
    <w:lvl w:ilvl="2" w:tplc="BF1AC31E">
      <w:start w:val="1"/>
      <w:numFmt w:val="bullet"/>
      <w:lvlText w:val=""/>
      <w:lvlJc w:val="left"/>
      <w:pPr>
        <w:ind w:left="2160" w:hanging="360"/>
      </w:pPr>
      <w:rPr>
        <w:rFonts w:ascii="Wingdings" w:hAnsi="Wingdings" w:hint="default"/>
      </w:rPr>
    </w:lvl>
    <w:lvl w:ilvl="3" w:tplc="DDE08A12">
      <w:start w:val="1"/>
      <w:numFmt w:val="bullet"/>
      <w:lvlText w:val=""/>
      <w:lvlJc w:val="left"/>
      <w:pPr>
        <w:ind w:left="2880" w:hanging="360"/>
      </w:pPr>
      <w:rPr>
        <w:rFonts w:ascii="Symbol" w:hAnsi="Symbol" w:hint="default"/>
      </w:rPr>
    </w:lvl>
    <w:lvl w:ilvl="4" w:tplc="799CF368">
      <w:start w:val="1"/>
      <w:numFmt w:val="bullet"/>
      <w:lvlText w:val="o"/>
      <w:lvlJc w:val="left"/>
      <w:pPr>
        <w:ind w:left="3600" w:hanging="360"/>
      </w:pPr>
      <w:rPr>
        <w:rFonts w:ascii="Courier New" w:hAnsi="Courier New" w:hint="default"/>
      </w:rPr>
    </w:lvl>
    <w:lvl w:ilvl="5" w:tplc="98ACA002">
      <w:start w:val="1"/>
      <w:numFmt w:val="bullet"/>
      <w:lvlText w:val=""/>
      <w:lvlJc w:val="left"/>
      <w:pPr>
        <w:ind w:left="4320" w:hanging="360"/>
      </w:pPr>
      <w:rPr>
        <w:rFonts w:ascii="Wingdings" w:hAnsi="Wingdings" w:hint="default"/>
      </w:rPr>
    </w:lvl>
    <w:lvl w:ilvl="6" w:tplc="DE6A3856">
      <w:start w:val="1"/>
      <w:numFmt w:val="bullet"/>
      <w:lvlText w:val=""/>
      <w:lvlJc w:val="left"/>
      <w:pPr>
        <w:ind w:left="5040" w:hanging="360"/>
      </w:pPr>
      <w:rPr>
        <w:rFonts w:ascii="Symbol" w:hAnsi="Symbol" w:hint="default"/>
      </w:rPr>
    </w:lvl>
    <w:lvl w:ilvl="7" w:tplc="C470A6B0">
      <w:start w:val="1"/>
      <w:numFmt w:val="bullet"/>
      <w:lvlText w:val="o"/>
      <w:lvlJc w:val="left"/>
      <w:pPr>
        <w:ind w:left="5760" w:hanging="360"/>
      </w:pPr>
      <w:rPr>
        <w:rFonts w:ascii="Courier New" w:hAnsi="Courier New" w:hint="default"/>
      </w:rPr>
    </w:lvl>
    <w:lvl w:ilvl="8" w:tplc="4942DE02">
      <w:start w:val="1"/>
      <w:numFmt w:val="bullet"/>
      <w:lvlText w:val=""/>
      <w:lvlJc w:val="left"/>
      <w:pPr>
        <w:ind w:left="6480" w:hanging="360"/>
      </w:pPr>
      <w:rPr>
        <w:rFonts w:ascii="Wingdings" w:hAnsi="Wingdings" w:hint="default"/>
      </w:rPr>
    </w:lvl>
  </w:abstractNum>
  <w:abstractNum w:abstractNumId="39" w15:restartNumberingAfterBreak="0">
    <w:nsid w:val="46213169"/>
    <w:multiLevelType w:val="multilevel"/>
    <w:tmpl w:val="7668F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3D5655"/>
    <w:multiLevelType w:val="multilevel"/>
    <w:tmpl w:val="788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6F11FC"/>
    <w:multiLevelType w:val="hybridMultilevel"/>
    <w:tmpl w:val="3E2A29B2"/>
    <w:lvl w:ilvl="0" w:tplc="237EDD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206503"/>
    <w:multiLevelType w:val="hybridMultilevel"/>
    <w:tmpl w:val="FFFFFFFF"/>
    <w:lvl w:ilvl="0" w:tplc="C928AC00">
      <w:start w:val="1"/>
      <w:numFmt w:val="bullet"/>
      <w:lvlText w:val="-"/>
      <w:lvlJc w:val="left"/>
      <w:pPr>
        <w:ind w:left="720" w:hanging="360"/>
      </w:pPr>
      <w:rPr>
        <w:rFonts w:ascii="&quot;Times New Roman&quot;,serif" w:hAnsi="&quot;Times New Roman&quot;,serif" w:hint="default"/>
      </w:rPr>
    </w:lvl>
    <w:lvl w:ilvl="1" w:tplc="F8964006">
      <w:start w:val="1"/>
      <w:numFmt w:val="bullet"/>
      <w:lvlText w:val="o"/>
      <w:lvlJc w:val="left"/>
      <w:pPr>
        <w:ind w:left="1440" w:hanging="360"/>
      </w:pPr>
      <w:rPr>
        <w:rFonts w:ascii="Courier New" w:hAnsi="Courier New" w:hint="default"/>
      </w:rPr>
    </w:lvl>
    <w:lvl w:ilvl="2" w:tplc="825EB39A">
      <w:start w:val="1"/>
      <w:numFmt w:val="bullet"/>
      <w:lvlText w:val=""/>
      <w:lvlJc w:val="left"/>
      <w:pPr>
        <w:ind w:left="2160" w:hanging="360"/>
      </w:pPr>
      <w:rPr>
        <w:rFonts w:ascii="Wingdings" w:hAnsi="Wingdings" w:hint="default"/>
      </w:rPr>
    </w:lvl>
    <w:lvl w:ilvl="3" w:tplc="B9CA21EE">
      <w:start w:val="1"/>
      <w:numFmt w:val="bullet"/>
      <w:lvlText w:val=""/>
      <w:lvlJc w:val="left"/>
      <w:pPr>
        <w:ind w:left="2880" w:hanging="360"/>
      </w:pPr>
      <w:rPr>
        <w:rFonts w:ascii="Symbol" w:hAnsi="Symbol" w:hint="default"/>
      </w:rPr>
    </w:lvl>
    <w:lvl w:ilvl="4" w:tplc="FB9AD00A">
      <w:start w:val="1"/>
      <w:numFmt w:val="bullet"/>
      <w:lvlText w:val="o"/>
      <w:lvlJc w:val="left"/>
      <w:pPr>
        <w:ind w:left="3600" w:hanging="360"/>
      </w:pPr>
      <w:rPr>
        <w:rFonts w:ascii="Courier New" w:hAnsi="Courier New" w:hint="default"/>
      </w:rPr>
    </w:lvl>
    <w:lvl w:ilvl="5" w:tplc="C87233F8">
      <w:start w:val="1"/>
      <w:numFmt w:val="bullet"/>
      <w:lvlText w:val=""/>
      <w:lvlJc w:val="left"/>
      <w:pPr>
        <w:ind w:left="4320" w:hanging="360"/>
      </w:pPr>
      <w:rPr>
        <w:rFonts w:ascii="Wingdings" w:hAnsi="Wingdings" w:hint="default"/>
      </w:rPr>
    </w:lvl>
    <w:lvl w:ilvl="6" w:tplc="10422B7E">
      <w:start w:val="1"/>
      <w:numFmt w:val="bullet"/>
      <w:lvlText w:val=""/>
      <w:lvlJc w:val="left"/>
      <w:pPr>
        <w:ind w:left="5040" w:hanging="360"/>
      </w:pPr>
      <w:rPr>
        <w:rFonts w:ascii="Symbol" w:hAnsi="Symbol" w:hint="default"/>
      </w:rPr>
    </w:lvl>
    <w:lvl w:ilvl="7" w:tplc="08306E36">
      <w:start w:val="1"/>
      <w:numFmt w:val="bullet"/>
      <w:lvlText w:val="o"/>
      <w:lvlJc w:val="left"/>
      <w:pPr>
        <w:ind w:left="5760" w:hanging="360"/>
      </w:pPr>
      <w:rPr>
        <w:rFonts w:ascii="Courier New" w:hAnsi="Courier New" w:hint="default"/>
      </w:rPr>
    </w:lvl>
    <w:lvl w:ilvl="8" w:tplc="A4A60E1E">
      <w:start w:val="1"/>
      <w:numFmt w:val="bullet"/>
      <w:lvlText w:val=""/>
      <w:lvlJc w:val="left"/>
      <w:pPr>
        <w:ind w:left="6480" w:hanging="360"/>
      </w:pPr>
      <w:rPr>
        <w:rFonts w:ascii="Wingdings" w:hAnsi="Wingdings" w:hint="default"/>
      </w:rPr>
    </w:lvl>
  </w:abstractNum>
  <w:abstractNum w:abstractNumId="43" w15:restartNumberingAfterBreak="0">
    <w:nsid w:val="4F1814D5"/>
    <w:multiLevelType w:val="multilevel"/>
    <w:tmpl w:val="A568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B46F3"/>
    <w:multiLevelType w:val="multilevel"/>
    <w:tmpl w:val="39B8B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944CF3"/>
    <w:multiLevelType w:val="multilevel"/>
    <w:tmpl w:val="9FAAE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F360FA"/>
    <w:multiLevelType w:val="multilevel"/>
    <w:tmpl w:val="7668F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673054"/>
    <w:multiLevelType w:val="multilevel"/>
    <w:tmpl w:val="6E7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939255"/>
    <w:multiLevelType w:val="hybridMultilevel"/>
    <w:tmpl w:val="FFFFFFFF"/>
    <w:lvl w:ilvl="0" w:tplc="88D86210">
      <w:start w:val="1"/>
      <w:numFmt w:val="bullet"/>
      <w:lvlText w:val="-"/>
      <w:lvlJc w:val="left"/>
      <w:pPr>
        <w:ind w:left="720" w:hanging="360"/>
      </w:pPr>
      <w:rPr>
        <w:rFonts w:ascii="&quot;Times New Roman&quot;,serif" w:hAnsi="&quot;Times New Roman&quot;,serif" w:hint="default"/>
      </w:rPr>
    </w:lvl>
    <w:lvl w:ilvl="1" w:tplc="8662D88C">
      <w:start w:val="1"/>
      <w:numFmt w:val="bullet"/>
      <w:lvlText w:val="o"/>
      <w:lvlJc w:val="left"/>
      <w:pPr>
        <w:ind w:left="1440" w:hanging="360"/>
      </w:pPr>
      <w:rPr>
        <w:rFonts w:ascii="Courier New" w:hAnsi="Courier New" w:hint="default"/>
      </w:rPr>
    </w:lvl>
    <w:lvl w:ilvl="2" w:tplc="173A881A">
      <w:start w:val="1"/>
      <w:numFmt w:val="bullet"/>
      <w:lvlText w:val=""/>
      <w:lvlJc w:val="left"/>
      <w:pPr>
        <w:ind w:left="2160" w:hanging="360"/>
      </w:pPr>
      <w:rPr>
        <w:rFonts w:ascii="Wingdings" w:hAnsi="Wingdings" w:hint="default"/>
      </w:rPr>
    </w:lvl>
    <w:lvl w:ilvl="3" w:tplc="E0E4178A">
      <w:start w:val="1"/>
      <w:numFmt w:val="bullet"/>
      <w:lvlText w:val=""/>
      <w:lvlJc w:val="left"/>
      <w:pPr>
        <w:ind w:left="2880" w:hanging="360"/>
      </w:pPr>
      <w:rPr>
        <w:rFonts w:ascii="Symbol" w:hAnsi="Symbol" w:hint="default"/>
      </w:rPr>
    </w:lvl>
    <w:lvl w:ilvl="4" w:tplc="46B6286C">
      <w:start w:val="1"/>
      <w:numFmt w:val="bullet"/>
      <w:lvlText w:val="o"/>
      <w:lvlJc w:val="left"/>
      <w:pPr>
        <w:ind w:left="3600" w:hanging="360"/>
      </w:pPr>
      <w:rPr>
        <w:rFonts w:ascii="Courier New" w:hAnsi="Courier New" w:hint="default"/>
      </w:rPr>
    </w:lvl>
    <w:lvl w:ilvl="5" w:tplc="21F657C2">
      <w:start w:val="1"/>
      <w:numFmt w:val="bullet"/>
      <w:lvlText w:val=""/>
      <w:lvlJc w:val="left"/>
      <w:pPr>
        <w:ind w:left="4320" w:hanging="360"/>
      </w:pPr>
      <w:rPr>
        <w:rFonts w:ascii="Wingdings" w:hAnsi="Wingdings" w:hint="default"/>
      </w:rPr>
    </w:lvl>
    <w:lvl w:ilvl="6" w:tplc="19A4F6CA">
      <w:start w:val="1"/>
      <w:numFmt w:val="bullet"/>
      <w:lvlText w:val=""/>
      <w:lvlJc w:val="left"/>
      <w:pPr>
        <w:ind w:left="5040" w:hanging="360"/>
      </w:pPr>
      <w:rPr>
        <w:rFonts w:ascii="Symbol" w:hAnsi="Symbol" w:hint="default"/>
      </w:rPr>
    </w:lvl>
    <w:lvl w:ilvl="7" w:tplc="6DC24000">
      <w:start w:val="1"/>
      <w:numFmt w:val="bullet"/>
      <w:lvlText w:val="o"/>
      <w:lvlJc w:val="left"/>
      <w:pPr>
        <w:ind w:left="5760" w:hanging="360"/>
      </w:pPr>
      <w:rPr>
        <w:rFonts w:ascii="Courier New" w:hAnsi="Courier New" w:hint="default"/>
      </w:rPr>
    </w:lvl>
    <w:lvl w:ilvl="8" w:tplc="8EF4907A">
      <w:start w:val="1"/>
      <w:numFmt w:val="bullet"/>
      <w:lvlText w:val=""/>
      <w:lvlJc w:val="left"/>
      <w:pPr>
        <w:ind w:left="6480" w:hanging="360"/>
      </w:pPr>
      <w:rPr>
        <w:rFonts w:ascii="Wingdings" w:hAnsi="Wingdings" w:hint="default"/>
      </w:rPr>
    </w:lvl>
  </w:abstractNum>
  <w:abstractNum w:abstractNumId="49" w15:restartNumberingAfterBreak="0">
    <w:nsid w:val="681A7049"/>
    <w:multiLevelType w:val="hybridMultilevel"/>
    <w:tmpl w:val="C1627BDE"/>
    <w:lvl w:ilvl="0" w:tplc="63DC6B9E">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DC7287"/>
    <w:multiLevelType w:val="multilevel"/>
    <w:tmpl w:val="FD7ABD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69FC2BF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F847AB0"/>
    <w:multiLevelType w:val="hybridMultilevel"/>
    <w:tmpl w:val="C4FA45C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3" w15:restartNumberingAfterBreak="0">
    <w:nsid w:val="6F8686DC"/>
    <w:multiLevelType w:val="hybridMultilevel"/>
    <w:tmpl w:val="FFFFFFFF"/>
    <w:lvl w:ilvl="0" w:tplc="82DCD31E">
      <w:start w:val="1"/>
      <w:numFmt w:val="bullet"/>
      <w:lvlText w:val="-"/>
      <w:lvlJc w:val="left"/>
      <w:pPr>
        <w:ind w:left="720" w:hanging="360"/>
      </w:pPr>
      <w:rPr>
        <w:rFonts w:ascii="&quot;Times New Roman&quot;,serif" w:hAnsi="&quot;Times New Roman&quot;,serif" w:hint="default"/>
      </w:rPr>
    </w:lvl>
    <w:lvl w:ilvl="1" w:tplc="AEE877A6">
      <w:start w:val="1"/>
      <w:numFmt w:val="bullet"/>
      <w:lvlText w:val="o"/>
      <w:lvlJc w:val="left"/>
      <w:pPr>
        <w:ind w:left="1440" w:hanging="360"/>
      </w:pPr>
      <w:rPr>
        <w:rFonts w:ascii="Courier New" w:hAnsi="Courier New" w:hint="default"/>
      </w:rPr>
    </w:lvl>
    <w:lvl w:ilvl="2" w:tplc="9DEAAF0A">
      <w:start w:val="1"/>
      <w:numFmt w:val="bullet"/>
      <w:lvlText w:val=""/>
      <w:lvlJc w:val="left"/>
      <w:pPr>
        <w:ind w:left="2160" w:hanging="360"/>
      </w:pPr>
      <w:rPr>
        <w:rFonts w:ascii="Wingdings" w:hAnsi="Wingdings" w:hint="default"/>
      </w:rPr>
    </w:lvl>
    <w:lvl w:ilvl="3" w:tplc="868074BC">
      <w:start w:val="1"/>
      <w:numFmt w:val="bullet"/>
      <w:lvlText w:val=""/>
      <w:lvlJc w:val="left"/>
      <w:pPr>
        <w:ind w:left="2880" w:hanging="360"/>
      </w:pPr>
      <w:rPr>
        <w:rFonts w:ascii="Symbol" w:hAnsi="Symbol" w:hint="default"/>
      </w:rPr>
    </w:lvl>
    <w:lvl w:ilvl="4" w:tplc="F4946A38">
      <w:start w:val="1"/>
      <w:numFmt w:val="bullet"/>
      <w:lvlText w:val="o"/>
      <w:lvlJc w:val="left"/>
      <w:pPr>
        <w:ind w:left="3600" w:hanging="360"/>
      </w:pPr>
      <w:rPr>
        <w:rFonts w:ascii="Courier New" w:hAnsi="Courier New" w:hint="default"/>
      </w:rPr>
    </w:lvl>
    <w:lvl w:ilvl="5" w:tplc="779C28A8">
      <w:start w:val="1"/>
      <w:numFmt w:val="bullet"/>
      <w:lvlText w:val=""/>
      <w:lvlJc w:val="left"/>
      <w:pPr>
        <w:ind w:left="4320" w:hanging="360"/>
      </w:pPr>
      <w:rPr>
        <w:rFonts w:ascii="Wingdings" w:hAnsi="Wingdings" w:hint="default"/>
      </w:rPr>
    </w:lvl>
    <w:lvl w:ilvl="6" w:tplc="394ED004">
      <w:start w:val="1"/>
      <w:numFmt w:val="bullet"/>
      <w:lvlText w:val=""/>
      <w:lvlJc w:val="left"/>
      <w:pPr>
        <w:ind w:left="5040" w:hanging="360"/>
      </w:pPr>
      <w:rPr>
        <w:rFonts w:ascii="Symbol" w:hAnsi="Symbol" w:hint="default"/>
      </w:rPr>
    </w:lvl>
    <w:lvl w:ilvl="7" w:tplc="A25C4F66">
      <w:start w:val="1"/>
      <w:numFmt w:val="bullet"/>
      <w:lvlText w:val="o"/>
      <w:lvlJc w:val="left"/>
      <w:pPr>
        <w:ind w:left="5760" w:hanging="360"/>
      </w:pPr>
      <w:rPr>
        <w:rFonts w:ascii="Courier New" w:hAnsi="Courier New" w:hint="default"/>
      </w:rPr>
    </w:lvl>
    <w:lvl w:ilvl="8" w:tplc="569C2932">
      <w:start w:val="1"/>
      <w:numFmt w:val="bullet"/>
      <w:lvlText w:val=""/>
      <w:lvlJc w:val="left"/>
      <w:pPr>
        <w:ind w:left="6480" w:hanging="360"/>
      </w:pPr>
      <w:rPr>
        <w:rFonts w:ascii="Wingdings" w:hAnsi="Wingdings" w:hint="default"/>
      </w:rPr>
    </w:lvl>
  </w:abstractNum>
  <w:abstractNum w:abstractNumId="54" w15:restartNumberingAfterBreak="0">
    <w:nsid w:val="730AC8AC"/>
    <w:multiLevelType w:val="hybridMultilevel"/>
    <w:tmpl w:val="FFFFFFFF"/>
    <w:lvl w:ilvl="0" w:tplc="4E30E5AC">
      <w:start w:val="1"/>
      <w:numFmt w:val="bullet"/>
      <w:lvlText w:val="-"/>
      <w:lvlJc w:val="left"/>
      <w:pPr>
        <w:ind w:left="720" w:hanging="360"/>
      </w:pPr>
      <w:rPr>
        <w:rFonts w:ascii="&quot;Times New Roman&quot;,serif" w:hAnsi="&quot;Times New Roman&quot;,serif" w:hint="default"/>
      </w:rPr>
    </w:lvl>
    <w:lvl w:ilvl="1" w:tplc="B8DEC904">
      <w:start w:val="1"/>
      <w:numFmt w:val="bullet"/>
      <w:lvlText w:val="o"/>
      <w:lvlJc w:val="left"/>
      <w:pPr>
        <w:ind w:left="1440" w:hanging="360"/>
      </w:pPr>
      <w:rPr>
        <w:rFonts w:ascii="Courier New" w:hAnsi="Courier New" w:hint="default"/>
      </w:rPr>
    </w:lvl>
    <w:lvl w:ilvl="2" w:tplc="23D6357C">
      <w:start w:val="1"/>
      <w:numFmt w:val="bullet"/>
      <w:lvlText w:val=""/>
      <w:lvlJc w:val="left"/>
      <w:pPr>
        <w:ind w:left="2160" w:hanging="360"/>
      </w:pPr>
      <w:rPr>
        <w:rFonts w:ascii="Wingdings" w:hAnsi="Wingdings" w:hint="default"/>
      </w:rPr>
    </w:lvl>
    <w:lvl w:ilvl="3" w:tplc="3ACE5CCA">
      <w:start w:val="1"/>
      <w:numFmt w:val="bullet"/>
      <w:lvlText w:val=""/>
      <w:lvlJc w:val="left"/>
      <w:pPr>
        <w:ind w:left="2880" w:hanging="360"/>
      </w:pPr>
      <w:rPr>
        <w:rFonts w:ascii="Symbol" w:hAnsi="Symbol" w:hint="default"/>
      </w:rPr>
    </w:lvl>
    <w:lvl w:ilvl="4" w:tplc="3E5A7BC4">
      <w:start w:val="1"/>
      <w:numFmt w:val="bullet"/>
      <w:lvlText w:val="o"/>
      <w:lvlJc w:val="left"/>
      <w:pPr>
        <w:ind w:left="3600" w:hanging="360"/>
      </w:pPr>
      <w:rPr>
        <w:rFonts w:ascii="Courier New" w:hAnsi="Courier New" w:hint="default"/>
      </w:rPr>
    </w:lvl>
    <w:lvl w:ilvl="5" w:tplc="8888539A">
      <w:start w:val="1"/>
      <w:numFmt w:val="bullet"/>
      <w:lvlText w:val=""/>
      <w:lvlJc w:val="left"/>
      <w:pPr>
        <w:ind w:left="4320" w:hanging="360"/>
      </w:pPr>
      <w:rPr>
        <w:rFonts w:ascii="Wingdings" w:hAnsi="Wingdings" w:hint="default"/>
      </w:rPr>
    </w:lvl>
    <w:lvl w:ilvl="6" w:tplc="95CAF670">
      <w:start w:val="1"/>
      <w:numFmt w:val="bullet"/>
      <w:lvlText w:val=""/>
      <w:lvlJc w:val="left"/>
      <w:pPr>
        <w:ind w:left="5040" w:hanging="360"/>
      </w:pPr>
      <w:rPr>
        <w:rFonts w:ascii="Symbol" w:hAnsi="Symbol" w:hint="default"/>
      </w:rPr>
    </w:lvl>
    <w:lvl w:ilvl="7" w:tplc="EB58154E">
      <w:start w:val="1"/>
      <w:numFmt w:val="bullet"/>
      <w:lvlText w:val="o"/>
      <w:lvlJc w:val="left"/>
      <w:pPr>
        <w:ind w:left="5760" w:hanging="360"/>
      </w:pPr>
      <w:rPr>
        <w:rFonts w:ascii="Courier New" w:hAnsi="Courier New" w:hint="default"/>
      </w:rPr>
    </w:lvl>
    <w:lvl w:ilvl="8" w:tplc="D0086CB4">
      <w:start w:val="1"/>
      <w:numFmt w:val="bullet"/>
      <w:lvlText w:val=""/>
      <w:lvlJc w:val="left"/>
      <w:pPr>
        <w:ind w:left="6480" w:hanging="360"/>
      </w:pPr>
      <w:rPr>
        <w:rFonts w:ascii="Wingdings" w:hAnsi="Wingdings" w:hint="default"/>
      </w:rPr>
    </w:lvl>
  </w:abstractNum>
  <w:abstractNum w:abstractNumId="55" w15:restartNumberingAfterBreak="0">
    <w:nsid w:val="74175447"/>
    <w:multiLevelType w:val="hybridMultilevel"/>
    <w:tmpl w:val="01080B98"/>
    <w:lvl w:ilvl="0" w:tplc="D2FEE684">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6E03D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7C34BB"/>
    <w:multiLevelType w:val="hybridMultilevel"/>
    <w:tmpl w:val="FFFFFFFF"/>
    <w:lvl w:ilvl="0" w:tplc="0BB0BEE8">
      <w:start w:val="1"/>
      <w:numFmt w:val="bullet"/>
      <w:lvlText w:val="-"/>
      <w:lvlJc w:val="left"/>
      <w:pPr>
        <w:ind w:left="720" w:hanging="360"/>
      </w:pPr>
      <w:rPr>
        <w:rFonts w:ascii="Calibri" w:hAnsi="Calibri" w:hint="default"/>
      </w:rPr>
    </w:lvl>
    <w:lvl w:ilvl="1" w:tplc="718697BE">
      <w:start w:val="1"/>
      <w:numFmt w:val="bullet"/>
      <w:lvlText w:val="o"/>
      <w:lvlJc w:val="left"/>
      <w:pPr>
        <w:ind w:left="1440" w:hanging="360"/>
      </w:pPr>
      <w:rPr>
        <w:rFonts w:ascii="Courier New" w:hAnsi="Courier New" w:hint="default"/>
      </w:rPr>
    </w:lvl>
    <w:lvl w:ilvl="2" w:tplc="C83EA4A8">
      <w:start w:val="1"/>
      <w:numFmt w:val="bullet"/>
      <w:lvlText w:val=""/>
      <w:lvlJc w:val="left"/>
      <w:pPr>
        <w:ind w:left="2160" w:hanging="360"/>
      </w:pPr>
      <w:rPr>
        <w:rFonts w:ascii="Wingdings" w:hAnsi="Wingdings" w:hint="default"/>
      </w:rPr>
    </w:lvl>
    <w:lvl w:ilvl="3" w:tplc="2B9A0830">
      <w:start w:val="1"/>
      <w:numFmt w:val="bullet"/>
      <w:lvlText w:val=""/>
      <w:lvlJc w:val="left"/>
      <w:pPr>
        <w:ind w:left="2880" w:hanging="360"/>
      </w:pPr>
      <w:rPr>
        <w:rFonts w:ascii="Symbol" w:hAnsi="Symbol" w:hint="default"/>
      </w:rPr>
    </w:lvl>
    <w:lvl w:ilvl="4" w:tplc="5956CA68">
      <w:start w:val="1"/>
      <w:numFmt w:val="bullet"/>
      <w:lvlText w:val="o"/>
      <w:lvlJc w:val="left"/>
      <w:pPr>
        <w:ind w:left="3600" w:hanging="360"/>
      </w:pPr>
      <w:rPr>
        <w:rFonts w:ascii="Courier New" w:hAnsi="Courier New" w:hint="default"/>
      </w:rPr>
    </w:lvl>
    <w:lvl w:ilvl="5" w:tplc="7270CDCE">
      <w:start w:val="1"/>
      <w:numFmt w:val="bullet"/>
      <w:lvlText w:val=""/>
      <w:lvlJc w:val="left"/>
      <w:pPr>
        <w:ind w:left="4320" w:hanging="360"/>
      </w:pPr>
      <w:rPr>
        <w:rFonts w:ascii="Wingdings" w:hAnsi="Wingdings" w:hint="default"/>
      </w:rPr>
    </w:lvl>
    <w:lvl w:ilvl="6" w:tplc="EC68FA6E">
      <w:start w:val="1"/>
      <w:numFmt w:val="bullet"/>
      <w:lvlText w:val=""/>
      <w:lvlJc w:val="left"/>
      <w:pPr>
        <w:ind w:left="5040" w:hanging="360"/>
      </w:pPr>
      <w:rPr>
        <w:rFonts w:ascii="Symbol" w:hAnsi="Symbol" w:hint="default"/>
      </w:rPr>
    </w:lvl>
    <w:lvl w:ilvl="7" w:tplc="FB045FE0">
      <w:start w:val="1"/>
      <w:numFmt w:val="bullet"/>
      <w:lvlText w:val="o"/>
      <w:lvlJc w:val="left"/>
      <w:pPr>
        <w:ind w:left="5760" w:hanging="360"/>
      </w:pPr>
      <w:rPr>
        <w:rFonts w:ascii="Courier New" w:hAnsi="Courier New" w:hint="default"/>
      </w:rPr>
    </w:lvl>
    <w:lvl w:ilvl="8" w:tplc="6AA2320E">
      <w:start w:val="1"/>
      <w:numFmt w:val="bullet"/>
      <w:lvlText w:val=""/>
      <w:lvlJc w:val="left"/>
      <w:pPr>
        <w:ind w:left="6480" w:hanging="360"/>
      </w:pPr>
      <w:rPr>
        <w:rFonts w:ascii="Wingdings" w:hAnsi="Wingdings" w:hint="default"/>
      </w:rPr>
    </w:lvl>
  </w:abstractNum>
  <w:abstractNum w:abstractNumId="58" w15:restartNumberingAfterBreak="0">
    <w:nsid w:val="75D3659A"/>
    <w:multiLevelType w:val="hybridMultilevel"/>
    <w:tmpl w:val="FA9CDD92"/>
    <w:lvl w:ilvl="0" w:tplc="22DEEC9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E3580B"/>
    <w:multiLevelType w:val="multilevel"/>
    <w:tmpl w:val="CD8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135343"/>
    <w:multiLevelType w:val="hybridMultilevel"/>
    <w:tmpl w:val="C8B68FC8"/>
    <w:lvl w:ilvl="0" w:tplc="5C1E3ED4">
      <w:start w:val="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8C36FDE"/>
    <w:multiLevelType w:val="hybridMultilevel"/>
    <w:tmpl w:val="FFFFFFFF"/>
    <w:lvl w:ilvl="0" w:tplc="FBCC7116">
      <w:start w:val="1"/>
      <w:numFmt w:val="bullet"/>
      <w:lvlText w:val="-"/>
      <w:lvlJc w:val="left"/>
      <w:pPr>
        <w:ind w:left="720" w:hanging="360"/>
      </w:pPr>
      <w:rPr>
        <w:rFonts w:ascii="Calibri" w:hAnsi="Calibri" w:hint="default"/>
      </w:rPr>
    </w:lvl>
    <w:lvl w:ilvl="1" w:tplc="D624D4EE">
      <w:start w:val="1"/>
      <w:numFmt w:val="bullet"/>
      <w:lvlText w:val="o"/>
      <w:lvlJc w:val="left"/>
      <w:pPr>
        <w:ind w:left="1440" w:hanging="360"/>
      </w:pPr>
      <w:rPr>
        <w:rFonts w:ascii="Courier New" w:hAnsi="Courier New" w:hint="default"/>
      </w:rPr>
    </w:lvl>
    <w:lvl w:ilvl="2" w:tplc="616CD542">
      <w:start w:val="1"/>
      <w:numFmt w:val="bullet"/>
      <w:lvlText w:val=""/>
      <w:lvlJc w:val="left"/>
      <w:pPr>
        <w:ind w:left="2160" w:hanging="360"/>
      </w:pPr>
      <w:rPr>
        <w:rFonts w:ascii="Wingdings" w:hAnsi="Wingdings" w:hint="default"/>
      </w:rPr>
    </w:lvl>
    <w:lvl w:ilvl="3" w:tplc="D03C4CD0">
      <w:start w:val="1"/>
      <w:numFmt w:val="bullet"/>
      <w:lvlText w:val=""/>
      <w:lvlJc w:val="left"/>
      <w:pPr>
        <w:ind w:left="2880" w:hanging="360"/>
      </w:pPr>
      <w:rPr>
        <w:rFonts w:ascii="Symbol" w:hAnsi="Symbol" w:hint="default"/>
      </w:rPr>
    </w:lvl>
    <w:lvl w:ilvl="4" w:tplc="1EF4E038">
      <w:start w:val="1"/>
      <w:numFmt w:val="bullet"/>
      <w:lvlText w:val="o"/>
      <w:lvlJc w:val="left"/>
      <w:pPr>
        <w:ind w:left="3600" w:hanging="360"/>
      </w:pPr>
      <w:rPr>
        <w:rFonts w:ascii="Courier New" w:hAnsi="Courier New" w:hint="default"/>
      </w:rPr>
    </w:lvl>
    <w:lvl w:ilvl="5" w:tplc="464C5076">
      <w:start w:val="1"/>
      <w:numFmt w:val="bullet"/>
      <w:lvlText w:val=""/>
      <w:lvlJc w:val="left"/>
      <w:pPr>
        <w:ind w:left="4320" w:hanging="360"/>
      </w:pPr>
      <w:rPr>
        <w:rFonts w:ascii="Wingdings" w:hAnsi="Wingdings" w:hint="default"/>
      </w:rPr>
    </w:lvl>
    <w:lvl w:ilvl="6" w:tplc="449A2C50">
      <w:start w:val="1"/>
      <w:numFmt w:val="bullet"/>
      <w:lvlText w:val=""/>
      <w:lvlJc w:val="left"/>
      <w:pPr>
        <w:ind w:left="5040" w:hanging="360"/>
      </w:pPr>
      <w:rPr>
        <w:rFonts w:ascii="Symbol" w:hAnsi="Symbol" w:hint="default"/>
      </w:rPr>
    </w:lvl>
    <w:lvl w:ilvl="7" w:tplc="4C12B412">
      <w:start w:val="1"/>
      <w:numFmt w:val="bullet"/>
      <w:lvlText w:val="o"/>
      <w:lvlJc w:val="left"/>
      <w:pPr>
        <w:ind w:left="5760" w:hanging="360"/>
      </w:pPr>
      <w:rPr>
        <w:rFonts w:ascii="Courier New" w:hAnsi="Courier New" w:hint="default"/>
      </w:rPr>
    </w:lvl>
    <w:lvl w:ilvl="8" w:tplc="9872DAF6">
      <w:start w:val="1"/>
      <w:numFmt w:val="bullet"/>
      <w:lvlText w:val=""/>
      <w:lvlJc w:val="left"/>
      <w:pPr>
        <w:ind w:left="6480" w:hanging="360"/>
      </w:pPr>
      <w:rPr>
        <w:rFonts w:ascii="Wingdings" w:hAnsi="Wingdings" w:hint="default"/>
      </w:rPr>
    </w:lvl>
  </w:abstractNum>
  <w:abstractNum w:abstractNumId="62" w15:restartNumberingAfterBreak="0">
    <w:nsid w:val="79E80E51"/>
    <w:multiLevelType w:val="hybridMultilevel"/>
    <w:tmpl w:val="B9046D76"/>
    <w:lvl w:ilvl="0" w:tplc="B6B0FF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7E7573"/>
    <w:multiLevelType w:val="hybridMultilevel"/>
    <w:tmpl w:val="B1C8EDC6"/>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B860B70"/>
    <w:multiLevelType w:val="hybridMultilevel"/>
    <w:tmpl w:val="67E087B2"/>
    <w:lvl w:ilvl="0" w:tplc="128016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E349B"/>
    <w:multiLevelType w:val="multilevel"/>
    <w:tmpl w:val="9F4E1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5907E6"/>
    <w:multiLevelType w:val="hybridMultilevel"/>
    <w:tmpl w:val="872AC48A"/>
    <w:lvl w:ilvl="0" w:tplc="B7720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014266"/>
    <w:multiLevelType w:val="multilevel"/>
    <w:tmpl w:val="1FB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C23D5C"/>
    <w:multiLevelType w:val="hybridMultilevel"/>
    <w:tmpl w:val="CA103F4A"/>
    <w:lvl w:ilvl="0" w:tplc="5BFC5B2A">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D6BDFF"/>
    <w:multiLevelType w:val="hybridMultilevel"/>
    <w:tmpl w:val="FFFFFFFF"/>
    <w:lvl w:ilvl="0" w:tplc="0584E84E">
      <w:start w:val="1"/>
      <w:numFmt w:val="bullet"/>
      <w:lvlText w:val="-"/>
      <w:lvlJc w:val="left"/>
      <w:pPr>
        <w:ind w:left="720" w:hanging="360"/>
      </w:pPr>
      <w:rPr>
        <w:rFonts w:ascii="Calibri" w:hAnsi="Calibri" w:hint="default"/>
      </w:rPr>
    </w:lvl>
    <w:lvl w:ilvl="1" w:tplc="A47828B8">
      <w:start w:val="1"/>
      <w:numFmt w:val="bullet"/>
      <w:lvlText w:val="o"/>
      <w:lvlJc w:val="left"/>
      <w:pPr>
        <w:ind w:left="1440" w:hanging="360"/>
      </w:pPr>
      <w:rPr>
        <w:rFonts w:ascii="Courier New" w:hAnsi="Courier New" w:hint="default"/>
      </w:rPr>
    </w:lvl>
    <w:lvl w:ilvl="2" w:tplc="785003AC">
      <w:start w:val="1"/>
      <w:numFmt w:val="bullet"/>
      <w:lvlText w:val=""/>
      <w:lvlJc w:val="left"/>
      <w:pPr>
        <w:ind w:left="2160" w:hanging="360"/>
      </w:pPr>
      <w:rPr>
        <w:rFonts w:ascii="Wingdings" w:hAnsi="Wingdings" w:hint="default"/>
      </w:rPr>
    </w:lvl>
    <w:lvl w:ilvl="3" w:tplc="47760230">
      <w:start w:val="1"/>
      <w:numFmt w:val="bullet"/>
      <w:lvlText w:val=""/>
      <w:lvlJc w:val="left"/>
      <w:pPr>
        <w:ind w:left="2880" w:hanging="360"/>
      </w:pPr>
      <w:rPr>
        <w:rFonts w:ascii="Symbol" w:hAnsi="Symbol" w:hint="default"/>
      </w:rPr>
    </w:lvl>
    <w:lvl w:ilvl="4" w:tplc="4A26100E">
      <w:start w:val="1"/>
      <w:numFmt w:val="bullet"/>
      <w:lvlText w:val="o"/>
      <w:lvlJc w:val="left"/>
      <w:pPr>
        <w:ind w:left="3600" w:hanging="360"/>
      </w:pPr>
      <w:rPr>
        <w:rFonts w:ascii="Courier New" w:hAnsi="Courier New" w:hint="default"/>
      </w:rPr>
    </w:lvl>
    <w:lvl w:ilvl="5" w:tplc="7098D2DE">
      <w:start w:val="1"/>
      <w:numFmt w:val="bullet"/>
      <w:lvlText w:val=""/>
      <w:lvlJc w:val="left"/>
      <w:pPr>
        <w:ind w:left="4320" w:hanging="360"/>
      </w:pPr>
      <w:rPr>
        <w:rFonts w:ascii="Wingdings" w:hAnsi="Wingdings" w:hint="default"/>
      </w:rPr>
    </w:lvl>
    <w:lvl w:ilvl="6" w:tplc="47E462E8">
      <w:start w:val="1"/>
      <w:numFmt w:val="bullet"/>
      <w:lvlText w:val=""/>
      <w:lvlJc w:val="left"/>
      <w:pPr>
        <w:ind w:left="5040" w:hanging="360"/>
      </w:pPr>
      <w:rPr>
        <w:rFonts w:ascii="Symbol" w:hAnsi="Symbol" w:hint="default"/>
      </w:rPr>
    </w:lvl>
    <w:lvl w:ilvl="7" w:tplc="B66CBE40">
      <w:start w:val="1"/>
      <w:numFmt w:val="bullet"/>
      <w:lvlText w:val="o"/>
      <w:lvlJc w:val="left"/>
      <w:pPr>
        <w:ind w:left="5760" w:hanging="360"/>
      </w:pPr>
      <w:rPr>
        <w:rFonts w:ascii="Courier New" w:hAnsi="Courier New" w:hint="default"/>
      </w:rPr>
    </w:lvl>
    <w:lvl w:ilvl="8" w:tplc="467EC2A0">
      <w:start w:val="1"/>
      <w:numFmt w:val="bullet"/>
      <w:lvlText w:val=""/>
      <w:lvlJc w:val="left"/>
      <w:pPr>
        <w:ind w:left="6480" w:hanging="360"/>
      </w:pPr>
      <w:rPr>
        <w:rFonts w:ascii="Wingdings" w:hAnsi="Wingdings" w:hint="default"/>
      </w:r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5"/>
  </w:num>
  <w:num w:numId="5">
    <w:abstractNumId w:val="63"/>
  </w:num>
  <w:num w:numId="6">
    <w:abstractNumId w:val="18"/>
  </w:num>
  <w:num w:numId="7">
    <w:abstractNumId w:val="29"/>
  </w:num>
  <w:num w:numId="8">
    <w:abstractNumId w:val="4"/>
  </w:num>
  <w:num w:numId="9">
    <w:abstractNumId w:val="10"/>
  </w:num>
  <w:num w:numId="10">
    <w:abstractNumId w:val="66"/>
  </w:num>
  <w:num w:numId="11">
    <w:abstractNumId w:val="33"/>
  </w:num>
  <w:num w:numId="12">
    <w:abstractNumId w:val="23"/>
  </w:num>
  <w:num w:numId="13">
    <w:abstractNumId w:val="15"/>
  </w:num>
  <w:num w:numId="14">
    <w:abstractNumId w:val="1"/>
  </w:num>
  <w:num w:numId="15">
    <w:abstractNumId w:val="30"/>
  </w:num>
  <w:num w:numId="16">
    <w:abstractNumId w:val="55"/>
  </w:num>
  <w:num w:numId="17">
    <w:abstractNumId w:val="34"/>
  </w:num>
  <w:num w:numId="18">
    <w:abstractNumId w:val="16"/>
  </w:num>
  <w:num w:numId="19">
    <w:abstractNumId w:val="5"/>
  </w:num>
  <w:num w:numId="20">
    <w:abstractNumId w:val="60"/>
  </w:num>
  <w:num w:numId="21">
    <w:abstractNumId w:val="58"/>
  </w:num>
  <w:num w:numId="22">
    <w:abstractNumId w:val="62"/>
  </w:num>
  <w:num w:numId="23">
    <w:abstractNumId w:val="52"/>
  </w:num>
  <w:num w:numId="24">
    <w:abstractNumId w:val="11"/>
  </w:num>
  <w:num w:numId="25">
    <w:abstractNumId w:val="13"/>
  </w:num>
  <w:num w:numId="26">
    <w:abstractNumId w:val="56"/>
  </w:num>
  <w:num w:numId="27">
    <w:abstractNumId w:val="64"/>
  </w:num>
  <w:num w:numId="28">
    <w:abstractNumId w:val="19"/>
  </w:num>
  <w:num w:numId="29">
    <w:abstractNumId w:val="41"/>
  </w:num>
  <w:num w:numId="30">
    <w:abstractNumId w:val="17"/>
  </w:num>
  <w:num w:numId="31">
    <w:abstractNumId w:val="59"/>
  </w:num>
  <w:num w:numId="32">
    <w:abstractNumId w:val="67"/>
  </w:num>
  <w:num w:numId="33">
    <w:abstractNumId w:val="27"/>
  </w:num>
  <w:num w:numId="34">
    <w:abstractNumId w:val="9"/>
  </w:num>
  <w:num w:numId="35">
    <w:abstractNumId w:val="2"/>
  </w:num>
  <w:num w:numId="36">
    <w:abstractNumId w:val="68"/>
  </w:num>
  <w:num w:numId="37">
    <w:abstractNumId w:val="49"/>
  </w:num>
  <w:num w:numId="38">
    <w:abstractNumId w:val="24"/>
  </w:num>
  <w:num w:numId="39">
    <w:abstractNumId w:val="54"/>
  </w:num>
  <w:num w:numId="40">
    <w:abstractNumId w:val="53"/>
  </w:num>
  <w:num w:numId="41">
    <w:abstractNumId w:val="42"/>
  </w:num>
  <w:num w:numId="42">
    <w:abstractNumId w:val="26"/>
  </w:num>
  <w:num w:numId="43">
    <w:abstractNumId w:val="48"/>
  </w:num>
  <w:num w:numId="44">
    <w:abstractNumId w:val="3"/>
  </w:num>
  <w:num w:numId="45">
    <w:abstractNumId w:val="37"/>
  </w:num>
  <w:num w:numId="46">
    <w:abstractNumId w:val="65"/>
  </w:num>
  <w:num w:numId="47">
    <w:abstractNumId w:val="43"/>
  </w:num>
  <w:num w:numId="48">
    <w:abstractNumId w:val="45"/>
  </w:num>
  <w:num w:numId="49">
    <w:abstractNumId w:val="39"/>
  </w:num>
  <w:num w:numId="50">
    <w:abstractNumId w:val="7"/>
  </w:num>
  <w:num w:numId="51">
    <w:abstractNumId w:val="40"/>
  </w:num>
  <w:num w:numId="52">
    <w:abstractNumId w:val="44"/>
  </w:num>
  <w:num w:numId="53">
    <w:abstractNumId w:val="36"/>
  </w:num>
  <w:num w:numId="54">
    <w:abstractNumId w:val="50"/>
  </w:num>
  <w:num w:numId="55">
    <w:abstractNumId w:val="8"/>
  </w:num>
  <w:num w:numId="56">
    <w:abstractNumId w:val="46"/>
  </w:num>
  <w:num w:numId="57">
    <w:abstractNumId w:val="47"/>
  </w:num>
  <w:num w:numId="58">
    <w:abstractNumId w:val="12"/>
  </w:num>
  <w:num w:numId="59">
    <w:abstractNumId w:val="32"/>
  </w:num>
  <w:num w:numId="60">
    <w:abstractNumId w:val="61"/>
  </w:num>
  <w:num w:numId="61">
    <w:abstractNumId w:val="28"/>
  </w:num>
  <w:num w:numId="62">
    <w:abstractNumId w:val="22"/>
  </w:num>
  <w:num w:numId="63">
    <w:abstractNumId w:val="6"/>
  </w:num>
  <w:num w:numId="64">
    <w:abstractNumId w:val="0"/>
  </w:num>
  <w:num w:numId="65">
    <w:abstractNumId w:val="51"/>
  </w:num>
  <w:num w:numId="66">
    <w:abstractNumId w:val="31"/>
  </w:num>
  <w:num w:numId="67">
    <w:abstractNumId w:val="38"/>
  </w:num>
  <w:num w:numId="68">
    <w:abstractNumId w:val="69"/>
  </w:num>
  <w:num w:numId="69">
    <w:abstractNumId w:val="21"/>
  </w:num>
  <w:num w:numId="70">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ACCOMPAGNANT.CP" w:val="till"/>
    <w:docVar w:name="LW_ANNEX_NBR_FIRST" w:val="1"/>
    <w:docVar w:name="LW_ANNEX_NBR_LAST" w:val="1"/>
    <w:docVar w:name="LW_ANNEX_UNIQUE" w:val="1"/>
    <w:docVar w:name="LW_CORRIGENDUM" w:val="&lt;UNUSED&gt;"/>
    <w:docVar w:name="LW_COVERPAGE_EXISTS" w:val="True"/>
    <w:docVar w:name="LW_COVERPAGE_GUID" w:val="AF521207-FA57-4A5D-8FAD-F2B0B4DC871F"/>
    <w:docVar w:name="LW_COVERPAGE_TYPE" w:val="1"/>
    <w:docVar w:name="LW_CROSSREFERENCE" w:val="{SWD(2023) 380 final}"/>
    <w:docVar w:name="LW_DocType" w:val="NORMAL"/>
    <w:docVar w:name="LW_EMISSION" w:val="21.11.2023"/>
    <w:docVar w:name="LW_EMISSION_ISODATE" w:val="2023-11-21"/>
    <w:docVar w:name="LW_EMISSION_LOCATION" w:val="BRX"/>
    <w:docVar w:name="LW_EMISSION_PREFIX" w:val="Bryssel den "/>
    <w:docVar w:name="LW_EMISSION_SUFFIX" w:val=" "/>
    <w:docVar w:name="LW_ID_DOCTYPE_NONLW" w:val="CP-036"/>
    <w:docVar w:name="LW_LANGUE" w:val="SV"/>
    <w:docVar w:name="LW_LEVEL_OF_SENSITIVITY" w:val="Standard treatment"/>
    <w:docVar w:name="LW_NOM.INST" w:val="EUROPEISKA KOMMISSIONEN"/>
    <w:docVar w:name="LW_NOM.INST_JOINTDOC" w:val="&lt;EMPTY&gt;"/>
    <w:docVar w:name="LW_OBJETACTEPRINCIPAL.CP" w:val="om ändring av genomförandebeslut (EU) (ST 10687/21 INIT, ST 10687/21 ADD 1) av den 28 juli 2021 om godkännande av bedömningen av Kroatiens återhämtnings- och resiliensplan_x000b_"/>
    <w:docVar w:name="LW_PART_NBR" w:val="1"/>
    <w:docVar w:name="LW_PART_NBR_TOTAL" w:val="1"/>
    <w:docVar w:name="LW_REF.INST.NEW" w:val="COM"/>
    <w:docVar w:name="LW_REF.INST.NEW_ADOPTED" w:val="final"/>
    <w:docVar w:name="LW_REF.INST.NEW_TEXT" w:val="(2023) 7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A_x000b_"/>
    <w:docVar w:name="LW_TYPEACTEPRINCIPAL.CP" w:val="Förslag till RÅDETS GENOMFÖRANDEBESLUT_x000b_"/>
    <w:docVar w:name="LwApiVersions" w:val="LW4CoDe 1.23.2.0; LW 8.0, Build 20211117"/>
  </w:docVars>
  <w:rsids>
    <w:rsidRoot w:val="00733DCA"/>
    <w:rsid w:val="00000CF0"/>
    <w:rsid w:val="00001528"/>
    <w:rsid w:val="000016EA"/>
    <w:rsid w:val="00002754"/>
    <w:rsid w:val="00002B46"/>
    <w:rsid w:val="00003425"/>
    <w:rsid w:val="00003F0C"/>
    <w:rsid w:val="0000422A"/>
    <w:rsid w:val="000051DE"/>
    <w:rsid w:val="0000525E"/>
    <w:rsid w:val="000058A4"/>
    <w:rsid w:val="00005AA1"/>
    <w:rsid w:val="00006202"/>
    <w:rsid w:val="000067D4"/>
    <w:rsid w:val="00006BD4"/>
    <w:rsid w:val="00006D50"/>
    <w:rsid w:val="00006FC9"/>
    <w:rsid w:val="000072BA"/>
    <w:rsid w:val="00007C5F"/>
    <w:rsid w:val="00007DCD"/>
    <w:rsid w:val="00010065"/>
    <w:rsid w:val="00010716"/>
    <w:rsid w:val="00010CA3"/>
    <w:rsid w:val="000116EB"/>
    <w:rsid w:val="00011A87"/>
    <w:rsid w:val="00011CC8"/>
    <w:rsid w:val="00011F74"/>
    <w:rsid w:val="000122B1"/>
    <w:rsid w:val="0001256D"/>
    <w:rsid w:val="00012931"/>
    <w:rsid w:val="00012AB3"/>
    <w:rsid w:val="0001307C"/>
    <w:rsid w:val="00013299"/>
    <w:rsid w:val="00013359"/>
    <w:rsid w:val="000133AE"/>
    <w:rsid w:val="000139D4"/>
    <w:rsid w:val="00013B26"/>
    <w:rsid w:val="00013F4A"/>
    <w:rsid w:val="00013F68"/>
    <w:rsid w:val="0001477B"/>
    <w:rsid w:val="00015F74"/>
    <w:rsid w:val="00016262"/>
    <w:rsid w:val="0001627B"/>
    <w:rsid w:val="00016786"/>
    <w:rsid w:val="00020233"/>
    <w:rsid w:val="00020279"/>
    <w:rsid w:val="00021671"/>
    <w:rsid w:val="00021A13"/>
    <w:rsid w:val="00021A54"/>
    <w:rsid w:val="000225E6"/>
    <w:rsid w:val="0002290D"/>
    <w:rsid w:val="00022F61"/>
    <w:rsid w:val="00023287"/>
    <w:rsid w:val="0002339B"/>
    <w:rsid w:val="00023569"/>
    <w:rsid w:val="00023B5A"/>
    <w:rsid w:val="00023D78"/>
    <w:rsid w:val="0002420B"/>
    <w:rsid w:val="00024951"/>
    <w:rsid w:val="00024F3F"/>
    <w:rsid w:val="00025086"/>
    <w:rsid w:val="000254EB"/>
    <w:rsid w:val="000256FC"/>
    <w:rsid w:val="00025730"/>
    <w:rsid w:val="0002681A"/>
    <w:rsid w:val="0002775A"/>
    <w:rsid w:val="00027EF8"/>
    <w:rsid w:val="00030D11"/>
    <w:rsid w:val="00031250"/>
    <w:rsid w:val="000317BB"/>
    <w:rsid w:val="0003181C"/>
    <w:rsid w:val="00031FD3"/>
    <w:rsid w:val="00032005"/>
    <w:rsid w:val="000325BB"/>
    <w:rsid w:val="00033D5D"/>
    <w:rsid w:val="000348AF"/>
    <w:rsid w:val="00035937"/>
    <w:rsid w:val="00035CAC"/>
    <w:rsid w:val="00035E1E"/>
    <w:rsid w:val="000365AC"/>
    <w:rsid w:val="0003746C"/>
    <w:rsid w:val="00037589"/>
    <w:rsid w:val="00037D16"/>
    <w:rsid w:val="000404F7"/>
    <w:rsid w:val="00040C08"/>
    <w:rsid w:val="00040C45"/>
    <w:rsid w:val="00041656"/>
    <w:rsid w:val="0004165A"/>
    <w:rsid w:val="00041988"/>
    <w:rsid w:val="00041B5A"/>
    <w:rsid w:val="00041CE6"/>
    <w:rsid w:val="00041F47"/>
    <w:rsid w:val="00041FF2"/>
    <w:rsid w:val="00042078"/>
    <w:rsid w:val="00042467"/>
    <w:rsid w:val="00042920"/>
    <w:rsid w:val="0004298D"/>
    <w:rsid w:val="000431CE"/>
    <w:rsid w:val="000431E5"/>
    <w:rsid w:val="00043A1A"/>
    <w:rsid w:val="00044325"/>
    <w:rsid w:val="000444D9"/>
    <w:rsid w:val="00045005"/>
    <w:rsid w:val="000459FE"/>
    <w:rsid w:val="00045FC4"/>
    <w:rsid w:val="000465D2"/>
    <w:rsid w:val="00046C70"/>
    <w:rsid w:val="00047823"/>
    <w:rsid w:val="00050185"/>
    <w:rsid w:val="00050252"/>
    <w:rsid w:val="00050F7C"/>
    <w:rsid w:val="00051160"/>
    <w:rsid w:val="00051576"/>
    <w:rsid w:val="00051EAB"/>
    <w:rsid w:val="00052099"/>
    <w:rsid w:val="00052D95"/>
    <w:rsid w:val="00052E2B"/>
    <w:rsid w:val="00053859"/>
    <w:rsid w:val="00053F80"/>
    <w:rsid w:val="0005575A"/>
    <w:rsid w:val="00055982"/>
    <w:rsid w:val="00055A3A"/>
    <w:rsid w:val="00056125"/>
    <w:rsid w:val="00056369"/>
    <w:rsid w:val="00056DCC"/>
    <w:rsid w:val="0005758C"/>
    <w:rsid w:val="000577BE"/>
    <w:rsid w:val="00057C1D"/>
    <w:rsid w:val="00060229"/>
    <w:rsid w:val="00060960"/>
    <w:rsid w:val="00060B1A"/>
    <w:rsid w:val="00061BF0"/>
    <w:rsid w:val="00061E04"/>
    <w:rsid w:val="0006249C"/>
    <w:rsid w:val="0006261D"/>
    <w:rsid w:val="00062D24"/>
    <w:rsid w:val="00062E60"/>
    <w:rsid w:val="000633BB"/>
    <w:rsid w:val="00063496"/>
    <w:rsid w:val="000638A5"/>
    <w:rsid w:val="00063BA3"/>
    <w:rsid w:val="000640E4"/>
    <w:rsid w:val="000647A6"/>
    <w:rsid w:val="0006480F"/>
    <w:rsid w:val="000650F0"/>
    <w:rsid w:val="000658E3"/>
    <w:rsid w:val="000661F0"/>
    <w:rsid w:val="00066490"/>
    <w:rsid w:val="00066C62"/>
    <w:rsid w:val="00067519"/>
    <w:rsid w:val="000676D9"/>
    <w:rsid w:val="00070DAF"/>
    <w:rsid w:val="0007124E"/>
    <w:rsid w:val="00072031"/>
    <w:rsid w:val="00072D48"/>
    <w:rsid w:val="00072F32"/>
    <w:rsid w:val="00073D3A"/>
    <w:rsid w:val="0007471E"/>
    <w:rsid w:val="00074A21"/>
    <w:rsid w:val="00074CCC"/>
    <w:rsid w:val="00074D01"/>
    <w:rsid w:val="00075399"/>
    <w:rsid w:val="000754FE"/>
    <w:rsid w:val="0007567B"/>
    <w:rsid w:val="000756AA"/>
    <w:rsid w:val="0007612C"/>
    <w:rsid w:val="000763AE"/>
    <w:rsid w:val="00076504"/>
    <w:rsid w:val="0007704F"/>
    <w:rsid w:val="00080097"/>
    <w:rsid w:val="000805CF"/>
    <w:rsid w:val="00081BDF"/>
    <w:rsid w:val="00082076"/>
    <w:rsid w:val="000822AA"/>
    <w:rsid w:val="0008247E"/>
    <w:rsid w:val="00082F1A"/>
    <w:rsid w:val="000832F3"/>
    <w:rsid w:val="00083679"/>
    <w:rsid w:val="00083CCE"/>
    <w:rsid w:val="00084311"/>
    <w:rsid w:val="00084769"/>
    <w:rsid w:val="00084A56"/>
    <w:rsid w:val="00084C4F"/>
    <w:rsid w:val="00085695"/>
    <w:rsid w:val="000858F5"/>
    <w:rsid w:val="00086594"/>
    <w:rsid w:val="00087071"/>
    <w:rsid w:val="000903F0"/>
    <w:rsid w:val="00090761"/>
    <w:rsid w:val="0009139F"/>
    <w:rsid w:val="00091F69"/>
    <w:rsid w:val="000927A8"/>
    <w:rsid w:val="00093587"/>
    <w:rsid w:val="0009384C"/>
    <w:rsid w:val="000946A6"/>
    <w:rsid w:val="00094CF9"/>
    <w:rsid w:val="00094E66"/>
    <w:rsid w:val="00094E90"/>
    <w:rsid w:val="00095045"/>
    <w:rsid w:val="00095369"/>
    <w:rsid w:val="000955DE"/>
    <w:rsid w:val="00095A56"/>
    <w:rsid w:val="00095F49"/>
    <w:rsid w:val="00096338"/>
    <w:rsid w:val="00096783"/>
    <w:rsid w:val="000A0267"/>
    <w:rsid w:val="000A03C0"/>
    <w:rsid w:val="000A1761"/>
    <w:rsid w:val="000A1809"/>
    <w:rsid w:val="000A1B57"/>
    <w:rsid w:val="000A1ED3"/>
    <w:rsid w:val="000A2901"/>
    <w:rsid w:val="000A323C"/>
    <w:rsid w:val="000A32E1"/>
    <w:rsid w:val="000A331C"/>
    <w:rsid w:val="000A33EC"/>
    <w:rsid w:val="000A3913"/>
    <w:rsid w:val="000A3CF6"/>
    <w:rsid w:val="000A3D51"/>
    <w:rsid w:val="000A5497"/>
    <w:rsid w:val="000A5CD8"/>
    <w:rsid w:val="000A652C"/>
    <w:rsid w:val="000A6AC3"/>
    <w:rsid w:val="000A769D"/>
    <w:rsid w:val="000B0160"/>
    <w:rsid w:val="000B0E0C"/>
    <w:rsid w:val="000B1340"/>
    <w:rsid w:val="000B18F6"/>
    <w:rsid w:val="000B2154"/>
    <w:rsid w:val="000B222B"/>
    <w:rsid w:val="000B2EC3"/>
    <w:rsid w:val="000B3207"/>
    <w:rsid w:val="000B3329"/>
    <w:rsid w:val="000B3A6F"/>
    <w:rsid w:val="000B43F7"/>
    <w:rsid w:val="000B4EFD"/>
    <w:rsid w:val="000B5408"/>
    <w:rsid w:val="000B5E35"/>
    <w:rsid w:val="000B5F22"/>
    <w:rsid w:val="000B61A4"/>
    <w:rsid w:val="000B6817"/>
    <w:rsid w:val="000B6B49"/>
    <w:rsid w:val="000C046A"/>
    <w:rsid w:val="000C1AE9"/>
    <w:rsid w:val="000C212F"/>
    <w:rsid w:val="000C3AE1"/>
    <w:rsid w:val="000C424F"/>
    <w:rsid w:val="000C4ECF"/>
    <w:rsid w:val="000C50C8"/>
    <w:rsid w:val="000C5246"/>
    <w:rsid w:val="000C6B50"/>
    <w:rsid w:val="000C6E13"/>
    <w:rsid w:val="000C75F0"/>
    <w:rsid w:val="000C77E7"/>
    <w:rsid w:val="000C7873"/>
    <w:rsid w:val="000D09DA"/>
    <w:rsid w:val="000D0D02"/>
    <w:rsid w:val="000D167C"/>
    <w:rsid w:val="000D1FB9"/>
    <w:rsid w:val="000D2402"/>
    <w:rsid w:val="000D2475"/>
    <w:rsid w:val="000D28B6"/>
    <w:rsid w:val="000D2BA4"/>
    <w:rsid w:val="000D2F5E"/>
    <w:rsid w:val="000D3178"/>
    <w:rsid w:val="000D449F"/>
    <w:rsid w:val="000D44E3"/>
    <w:rsid w:val="000D456B"/>
    <w:rsid w:val="000D4647"/>
    <w:rsid w:val="000D47A2"/>
    <w:rsid w:val="000D49B7"/>
    <w:rsid w:val="000D52AD"/>
    <w:rsid w:val="000D5699"/>
    <w:rsid w:val="000D5F7F"/>
    <w:rsid w:val="000D66A7"/>
    <w:rsid w:val="000D66F1"/>
    <w:rsid w:val="000D6753"/>
    <w:rsid w:val="000D7781"/>
    <w:rsid w:val="000E0415"/>
    <w:rsid w:val="000E1294"/>
    <w:rsid w:val="000E13AE"/>
    <w:rsid w:val="000E1424"/>
    <w:rsid w:val="000E2ABD"/>
    <w:rsid w:val="000E316B"/>
    <w:rsid w:val="000E3B78"/>
    <w:rsid w:val="000E4D31"/>
    <w:rsid w:val="000E5E32"/>
    <w:rsid w:val="000E608E"/>
    <w:rsid w:val="000E63A9"/>
    <w:rsid w:val="000E6A2F"/>
    <w:rsid w:val="000E6AE8"/>
    <w:rsid w:val="000E7089"/>
    <w:rsid w:val="000E7A49"/>
    <w:rsid w:val="000E7ACB"/>
    <w:rsid w:val="000E7E4D"/>
    <w:rsid w:val="000F0859"/>
    <w:rsid w:val="000F0940"/>
    <w:rsid w:val="000F133C"/>
    <w:rsid w:val="000F156F"/>
    <w:rsid w:val="000F186B"/>
    <w:rsid w:val="000F222F"/>
    <w:rsid w:val="000F2ECA"/>
    <w:rsid w:val="000F3089"/>
    <w:rsid w:val="000F30D1"/>
    <w:rsid w:val="000F34E8"/>
    <w:rsid w:val="000F3851"/>
    <w:rsid w:val="000F3F46"/>
    <w:rsid w:val="000F4BF2"/>
    <w:rsid w:val="000F52BC"/>
    <w:rsid w:val="000F54B6"/>
    <w:rsid w:val="000F5ED7"/>
    <w:rsid w:val="000F7FBB"/>
    <w:rsid w:val="0010034D"/>
    <w:rsid w:val="00100C52"/>
    <w:rsid w:val="00100D83"/>
    <w:rsid w:val="00100E4F"/>
    <w:rsid w:val="00101620"/>
    <w:rsid w:val="001026EE"/>
    <w:rsid w:val="00102A3D"/>
    <w:rsid w:val="00105A28"/>
    <w:rsid w:val="0010661B"/>
    <w:rsid w:val="00106727"/>
    <w:rsid w:val="00106D2B"/>
    <w:rsid w:val="00107744"/>
    <w:rsid w:val="00111023"/>
    <w:rsid w:val="001110D4"/>
    <w:rsid w:val="00111E15"/>
    <w:rsid w:val="001120E5"/>
    <w:rsid w:val="00112313"/>
    <w:rsid w:val="00112423"/>
    <w:rsid w:val="00112453"/>
    <w:rsid w:val="001127A1"/>
    <w:rsid w:val="00112F33"/>
    <w:rsid w:val="001137D0"/>
    <w:rsid w:val="00114C40"/>
    <w:rsid w:val="0011584F"/>
    <w:rsid w:val="00115F2E"/>
    <w:rsid w:val="00116A02"/>
    <w:rsid w:val="00120334"/>
    <w:rsid w:val="001210B1"/>
    <w:rsid w:val="00121745"/>
    <w:rsid w:val="001246B2"/>
    <w:rsid w:val="00126B5B"/>
    <w:rsid w:val="001275EC"/>
    <w:rsid w:val="001304A1"/>
    <w:rsid w:val="0013080C"/>
    <w:rsid w:val="001310AB"/>
    <w:rsid w:val="00131593"/>
    <w:rsid w:val="00131E2E"/>
    <w:rsid w:val="0013261E"/>
    <w:rsid w:val="001329C2"/>
    <w:rsid w:val="00133656"/>
    <w:rsid w:val="00133AC4"/>
    <w:rsid w:val="00133E32"/>
    <w:rsid w:val="00133E67"/>
    <w:rsid w:val="00134B89"/>
    <w:rsid w:val="001350BA"/>
    <w:rsid w:val="001357BA"/>
    <w:rsid w:val="00135FDB"/>
    <w:rsid w:val="001367B0"/>
    <w:rsid w:val="00136845"/>
    <w:rsid w:val="00136C3D"/>
    <w:rsid w:val="00136CD3"/>
    <w:rsid w:val="00136FE8"/>
    <w:rsid w:val="00141448"/>
    <w:rsid w:val="00141DCF"/>
    <w:rsid w:val="00143A09"/>
    <w:rsid w:val="00145EC2"/>
    <w:rsid w:val="00146C1C"/>
    <w:rsid w:val="001474E1"/>
    <w:rsid w:val="00147D51"/>
    <w:rsid w:val="00147F6C"/>
    <w:rsid w:val="00151830"/>
    <w:rsid w:val="00151911"/>
    <w:rsid w:val="00151D1C"/>
    <w:rsid w:val="00151ECA"/>
    <w:rsid w:val="001523B5"/>
    <w:rsid w:val="001523E9"/>
    <w:rsid w:val="00152CAB"/>
    <w:rsid w:val="001531AC"/>
    <w:rsid w:val="00155559"/>
    <w:rsid w:val="00155ACC"/>
    <w:rsid w:val="00155DDC"/>
    <w:rsid w:val="00156144"/>
    <w:rsid w:val="00156442"/>
    <w:rsid w:val="00156910"/>
    <w:rsid w:val="001600CC"/>
    <w:rsid w:val="0016030C"/>
    <w:rsid w:val="0016057F"/>
    <w:rsid w:val="0016096C"/>
    <w:rsid w:val="00160B75"/>
    <w:rsid w:val="001624DE"/>
    <w:rsid w:val="00162E62"/>
    <w:rsid w:val="001636EC"/>
    <w:rsid w:val="00163B8D"/>
    <w:rsid w:val="00163D33"/>
    <w:rsid w:val="00164929"/>
    <w:rsid w:val="00164B91"/>
    <w:rsid w:val="00164C1D"/>
    <w:rsid w:val="0016582D"/>
    <w:rsid w:val="00165846"/>
    <w:rsid w:val="001674AD"/>
    <w:rsid w:val="001675D0"/>
    <w:rsid w:val="0016797A"/>
    <w:rsid w:val="0017019F"/>
    <w:rsid w:val="00170236"/>
    <w:rsid w:val="00170684"/>
    <w:rsid w:val="00170D2A"/>
    <w:rsid w:val="001715A2"/>
    <w:rsid w:val="0017253E"/>
    <w:rsid w:val="00172D51"/>
    <w:rsid w:val="00173BD6"/>
    <w:rsid w:val="00173E61"/>
    <w:rsid w:val="00174BD5"/>
    <w:rsid w:val="0017503E"/>
    <w:rsid w:val="001756F7"/>
    <w:rsid w:val="0017680B"/>
    <w:rsid w:val="0017688D"/>
    <w:rsid w:val="00180A16"/>
    <w:rsid w:val="00181585"/>
    <w:rsid w:val="00182067"/>
    <w:rsid w:val="001820FF"/>
    <w:rsid w:val="00182A17"/>
    <w:rsid w:val="001834CB"/>
    <w:rsid w:val="0018434B"/>
    <w:rsid w:val="00184660"/>
    <w:rsid w:val="0018497F"/>
    <w:rsid w:val="00184A13"/>
    <w:rsid w:val="00184BFD"/>
    <w:rsid w:val="00184EB6"/>
    <w:rsid w:val="00184F54"/>
    <w:rsid w:val="00185D4F"/>
    <w:rsid w:val="00185FA1"/>
    <w:rsid w:val="00186367"/>
    <w:rsid w:val="0018657B"/>
    <w:rsid w:val="00186A71"/>
    <w:rsid w:val="00186AAA"/>
    <w:rsid w:val="001873ED"/>
    <w:rsid w:val="0018743D"/>
    <w:rsid w:val="0018760B"/>
    <w:rsid w:val="001876E0"/>
    <w:rsid w:val="00187E5F"/>
    <w:rsid w:val="0019027F"/>
    <w:rsid w:val="00191A6C"/>
    <w:rsid w:val="001921C0"/>
    <w:rsid w:val="00192A2F"/>
    <w:rsid w:val="00192C81"/>
    <w:rsid w:val="00192F16"/>
    <w:rsid w:val="001940CD"/>
    <w:rsid w:val="001945BB"/>
    <w:rsid w:val="00194733"/>
    <w:rsid w:val="00195631"/>
    <w:rsid w:val="00195653"/>
    <w:rsid w:val="00196077"/>
    <w:rsid w:val="00196210"/>
    <w:rsid w:val="00196CA3"/>
    <w:rsid w:val="00196F55"/>
    <w:rsid w:val="00197C60"/>
    <w:rsid w:val="00197C8C"/>
    <w:rsid w:val="001A021D"/>
    <w:rsid w:val="001A18A0"/>
    <w:rsid w:val="001A1A72"/>
    <w:rsid w:val="001A29D1"/>
    <w:rsid w:val="001A3DDF"/>
    <w:rsid w:val="001A51D8"/>
    <w:rsid w:val="001A664A"/>
    <w:rsid w:val="001A6ED6"/>
    <w:rsid w:val="001A7EC8"/>
    <w:rsid w:val="001B03EC"/>
    <w:rsid w:val="001B10E6"/>
    <w:rsid w:val="001B1387"/>
    <w:rsid w:val="001B24DD"/>
    <w:rsid w:val="001B2733"/>
    <w:rsid w:val="001B2741"/>
    <w:rsid w:val="001B2991"/>
    <w:rsid w:val="001B2BEF"/>
    <w:rsid w:val="001B377D"/>
    <w:rsid w:val="001B4305"/>
    <w:rsid w:val="001B4D3E"/>
    <w:rsid w:val="001B5090"/>
    <w:rsid w:val="001B5183"/>
    <w:rsid w:val="001B5967"/>
    <w:rsid w:val="001B598F"/>
    <w:rsid w:val="001B60AA"/>
    <w:rsid w:val="001B6273"/>
    <w:rsid w:val="001B6CDC"/>
    <w:rsid w:val="001B7005"/>
    <w:rsid w:val="001B764D"/>
    <w:rsid w:val="001B7B15"/>
    <w:rsid w:val="001C0F7A"/>
    <w:rsid w:val="001C11BE"/>
    <w:rsid w:val="001C1428"/>
    <w:rsid w:val="001C309D"/>
    <w:rsid w:val="001C32A0"/>
    <w:rsid w:val="001C44A5"/>
    <w:rsid w:val="001C487B"/>
    <w:rsid w:val="001C4AB9"/>
    <w:rsid w:val="001C5D72"/>
    <w:rsid w:val="001C5F4C"/>
    <w:rsid w:val="001C5FE5"/>
    <w:rsid w:val="001C7793"/>
    <w:rsid w:val="001C781D"/>
    <w:rsid w:val="001D003F"/>
    <w:rsid w:val="001D0368"/>
    <w:rsid w:val="001D09A6"/>
    <w:rsid w:val="001D0FC5"/>
    <w:rsid w:val="001D1DAA"/>
    <w:rsid w:val="001D256B"/>
    <w:rsid w:val="001D35D5"/>
    <w:rsid w:val="001D3723"/>
    <w:rsid w:val="001D4090"/>
    <w:rsid w:val="001D5113"/>
    <w:rsid w:val="001D5371"/>
    <w:rsid w:val="001D6262"/>
    <w:rsid w:val="001D7538"/>
    <w:rsid w:val="001D7AF6"/>
    <w:rsid w:val="001D7C9F"/>
    <w:rsid w:val="001E06B3"/>
    <w:rsid w:val="001E0ACC"/>
    <w:rsid w:val="001E0E66"/>
    <w:rsid w:val="001E1B8D"/>
    <w:rsid w:val="001E1BE2"/>
    <w:rsid w:val="001E2378"/>
    <w:rsid w:val="001E255A"/>
    <w:rsid w:val="001E2C51"/>
    <w:rsid w:val="001E3482"/>
    <w:rsid w:val="001E3C7C"/>
    <w:rsid w:val="001E3E15"/>
    <w:rsid w:val="001E3F92"/>
    <w:rsid w:val="001E54BA"/>
    <w:rsid w:val="001E6195"/>
    <w:rsid w:val="001E6304"/>
    <w:rsid w:val="001E6815"/>
    <w:rsid w:val="001E6EC9"/>
    <w:rsid w:val="001E6F09"/>
    <w:rsid w:val="001E74E3"/>
    <w:rsid w:val="001E7533"/>
    <w:rsid w:val="001E7978"/>
    <w:rsid w:val="001F094E"/>
    <w:rsid w:val="001F0A33"/>
    <w:rsid w:val="001F136F"/>
    <w:rsid w:val="001F2136"/>
    <w:rsid w:val="001F315D"/>
    <w:rsid w:val="001F329A"/>
    <w:rsid w:val="001F32C4"/>
    <w:rsid w:val="001F34F6"/>
    <w:rsid w:val="001F3993"/>
    <w:rsid w:val="001F422B"/>
    <w:rsid w:val="001F4239"/>
    <w:rsid w:val="001F4AE1"/>
    <w:rsid w:val="001F5B8F"/>
    <w:rsid w:val="001F6364"/>
    <w:rsid w:val="001F68F2"/>
    <w:rsid w:val="001F7317"/>
    <w:rsid w:val="001F74FF"/>
    <w:rsid w:val="001F78E3"/>
    <w:rsid w:val="00200D6A"/>
    <w:rsid w:val="002014D3"/>
    <w:rsid w:val="00201919"/>
    <w:rsid w:val="00202828"/>
    <w:rsid w:val="00202933"/>
    <w:rsid w:val="00202A3C"/>
    <w:rsid w:val="002035B5"/>
    <w:rsid w:val="00203C72"/>
    <w:rsid w:val="00203FC9"/>
    <w:rsid w:val="0020443E"/>
    <w:rsid w:val="00204695"/>
    <w:rsid w:val="0020500A"/>
    <w:rsid w:val="002052DA"/>
    <w:rsid w:val="002055B3"/>
    <w:rsid w:val="00205A61"/>
    <w:rsid w:val="00205E7B"/>
    <w:rsid w:val="002061BE"/>
    <w:rsid w:val="00207333"/>
    <w:rsid w:val="00207716"/>
    <w:rsid w:val="00207D5D"/>
    <w:rsid w:val="00207E43"/>
    <w:rsid w:val="00207EAA"/>
    <w:rsid w:val="00210852"/>
    <w:rsid w:val="0021230B"/>
    <w:rsid w:val="00213651"/>
    <w:rsid w:val="002138F2"/>
    <w:rsid w:val="0021435F"/>
    <w:rsid w:val="002144E8"/>
    <w:rsid w:val="00214568"/>
    <w:rsid w:val="002148BF"/>
    <w:rsid w:val="00214953"/>
    <w:rsid w:val="00215999"/>
    <w:rsid w:val="00215DFD"/>
    <w:rsid w:val="0021630A"/>
    <w:rsid w:val="0021681F"/>
    <w:rsid w:val="002169B9"/>
    <w:rsid w:val="00216EF5"/>
    <w:rsid w:val="00217E73"/>
    <w:rsid w:val="002218DC"/>
    <w:rsid w:val="00221E2F"/>
    <w:rsid w:val="00221FB4"/>
    <w:rsid w:val="00222A80"/>
    <w:rsid w:val="00223006"/>
    <w:rsid w:val="00223872"/>
    <w:rsid w:val="002241BD"/>
    <w:rsid w:val="00224AAB"/>
    <w:rsid w:val="00224E84"/>
    <w:rsid w:val="0022543C"/>
    <w:rsid w:val="0022573A"/>
    <w:rsid w:val="002258EE"/>
    <w:rsid w:val="00226A67"/>
    <w:rsid w:val="002275CD"/>
    <w:rsid w:val="00227849"/>
    <w:rsid w:val="00227ABC"/>
    <w:rsid w:val="00230954"/>
    <w:rsid w:val="00230C52"/>
    <w:rsid w:val="0023148D"/>
    <w:rsid w:val="002314B4"/>
    <w:rsid w:val="002317BF"/>
    <w:rsid w:val="00231905"/>
    <w:rsid w:val="00231F60"/>
    <w:rsid w:val="002336DA"/>
    <w:rsid w:val="00233DDC"/>
    <w:rsid w:val="00233ED8"/>
    <w:rsid w:val="0023455C"/>
    <w:rsid w:val="002347C0"/>
    <w:rsid w:val="002350AF"/>
    <w:rsid w:val="002358C0"/>
    <w:rsid w:val="00235CD3"/>
    <w:rsid w:val="00235FEE"/>
    <w:rsid w:val="00236090"/>
    <w:rsid w:val="0023609B"/>
    <w:rsid w:val="00236606"/>
    <w:rsid w:val="00236646"/>
    <w:rsid w:val="00236BDA"/>
    <w:rsid w:val="0023723D"/>
    <w:rsid w:val="002376B3"/>
    <w:rsid w:val="00237E07"/>
    <w:rsid w:val="002400E3"/>
    <w:rsid w:val="00241094"/>
    <w:rsid w:val="00241693"/>
    <w:rsid w:val="00241E81"/>
    <w:rsid w:val="0024245B"/>
    <w:rsid w:val="00242549"/>
    <w:rsid w:val="002433E4"/>
    <w:rsid w:val="002439D8"/>
    <w:rsid w:val="00243AD6"/>
    <w:rsid w:val="00243F01"/>
    <w:rsid w:val="00244550"/>
    <w:rsid w:val="002445FF"/>
    <w:rsid w:val="002448E0"/>
    <w:rsid w:val="002450EA"/>
    <w:rsid w:val="002452B9"/>
    <w:rsid w:val="00245E03"/>
    <w:rsid w:val="002478C4"/>
    <w:rsid w:val="00247D2F"/>
    <w:rsid w:val="00250752"/>
    <w:rsid w:val="002512C1"/>
    <w:rsid w:val="00251304"/>
    <w:rsid w:val="002513AC"/>
    <w:rsid w:val="0025185E"/>
    <w:rsid w:val="00251A26"/>
    <w:rsid w:val="00252096"/>
    <w:rsid w:val="00252248"/>
    <w:rsid w:val="00252D52"/>
    <w:rsid w:val="00252EC4"/>
    <w:rsid w:val="002532FA"/>
    <w:rsid w:val="00253639"/>
    <w:rsid w:val="002536AF"/>
    <w:rsid w:val="00253AA5"/>
    <w:rsid w:val="00254E1E"/>
    <w:rsid w:val="00255B81"/>
    <w:rsid w:val="00255D0A"/>
    <w:rsid w:val="00256DA5"/>
    <w:rsid w:val="002612B5"/>
    <w:rsid w:val="0026142C"/>
    <w:rsid w:val="002617FB"/>
    <w:rsid w:val="00261B6D"/>
    <w:rsid w:val="002620D1"/>
    <w:rsid w:val="002624B1"/>
    <w:rsid w:val="002633E4"/>
    <w:rsid w:val="00263617"/>
    <w:rsid w:val="00263AB4"/>
    <w:rsid w:val="00264289"/>
    <w:rsid w:val="00264E9F"/>
    <w:rsid w:val="00265CD5"/>
    <w:rsid w:val="00266081"/>
    <w:rsid w:val="00266959"/>
    <w:rsid w:val="00266CC5"/>
    <w:rsid w:val="00266D19"/>
    <w:rsid w:val="002670D3"/>
    <w:rsid w:val="002671A1"/>
    <w:rsid w:val="002673D6"/>
    <w:rsid w:val="00267882"/>
    <w:rsid w:val="0026798E"/>
    <w:rsid w:val="00267D1D"/>
    <w:rsid w:val="00271A12"/>
    <w:rsid w:val="002722F6"/>
    <w:rsid w:val="00272C31"/>
    <w:rsid w:val="00273502"/>
    <w:rsid w:val="00273539"/>
    <w:rsid w:val="00273906"/>
    <w:rsid w:val="00274160"/>
    <w:rsid w:val="00274286"/>
    <w:rsid w:val="002743D1"/>
    <w:rsid w:val="00274621"/>
    <w:rsid w:val="002746C5"/>
    <w:rsid w:val="00274D43"/>
    <w:rsid w:val="00274F03"/>
    <w:rsid w:val="00275303"/>
    <w:rsid w:val="00275DFE"/>
    <w:rsid w:val="002766D6"/>
    <w:rsid w:val="00276D74"/>
    <w:rsid w:val="002772A4"/>
    <w:rsid w:val="00277AA9"/>
    <w:rsid w:val="00280993"/>
    <w:rsid w:val="00280F39"/>
    <w:rsid w:val="002810BF"/>
    <w:rsid w:val="002813AD"/>
    <w:rsid w:val="0028214D"/>
    <w:rsid w:val="002822C5"/>
    <w:rsid w:val="00283019"/>
    <w:rsid w:val="00284A94"/>
    <w:rsid w:val="00284B9C"/>
    <w:rsid w:val="00285CD2"/>
    <w:rsid w:val="00286097"/>
    <w:rsid w:val="0028635E"/>
    <w:rsid w:val="0028773F"/>
    <w:rsid w:val="0028774D"/>
    <w:rsid w:val="00287AAB"/>
    <w:rsid w:val="00287E95"/>
    <w:rsid w:val="00291317"/>
    <w:rsid w:val="0029140B"/>
    <w:rsid w:val="00291661"/>
    <w:rsid w:val="00294FA0"/>
    <w:rsid w:val="00295E94"/>
    <w:rsid w:val="00296955"/>
    <w:rsid w:val="00296F3A"/>
    <w:rsid w:val="0029755B"/>
    <w:rsid w:val="002A0B27"/>
    <w:rsid w:val="002A0CB3"/>
    <w:rsid w:val="002A0E68"/>
    <w:rsid w:val="002A0EF6"/>
    <w:rsid w:val="002A160F"/>
    <w:rsid w:val="002A1712"/>
    <w:rsid w:val="002A24E2"/>
    <w:rsid w:val="002A2B13"/>
    <w:rsid w:val="002A4131"/>
    <w:rsid w:val="002A4819"/>
    <w:rsid w:val="002A57D9"/>
    <w:rsid w:val="002A5CDC"/>
    <w:rsid w:val="002A5D6D"/>
    <w:rsid w:val="002A5FA6"/>
    <w:rsid w:val="002A612D"/>
    <w:rsid w:val="002A6ACD"/>
    <w:rsid w:val="002A6E91"/>
    <w:rsid w:val="002A74E4"/>
    <w:rsid w:val="002A7636"/>
    <w:rsid w:val="002A763D"/>
    <w:rsid w:val="002A7E35"/>
    <w:rsid w:val="002B04CE"/>
    <w:rsid w:val="002B1F8E"/>
    <w:rsid w:val="002B2428"/>
    <w:rsid w:val="002B26E0"/>
    <w:rsid w:val="002B2CF6"/>
    <w:rsid w:val="002B3E0A"/>
    <w:rsid w:val="002B3FD6"/>
    <w:rsid w:val="002B5A61"/>
    <w:rsid w:val="002B649C"/>
    <w:rsid w:val="002B669D"/>
    <w:rsid w:val="002B7834"/>
    <w:rsid w:val="002C050D"/>
    <w:rsid w:val="002C0CF3"/>
    <w:rsid w:val="002C11CB"/>
    <w:rsid w:val="002C158B"/>
    <w:rsid w:val="002C19CB"/>
    <w:rsid w:val="002C23D9"/>
    <w:rsid w:val="002C2D78"/>
    <w:rsid w:val="002C2E14"/>
    <w:rsid w:val="002C2E2A"/>
    <w:rsid w:val="002C30B6"/>
    <w:rsid w:val="002C30D2"/>
    <w:rsid w:val="002C4015"/>
    <w:rsid w:val="002C42DB"/>
    <w:rsid w:val="002C4C0C"/>
    <w:rsid w:val="002C4E47"/>
    <w:rsid w:val="002C5053"/>
    <w:rsid w:val="002C5717"/>
    <w:rsid w:val="002C64DE"/>
    <w:rsid w:val="002C6D13"/>
    <w:rsid w:val="002C7494"/>
    <w:rsid w:val="002C7D7D"/>
    <w:rsid w:val="002C7D8B"/>
    <w:rsid w:val="002C7E4E"/>
    <w:rsid w:val="002D05CC"/>
    <w:rsid w:val="002D0BB0"/>
    <w:rsid w:val="002D0F98"/>
    <w:rsid w:val="002D19B4"/>
    <w:rsid w:val="002D1B13"/>
    <w:rsid w:val="002D2305"/>
    <w:rsid w:val="002D2515"/>
    <w:rsid w:val="002D2BE8"/>
    <w:rsid w:val="002D2C77"/>
    <w:rsid w:val="002D359F"/>
    <w:rsid w:val="002D35BF"/>
    <w:rsid w:val="002D3D00"/>
    <w:rsid w:val="002D475E"/>
    <w:rsid w:val="002D479C"/>
    <w:rsid w:val="002D5B2F"/>
    <w:rsid w:val="002D5F4E"/>
    <w:rsid w:val="002D62BC"/>
    <w:rsid w:val="002D7517"/>
    <w:rsid w:val="002D7928"/>
    <w:rsid w:val="002D79C3"/>
    <w:rsid w:val="002E029D"/>
    <w:rsid w:val="002E098F"/>
    <w:rsid w:val="002E1063"/>
    <w:rsid w:val="002E167D"/>
    <w:rsid w:val="002E1A35"/>
    <w:rsid w:val="002E1A7C"/>
    <w:rsid w:val="002E1C7A"/>
    <w:rsid w:val="002E248B"/>
    <w:rsid w:val="002E28ED"/>
    <w:rsid w:val="002E2E9B"/>
    <w:rsid w:val="002E37EE"/>
    <w:rsid w:val="002E38C9"/>
    <w:rsid w:val="002E3BFF"/>
    <w:rsid w:val="002E3C4A"/>
    <w:rsid w:val="002E4038"/>
    <w:rsid w:val="002E47B0"/>
    <w:rsid w:val="002E48FD"/>
    <w:rsid w:val="002E52AA"/>
    <w:rsid w:val="002E56B9"/>
    <w:rsid w:val="002E5963"/>
    <w:rsid w:val="002E67FA"/>
    <w:rsid w:val="002E6EBC"/>
    <w:rsid w:val="002E779E"/>
    <w:rsid w:val="002F113F"/>
    <w:rsid w:val="002F27FF"/>
    <w:rsid w:val="002F28B5"/>
    <w:rsid w:val="002F2D1D"/>
    <w:rsid w:val="002F382D"/>
    <w:rsid w:val="002F4832"/>
    <w:rsid w:val="002F5C4F"/>
    <w:rsid w:val="002F5E14"/>
    <w:rsid w:val="002F72CD"/>
    <w:rsid w:val="00300019"/>
    <w:rsid w:val="00300B06"/>
    <w:rsid w:val="00301C24"/>
    <w:rsid w:val="00301E7A"/>
    <w:rsid w:val="003022A0"/>
    <w:rsid w:val="003026B2"/>
    <w:rsid w:val="00302891"/>
    <w:rsid w:val="00303219"/>
    <w:rsid w:val="00303309"/>
    <w:rsid w:val="00303C4E"/>
    <w:rsid w:val="00304A48"/>
    <w:rsid w:val="00304D69"/>
    <w:rsid w:val="003053F6"/>
    <w:rsid w:val="003054EE"/>
    <w:rsid w:val="0030644F"/>
    <w:rsid w:val="00306DE4"/>
    <w:rsid w:val="003106BF"/>
    <w:rsid w:val="0031096A"/>
    <w:rsid w:val="003118A2"/>
    <w:rsid w:val="00311B48"/>
    <w:rsid w:val="00311B8B"/>
    <w:rsid w:val="00312059"/>
    <w:rsid w:val="003121CB"/>
    <w:rsid w:val="003122E2"/>
    <w:rsid w:val="003124BA"/>
    <w:rsid w:val="003134DC"/>
    <w:rsid w:val="00313741"/>
    <w:rsid w:val="003139E2"/>
    <w:rsid w:val="00313B83"/>
    <w:rsid w:val="00313D32"/>
    <w:rsid w:val="00313FD6"/>
    <w:rsid w:val="003140FC"/>
    <w:rsid w:val="003142F0"/>
    <w:rsid w:val="00314F42"/>
    <w:rsid w:val="00315F12"/>
    <w:rsid w:val="003160EE"/>
    <w:rsid w:val="003170DF"/>
    <w:rsid w:val="003174A8"/>
    <w:rsid w:val="0031755C"/>
    <w:rsid w:val="00317D3A"/>
    <w:rsid w:val="0032038C"/>
    <w:rsid w:val="003203C3"/>
    <w:rsid w:val="00321745"/>
    <w:rsid w:val="003219B8"/>
    <w:rsid w:val="0032202E"/>
    <w:rsid w:val="003228E7"/>
    <w:rsid w:val="0032298E"/>
    <w:rsid w:val="00322A4C"/>
    <w:rsid w:val="00322C60"/>
    <w:rsid w:val="00323229"/>
    <w:rsid w:val="0032330E"/>
    <w:rsid w:val="0032371F"/>
    <w:rsid w:val="00323742"/>
    <w:rsid w:val="00323868"/>
    <w:rsid w:val="00325221"/>
    <w:rsid w:val="003257A7"/>
    <w:rsid w:val="00326862"/>
    <w:rsid w:val="00327E92"/>
    <w:rsid w:val="003307A0"/>
    <w:rsid w:val="003315A1"/>
    <w:rsid w:val="00331D10"/>
    <w:rsid w:val="00331E43"/>
    <w:rsid w:val="00333C67"/>
    <w:rsid w:val="0033411F"/>
    <w:rsid w:val="00334255"/>
    <w:rsid w:val="00334432"/>
    <w:rsid w:val="0033466E"/>
    <w:rsid w:val="00334FEF"/>
    <w:rsid w:val="003354B8"/>
    <w:rsid w:val="003356AE"/>
    <w:rsid w:val="00336316"/>
    <w:rsid w:val="003366CA"/>
    <w:rsid w:val="00336E82"/>
    <w:rsid w:val="00337315"/>
    <w:rsid w:val="0033735F"/>
    <w:rsid w:val="003406E1"/>
    <w:rsid w:val="003409E2"/>
    <w:rsid w:val="003417D0"/>
    <w:rsid w:val="0034206A"/>
    <w:rsid w:val="00342F9F"/>
    <w:rsid w:val="003436EE"/>
    <w:rsid w:val="00343F9B"/>
    <w:rsid w:val="00344EF6"/>
    <w:rsid w:val="00345ED5"/>
    <w:rsid w:val="00346D23"/>
    <w:rsid w:val="003476C6"/>
    <w:rsid w:val="003502FC"/>
    <w:rsid w:val="00350837"/>
    <w:rsid w:val="00351157"/>
    <w:rsid w:val="00351B24"/>
    <w:rsid w:val="0035315F"/>
    <w:rsid w:val="003535D5"/>
    <w:rsid w:val="00354103"/>
    <w:rsid w:val="00355177"/>
    <w:rsid w:val="0035527B"/>
    <w:rsid w:val="0035541B"/>
    <w:rsid w:val="00355B62"/>
    <w:rsid w:val="00356981"/>
    <w:rsid w:val="00356A58"/>
    <w:rsid w:val="00356A7E"/>
    <w:rsid w:val="00356C97"/>
    <w:rsid w:val="00356FB6"/>
    <w:rsid w:val="003573FF"/>
    <w:rsid w:val="00357469"/>
    <w:rsid w:val="003575FF"/>
    <w:rsid w:val="003577AB"/>
    <w:rsid w:val="00357934"/>
    <w:rsid w:val="0035795E"/>
    <w:rsid w:val="00357E1F"/>
    <w:rsid w:val="00360823"/>
    <w:rsid w:val="0036191C"/>
    <w:rsid w:val="00361E58"/>
    <w:rsid w:val="00361EF2"/>
    <w:rsid w:val="00362012"/>
    <w:rsid w:val="003623CE"/>
    <w:rsid w:val="003637D2"/>
    <w:rsid w:val="00363C13"/>
    <w:rsid w:val="00365123"/>
    <w:rsid w:val="00365C74"/>
    <w:rsid w:val="003660ED"/>
    <w:rsid w:val="00366749"/>
    <w:rsid w:val="00366CB6"/>
    <w:rsid w:val="003673DB"/>
    <w:rsid w:val="00367425"/>
    <w:rsid w:val="0037160E"/>
    <w:rsid w:val="00371795"/>
    <w:rsid w:val="00372029"/>
    <w:rsid w:val="003745DA"/>
    <w:rsid w:val="00374A42"/>
    <w:rsid w:val="00374A50"/>
    <w:rsid w:val="00374FEF"/>
    <w:rsid w:val="003752C8"/>
    <w:rsid w:val="00375F76"/>
    <w:rsid w:val="003762BD"/>
    <w:rsid w:val="00376829"/>
    <w:rsid w:val="00376E9E"/>
    <w:rsid w:val="003777E0"/>
    <w:rsid w:val="00377F43"/>
    <w:rsid w:val="0038050B"/>
    <w:rsid w:val="00380E99"/>
    <w:rsid w:val="00380EBA"/>
    <w:rsid w:val="00381333"/>
    <w:rsid w:val="0038180E"/>
    <w:rsid w:val="0038250D"/>
    <w:rsid w:val="00382685"/>
    <w:rsid w:val="003838C7"/>
    <w:rsid w:val="00383CD2"/>
    <w:rsid w:val="003855CF"/>
    <w:rsid w:val="003860E1"/>
    <w:rsid w:val="00386295"/>
    <w:rsid w:val="00386F55"/>
    <w:rsid w:val="0038735D"/>
    <w:rsid w:val="003873AC"/>
    <w:rsid w:val="0039003D"/>
    <w:rsid w:val="00390ED6"/>
    <w:rsid w:val="00390F36"/>
    <w:rsid w:val="00391982"/>
    <w:rsid w:val="00392004"/>
    <w:rsid w:val="003924BC"/>
    <w:rsid w:val="00392A2D"/>
    <w:rsid w:val="00392A38"/>
    <w:rsid w:val="00393615"/>
    <w:rsid w:val="00393E05"/>
    <w:rsid w:val="00394FD6"/>
    <w:rsid w:val="0039506B"/>
    <w:rsid w:val="0039555E"/>
    <w:rsid w:val="00395B0C"/>
    <w:rsid w:val="003961A8"/>
    <w:rsid w:val="0039711A"/>
    <w:rsid w:val="00397BC3"/>
    <w:rsid w:val="003A121C"/>
    <w:rsid w:val="003A24F4"/>
    <w:rsid w:val="003A3144"/>
    <w:rsid w:val="003A3D51"/>
    <w:rsid w:val="003A3DCE"/>
    <w:rsid w:val="003A66C5"/>
    <w:rsid w:val="003A794F"/>
    <w:rsid w:val="003B1294"/>
    <w:rsid w:val="003B1AD3"/>
    <w:rsid w:val="003B21F3"/>
    <w:rsid w:val="003B2DA0"/>
    <w:rsid w:val="003B3082"/>
    <w:rsid w:val="003B310F"/>
    <w:rsid w:val="003B3663"/>
    <w:rsid w:val="003B3D47"/>
    <w:rsid w:val="003B42A1"/>
    <w:rsid w:val="003B5390"/>
    <w:rsid w:val="003B594D"/>
    <w:rsid w:val="003B6F87"/>
    <w:rsid w:val="003C03CF"/>
    <w:rsid w:val="003C0515"/>
    <w:rsid w:val="003C10A1"/>
    <w:rsid w:val="003C120F"/>
    <w:rsid w:val="003C122A"/>
    <w:rsid w:val="003C169F"/>
    <w:rsid w:val="003C18FC"/>
    <w:rsid w:val="003C1E5C"/>
    <w:rsid w:val="003C1FED"/>
    <w:rsid w:val="003C23E4"/>
    <w:rsid w:val="003C2777"/>
    <w:rsid w:val="003C2D41"/>
    <w:rsid w:val="003C2E11"/>
    <w:rsid w:val="003C311A"/>
    <w:rsid w:val="003C321D"/>
    <w:rsid w:val="003C3B53"/>
    <w:rsid w:val="003C3F15"/>
    <w:rsid w:val="003C413E"/>
    <w:rsid w:val="003C4B67"/>
    <w:rsid w:val="003C4BEA"/>
    <w:rsid w:val="003C4C9D"/>
    <w:rsid w:val="003C5669"/>
    <w:rsid w:val="003C64AB"/>
    <w:rsid w:val="003C6535"/>
    <w:rsid w:val="003C6FCF"/>
    <w:rsid w:val="003C7263"/>
    <w:rsid w:val="003C7BF5"/>
    <w:rsid w:val="003C7BFA"/>
    <w:rsid w:val="003D0649"/>
    <w:rsid w:val="003D0A51"/>
    <w:rsid w:val="003D0AF0"/>
    <w:rsid w:val="003D1267"/>
    <w:rsid w:val="003D1E32"/>
    <w:rsid w:val="003D1F58"/>
    <w:rsid w:val="003D200B"/>
    <w:rsid w:val="003D251E"/>
    <w:rsid w:val="003D2ECD"/>
    <w:rsid w:val="003D31DD"/>
    <w:rsid w:val="003D3A50"/>
    <w:rsid w:val="003D3B99"/>
    <w:rsid w:val="003D48F5"/>
    <w:rsid w:val="003D4BFF"/>
    <w:rsid w:val="003D4D83"/>
    <w:rsid w:val="003D552E"/>
    <w:rsid w:val="003D686A"/>
    <w:rsid w:val="003D68A4"/>
    <w:rsid w:val="003D6F0D"/>
    <w:rsid w:val="003E014D"/>
    <w:rsid w:val="003E09D7"/>
    <w:rsid w:val="003E0BEB"/>
    <w:rsid w:val="003E15EC"/>
    <w:rsid w:val="003E211F"/>
    <w:rsid w:val="003E24BD"/>
    <w:rsid w:val="003E278D"/>
    <w:rsid w:val="003E3EEA"/>
    <w:rsid w:val="003E4214"/>
    <w:rsid w:val="003E46C0"/>
    <w:rsid w:val="003E4F1F"/>
    <w:rsid w:val="003E4F5A"/>
    <w:rsid w:val="003E5076"/>
    <w:rsid w:val="003E56F6"/>
    <w:rsid w:val="003E62CB"/>
    <w:rsid w:val="003E64CE"/>
    <w:rsid w:val="003E6AF4"/>
    <w:rsid w:val="003E6B61"/>
    <w:rsid w:val="003E6CEA"/>
    <w:rsid w:val="003E7286"/>
    <w:rsid w:val="003E74CF"/>
    <w:rsid w:val="003E7A15"/>
    <w:rsid w:val="003F0C9B"/>
    <w:rsid w:val="003F10E8"/>
    <w:rsid w:val="003F1507"/>
    <w:rsid w:val="003F1A21"/>
    <w:rsid w:val="003F1AD0"/>
    <w:rsid w:val="003F27FB"/>
    <w:rsid w:val="003F317F"/>
    <w:rsid w:val="003F3297"/>
    <w:rsid w:val="003F3632"/>
    <w:rsid w:val="003F381C"/>
    <w:rsid w:val="003F4060"/>
    <w:rsid w:val="003F4756"/>
    <w:rsid w:val="003F4E9F"/>
    <w:rsid w:val="003F5369"/>
    <w:rsid w:val="003F6266"/>
    <w:rsid w:val="003F67FF"/>
    <w:rsid w:val="003F7573"/>
    <w:rsid w:val="00400154"/>
    <w:rsid w:val="0040135A"/>
    <w:rsid w:val="004018F7"/>
    <w:rsid w:val="0040197D"/>
    <w:rsid w:val="00401E93"/>
    <w:rsid w:val="00402242"/>
    <w:rsid w:val="00402BBD"/>
    <w:rsid w:val="00403F8C"/>
    <w:rsid w:val="004043BF"/>
    <w:rsid w:val="00404D1F"/>
    <w:rsid w:val="00405CF7"/>
    <w:rsid w:val="00405D73"/>
    <w:rsid w:val="00405EA2"/>
    <w:rsid w:val="004060C6"/>
    <w:rsid w:val="0040672B"/>
    <w:rsid w:val="00406B0B"/>
    <w:rsid w:val="00406BD7"/>
    <w:rsid w:val="0040700C"/>
    <w:rsid w:val="00407149"/>
    <w:rsid w:val="0040730B"/>
    <w:rsid w:val="004073B2"/>
    <w:rsid w:val="00407EC0"/>
    <w:rsid w:val="0041098A"/>
    <w:rsid w:val="00410C01"/>
    <w:rsid w:val="00410C56"/>
    <w:rsid w:val="00410FC7"/>
    <w:rsid w:val="00411670"/>
    <w:rsid w:val="00411ADA"/>
    <w:rsid w:val="004122D8"/>
    <w:rsid w:val="00412D77"/>
    <w:rsid w:val="004137DB"/>
    <w:rsid w:val="00413AA5"/>
    <w:rsid w:val="00413C4F"/>
    <w:rsid w:val="00413D26"/>
    <w:rsid w:val="00413D3C"/>
    <w:rsid w:val="004140D4"/>
    <w:rsid w:val="004142AC"/>
    <w:rsid w:val="004155EC"/>
    <w:rsid w:val="00416105"/>
    <w:rsid w:val="00416587"/>
    <w:rsid w:val="00416938"/>
    <w:rsid w:val="00417435"/>
    <w:rsid w:val="0041749E"/>
    <w:rsid w:val="004176E4"/>
    <w:rsid w:val="00417C4B"/>
    <w:rsid w:val="0042088F"/>
    <w:rsid w:val="004208F0"/>
    <w:rsid w:val="004209E6"/>
    <w:rsid w:val="004213CB"/>
    <w:rsid w:val="00424188"/>
    <w:rsid w:val="004250A3"/>
    <w:rsid w:val="004253D5"/>
    <w:rsid w:val="00425CAC"/>
    <w:rsid w:val="004260F8"/>
    <w:rsid w:val="0042681A"/>
    <w:rsid w:val="00426CDE"/>
    <w:rsid w:val="00426D0B"/>
    <w:rsid w:val="0042772D"/>
    <w:rsid w:val="00427F34"/>
    <w:rsid w:val="004305A4"/>
    <w:rsid w:val="004306E1"/>
    <w:rsid w:val="004308C7"/>
    <w:rsid w:val="004310B9"/>
    <w:rsid w:val="0043130F"/>
    <w:rsid w:val="004318CA"/>
    <w:rsid w:val="00431A7A"/>
    <w:rsid w:val="004320EB"/>
    <w:rsid w:val="0043299A"/>
    <w:rsid w:val="00432EB8"/>
    <w:rsid w:val="004333F2"/>
    <w:rsid w:val="004334C7"/>
    <w:rsid w:val="004336F4"/>
    <w:rsid w:val="0043469C"/>
    <w:rsid w:val="004351EF"/>
    <w:rsid w:val="00435790"/>
    <w:rsid w:val="00435FDD"/>
    <w:rsid w:val="00436506"/>
    <w:rsid w:val="00436952"/>
    <w:rsid w:val="00436E64"/>
    <w:rsid w:val="004375DE"/>
    <w:rsid w:val="004416A2"/>
    <w:rsid w:val="00441C01"/>
    <w:rsid w:val="00442504"/>
    <w:rsid w:val="004426C1"/>
    <w:rsid w:val="00442AB9"/>
    <w:rsid w:val="00442CFC"/>
    <w:rsid w:val="00442E82"/>
    <w:rsid w:val="00443021"/>
    <w:rsid w:val="00443D9F"/>
    <w:rsid w:val="00444087"/>
    <w:rsid w:val="00444830"/>
    <w:rsid w:val="00447789"/>
    <w:rsid w:val="00447939"/>
    <w:rsid w:val="00447D11"/>
    <w:rsid w:val="00447ECA"/>
    <w:rsid w:val="004504D2"/>
    <w:rsid w:val="00450534"/>
    <w:rsid w:val="0045071A"/>
    <w:rsid w:val="00452267"/>
    <w:rsid w:val="00452B22"/>
    <w:rsid w:val="00452BC5"/>
    <w:rsid w:val="004530CC"/>
    <w:rsid w:val="00453B34"/>
    <w:rsid w:val="00453BF0"/>
    <w:rsid w:val="00453EE3"/>
    <w:rsid w:val="00454766"/>
    <w:rsid w:val="00454B13"/>
    <w:rsid w:val="004553A9"/>
    <w:rsid w:val="004566BA"/>
    <w:rsid w:val="00457630"/>
    <w:rsid w:val="00457DFF"/>
    <w:rsid w:val="004601C2"/>
    <w:rsid w:val="0046032D"/>
    <w:rsid w:val="00460570"/>
    <w:rsid w:val="00460ABA"/>
    <w:rsid w:val="00460CEE"/>
    <w:rsid w:val="00461010"/>
    <w:rsid w:val="00461044"/>
    <w:rsid w:val="0046136A"/>
    <w:rsid w:val="00462170"/>
    <w:rsid w:val="004625AE"/>
    <w:rsid w:val="0046302F"/>
    <w:rsid w:val="00463299"/>
    <w:rsid w:val="00464220"/>
    <w:rsid w:val="00465116"/>
    <w:rsid w:val="0046557D"/>
    <w:rsid w:val="00465C1B"/>
    <w:rsid w:val="00465F7E"/>
    <w:rsid w:val="004661A0"/>
    <w:rsid w:val="004667F0"/>
    <w:rsid w:val="00466958"/>
    <w:rsid w:val="00466A1F"/>
    <w:rsid w:val="004674EE"/>
    <w:rsid w:val="004677FB"/>
    <w:rsid w:val="00467964"/>
    <w:rsid w:val="004679AD"/>
    <w:rsid w:val="00470036"/>
    <w:rsid w:val="0047095F"/>
    <w:rsid w:val="00470BB6"/>
    <w:rsid w:val="00470C02"/>
    <w:rsid w:val="00470FCE"/>
    <w:rsid w:val="004717D0"/>
    <w:rsid w:val="00472909"/>
    <w:rsid w:val="00472BDA"/>
    <w:rsid w:val="00473E8A"/>
    <w:rsid w:val="004745FC"/>
    <w:rsid w:val="00474AE7"/>
    <w:rsid w:val="0047555B"/>
    <w:rsid w:val="00475D9F"/>
    <w:rsid w:val="00476110"/>
    <w:rsid w:val="0047615F"/>
    <w:rsid w:val="004761E0"/>
    <w:rsid w:val="00476375"/>
    <w:rsid w:val="0047667C"/>
    <w:rsid w:val="004767B5"/>
    <w:rsid w:val="00477D03"/>
    <w:rsid w:val="004817E7"/>
    <w:rsid w:val="00481A52"/>
    <w:rsid w:val="00481ED5"/>
    <w:rsid w:val="004823F9"/>
    <w:rsid w:val="00482668"/>
    <w:rsid w:val="004827A9"/>
    <w:rsid w:val="004827D3"/>
    <w:rsid w:val="004830DE"/>
    <w:rsid w:val="004848AE"/>
    <w:rsid w:val="00484CA6"/>
    <w:rsid w:val="00484FF0"/>
    <w:rsid w:val="004850CA"/>
    <w:rsid w:val="00485193"/>
    <w:rsid w:val="00485486"/>
    <w:rsid w:val="004858C8"/>
    <w:rsid w:val="00485CB7"/>
    <w:rsid w:val="00486014"/>
    <w:rsid w:val="00486576"/>
    <w:rsid w:val="004867F1"/>
    <w:rsid w:val="00486CCE"/>
    <w:rsid w:val="00487FD2"/>
    <w:rsid w:val="0049018D"/>
    <w:rsid w:val="0049027D"/>
    <w:rsid w:val="00490906"/>
    <w:rsid w:val="00490908"/>
    <w:rsid w:val="0049123F"/>
    <w:rsid w:val="00491469"/>
    <w:rsid w:val="00491658"/>
    <w:rsid w:val="00492AC0"/>
    <w:rsid w:val="0049337C"/>
    <w:rsid w:val="004943D7"/>
    <w:rsid w:val="00494DE8"/>
    <w:rsid w:val="00495473"/>
    <w:rsid w:val="0049557B"/>
    <w:rsid w:val="00495FAE"/>
    <w:rsid w:val="0049612C"/>
    <w:rsid w:val="00497967"/>
    <w:rsid w:val="004A024F"/>
    <w:rsid w:val="004A054B"/>
    <w:rsid w:val="004A0BAF"/>
    <w:rsid w:val="004A0C94"/>
    <w:rsid w:val="004A0FCF"/>
    <w:rsid w:val="004A155D"/>
    <w:rsid w:val="004A1686"/>
    <w:rsid w:val="004A24A9"/>
    <w:rsid w:val="004A2C6D"/>
    <w:rsid w:val="004A3707"/>
    <w:rsid w:val="004A38B0"/>
    <w:rsid w:val="004A410D"/>
    <w:rsid w:val="004A4C40"/>
    <w:rsid w:val="004A4D81"/>
    <w:rsid w:val="004A52A7"/>
    <w:rsid w:val="004A6CBE"/>
    <w:rsid w:val="004A6D10"/>
    <w:rsid w:val="004B0C29"/>
    <w:rsid w:val="004B1151"/>
    <w:rsid w:val="004B13FE"/>
    <w:rsid w:val="004B2181"/>
    <w:rsid w:val="004B22B9"/>
    <w:rsid w:val="004B2CC4"/>
    <w:rsid w:val="004B2FD7"/>
    <w:rsid w:val="004B38A9"/>
    <w:rsid w:val="004B4F04"/>
    <w:rsid w:val="004B5C33"/>
    <w:rsid w:val="004B5E91"/>
    <w:rsid w:val="004B629E"/>
    <w:rsid w:val="004B632D"/>
    <w:rsid w:val="004B664C"/>
    <w:rsid w:val="004B6BD6"/>
    <w:rsid w:val="004B6DE6"/>
    <w:rsid w:val="004B7238"/>
    <w:rsid w:val="004B729E"/>
    <w:rsid w:val="004B7AFE"/>
    <w:rsid w:val="004B7DF7"/>
    <w:rsid w:val="004C1BC4"/>
    <w:rsid w:val="004C1DD6"/>
    <w:rsid w:val="004C23C0"/>
    <w:rsid w:val="004C3747"/>
    <w:rsid w:val="004C3764"/>
    <w:rsid w:val="004C3F08"/>
    <w:rsid w:val="004C4CF8"/>
    <w:rsid w:val="004C59E0"/>
    <w:rsid w:val="004C5A1E"/>
    <w:rsid w:val="004C5EFA"/>
    <w:rsid w:val="004C6D4F"/>
    <w:rsid w:val="004C71A6"/>
    <w:rsid w:val="004C7257"/>
    <w:rsid w:val="004C7702"/>
    <w:rsid w:val="004C7904"/>
    <w:rsid w:val="004C79BF"/>
    <w:rsid w:val="004D0AEC"/>
    <w:rsid w:val="004D0C14"/>
    <w:rsid w:val="004D103E"/>
    <w:rsid w:val="004D149B"/>
    <w:rsid w:val="004D16F9"/>
    <w:rsid w:val="004D1C9C"/>
    <w:rsid w:val="004D206B"/>
    <w:rsid w:val="004D315F"/>
    <w:rsid w:val="004D3822"/>
    <w:rsid w:val="004D3996"/>
    <w:rsid w:val="004D470A"/>
    <w:rsid w:val="004D486F"/>
    <w:rsid w:val="004D6633"/>
    <w:rsid w:val="004E01DB"/>
    <w:rsid w:val="004E0CC6"/>
    <w:rsid w:val="004E12A7"/>
    <w:rsid w:val="004E2640"/>
    <w:rsid w:val="004E2724"/>
    <w:rsid w:val="004E2C08"/>
    <w:rsid w:val="004E38A7"/>
    <w:rsid w:val="004E3D8A"/>
    <w:rsid w:val="004E40BB"/>
    <w:rsid w:val="004E4145"/>
    <w:rsid w:val="004E4188"/>
    <w:rsid w:val="004E4357"/>
    <w:rsid w:val="004E4521"/>
    <w:rsid w:val="004E471D"/>
    <w:rsid w:val="004E49B7"/>
    <w:rsid w:val="004E4BE2"/>
    <w:rsid w:val="004E51DB"/>
    <w:rsid w:val="004E5386"/>
    <w:rsid w:val="004E6E05"/>
    <w:rsid w:val="004E76A7"/>
    <w:rsid w:val="004E796A"/>
    <w:rsid w:val="004E7A56"/>
    <w:rsid w:val="004E7C07"/>
    <w:rsid w:val="004E7FC7"/>
    <w:rsid w:val="004F0096"/>
    <w:rsid w:val="004F10C6"/>
    <w:rsid w:val="004F1A5D"/>
    <w:rsid w:val="004F1B28"/>
    <w:rsid w:val="004F1BFB"/>
    <w:rsid w:val="004F1F49"/>
    <w:rsid w:val="004F28B5"/>
    <w:rsid w:val="004F2DAB"/>
    <w:rsid w:val="004F3684"/>
    <w:rsid w:val="004F3C3F"/>
    <w:rsid w:val="004F3E73"/>
    <w:rsid w:val="004F3F20"/>
    <w:rsid w:val="004F4444"/>
    <w:rsid w:val="004F48E8"/>
    <w:rsid w:val="004F499E"/>
    <w:rsid w:val="004F52A2"/>
    <w:rsid w:val="004F5412"/>
    <w:rsid w:val="004F546E"/>
    <w:rsid w:val="004F5E76"/>
    <w:rsid w:val="004F729A"/>
    <w:rsid w:val="004F74AB"/>
    <w:rsid w:val="00500FFC"/>
    <w:rsid w:val="00501007"/>
    <w:rsid w:val="00501AAF"/>
    <w:rsid w:val="00502091"/>
    <w:rsid w:val="0050241D"/>
    <w:rsid w:val="00502828"/>
    <w:rsid w:val="00502A0C"/>
    <w:rsid w:val="005030EE"/>
    <w:rsid w:val="0050354F"/>
    <w:rsid w:val="00503E0D"/>
    <w:rsid w:val="005041B4"/>
    <w:rsid w:val="005065D1"/>
    <w:rsid w:val="00507082"/>
    <w:rsid w:val="00507128"/>
    <w:rsid w:val="00507401"/>
    <w:rsid w:val="00507956"/>
    <w:rsid w:val="00507CEA"/>
    <w:rsid w:val="005104EF"/>
    <w:rsid w:val="00510FD9"/>
    <w:rsid w:val="00511E21"/>
    <w:rsid w:val="00512358"/>
    <w:rsid w:val="00513B56"/>
    <w:rsid w:val="00514133"/>
    <w:rsid w:val="00514330"/>
    <w:rsid w:val="00515048"/>
    <w:rsid w:val="005157AB"/>
    <w:rsid w:val="005159CD"/>
    <w:rsid w:val="00515B13"/>
    <w:rsid w:val="0051629A"/>
    <w:rsid w:val="005167C8"/>
    <w:rsid w:val="00516E3B"/>
    <w:rsid w:val="005171D6"/>
    <w:rsid w:val="005173FC"/>
    <w:rsid w:val="00517A54"/>
    <w:rsid w:val="00517F87"/>
    <w:rsid w:val="005207A6"/>
    <w:rsid w:val="00520E6E"/>
    <w:rsid w:val="005210D0"/>
    <w:rsid w:val="00521BF4"/>
    <w:rsid w:val="00521D27"/>
    <w:rsid w:val="00521FB7"/>
    <w:rsid w:val="00523E16"/>
    <w:rsid w:val="00523F1E"/>
    <w:rsid w:val="005241AD"/>
    <w:rsid w:val="00524EF6"/>
    <w:rsid w:val="00525850"/>
    <w:rsid w:val="00525B3B"/>
    <w:rsid w:val="00525BF2"/>
    <w:rsid w:val="005264CF"/>
    <w:rsid w:val="00526D6B"/>
    <w:rsid w:val="00526FB8"/>
    <w:rsid w:val="00527097"/>
    <w:rsid w:val="005270E6"/>
    <w:rsid w:val="005272EA"/>
    <w:rsid w:val="00527A00"/>
    <w:rsid w:val="00527C30"/>
    <w:rsid w:val="00530182"/>
    <w:rsid w:val="005316C1"/>
    <w:rsid w:val="005323F5"/>
    <w:rsid w:val="00533EE6"/>
    <w:rsid w:val="005341C7"/>
    <w:rsid w:val="00535E8F"/>
    <w:rsid w:val="00536648"/>
    <w:rsid w:val="00536D71"/>
    <w:rsid w:val="005372DA"/>
    <w:rsid w:val="00537D52"/>
    <w:rsid w:val="00540209"/>
    <w:rsid w:val="00540C29"/>
    <w:rsid w:val="00540C7B"/>
    <w:rsid w:val="00540F6C"/>
    <w:rsid w:val="00542296"/>
    <w:rsid w:val="00542657"/>
    <w:rsid w:val="00542BA6"/>
    <w:rsid w:val="00542EB1"/>
    <w:rsid w:val="00543207"/>
    <w:rsid w:val="0054324F"/>
    <w:rsid w:val="005435ED"/>
    <w:rsid w:val="0054513C"/>
    <w:rsid w:val="00546114"/>
    <w:rsid w:val="00546A22"/>
    <w:rsid w:val="00546EEB"/>
    <w:rsid w:val="00546FDD"/>
    <w:rsid w:val="005504BE"/>
    <w:rsid w:val="00550A40"/>
    <w:rsid w:val="00551BEE"/>
    <w:rsid w:val="00551D9F"/>
    <w:rsid w:val="00552036"/>
    <w:rsid w:val="0055255D"/>
    <w:rsid w:val="00552A4C"/>
    <w:rsid w:val="00553547"/>
    <w:rsid w:val="0055398D"/>
    <w:rsid w:val="00553A04"/>
    <w:rsid w:val="00554CBC"/>
    <w:rsid w:val="00555711"/>
    <w:rsid w:val="005572B8"/>
    <w:rsid w:val="00557C5E"/>
    <w:rsid w:val="00561907"/>
    <w:rsid w:val="00561C4C"/>
    <w:rsid w:val="00561F77"/>
    <w:rsid w:val="00562038"/>
    <w:rsid w:val="00562614"/>
    <w:rsid w:val="00562B84"/>
    <w:rsid w:val="00563141"/>
    <w:rsid w:val="005632B3"/>
    <w:rsid w:val="0056331B"/>
    <w:rsid w:val="005635BC"/>
    <w:rsid w:val="00563CE9"/>
    <w:rsid w:val="00564241"/>
    <w:rsid w:val="00564471"/>
    <w:rsid w:val="00564746"/>
    <w:rsid w:val="00564A36"/>
    <w:rsid w:val="00564E2B"/>
    <w:rsid w:val="00565B99"/>
    <w:rsid w:val="00566F47"/>
    <w:rsid w:val="005670D3"/>
    <w:rsid w:val="005677F7"/>
    <w:rsid w:val="005706F7"/>
    <w:rsid w:val="0057147C"/>
    <w:rsid w:val="00571CEA"/>
    <w:rsid w:val="00572E0B"/>
    <w:rsid w:val="005730A2"/>
    <w:rsid w:val="0057333B"/>
    <w:rsid w:val="00573435"/>
    <w:rsid w:val="00574466"/>
    <w:rsid w:val="0057479E"/>
    <w:rsid w:val="00574D42"/>
    <w:rsid w:val="00575373"/>
    <w:rsid w:val="00575823"/>
    <w:rsid w:val="0057582C"/>
    <w:rsid w:val="00575A11"/>
    <w:rsid w:val="00576142"/>
    <w:rsid w:val="00576DC2"/>
    <w:rsid w:val="00577FE3"/>
    <w:rsid w:val="0058017E"/>
    <w:rsid w:val="00580B1B"/>
    <w:rsid w:val="00580BCE"/>
    <w:rsid w:val="00580CE2"/>
    <w:rsid w:val="00581265"/>
    <w:rsid w:val="005813E8"/>
    <w:rsid w:val="005818F1"/>
    <w:rsid w:val="0058196C"/>
    <w:rsid w:val="00582337"/>
    <w:rsid w:val="00582DE0"/>
    <w:rsid w:val="00583106"/>
    <w:rsid w:val="00583918"/>
    <w:rsid w:val="00583BCD"/>
    <w:rsid w:val="00583DFA"/>
    <w:rsid w:val="00583FC5"/>
    <w:rsid w:val="005849CD"/>
    <w:rsid w:val="00584E50"/>
    <w:rsid w:val="00586A45"/>
    <w:rsid w:val="00586CDF"/>
    <w:rsid w:val="00586FB1"/>
    <w:rsid w:val="0058747E"/>
    <w:rsid w:val="00587B94"/>
    <w:rsid w:val="00590305"/>
    <w:rsid w:val="00590473"/>
    <w:rsid w:val="00590770"/>
    <w:rsid w:val="00590980"/>
    <w:rsid w:val="00590D0A"/>
    <w:rsid w:val="00591ECD"/>
    <w:rsid w:val="0059239E"/>
    <w:rsid w:val="00593402"/>
    <w:rsid w:val="005937BE"/>
    <w:rsid w:val="00593C40"/>
    <w:rsid w:val="00593D44"/>
    <w:rsid w:val="00595B52"/>
    <w:rsid w:val="005962B5"/>
    <w:rsid w:val="00596A03"/>
    <w:rsid w:val="00596BF1"/>
    <w:rsid w:val="005974D3"/>
    <w:rsid w:val="005A01E7"/>
    <w:rsid w:val="005A0590"/>
    <w:rsid w:val="005A0D9D"/>
    <w:rsid w:val="005A1011"/>
    <w:rsid w:val="005A25B0"/>
    <w:rsid w:val="005A3019"/>
    <w:rsid w:val="005A3875"/>
    <w:rsid w:val="005A3C2D"/>
    <w:rsid w:val="005A3D89"/>
    <w:rsid w:val="005A3E0A"/>
    <w:rsid w:val="005A4286"/>
    <w:rsid w:val="005A462F"/>
    <w:rsid w:val="005A4B11"/>
    <w:rsid w:val="005A5ADB"/>
    <w:rsid w:val="005A5C9E"/>
    <w:rsid w:val="005A5CB7"/>
    <w:rsid w:val="005A5E07"/>
    <w:rsid w:val="005A71EA"/>
    <w:rsid w:val="005A79E3"/>
    <w:rsid w:val="005B0892"/>
    <w:rsid w:val="005B09C2"/>
    <w:rsid w:val="005B1398"/>
    <w:rsid w:val="005B143A"/>
    <w:rsid w:val="005B17D4"/>
    <w:rsid w:val="005B4042"/>
    <w:rsid w:val="005B40AB"/>
    <w:rsid w:val="005B41C9"/>
    <w:rsid w:val="005B52D7"/>
    <w:rsid w:val="005B5333"/>
    <w:rsid w:val="005B538F"/>
    <w:rsid w:val="005B7000"/>
    <w:rsid w:val="005B70CA"/>
    <w:rsid w:val="005B7C2D"/>
    <w:rsid w:val="005B7D08"/>
    <w:rsid w:val="005B7DD5"/>
    <w:rsid w:val="005C015D"/>
    <w:rsid w:val="005C08D1"/>
    <w:rsid w:val="005C145C"/>
    <w:rsid w:val="005C2167"/>
    <w:rsid w:val="005C2532"/>
    <w:rsid w:val="005C3281"/>
    <w:rsid w:val="005C3786"/>
    <w:rsid w:val="005C3CE0"/>
    <w:rsid w:val="005C4D7A"/>
    <w:rsid w:val="005C5247"/>
    <w:rsid w:val="005C5303"/>
    <w:rsid w:val="005C6508"/>
    <w:rsid w:val="005C6C9E"/>
    <w:rsid w:val="005C700B"/>
    <w:rsid w:val="005C705C"/>
    <w:rsid w:val="005C7106"/>
    <w:rsid w:val="005C7562"/>
    <w:rsid w:val="005C77BC"/>
    <w:rsid w:val="005C7C70"/>
    <w:rsid w:val="005C7CA0"/>
    <w:rsid w:val="005D04C1"/>
    <w:rsid w:val="005D0972"/>
    <w:rsid w:val="005D0973"/>
    <w:rsid w:val="005D0BED"/>
    <w:rsid w:val="005D0C11"/>
    <w:rsid w:val="005D2227"/>
    <w:rsid w:val="005D2313"/>
    <w:rsid w:val="005D268B"/>
    <w:rsid w:val="005D31B3"/>
    <w:rsid w:val="005D35CD"/>
    <w:rsid w:val="005D3C11"/>
    <w:rsid w:val="005D3E12"/>
    <w:rsid w:val="005D4ADF"/>
    <w:rsid w:val="005D4B78"/>
    <w:rsid w:val="005D5149"/>
    <w:rsid w:val="005D5384"/>
    <w:rsid w:val="005D5EF4"/>
    <w:rsid w:val="005D6DE1"/>
    <w:rsid w:val="005D7385"/>
    <w:rsid w:val="005D7781"/>
    <w:rsid w:val="005D79DA"/>
    <w:rsid w:val="005E1E44"/>
    <w:rsid w:val="005E22D9"/>
    <w:rsid w:val="005E2E83"/>
    <w:rsid w:val="005E313A"/>
    <w:rsid w:val="005E38CA"/>
    <w:rsid w:val="005E3A06"/>
    <w:rsid w:val="005E3B33"/>
    <w:rsid w:val="005E476F"/>
    <w:rsid w:val="005E487E"/>
    <w:rsid w:val="005E4DC3"/>
    <w:rsid w:val="005E4FA9"/>
    <w:rsid w:val="005E516B"/>
    <w:rsid w:val="005E5444"/>
    <w:rsid w:val="005E627F"/>
    <w:rsid w:val="005E6E4D"/>
    <w:rsid w:val="005E75E3"/>
    <w:rsid w:val="005F00C2"/>
    <w:rsid w:val="005F1583"/>
    <w:rsid w:val="005F1BC3"/>
    <w:rsid w:val="005F23C4"/>
    <w:rsid w:val="005F2E33"/>
    <w:rsid w:val="005F5013"/>
    <w:rsid w:val="005F53A7"/>
    <w:rsid w:val="005F571C"/>
    <w:rsid w:val="005F591C"/>
    <w:rsid w:val="005F5C93"/>
    <w:rsid w:val="005F5CFE"/>
    <w:rsid w:val="005F5E52"/>
    <w:rsid w:val="005F65D0"/>
    <w:rsid w:val="005F70E1"/>
    <w:rsid w:val="005F77AC"/>
    <w:rsid w:val="00600088"/>
    <w:rsid w:val="0060090F"/>
    <w:rsid w:val="006010B1"/>
    <w:rsid w:val="00601193"/>
    <w:rsid w:val="0060129F"/>
    <w:rsid w:val="0060219B"/>
    <w:rsid w:val="006024EC"/>
    <w:rsid w:val="006027E2"/>
    <w:rsid w:val="00602A72"/>
    <w:rsid w:val="0060392D"/>
    <w:rsid w:val="00603D40"/>
    <w:rsid w:val="0060551E"/>
    <w:rsid w:val="00605739"/>
    <w:rsid w:val="00605AA5"/>
    <w:rsid w:val="006064A6"/>
    <w:rsid w:val="00606774"/>
    <w:rsid w:val="00606EA8"/>
    <w:rsid w:val="0060740B"/>
    <w:rsid w:val="00607974"/>
    <w:rsid w:val="00610520"/>
    <w:rsid w:val="00610A57"/>
    <w:rsid w:val="00610BDD"/>
    <w:rsid w:val="00611125"/>
    <w:rsid w:val="006111C3"/>
    <w:rsid w:val="00611971"/>
    <w:rsid w:val="006121B4"/>
    <w:rsid w:val="00613157"/>
    <w:rsid w:val="00613364"/>
    <w:rsid w:val="006144A3"/>
    <w:rsid w:val="00614773"/>
    <w:rsid w:val="00615C69"/>
    <w:rsid w:val="00615D90"/>
    <w:rsid w:val="006161E2"/>
    <w:rsid w:val="006162F3"/>
    <w:rsid w:val="00616800"/>
    <w:rsid w:val="00616946"/>
    <w:rsid w:val="006170BA"/>
    <w:rsid w:val="006172F0"/>
    <w:rsid w:val="0061742C"/>
    <w:rsid w:val="00617513"/>
    <w:rsid w:val="00617892"/>
    <w:rsid w:val="00617D27"/>
    <w:rsid w:val="006207CD"/>
    <w:rsid w:val="00620D56"/>
    <w:rsid w:val="006215F3"/>
    <w:rsid w:val="006222C9"/>
    <w:rsid w:val="006225A4"/>
    <w:rsid w:val="006229CA"/>
    <w:rsid w:val="0062320C"/>
    <w:rsid w:val="006237E7"/>
    <w:rsid w:val="0062380D"/>
    <w:rsid w:val="00623E65"/>
    <w:rsid w:val="006249C1"/>
    <w:rsid w:val="00624A53"/>
    <w:rsid w:val="006257C9"/>
    <w:rsid w:val="0062725D"/>
    <w:rsid w:val="006274AB"/>
    <w:rsid w:val="00630988"/>
    <w:rsid w:val="00630FCF"/>
    <w:rsid w:val="006313C4"/>
    <w:rsid w:val="00632AA1"/>
    <w:rsid w:val="00632E05"/>
    <w:rsid w:val="00632EB2"/>
    <w:rsid w:val="00633809"/>
    <w:rsid w:val="006347B9"/>
    <w:rsid w:val="006351EA"/>
    <w:rsid w:val="006359A7"/>
    <w:rsid w:val="00635AD7"/>
    <w:rsid w:val="006362DE"/>
    <w:rsid w:val="00636429"/>
    <w:rsid w:val="006378F6"/>
    <w:rsid w:val="00637E36"/>
    <w:rsid w:val="00640386"/>
    <w:rsid w:val="0064168F"/>
    <w:rsid w:val="006417CA"/>
    <w:rsid w:val="0064251A"/>
    <w:rsid w:val="00642CCA"/>
    <w:rsid w:val="00642FED"/>
    <w:rsid w:val="006441D2"/>
    <w:rsid w:val="006445A5"/>
    <w:rsid w:val="00644ACD"/>
    <w:rsid w:val="00644AF8"/>
    <w:rsid w:val="00644D63"/>
    <w:rsid w:val="00645061"/>
    <w:rsid w:val="006457EF"/>
    <w:rsid w:val="006459AA"/>
    <w:rsid w:val="00645E83"/>
    <w:rsid w:val="00646F17"/>
    <w:rsid w:val="00647637"/>
    <w:rsid w:val="006504F1"/>
    <w:rsid w:val="00651930"/>
    <w:rsid w:val="00651945"/>
    <w:rsid w:val="00651CD2"/>
    <w:rsid w:val="00651E60"/>
    <w:rsid w:val="00652A26"/>
    <w:rsid w:val="006548C6"/>
    <w:rsid w:val="006570C7"/>
    <w:rsid w:val="006575D5"/>
    <w:rsid w:val="006579F7"/>
    <w:rsid w:val="006603F4"/>
    <w:rsid w:val="00660CC2"/>
    <w:rsid w:val="0066174F"/>
    <w:rsid w:val="00661F60"/>
    <w:rsid w:val="00662273"/>
    <w:rsid w:val="00662463"/>
    <w:rsid w:val="00662DF0"/>
    <w:rsid w:val="00662F7F"/>
    <w:rsid w:val="00663390"/>
    <w:rsid w:val="006637F3"/>
    <w:rsid w:val="00663AFC"/>
    <w:rsid w:val="00664A98"/>
    <w:rsid w:val="006650DD"/>
    <w:rsid w:val="00665751"/>
    <w:rsid w:val="00665B0E"/>
    <w:rsid w:val="00665DEB"/>
    <w:rsid w:val="00666195"/>
    <w:rsid w:val="006668C1"/>
    <w:rsid w:val="00666BED"/>
    <w:rsid w:val="0066781E"/>
    <w:rsid w:val="006706A9"/>
    <w:rsid w:val="006717C9"/>
    <w:rsid w:val="00671B83"/>
    <w:rsid w:val="00671E42"/>
    <w:rsid w:val="00672513"/>
    <w:rsid w:val="0067274C"/>
    <w:rsid w:val="00673377"/>
    <w:rsid w:val="006739FE"/>
    <w:rsid w:val="00674DD6"/>
    <w:rsid w:val="00674FF0"/>
    <w:rsid w:val="00675D79"/>
    <w:rsid w:val="006779C9"/>
    <w:rsid w:val="00677F4C"/>
    <w:rsid w:val="006805A5"/>
    <w:rsid w:val="0068078B"/>
    <w:rsid w:val="006809C8"/>
    <w:rsid w:val="006810E2"/>
    <w:rsid w:val="00681C20"/>
    <w:rsid w:val="00682744"/>
    <w:rsid w:val="00682CCE"/>
    <w:rsid w:val="0068645A"/>
    <w:rsid w:val="006867E3"/>
    <w:rsid w:val="00686B1C"/>
    <w:rsid w:val="00690FDF"/>
    <w:rsid w:val="006913B8"/>
    <w:rsid w:val="006915CA"/>
    <w:rsid w:val="006921F4"/>
    <w:rsid w:val="006929CA"/>
    <w:rsid w:val="00692EA9"/>
    <w:rsid w:val="00693A5A"/>
    <w:rsid w:val="00694433"/>
    <w:rsid w:val="00694489"/>
    <w:rsid w:val="006948A0"/>
    <w:rsid w:val="00694986"/>
    <w:rsid w:val="006949C6"/>
    <w:rsid w:val="00694D48"/>
    <w:rsid w:val="00694EAC"/>
    <w:rsid w:val="00695677"/>
    <w:rsid w:val="00695DB6"/>
    <w:rsid w:val="00696905"/>
    <w:rsid w:val="006977B8"/>
    <w:rsid w:val="00697FAF"/>
    <w:rsid w:val="006A14EA"/>
    <w:rsid w:val="006A182F"/>
    <w:rsid w:val="006A213B"/>
    <w:rsid w:val="006A2C1C"/>
    <w:rsid w:val="006A5261"/>
    <w:rsid w:val="006A5F62"/>
    <w:rsid w:val="006A6714"/>
    <w:rsid w:val="006A692F"/>
    <w:rsid w:val="006A76F8"/>
    <w:rsid w:val="006A7760"/>
    <w:rsid w:val="006A77C5"/>
    <w:rsid w:val="006A7825"/>
    <w:rsid w:val="006B04EB"/>
    <w:rsid w:val="006B0B06"/>
    <w:rsid w:val="006B2697"/>
    <w:rsid w:val="006B2899"/>
    <w:rsid w:val="006B2A9F"/>
    <w:rsid w:val="006B2C42"/>
    <w:rsid w:val="006B3C14"/>
    <w:rsid w:val="006B3C93"/>
    <w:rsid w:val="006B43B7"/>
    <w:rsid w:val="006B44EB"/>
    <w:rsid w:val="006B4944"/>
    <w:rsid w:val="006B4B51"/>
    <w:rsid w:val="006B4D28"/>
    <w:rsid w:val="006B518B"/>
    <w:rsid w:val="006B53EE"/>
    <w:rsid w:val="006B5621"/>
    <w:rsid w:val="006B674F"/>
    <w:rsid w:val="006B6C30"/>
    <w:rsid w:val="006B709F"/>
    <w:rsid w:val="006B7729"/>
    <w:rsid w:val="006B7F25"/>
    <w:rsid w:val="006C0D26"/>
    <w:rsid w:val="006C1008"/>
    <w:rsid w:val="006C1AA1"/>
    <w:rsid w:val="006C1D2E"/>
    <w:rsid w:val="006C26E1"/>
    <w:rsid w:val="006C2751"/>
    <w:rsid w:val="006C3DA8"/>
    <w:rsid w:val="006C4015"/>
    <w:rsid w:val="006C45A4"/>
    <w:rsid w:val="006C4CED"/>
    <w:rsid w:val="006C5069"/>
    <w:rsid w:val="006C57E2"/>
    <w:rsid w:val="006C5D44"/>
    <w:rsid w:val="006C65A7"/>
    <w:rsid w:val="006C65D7"/>
    <w:rsid w:val="006C7D6D"/>
    <w:rsid w:val="006D0A57"/>
    <w:rsid w:val="006D1444"/>
    <w:rsid w:val="006D16CB"/>
    <w:rsid w:val="006D26A1"/>
    <w:rsid w:val="006D316A"/>
    <w:rsid w:val="006D366B"/>
    <w:rsid w:val="006D4515"/>
    <w:rsid w:val="006D4B1B"/>
    <w:rsid w:val="006D54EA"/>
    <w:rsid w:val="006D59BA"/>
    <w:rsid w:val="006D6982"/>
    <w:rsid w:val="006D6BAF"/>
    <w:rsid w:val="006D6D6A"/>
    <w:rsid w:val="006D707A"/>
    <w:rsid w:val="006D73F4"/>
    <w:rsid w:val="006D7AF9"/>
    <w:rsid w:val="006E097E"/>
    <w:rsid w:val="006E33B9"/>
    <w:rsid w:val="006E3AC3"/>
    <w:rsid w:val="006E4087"/>
    <w:rsid w:val="006E41C8"/>
    <w:rsid w:val="006E5B98"/>
    <w:rsid w:val="006E6149"/>
    <w:rsid w:val="006E624A"/>
    <w:rsid w:val="006E65AF"/>
    <w:rsid w:val="006E6D2D"/>
    <w:rsid w:val="006E6E34"/>
    <w:rsid w:val="006E713B"/>
    <w:rsid w:val="006E7536"/>
    <w:rsid w:val="006E7627"/>
    <w:rsid w:val="006E77BC"/>
    <w:rsid w:val="006E7D05"/>
    <w:rsid w:val="006E7EEF"/>
    <w:rsid w:val="006F011C"/>
    <w:rsid w:val="006F10E4"/>
    <w:rsid w:val="006F1135"/>
    <w:rsid w:val="006F1622"/>
    <w:rsid w:val="006F1EEE"/>
    <w:rsid w:val="006F206C"/>
    <w:rsid w:val="006F2DC9"/>
    <w:rsid w:val="006F2FD6"/>
    <w:rsid w:val="006F30E8"/>
    <w:rsid w:val="006F31C1"/>
    <w:rsid w:val="006F377B"/>
    <w:rsid w:val="006F3C8E"/>
    <w:rsid w:val="006F4E60"/>
    <w:rsid w:val="006F4FB8"/>
    <w:rsid w:val="006F518F"/>
    <w:rsid w:val="006F62E1"/>
    <w:rsid w:val="006F6A33"/>
    <w:rsid w:val="00700FCF"/>
    <w:rsid w:val="0070129A"/>
    <w:rsid w:val="00701444"/>
    <w:rsid w:val="0070181D"/>
    <w:rsid w:val="00701EF7"/>
    <w:rsid w:val="00702322"/>
    <w:rsid w:val="00702A4C"/>
    <w:rsid w:val="00702E86"/>
    <w:rsid w:val="00703055"/>
    <w:rsid w:val="007033AC"/>
    <w:rsid w:val="007035D7"/>
    <w:rsid w:val="00704690"/>
    <w:rsid w:val="00704B3A"/>
    <w:rsid w:val="00704C3E"/>
    <w:rsid w:val="0070514C"/>
    <w:rsid w:val="007064D9"/>
    <w:rsid w:val="00706C96"/>
    <w:rsid w:val="00706E3E"/>
    <w:rsid w:val="00707480"/>
    <w:rsid w:val="007074D3"/>
    <w:rsid w:val="007077BE"/>
    <w:rsid w:val="00707840"/>
    <w:rsid w:val="007078F2"/>
    <w:rsid w:val="00710863"/>
    <w:rsid w:val="00710D88"/>
    <w:rsid w:val="00710E84"/>
    <w:rsid w:val="00710EDB"/>
    <w:rsid w:val="00710EEB"/>
    <w:rsid w:val="00711A7D"/>
    <w:rsid w:val="00711FE2"/>
    <w:rsid w:val="00712199"/>
    <w:rsid w:val="00713675"/>
    <w:rsid w:val="007138B4"/>
    <w:rsid w:val="007138EF"/>
    <w:rsid w:val="0071427B"/>
    <w:rsid w:val="00714F5A"/>
    <w:rsid w:val="0071559B"/>
    <w:rsid w:val="00715734"/>
    <w:rsid w:val="00715A38"/>
    <w:rsid w:val="00715BAE"/>
    <w:rsid w:val="00715BDE"/>
    <w:rsid w:val="0071653A"/>
    <w:rsid w:val="007166B1"/>
    <w:rsid w:val="00716D0E"/>
    <w:rsid w:val="00716F64"/>
    <w:rsid w:val="00720D6F"/>
    <w:rsid w:val="0072149C"/>
    <w:rsid w:val="00721B08"/>
    <w:rsid w:val="00721BF1"/>
    <w:rsid w:val="00723B4E"/>
    <w:rsid w:val="00723C08"/>
    <w:rsid w:val="00724467"/>
    <w:rsid w:val="00724655"/>
    <w:rsid w:val="007265A3"/>
    <w:rsid w:val="007266D0"/>
    <w:rsid w:val="00726E74"/>
    <w:rsid w:val="00727301"/>
    <w:rsid w:val="00727D94"/>
    <w:rsid w:val="00727FF8"/>
    <w:rsid w:val="00730338"/>
    <w:rsid w:val="00730568"/>
    <w:rsid w:val="007306B5"/>
    <w:rsid w:val="007320FD"/>
    <w:rsid w:val="00732B28"/>
    <w:rsid w:val="00732B7D"/>
    <w:rsid w:val="00732B86"/>
    <w:rsid w:val="00733DCA"/>
    <w:rsid w:val="00734043"/>
    <w:rsid w:val="00734A9A"/>
    <w:rsid w:val="00734CB3"/>
    <w:rsid w:val="00734EAC"/>
    <w:rsid w:val="00735384"/>
    <w:rsid w:val="0073578F"/>
    <w:rsid w:val="00735B49"/>
    <w:rsid w:val="00735CA3"/>
    <w:rsid w:val="007368DB"/>
    <w:rsid w:val="00737587"/>
    <w:rsid w:val="00737A86"/>
    <w:rsid w:val="00737C5A"/>
    <w:rsid w:val="00740778"/>
    <w:rsid w:val="00741920"/>
    <w:rsid w:val="00741BBE"/>
    <w:rsid w:val="00741FCB"/>
    <w:rsid w:val="0074217F"/>
    <w:rsid w:val="0074329A"/>
    <w:rsid w:val="00743362"/>
    <w:rsid w:val="00744DBC"/>
    <w:rsid w:val="007451F4"/>
    <w:rsid w:val="00745346"/>
    <w:rsid w:val="00745442"/>
    <w:rsid w:val="00745CC2"/>
    <w:rsid w:val="00746F9A"/>
    <w:rsid w:val="007473BD"/>
    <w:rsid w:val="00750016"/>
    <w:rsid w:val="0075064A"/>
    <w:rsid w:val="00750EEC"/>
    <w:rsid w:val="007510E1"/>
    <w:rsid w:val="00751112"/>
    <w:rsid w:val="0075121F"/>
    <w:rsid w:val="00751306"/>
    <w:rsid w:val="007515DE"/>
    <w:rsid w:val="00751835"/>
    <w:rsid w:val="00752D2D"/>
    <w:rsid w:val="00754198"/>
    <w:rsid w:val="0075501D"/>
    <w:rsid w:val="007552D9"/>
    <w:rsid w:val="00755313"/>
    <w:rsid w:val="00756EB0"/>
    <w:rsid w:val="007575F5"/>
    <w:rsid w:val="00757AE1"/>
    <w:rsid w:val="0076053D"/>
    <w:rsid w:val="007606A4"/>
    <w:rsid w:val="00760781"/>
    <w:rsid w:val="00760A20"/>
    <w:rsid w:val="00761405"/>
    <w:rsid w:val="00761DE2"/>
    <w:rsid w:val="007620AA"/>
    <w:rsid w:val="007621A0"/>
    <w:rsid w:val="007631BA"/>
    <w:rsid w:val="0076373A"/>
    <w:rsid w:val="00763BBC"/>
    <w:rsid w:val="00764A45"/>
    <w:rsid w:val="00764B82"/>
    <w:rsid w:val="00764DD4"/>
    <w:rsid w:val="0076579D"/>
    <w:rsid w:val="007670C8"/>
    <w:rsid w:val="00767E0A"/>
    <w:rsid w:val="00767F48"/>
    <w:rsid w:val="00770186"/>
    <w:rsid w:val="007704E7"/>
    <w:rsid w:val="00770D88"/>
    <w:rsid w:val="007716FD"/>
    <w:rsid w:val="007717E6"/>
    <w:rsid w:val="0077198E"/>
    <w:rsid w:val="00772020"/>
    <w:rsid w:val="0077317B"/>
    <w:rsid w:val="00773FA5"/>
    <w:rsid w:val="00774FA2"/>
    <w:rsid w:val="00774FE4"/>
    <w:rsid w:val="00775064"/>
    <w:rsid w:val="007754F0"/>
    <w:rsid w:val="0077644A"/>
    <w:rsid w:val="00776F77"/>
    <w:rsid w:val="007771DB"/>
    <w:rsid w:val="00777FFD"/>
    <w:rsid w:val="00780ADA"/>
    <w:rsid w:val="00781143"/>
    <w:rsid w:val="007811A3"/>
    <w:rsid w:val="007811B2"/>
    <w:rsid w:val="00783045"/>
    <w:rsid w:val="0078349F"/>
    <w:rsid w:val="00783BD9"/>
    <w:rsid w:val="00783FEB"/>
    <w:rsid w:val="0078415B"/>
    <w:rsid w:val="00785488"/>
    <w:rsid w:val="00785A7A"/>
    <w:rsid w:val="00786765"/>
    <w:rsid w:val="00787B76"/>
    <w:rsid w:val="00787D0E"/>
    <w:rsid w:val="0079018B"/>
    <w:rsid w:val="007906DB"/>
    <w:rsid w:val="0079088A"/>
    <w:rsid w:val="00790C47"/>
    <w:rsid w:val="00791DFD"/>
    <w:rsid w:val="00792B19"/>
    <w:rsid w:val="0079372C"/>
    <w:rsid w:val="007947A4"/>
    <w:rsid w:val="00795067"/>
    <w:rsid w:val="0079508B"/>
    <w:rsid w:val="0079530C"/>
    <w:rsid w:val="00795874"/>
    <w:rsid w:val="00795CA6"/>
    <w:rsid w:val="00796B0B"/>
    <w:rsid w:val="0079749B"/>
    <w:rsid w:val="007A1547"/>
    <w:rsid w:val="007A18EC"/>
    <w:rsid w:val="007A1AD7"/>
    <w:rsid w:val="007A383C"/>
    <w:rsid w:val="007A3D05"/>
    <w:rsid w:val="007A3D98"/>
    <w:rsid w:val="007A4430"/>
    <w:rsid w:val="007A4C0B"/>
    <w:rsid w:val="007A6AF6"/>
    <w:rsid w:val="007A6E77"/>
    <w:rsid w:val="007A7139"/>
    <w:rsid w:val="007A74FB"/>
    <w:rsid w:val="007B0432"/>
    <w:rsid w:val="007B09D3"/>
    <w:rsid w:val="007B16F8"/>
    <w:rsid w:val="007B23AC"/>
    <w:rsid w:val="007B386A"/>
    <w:rsid w:val="007B3CAE"/>
    <w:rsid w:val="007B4489"/>
    <w:rsid w:val="007B5583"/>
    <w:rsid w:val="007B5770"/>
    <w:rsid w:val="007B6486"/>
    <w:rsid w:val="007B789B"/>
    <w:rsid w:val="007B78AC"/>
    <w:rsid w:val="007B7BFE"/>
    <w:rsid w:val="007C0595"/>
    <w:rsid w:val="007C29C0"/>
    <w:rsid w:val="007C3874"/>
    <w:rsid w:val="007C48C3"/>
    <w:rsid w:val="007C4E98"/>
    <w:rsid w:val="007C5C3A"/>
    <w:rsid w:val="007C5F27"/>
    <w:rsid w:val="007C60A7"/>
    <w:rsid w:val="007C6190"/>
    <w:rsid w:val="007C79B0"/>
    <w:rsid w:val="007C7D10"/>
    <w:rsid w:val="007D0DFD"/>
    <w:rsid w:val="007D0EA6"/>
    <w:rsid w:val="007D1D2C"/>
    <w:rsid w:val="007D1FA8"/>
    <w:rsid w:val="007D212C"/>
    <w:rsid w:val="007D3281"/>
    <w:rsid w:val="007D55EC"/>
    <w:rsid w:val="007D5AAA"/>
    <w:rsid w:val="007D6386"/>
    <w:rsid w:val="007D71EE"/>
    <w:rsid w:val="007D7979"/>
    <w:rsid w:val="007E0823"/>
    <w:rsid w:val="007E0990"/>
    <w:rsid w:val="007E1181"/>
    <w:rsid w:val="007E1652"/>
    <w:rsid w:val="007E1EA7"/>
    <w:rsid w:val="007E2A31"/>
    <w:rsid w:val="007E2E35"/>
    <w:rsid w:val="007E3327"/>
    <w:rsid w:val="007E391A"/>
    <w:rsid w:val="007E3CFF"/>
    <w:rsid w:val="007E4155"/>
    <w:rsid w:val="007E4653"/>
    <w:rsid w:val="007E483F"/>
    <w:rsid w:val="007E4902"/>
    <w:rsid w:val="007E4B7E"/>
    <w:rsid w:val="007E4D61"/>
    <w:rsid w:val="007E5B33"/>
    <w:rsid w:val="007E6086"/>
    <w:rsid w:val="007E71C5"/>
    <w:rsid w:val="007E7373"/>
    <w:rsid w:val="007E73CF"/>
    <w:rsid w:val="007F036E"/>
    <w:rsid w:val="007F049D"/>
    <w:rsid w:val="007F19ED"/>
    <w:rsid w:val="007F1E56"/>
    <w:rsid w:val="007F3504"/>
    <w:rsid w:val="007F3766"/>
    <w:rsid w:val="007F3BCD"/>
    <w:rsid w:val="007F4024"/>
    <w:rsid w:val="007F4A48"/>
    <w:rsid w:val="007F4BEC"/>
    <w:rsid w:val="007F4CAF"/>
    <w:rsid w:val="007F540C"/>
    <w:rsid w:val="007F559B"/>
    <w:rsid w:val="007F57B5"/>
    <w:rsid w:val="007F5C20"/>
    <w:rsid w:val="007F5D14"/>
    <w:rsid w:val="007F5D4D"/>
    <w:rsid w:val="007F5E73"/>
    <w:rsid w:val="007F6C5B"/>
    <w:rsid w:val="007F6DD6"/>
    <w:rsid w:val="008000B6"/>
    <w:rsid w:val="008019D8"/>
    <w:rsid w:val="00801F3D"/>
    <w:rsid w:val="00802079"/>
    <w:rsid w:val="00802546"/>
    <w:rsid w:val="0080259A"/>
    <w:rsid w:val="008028E0"/>
    <w:rsid w:val="00803238"/>
    <w:rsid w:val="00803554"/>
    <w:rsid w:val="00803C03"/>
    <w:rsid w:val="00804707"/>
    <w:rsid w:val="00804FC6"/>
    <w:rsid w:val="00805257"/>
    <w:rsid w:val="00805CE7"/>
    <w:rsid w:val="00805E8D"/>
    <w:rsid w:val="00806C2A"/>
    <w:rsid w:val="0081025E"/>
    <w:rsid w:val="00810776"/>
    <w:rsid w:val="008107DA"/>
    <w:rsid w:val="00810EB3"/>
    <w:rsid w:val="00810F71"/>
    <w:rsid w:val="00811FB6"/>
    <w:rsid w:val="00812858"/>
    <w:rsid w:val="008145C4"/>
    <w:rsid w:val="00814601"/>
    <w:rsid w:val="00814B33"/>
    <w:rsid w:val="00814C16"/>
    <w:rsid w:val="00815497"/>
    <w:rsid w:val="00815C5A"/>
    <w:rsid w:val="0081671B"/>
    <w:rsid w:val="0081708F"/>
    <w:rsid w:val="008173AD"/>
    <w:rsid w:val="00820109"/>
    <w:rsid w:val="0082075C"/>
    <w:rsid w:val="00821384"/>
    <w:rsid w:val="00823853"/>
    <w:rsid w:val="00823B3C"/>
    <w:rsid w:val="00824628"/>
    <w:rsid w:val="00825D60"/>
    <w:rsid w:val="008266F0"/>
    <w:rsid w:val="00826E5A"/>
    <w:rsid w:val="0082741B"/>
    <w:rsid w:val="0082756C"/>
    <w:rsid w:val="008304C3"/>
    <w:rsid w:val="00830768"/>
    <w:rsid w:val="0083076E"/>
    <w:rsid w:val="00830938"/>
    <w:rsid w:val="00830AF9"/>
    <w:rsid w:val="0083101C"/>
    <w:rsid w:val="008317E9"/>
    <w:rsid w:val="008320FB"/>
    <w:rsid w:val="00832249"/>
    <w:rsid w:val="00832371"/>
    <w:rsid w:val="00832874"/>
    <w:rsid w:val="008332A4"/>
    <w:rsid w:val="00833537"/>
    <w:rsid w:val="00833D67"/>
    <w:rsid w:val="00834316"/>
    <w:rsid w:val="0083449B"/>
    <w:rsid w:val="008349CD"/>
    <w:rsid w:val="00834CD1"/>
    <w:rsid w:val="00836653"/>
    <w:rsid w:val="0084056E"/>
    <w:rsid w:val="008408B0"/>
    <w:rsid w:val="00840B39"/>
    <w:rsid w:val="00841444"/>
    <w:rsid w:val="00841675"/>
    <w:rsid w:val="00841B02"/>
    <w:rsid w:val="00841C74"/>
    <w:rsid w:val="00842288"/>
    <w:rsid w:val="008423C1"/>
    <w:rsid w:val="008429D4"/>
    <w:rsid w:val="00842CA0"/>
    <w:rsid w:val="00843789"/>
    <w:rsid w:val="00843CFA"/>
    <w:rsid w:val="008440EC"/>
    <w:rsid w:val="008441B0"/>
    <w:rsid w:val="00844315"/>
    <w:rsid w:val="008447F8"/>
    <w:rsid w:val="008449C1"/>
    <w:rsid w:val="00845775"/>
    <w:rsid w:val="008460EE"/>
    <w:rsid w:val="00846150"/>
    <w:rsid w:val="00846599"/>
    <w:rsid w:val="0084663A"/>
    <w:rsid w:val="00846AE1"/>
    <w:rsid w:val="00846B95"/>
    <w:rsid w:val="00846E08"/>
    <w:rsid w:val="008475A7"/>
    <w:rsid w:val="00847D5D"/>
    <w:rsid w:val="008501CC"/>
    <w:rsid w:val="0085029F"/>
    <w:rsid w:val="00850E94"/>
    <w:rsid w:val="00850F4F"/>
    <w:rsid w:val="00851062"/>
    <w:rsid w:val="00851704"/>
    <w:rsid w:val="00851E84"/>
    <w:rsid w:val="00853B68"/>
    <w:rsid w:val="00853EFC"/>
    <w:rsid w:val="00854094"/>
    <w:rsid w:val="00854BC4"/>
    <w:rsid w:val="00854DF7"/>
    <w:rsid w:val="00855226"/>
    <w:rsid w:val="00855510"/>
    <w:rsid w:val="008557A5"/>
    <w:rsid w:val="00857219"/>
    <w:rsid w:val="00857D68"/>
    <w:rsid w:val="00857F35"/>
    <w:rsid w:val="0086140E"/>
    <w:rsid w:val="0086140F"/>
    <w:rsid w:val="0086156B"/>
    <w:rsid w:val="00863849"/>
    <w:rsid w:val="00864129"/>
    <w:rsid w:val="0086431E"/>
    <w:rsid w:val="0086444B"/>
    <w:rsid w:val="00864847"/>
    <w:rsid w:val="00864A6E"/>
    <w:rsid w:val="00865021"/>
    <w:rsid w:val="008653FD"/>
    <w:rsid w:val="00865670"/>
    <w:rsid w:val="0086587D"/>
    <w:rsid w:val="00865883"/>
    <w:rsid w:val="00865950"/>
    <w:rsid w:val="008661F1"/>
    <w:rsid w:val="008663FE"/>
    <w:rsid w:val="008667EC"/>
    <w:rsid w:val="008669C5"/>
    <w:rsid w:val="00867372"/>
    <w:rsid w:val="00867DFE"/>
    <w:rsid w:val="008705D8"/>
    <w:rsid w:val="00870823"/>
    <w:rsid w:val="0087107C"/>
    <w:rsid w:val="008710DB"/>
    <w:rsid w:val="008710FA"/>
    <w:rsid w:val="008717D7"/>
    <w:rsid w:val="00871ADB"/>
    <w:rsid w:val="0087248B"/>
    <w:rsid w:val="00872518"/>
    <w:rsid w:val="00872757"/>
    <w:rsid w:val="00872A84"/>
    <w:rsid w:val="0087511E"/>
    <w:rsid w:val="008762B9"/>
    <w:rsid w:val="008765CA"/>
    <w:rsid w:val="00876A2A"/>
    <w:rsid w:val="00876A76"/>
    <w:rsid w:val="00876DBA"/>
    <w:rsid w:val="00876EE2"/>
    <w:rsid w:val="008770A6"/>
    <w:rsid w:val="00877347"/>
    <w:rsid w:val="00877842"/>
    <w:rsid w:val="00880470"/>
    <w:rsid w:val="0088059D"/>
    <w:rsid w:val="00880737"/>
    <w:rsid w:val="00880FD2"/>
    <w:rsid w:val="00881701"/>
    <w:rsid w:val="00881721"/>
    <w:rsid w:val="00882587"/>
    <w:rsid w:val="008830A7"/>
    <w:rsid w:val="0088376F"/>
    <w:rsid w:val="0088405F"/>
    <w:rsid w:val="00884B8F"/>
    <w:rsid w:val="0088502A"/>
    <w:rsid w:val="00885D0E"/>
    <w:rsid w:val="00886292"/>
    <w:rsid w:val="00887A0E"/>
    <w:rsid w:val="00887A65"/>
    <w:rsid w:val="00887B98"/>
    <w:rsid w:val="008901DA"/>
    <w:rsid w:val="008901E6"/>
    <w:rsid w:val="008906BC"/>
    <w:rsid w:val="00890ABD"/>
    <w:rsid w:val="00890E1B"/>
    <w:rsid w:val="008913BE"/>
    <w:rsid w:val="00891E20"/>
    <w:rsid w:val="00892277"/>
    <w:rsid w:val="0089274A"/>
    <w:rsid w:val="00892BF5"/>
    <w:rsid w:val="00892FEC"/>
    <w:rsid w:val="00893531"/>
    <w:rsid w:val="00895630"/>
    <w:rsid w:val="0089583E"/>
    <w:rsid w:val="00895A87"/>
    <w:rsid w:val="00895EA9"/>
    <w:rsid w:val="00895F3A"/>
    <w:rsid w:val="0089676C"/>
    <w:rsid w:val="00896ED5"/>
    <w:rsid w:val="008978B7"/>
    <w:rsid w:val="008A0003"/>
    <w:rsid w:val="008A192F"/>
    <w:rsid w:val="008A21AF"/>
    <w:rsid w:val="008A2775"/>
    <w:rsid w:val="008A2B4D"/>
    <w:rsid w:val="008A45AB"/>
    <w:rsid w:val="008A46B9"/>
    <w:rsid w:val="008A549A"/>
    <w:rsid w:val="008A5673"/>
    <w:rsid w:val="008A5A4B"/>
    <w:rsid w:val="008A5A67"/>
    <w:rsid w:val="008A60D8"/>
    <w:rsid w:val="008A6615"/>
    <w:rsid w:val="008A6D26"/>
    <w:rsid w:val="008A78F2"/>
    <w:rsid w:val="008A7A53"/>
    <w:rsid w:val="008A7CC7"/>
    <w:rsid w:val="008B05D6"/>
    <w:rsid w:val="008B1D69"/>
    <w:rsid w:val="008B2C7C"/>
    <w:rsid w:val="008B31BB"/>
    <w:rsid w:val="008B4D41"/>
    <w:rsid w:val="008B4EDC"/>
    <w:rsid w:val="008B4F77"/>
    <w:rsid w:val="008B5B07"/>
    <w:rsid w:val="008B624A"/>
    <w:rsid w:val="008B62C2"/>
    <w:rsid w:val="008B6AD1"/>
    <w:rsid w:val="008B6E1A"/>
    <w:rsid w:val="008B6E2A"/>
    <w:rsid w:val="008C0081"/>
    <w:rsid w:val="008C0F34"/>
    <w:rsid w:val="008C10E9"/>
    <w:rsid w:val="008C1917"/>
    <w:rsid w:val="008C3383"/>
    <w:rsid w:val="008C35CC"/>
    <w:rsid w:val="008C4BA2"/>
    <w:rsid w:val="008C4EB3"/>
    <w:rsid w:val="008C5D92"/>
    <w:rsid w:val="008C5EDC"/>
    <w:rsid w:val="008C610C"/>
    <w:rsid w:val="008C6213"/>
    <w:rsid w:val="008C71D8"/>
    <w:rsid w:val="008C7221"/>
    <w:rsid w:val="008C745D"/>
    <w:rsid w:val="008C7890"/>
    <w:rsid w:val="008C7D48"/>
    <w:rsid w:val="008D01E2"/>
    <w:rsid w:val="008D066F"/>
    <w:rsid w:val="008D18BF"/>
    <w:rsid w:val="008D1CCB"/>
    <w:rsid w:val="008D3181"/>
    <w:rsid w:val="008D533E"/>
    <w:rsid w:val="008D56CB"/>
    <w:rsid w:val="008D56EB"/>
    <w:rsid w:val="008D63C5"/>
    <w:rsid w:val="008D6528"/>
    <w:rsid w:val="008D7238"/>
    <w:rsid w:val="008D72FB"/>
    <w:rsid w:val="008D73B8"/>
    <w:rsid w:val="008D74EC"/>
    <w:rsid w:val="008D78B9"/>
    <w:rsid w:val="008D7909"/>
    <w:rsid w:val="008D7BFE"/>
    <w:rsid w:val="008E031F"/>
    <w:rsid w:val="008E09B0"/>
    <w:rsid w:val="008E196D"/>
    <w:rsid w:val="008E1BC1"/>
    <w:rsid w:val="008E1CD6"/>
    <w:rsid w:val="008E277D"/>
    <w:rsid w:val="008E2874"/>
    <w:rsid w:val="008E2995"/>
    <w:rsid w:val="008E2A23"/>
    <w:rsid w:val="008E494D"/>
    <w:rsid w:val="008E5095"/>
    <w:rsid w:val="008E5F26"/>
    <w:rsid w:val="008E6510"/>
    <w:rsid w:val="008E65F1"/>
    <w:rsid w:val="008E6C06"/>
    <w:rsid w:val="008E6E6D"/>
    <w:rsid w:val="008E70B2"/>
    <w:rsid w:val="008E773E"/>
    <w:rsid w:val="008E7964"/>
    <w:rsid w:val="008E7C53"/>
    <w:rsid w:val="008F06C5"/>
    <w:rsid w:val="008F0AA9"/>
    <w:rsid w:val="008F1246"/>
    <w:rsid w:val="008F1566"/>
    <w:rsid w:val="008F2EF1"/>
    <w:rsid w:val="008F35E6"/>
    <w:rsid w:val="008F38AC"/>
    <w:rsid w:val="008F425C"/>
    <w:rsid w:val="008F440B"/>
    <w:rsid w:val="008F45F6"/>
    <w:rsid w:val="008F597E"/>
    <w:rsid w:val="008F63A7"/>
    <w:rsid w:val="008F6FBE"/>
    <w:rsid w:val="008F7DBB"/>
    <w:rsid w:val="00901A52"/>
    <w:rsid w:val="00901AA8"/>
    <w:rsid w:val="00901BD4"/>
    <w:rsid w:val="00902732"/>
    <w:rsid w:val="00902DFF"/>
    <w:rsid w:val="0090502E"/>
    <w:rsid w:val="0090512B"/>
    <w:rsid w:val="0090674E"/>
    <w:rsid w:val="00907188"/>
    <w:rsid w:val="0090791A"/>
    <w:rsid w:val="00910349"/>
    <w:rsid w:val="00910425"/>
    <w:rsid w:val="00910A46"/>
    <w:rsid w:val="00910B7A"/>
    <w:rsid w:val="00911543"/>
    <w:rsid w:val="0091164C"/>
    <w:rsid w:val="00912ADF"/>
    <w:rsid w:val="00913040"/>
    <w:rsid w:val="009135D1"/>
    <w:rsid w:val="009141D6"/>
    <w:rsid w:val="0091446C"/>
    <w:rsid w:val="00914FA7"/>
    <w:rsid w:val="00915CF3"/>
    <w:rsid w:val="00916454"/>
    <w:rsid w:val="00916BDD"/>
    <w:rsid w:val="00917444"/>
    <w:rsid w:val="00917490"/>
    <w:rsid w:val="009174E9"/>
    <w:rsid w:val="009179CA"/>
    <w:rsid w:val="00917A31"/>
    <w:rsid w:val="00917C42"/>
    <w:rsid w:val="009204F1"/>
    <w:rsid w:val="00921BB9"/>
    <w:rsid w:val="00921CAA"/>
    <w:rsid w:val="00921FDD"/>
    <w:rsid w:val="00922926"/>
    <w:rsid w:val="00922930"/>
    <w:rsid w:val="00922CC9"/>
    <w:rsid w:val="009233EB"/>
    <w:rsid w:val="0092399D"/>
    <w:rsid w:val="00923D4E"/>
    <w:rsid w:val="00924DE5"/>
    <w:rsid w:val="00924FF8"/>
    <w:rsid w:val="00925084"/>
    <w:rsid w:val="009258C8"/>
    <w:rsid w:val="0092597A"/>
    <w:rsid w:val="00925A6C"/>
    <w:rsid w:val="00925B6E"/>
    <w:rsid w:val="00926437"/>
    <w:rsid w:val="00926826"/>
    <w:rsid w:val="00927664"/>
    <w:rsid w:val="00930187"/>
    <w:rsid w:val="009302AE"/>
    <w:rsid w:val="00930B28"/>
    <w:rsid w:val="00930D11"/>
    <w:rsid w:val="00931321"/>
    <w:rsid w:val="00932A26"/>
    <w:rsid w:val="00932A29"/>
    <w:rsid w:val="00932A7A"/>
    <w:rsid w:val="00932F3F"/>
    <w:rsid w:val="00932FA6"/>
    <w:rsid w:val="0093359A"/>
    <w:rsid w:val="0093373C"/>
    <w:rsid w:val="00933809"/>
    <w:rsid w:val="00933A89"/>
    <w:rsid w:val="00933B50"/>
    <w:rsid w:val="009341D4"/>
    <w:rsid w:val="00934E60"/>
    <w:rsid w:val="00935715"/>
    <w:rsid w:val="00937030"/>
    <w:rsid w:val="00937984"/>
    <w:rsid w:val="00937D75"/>
    <w:rsid w:val="00940395"/>
    <w:rsid w:val="00940B64"/>
    <w:rsid w:val="00942023"/>
    <w:rsid w:val="009422F9"/>
    <w:rsid w:val="0094321B"/>
    <w:rsid w:val="00944270"/>
    <w:rsid w:val="00944937"/>
    <w:rsid w:val="00944A2F"/>
    <w:rsid w:val="009454E8"/>
    <w:rsid w:val="0094576E"/>
    <w:rsid w:val="00945E05"/>
    <w:rsid w:val="009470C5"/>
    <w:rsid w:val="00947DAC"/>
    <w:rsid w:val="00947ECF"/>
    <w:rsid w:val="00951F2C"/>
    <w:rsid w:val="00952213"/>
    <w:rsid w:val="0095300A"/>
    <w:rsid w:val="00953974"/>
    <w:rsid w:val="00954A70"/>
    <w:rsid w:val="00955052"/>
    <w:rsid w:val="00955370"/>
    <w:rsid w:val="009556E9"/>
    <w:rsid w:val="00956015"/>
    <w:rsid w:val="00956620"/>
    <w:rsid w:val="00956E3C"/>
    <w:rsid w:val="009578BE"/>
    <w:rsid w:val="00957BC9"/>
    <w:rsid w:val="009600F8"/>
    <w:rsid w:val="00960633"/>
    <w:rsid w:val="00960688"/>
    <w:rsid w:val="00960C68"/>
    <w:rsid w:val="00960D67"/>
    <w:rsid w:val="00961753"/>
    <w:rsid w:val="00962657"/>
    <w:rsid w:val="009626C0"/>
    <w:rsid w:val="0096362D"/>
    <w:rsid w:val="0096385F"/>
    <w:rsid w:val="00964659"/>
    <w:rsid w:val="00964820"/>
    <w:rsid w:val="009650E7"/>
    <w:rsid w:val="009654D7"/>
    <w:rsid w:val="00965841"/>
    <w:rsid w:val="00965B45"/>
    <w:rsid w:val="00966571"/>
    <w:rsid w:val="00966A40"/>
    <w:rsid w:val="00966B74"/>
    <w:rsid w:val="00966BD8"/>
    <w:rsid w:val="00967913"/>
    <w:rsid w:val="00967C49"/>
    <w:rsid w:val="00967CCD"/>
    <w:rsid w:val="00967ED4"/>
    <w:rsid w:val="009706ED"/>
    <w:rsid w:val="00970A67"/>
    <w:rsid w:val="00971073"/>
    <w:rsid w:val="009716E3"/>
    <w:rsid w:val="00971715"/>
    <w:rsid w:val="00971C14"/>
    <w:rsid w:val="009725AA"/>
    <w:rsid w:val="009727E7"/>
    <w:rsid w:val="0097291A"/>
    <w:rsid w:val="00972A0D"/>
    <w:rsid w:val="009731EA"/>
    <w:rsid w:val="00973463"/>
    <w:rsid w:val="00973A2A"/>
    <w:rsid w:val="009748F0"/>
    <w:rsid w:val="00974A7F"/>
    <w:rsid w:val="00975353"/>
    <w:rsid w:val="00975388"/>
    <w:rsid w:val="00976CE8"/>
    <w:rsid w:val="00976F80"/>
    <w:rsid w:val="00980073"/>
    <w:rsid w:val="009805F1"/>
    <w:rsid w:val="0098067A"/>
    <w:rsid w:val="0098156E"/>
    <w:rsid w:val="00982114"/>
    <w:rsid w:val="00983655"/>
    <w:rsid w:val="00983681"/>
    <w:rsid w:val="0098390A"/>
    <w:rsid w:val="00983964"/>
    <w:rsid w:val="00983B06"/>
    <w:rsid w:val="00983D39"/>
    <w:rsid w:val="00983E87"/>
    <w:rsid w:val="00984D6F"/>
    <w:rsid w:val="00985300"/>
    <w:rsid w:val="00985892"/>
    <w:rsid w:val="0098607C"/>
    <w:rsid w:val="0098678B"/>
    <w:rsid w:val="00986CFE"/>
    <w:rsid w:val="009872B9"/>
    <w:rsid w:val="009878FC"/>
    <w:rsid w:val="00990DA9"/>
    <w:rsid w:val="00991162"/>
    <w:rsid w:val="0099204B"/>
    <w:rsid w:val="0099216D"/>
    <w:rsid w:val="009923EC"/>
    <w:rsid w:val="009926D5"/>
    <w:rsid w:val="00992BFC"/>
    <w:rsid w:val="00993334"/>
    <w:rsid w:val="00993610"/>
    <w:rsid w:val="0099362F"/>
    <w:rsid w:val="00993671"/>
    <w:rsid w:val="00993675"/>
    <w:rsid w:val="00993BED"/>
    <w:rsid w:val="00993C89"/>
    <w:rsid w:val="00993CC2"/>
    <w:rsid w:val="00994564"/>
    <w:rsid w:val="009955B8"/>
    <w:rsid w:val="009955D0"/>
    <w:rsid w:val="0099589A"/>
    <w:rsid w:val="00996427"/>
    <w:rsid w:val="00996675"/>
    <w:rsid w:val="00996812"/>
    <w:rsid w:val="00996C4E"/>
    <w:rsid w:val="00996EC4"/>
    <w:rsid w:val="00997EC7"/>
    <w:rsid w:val="009A15D9"/>
    <w:rsid w:val="009A1731"/>
    <w:rsid w:val="009A2A5C"/>
    <w:rsid w:val="009A41A1"/>
    <w:rsid w:val="009A44F8"/>
    <w:rsid w:val="009A470C"/>
    <w:rsid w:val="009A4835"/>
    <w:rsid w:val="009A5538"/>
    <w:rsid w:val="009A58C8"/>
    <w:rsid w:val="009A5AB4"/>
    <w:rsid w:val="009A5DBD"/>
    <w:rsid w:val="009A69B8"/>
    <w:rsid w:val="009A6E67"/>
    <w:rsid w:val="009A7175"/>
    <w:rsid w:val="009A7260"/>
    <w:rsid w:val="009A74F3"/>
    <w:rsid w:val="009A752C"/>
    <w:rsid w:val="009B0507"/>
    <w:rsid w:val="009B103F"/>
    <w:rsid w:val="009B169A"/>
    <w:rsid w:val="009B175E"/>
    <w:rsid w:val="009B18AB"/>
    <w:rsid w:val="009B2331"/>
    <w:rsid w:val="009B2375"/>
    <w:rsid w:val="009B23B9"/>
    <w:rsid w:val="009B247D"/>
    <w:rsid w:val="009B276E"/>
    <w:rsid w:val="009B3249"/>
    <w:rsid w:val="009B3614"/>
    <w:rsid w:val="009B3B0B"/>
    <w:rsid w:val="009B478A"/>
    <w:rsid w:val="009B4B0D"/>
    <w:rsid w:val="009B6076"/>
    <w:rsid w:val="009B62D4"/>
    <w:rsid w:val="009B7072"/>
    <w:rsid w:val="009B7C92"/>
    <w:rsid w:val="009C0B7E"/>
    <w:rsid w:val="009C0C49"/>
    <w:rsid w:val="009C11B1"/>
    <w:rsid w:val="009C120E"/>
    <w:rsid w:val="009C14E4"/>
    <w:rsid w:val="009C17D3"/>
    <w:rsid w:val="009C1AA2"/>
    <w:rsid w:val="009C1FDB"/>
    <w:rsid w:val="009C1FFA"/>
    <w:rsid w:val="009C2121"/>
    <w:rsid w:val="009C3476"/>
    <w:rsid w:val="009C4035"/>
    <w:rsid w:val="009C4254"/>
    <w:rsid w:val="009C4F76"/>
    <w:rsid w:val="009C545C"/>
    <w:rsid w:val="009C5BC3"/>
    <w:rsid w:val="009C5E92"/>
    <w:rsid w:val="009C60E5"/>
    <w:rsid w:val="009C6126"/>
    <w:rsid w:val="009C6163"/>
    <w:rsid w:val="009C663C"/>
    <w:rsid w:val="009C69FA"/>
    <w:rsid w:val="009D05D7"/>
    <w:rsid w:val="009D06F0"/>
    <w:rsid w:val="009D0FCE"/>
    <w:rsid w:val="009D1B9E"/>
    <w:rsid w:val="009D1BEC"/>
    <w:rsid w:val="009D28D2"/>
    <w:rsid w:val="009D33D3"/>
    <w:rsid w:val="009D349A"/>
    <w:rsid w:val="009D3958"/>
    <w:rsid w:val="009D4840"/>
    <w:rsid w:val="009D5B60"/>
    <w:rsid w:val="009D5D50"/>
    <w:rsid w:val="009D6381"/>
    <w:rsid w:val="009D6612"/>
    <w:rsid w:val="009D6854"/>
    <w:rsid w:val="009D6C3C"/>
    <w:rsid w:val="009D6D44"/>
    <w:rsid w:val="009D781E"/>
    <w:rsid w:val="009D7CD9"/>
    <w:rsid w:val="009E127E"/>
    <w:rsid w:val="009E1619"/>
    <w:rsid w:val="009E2A75"/>
    <w:rsid w:val="009E335F"/>
    <w:rsid w:val="009E373B"/>
    <w:rsid w:val="009E3F5F"/>
    <w:rsid w:val="009E55F8"/>
    <w:rsid w:val="009E572F"/>
    <w:rsid w:val="009E5D9E"/>
    <w:rsid w:val="009E6D14"/>
    <w:rsid w:val="009E7266"/>
    <w:rsid w:val="009E751E"/>
    <w:rsid w:val="009E774D"/>
    <w:rsid w:val="009E7E6F"/>
    <w:rsid w:val="009F009D"/>
    <w:rsid w:val="009F1880"/>
    <w:rsid w:val="009F193B"/>
    <w:rsid w:val="009F20D6"/>
    <w:rsid w:val="009F300B"/>
    <w:rsid w:val="009F3467"/>
    <w:rsid w:val="009F370F"/>
    <w:rsid w:val="009F44D9"/>
    <w:rsid w:val="009F4E4D"/>
    <w:rsid w:val="009F6775"/>
    <w:rsid w:val="009F7693"/>
    <w:rsid w:val="009F7864"/>
    <w:rsid w:val="009F7B7A"/>
    <w:rsid w:val="00A001BC"/>
    <w:rsid w:val="00A001FB"/>
    <w:rsid w:val="00A003AC"/>
    <w:rsid w:val="00A00452"/>
    <w:rsid w:val="00A0053E"/>
    <w:rsid w:val="00A0075F"/>
    <w:rsid w:val="00A00AD8"/>
    <w:rsid w:val="00A00D4F"/>
    <w:rsid w:val="00A017A4"/>
    <w:rsid w:val="00A01826"/>
    <w:rsid w:val="00A01A69"/>
    <w:rsid w:val="00A01B4D"/>
    <w:rsid w:val="00A02790"/>
    <w:rsid w:val="00A03564"/>
    <w:rsid w:val="00A03BF0"/>
    <w:rsid w:val="00A04CDC"/>
    <w:rsid w:val="00A04E7A"/>
    <w:rsid w:val="00A05624"/>
    <w:rsid w:val="00A0592F"/>
    <w:rsid w:val="00A05DA6"/>
    <w:rsid w:val="00A05F54"/>
    <w:rsid w:val="00A0614E"/>
    <w:rsid w:val="00A06164"/>
    <w:rsid w:val="00A066F7"/>
    <w:rsid w:val="00A07CC5"/>
    <w:rsid w:val="00A07D40"/>
    <w:rsid w:val="00A100DE"/>
    <w:rsid w:val="00A10216"/>
    <w:rsid w:val="00A102B2"/>
    <w:rsid w:val="00A103A6"/>
    <w:rsid w:val="00A11120"/>
    <w:rsid w:val="00A11209"/>
    <w:rsid w:val="00A115DF"/>
    <w:rsid w:val="00A11AF9"/>
    <w:rsid w:val="00A126BA"/>
    <w:rsid w:val="00A1298B"/>
    <w:rsid w:val="00A12EA5"/>
    <w:rsid w:val="00A1320B"/>
    <w:rsid w:val="00A135A7"/>
    <w:rsid w:val="00A13A30"/>
    <w:rsid w:val="00A13D71"/>
    <w:rsid w:val="00A13E2E"/>
    <w:rsid w:val="00A14176"/>
    <w:rsid w:val="00A160C1"/>
    <w:rsid w:val="00A162EE"/>
    <w:rsid w:val="00A1759F"/>
    <w:rsid w:val="00A1764B"/>
    <w:rsid w:val="00A176DB"/>
    <w:rsid w:val="00A20279"/>
    <w:rsid w:val="00A21576"/>
    <w:rsid w:val="00A21878"/>
    <w:rsid w:val="00A24016"/>
    <w:rsid w:val="00A24129"/>
    <w:rsid w:val="00A24A31"/>
    <w:rsid w:val="00A24C82"/>
    <w:rsid w:val="00A2594A"/>
    <w:rsid w:val="00A2614F"/>
    <w:rsid w:val="00A262A0"/>
    <w:rsid w:val="00A2668F"/>
    <w:rsid w:val="00A27797"/>
    <w:rsid w:val="00A27A21"/>
    <w:rsid w:val="00A31324"/>
    <w:rsid w:val="00A31FFD"/>
    <w:rsid w:val="00A3215E"/>
    <w:rsid w:val="00A32FF2"/>
    <w:rsid w:val="00A348EF"/>
    <w:rsid w:val="00A356F5"/>
    <w:rsid w:val="00A369ED"/>
    <w:rsid w:val="00A36D3D"/>
    <w:rsid w:val="00A37165"/>
    <w:rsid w:val="00A371AE"/>
    <w:rsid w:val="00A375B4"/>
    <w:rsid w:val="00A41150"/>
    <w:rsid w:val="00A416E1"/>
    <w:rsid w:val="00A419BE"/>
    <w:rsid w:val="00A42193"/>
    <w:rsid w:val="00A42286"/>
    <w:rsid w:val="00A4281C"/>
    <w:rsid w:val="00A429A8"/>
    <w:rsid w:val="00A43842"/>
    <w:rsid w:val="00A43E97"/>
    <w:rsid w:val="00A44E2B"/>
    <w:rsid w:val="00A4517A"/>
    <w:rsid w:val="00A45688"/>
    <w:rsid w:val="00A45F35"/>
    <w:rsid w:val="00A46348"/>
    <w:rsid w:val="00A464DE"/>
    <w:rsid w:val="00A46BDA"/>
    <w:rsid w:val="00A4702E"/>
    <w:rsid w:val="00A471E2"/>
    <w:rsid w:val="00A47803"/>
    <w:rsid w:val="00A50039"/>
    <w:rsid w:val="00A50A72"/>
    <w:rsid w:val="00A50EB2"/>
    <w:rsid w:val="00A51087"/>
    <w:rsid w:val="00A51C32"/>
    <w:rsid w:val="00A51FD6"/>
    <w:rsid w:val="00A51FE6"/>
    <w:rsid w:val="00A52679"/>
    <w:rsid w:val="00A53CD2"/>
    <w:rsid w:val="00A54003"/>
    <w:rsid w:val="00A5459D"/>
    <w:rsid w:val="00A553A8"/>
    <w:rsid w:val="00A55CB6"/>
    <w:rsid w:val="00A56814"/>
    <w:rsid w:val="00A57AFF"/>
    <w:rsid w:val="00A60E6F"/>
    <w:rsid w:val="00A61190"/>
    <w:rsid w:val="00A626EC"/>
    <w:rsid w:val="00A6280C"/>
    <w:rsid w:val="00A6299F"/>
    <w:rsid w:val="00A650F0"/>
    <w:rsid w:val="00A658BA"/>
    <w:rsid w:val="00A659B8"/>
    <w:rsid w:val="00A65C1B"/>
    <w:rsid w:val="00A66322"/>
    <w:rsid w:val="00A6674E"/>
    <w:rsid w:val="00A670C7"/>
    <w:rsid w:val="00A671AD"/>
    <w:rsid w:val="00A67792"/>
    <w:rsid w:val="00A679AA"/>
    <w:rsid w:val="00A67DDF"/>
    <w:rsid w:val="00A70061"/>
    <w:rsid w:val="00A70915"/>
    <w:rsid w:val="00A70B3E"/>
    <w:rsid w:val="00A7126D"/>
    <w:rsid w:val="00A72478"/>
    <w:rsid w:val="00A73B87"/>
    <w:rsid w:val="00A73BA1"/>
    <w:rsid w:val="00A73C3C"/>
    <w:rsid w:val="00A73EC1"/>
    <w:rsid w:val="00A73F51"/>
    <w:rsid w:val="00A741B1"/>
    <w:rsid w:val="00A74A29"/>
    <w:rsid w:val="00A74A93"/>
    <w:rsid w:val="00A75B43"/>
    <w:rsid w:val="00A75D56"/>
    <w:rsid w:val="00A75E69"/>
    <w:rsid w:val="00A75E9D"/>
    <w:rsid w:val="00A76212"/>
    <w:rsid w:val="00A76E30"/>
    <w:rsid w:val="00A77027"/>
    <w:rsid w:val="00A770BB"/>
    <w:rsid w:val="00A771E5"/>
    <w:rsid w:val="00A817E8"/>
    <w:rsid w:val="00A81C34"/>
    <w:rsid w:val="00A82213"/>
    <w:rsid w:val="00A82666"/>
    <w:rsid w:val="00A82F5E"/>
    <w:rsid w:val="00A83449"/>
    <w:rsid w:val="00A8443F"/>
    <w:rsid w:val="00A84991"/>
    <w:rsid w:val="00A8545B"/>
    <w:rsid w:val="00A866DF"/>
    <w:rsid w:val="00A8732D"/>
    <w:rsid w:val="00A87334"/>
    <w:rsid w:val="00A87833"/>
    <w:rsid w:val="00A87994"/>
    <w:rsid w:val="00A91562"/>
    <w:rsid w:val="00A919C9"/>
    <w:rsid w:val="00A91E74"/>
    <w:rsid w:val="00A93284"/>
    <w:rsid w:val="00A932DC"/>
    <w:rsid w:val="00A940A9"/>
    <w:rsid w:val="00A94BD1"/>
    <w:rsid w:val="00A94F2D"/>
    <w:rsid w:val="00A959E5"/>
    <w:rsid w:val="00A95BB2"/>
    <w:rsid w:val="00A9626B"/>
    <w:rsid w:val="00A96A2E"/>
    <w:rsid w:val="00A96D60"/>
    <w:rsid w:val="00AA0237"/>
    <w:rsid w:val="00AA0809"/>
    <w:rsid w:val="00AA085E"/>
    <w:rsid w:val="00AA1475"/>
    <w:rsid w:val="00AA20DF"/>
    <w:rsid w:val="00AA29B5"/>
    <w:rsid w:val="00AA2C69"/>
    <w:rsid w:val="00AA3B68"/>
    <w:rsid w:val="00AA40E2"/>
    <w:rsid w:val="00AA5C38"/>
    <w:rsid w:val="00AA5CEB"/>
    <w:rsid w:val="00AA6BF6"/>
    <w:rsid w:val="00AA6E0B"/>
    <w:rsid w:val="00AA7153"/>
    <w:rsid w:val="00AA7E1E"/>
    <w:rsid w:val="00AB03B0"/>
    <w:rsid w:val="00AB068D"/>
    <w:rsid w:val="00AB0E1E"/>
    <w:rsid w:val="00AB1648"/>
    <w:rsid w:val="00AB20D1"/>
    <w:rsid w:val="00AB224F"/>
    <w:rsid w:val="00AB364A"/>
    <w:rsid w:val="00AB42EB"/>
    <w:rsid w:val="00AB5388"/>
    <w:rsid w:val="00AB58B9"/>
    <w:rsid w:val="00AB6DAC"/>
    <w:rsid w:val="00AB74D5"/>
    <w:rsid w:val="00AB7E9A"/>
    <w:rsid w:val="00AC019D"/>
    <w:rsid w:val="00AC1260"/>
    <w:rsid w:val="00AC151F"/>
    <w:rsid w:val="00AC1B3F"/>
    <w:rsid w:val="00AC1DFB"/>
    <w:rsid w:val="00AC1FFD"/>
    <w:rsid w:val="00AC233F"/>
    <w:rsid w:val="00AC2BDC"/>
    <w:rsid w:val="00AC36F4"/>
    <w:rsid w:val="00AC6649"/>
    <w:rsid w:val="00AC672D"/>
    <w:rsid w:val="00AC725E"/>
    <w:rsid w:val="00AD0C77"/>
    <w:rsid w:val="00AD0C7D"/>
    <w:rsid w:val="00AD1956"/>
    <w:rsid w:val="00AD22B7"/>
    <w:rsid w:val="00AD2A65"/>
    <w:rsid w:val="00AD2AC5"/>
    <w:rsid w:val="00AD3326"/>
    <w:rsid w:val="00AD3480"/>
    <w:rsid w:val="00AD3D5D"/>
    <w:rsid w:val="00AD4054"/>
    <w:rsid w:val="00AD4AB8"/>
    <w:rsid w:val="00AD4BAF"/>
    <w:rsid w:val="00AD4F2F"/>
    <w:rsid w:val="00AD5028"/>
    <w:rsid w:val="00AD5771"/>
    <w:rsid w:val="00AD588F"/>
    <w:rsid w:val="00AD6308"/>
    <w:rsid w:val="00AD6359"/>
    <w:rsid w:val="00AD6D9C"/>
    <w:rsid w:val="00AD7550"/>
    <w:rsid w:val="00AD7563"/>
    <w:rsid w:val="00AE103C"/>
    <w:rsid w:val="00AE10EB"/>
    <w:rsid w:val="00AE154A"/>
    <w:rsid w:val="00AE160C"/>
    <w:rsid w:val="00AE1A7C"/>
    <w:rsid w:val="00AE1FE0"/>
    <w:rsid w:val="00AE3177"/>
    <w:rsid w:val="00AE3911"/>
    <w:rsid w:val="00AE4945"/>
    <w:rsid w:val="00AE4B15"/>
    <w:rsid w:val="00AE52FC"/>
    <w:rsid w:val="00AE5B28"/>
    <w:rsid w:val="00AE5DD8"/>
    <w:rsid w:val="00AE61C9"/>
    <w:rsid w:val="00AE6570"/>
    <w:rsid w:val="00AE67ED"/>
    <w:rsid w:val="00AE6B43"/>
    <w:rsid w:val="00AE7061"/>
    <w:rsid w:val="00AE735B"/>
    <w:rsid w:val="00AF0327"/>
    <w:rsid w:val="00AF0769"/>
    <w:rsid w:val="00AF1BAB"/>
    <w:rsid w:val="00AF27B1"/>
    <w:rsid w:val="00AF27DA"/>
    <w:rsid w:val="00AF2BC6"/>
    <w:rsid w:val="00AF2D3A"/>
    <w:rsid w:val="00AF3BD9"/>
    <w:rsid w:val="00AF3C05"/>
    <w:rsid w:val="00AF42A0"/>
    <w:rsid w:val="00AF4570"/>
    <w:rsid w:val="00AF4F0B"/>
    <w:rsid w:val="00AF5DCA"/>
    <w:rsid w:val="00AF69B2"/>
    <w:rsid w:val="00AF6E13"/>
    <w:rsid w:val="00AF6E91"/>
    <w:rsid w:val="00AF708D"/>
    <w:rsid w:val="00AF7192"/>
    <w:rsid w:val="00AF7EDE"/>
    <w:rsid w:val="00AF7FA8"/>
    <w:rsid w:val="00B00BDB"/>
    <w:rsid w:val="00B017E3"/>
    <w:rsid w:val="00B01A5A"/>
    <w:rsid w:val="00B01BF5"/>
    <w:rsid w:val="00B04D99"/>
    <w:rsid w:val="00B052E8"/>
    <w:rsid w:val="00B0600B"/>
    <w:rsid w:val="00B06079"/>
    <w:rsid w:val="00B06684"/>
    <w:rsid w:val="00B06C40"/>
    <w:rsid w:val="00B07AA3"/>
    <w:rsid w:val="00B10335"/>
    <w:rsid w:val="00B10555"/>
    <w:rsid w:val="00B10660"/>
    <w:rsid w:val="00B11072"/>
    <w:rsid w:val="00B110F2"/>
    <w:rsid w:val="00B111E3"/>
    <w:rsid w:val="00B11D42"/>
    <w:rsid w:val="00B1228F"/>
    <w:rsid w:val="00B1359D"/>
    <w:rsid w:val="00B13F3A"/>
    <w:rsid w:val="00B14AF9"/>
    <w:rsid w:val="00B161EB"/>
    <w:rsid w:val="00B16CD4"/>
    <w:rsid w:val="00B16ED5"/>
    <w:rsid w:val="00B16EE2"/>
    <w:rsid w:val="00B170D1"/>
    <w:rsid w:val="00B1759B"/>
    <w:rsid w:val="00B17E74"/>
    <w:rsid w:val="00B20271"/>
    <w:rsid w:val="00B20535"/>
    <w:rsid w:val="00B20B4F"/>
    <w:rsid w:val="00B2132B"/>
    <w:rsid w:val="00B23137"/>
    <w:rsid w:val="00B23289"/>
    <w:rsid w:val="00B23E7C"/>
    <w:rsid w:val="00B23FB7"/>
    <w:rsid w:val="00B2638E"/>
    <w:rsid w:val="00B26743"/>
    <w:rsid w:val="00B273DD"/>
    <w:rsid w:val="00B27583"/>
    <w:rsid w:val="00B2766A"/>
    <w:rsid w:val="00B27E47"/>
    <w:rsid w:val="00B30555"/>
    <w:rsid w:val="00B3141C"/>
    <w:rsid w:val="00B31C0D"/>
    <w:rsid w:val="00B3260E"/>
    <w:rsid w:val="00B32665"/>
    <w:rsid w:val="00B32981"/>
    <w:rsid w:val="00B32E0C"/>
    <w:rsid w:val="00B33936"/>
    <w:rsid w:val="00B35A0E"/>
    <w:rsid w:val="00B35F99"/>
    <w:rsid w:val="00B36385"/>
    <w:rsid w:val="00B3662D"/>
    <w:rsid w:val="00B36945"/>
    <w:rsid w:val="00B371AC"/>
    <w:rsid w:val="00B40422"/>
    <w:rsid w:val="00B40C73"/>
    <w:rsid w:val="00B41097"/>
    <w:rsid w:val="00B4109A"/>
    <w:rsid w:val="00B41573"/>
    <w:rsid w:val="00B41648"/>
    <w:rsid w:val="00B416D7"/>
    <w:rsid w:val="00B41E22"/>
    <w:rsid w:val="00B42385"/>
    <w:rsid w:val="00B424E7"/>
    <w:rsid w:val="00B4269D"/>
    <w:rsid w:val="00B427F9"/>
    <w:rsid w:val="00B431B3"/>
    <w:rsid w:val="00B433D4"/>
    <w:rsid w:val="00B43760"/>
    <w:rsid w:val="00B43B1E"/>
    <w:rsid w:val="00B440C2"/>
    <w:rsid w:val="00B4490B"/>
    <w:rsid w:val="00B44ECC"/>
    <w:rsid w:val="00B4538A"/>
    <w:rsid w:val="00B46745"/>
    <w:rsid w:val="00B4732A"/>
    <w:rsid w:val="00B5033B"/>
    <w:rsid w:val="00B506DF"/>
    <w:rsid w:val="00B5078B"/>
    <w:rsid w:val="00B507BA"/>
    <w:rsid w:val="00B50BF2"/>
    <w:rsid w:val="00B50DE6"/>
    <w:rsid w:val="00B51240"/>
    <w:rsid w:val="00B518BF"/>
    <w:rsid w:val="00B51B74"/>
    <w:rsid w:val="00B52156"/>
    <w:rsid w:val="00B52D4B"/>
    <w:rsid w:val="00B54722"/>
    <w:rsid w:val="00B54A5D"/>
    <w:rsid w:val="00B54D94"/>
    <w:rsid w:val="00B5769C"/>
    <w:rsid w:val="00B57C38"/>
    <w:rsid w:val="00B6028B"/>
    <w:rsid w:val="00B6042E"/>
    <w:rsid w:val="00B619D1"/>
    <w:rsid w:val="00B61B0D"/>
    <w:rsid w:val="00B61C41"/>
    <w:rsid w:val="00B61ECF"/>
    <w:rsid w:val="00B6287B"/>
    <w:rsid w:val="00B628FD"/>
    <w:rsid w:val="00B62D6E"/>
    <w:rsid w:val="00B6350D"/>
    <w:rsid w:val="00B6354B"/>
    <w:rsid w:val="00B636BA"/>
    <w:rsid w:val="00B63A8E"/>
    <w:rsid w:val="00B6433C"/>
    <w:rsid w:val="00B64498"/>
    <w:rsid w:val="00B64CE7"/>
    <w:rsid w:val="00B6532C"/>
    <w:rsid w:val="00B65F1D"/>
    <w:rsid w:val="00B6630E"/>
    <w:rsid w:val="00B66DF1"/>
    <w:rsid w:val="00B67322"/>
    <w:rsid w:val="00B70870"/>
    <w:rsid w:val="00B70AE0"/>
    <w:rsid w:val="00B712D5"/>
    <w:rsid w:val="00B72165"/>
    <w:rsid w:val="00B721F2"/>
    <w:rsid w:val="00B72BA2"/>
    <w:rsid w:val="00B73099"/>
    <w:rsid w:val="00B730F1"/>
    <w:rsid w:val="00B748DB"/>
    <w:rsid w:val="00B74D0B"/>
    <w:rsid w:val="00B75628"/>
    <w:rsid w:val="00B75DDB"/>
    <w:rsid w:val="00B75EAB"/>
    <w:rsid w:val="00B76251"/>
    <w:rsid w:val="00B76380"/>
    <w:rsid w:val="00B7657F"/>
    <w:rsid w:val="00B770AA"/>
    <w:rsid w:val="00B80E64"/>
    <w:rsid w:val="00B81602"/>
    <w:rsid w:val="00B81A78"/>
    <w:rsid w:val="00B83049"/>
    <w:rsid w:val="00B833FF"/>
    <w:rsid w:val="00B83B2E"/>
    <w:rsid w:val="00B84223"/>
    <w:rsid w:val="00B8467C"/>
    <w:rsid w:val="00B84823"/>
    <w:rsid w:val="00B84A33"/>
    <w:rsid w:val="00B84AC9"/>
    <w:rsid w:val="00B853A3"/>
    <w:rsid w:val="00B8598C"/>
    <w:rsid w:val="00B85B27"/>
    <w:rsid w:val="00B85F5F"/>
    <w:rsid w:val="00B869EA"/>
    <w:rsid w:val="00B86C9D"/>
    <w:rsid w:val="00B86FCA"/>
    <w:rsid w:val="00B9069A"/>
    <w:rsid w:val="00B9121B"/>
    <w:rsid w:val="00B91585"/>
    <w:rsid w:val="00B917CC"/>
    <w:rsid w:val="00B91E44"/>
    <w:rsid w:val="00B91FF5"/>
    <w:rsid w:val="00B925FD"/>
    <w:rsid w:val="00B931C7"/>
    <w:rsid w:val="00B93A5C"/>
    <w:rsid w:val="00B940EF"/>
    <w:rsid w:val="00B94192"/>
    <w:rsid w:val="00B957F3"/>
    <w:rsid w:val="00B9581F"/>
    <w:rsid w:val="00B95A0E"/>
    <w:rsid w:val="00B95B49"/>
    <w:rsid w:val="00B95DC0"/>
    <w:rsid w:val="00B969F3"/>
    <w:rsid w:val="00B970D2"/>
    <w:rsid w:val="00B97410"/>
    <w:rsid w:val="00B97B1D"/>
    <w:rsid w:val="00B97D52"/>
    <w:rsid w:val="00BA03CE"/>
    <w:rsid w:val="00BA082C"/>
    <w:rsid w:val="00BA083D"/>
    <w:rsid w:val="00BA1D19"/>
    <w:rsid w:val="00BA2967"/>
    <w:rsid w:val="00BA3916"/>
    <w:rsid w:val="00BA3C13"/>
    <w:rsid w:val="00BA46AE"/>
    <w:rsid w:val="00BA517D"/>
    <w:rsid w:val="00BA53F1"/>
    <w:rsid w:val="00BA5AFC"/>
    <w:rsid w:val="00BA66AF"/>
    <w:rsid w:val="00BA6B4D"/>
    <w:rsid w:val="00BA6E0E"/>
    <w:rsid w:val="00BA70AD"/>
    <w:rsid w:val="00BA72A6"/>
    <w:rsid w:val="00BA7A8F"/>
    <w:rsid w:val="00BB05BE"/>
    <w:rsid w:val="00BB0D34"/>
    <w:rsid w:val="00BB0DA0"/>
    <w:rsid w:val="00BB12D9"/>
    <w:rsid w:val="00BB1384"/>
    <w:rsid w:val="00BB15B5"/>
    <w:rsid w:val="00BB1679"/>
    <w:rsid w:val="00BB1827"/>
    <w:rsid w:val="00BB1A71"/>
    <w:rsid w:val="00BB1F65"/>
    <w:rsid w:val="00BB229B"/>
    <w:rsid w:val="00BB293C"/>
    <w:rsid w:val="00BB2D46"/>
    <w:rsid w:val="00BB37BF"/>
    <w:rsid w:val="00BB3BA6"/>
    <w:rsid w:val="00BB3C79"/>
    <w:rsid w:val="00BB4085"/>
    <w:rsid w:val="00BB4851"/>
    <w:rsid w:val="00BB54D2"/>
    <w:rsid w:val="00BB5752"/>
    <w:rsid w:val="00BB5972"/>
    <w:rsid w:val="00BB6E7A"/>
    <w:rsid w:val="00BB7098"/>
    <w:rsid w:val="00BB70AB"/>
    <w:rsid w:val="00BC0052"/>
    <w:rsid w:val="00BC0CD1"/>
    <w:rsid w:val="00BC1144"/>
    <w:rsid w:val="00BC17DB"/>
    <w:rsid w:val="00BC2107"/>
    <w:rsid w:val="00BC25A3"/>
    <w:rsid w:val="00BC2704"/>
    <w:rsid w:val="00BC2C8E"/>
    <w:rsid w:val="00BC317A"/>
    <w:rsid w:val="00BC393C"/>
    <w:rsid w:val="00BC4634"/>
    <w:rsid w:val="00BC477A"/>
    <w:rsid w:val="00BC47BB"/>
    <w:rsid w:val="00BC54A1"/>
    <w:rsid w:val="00BC5D34"/>
    <w:rsid w:val="00BC5E2A"/>
    <w:rsid w:val="00BC6295"/>
    <w:rsid w:val="00BC6386"/>
    <w:rsid w:val="00BC671E"/>
    <w:rsid w:val="00BC69AF"/>
    <w:rsid w:val="00BC734A"/>
    <w:rsid w:val="00BD06E1"/>
    <w:rsid w:val="00BD1A7F"/>
    <w:rsid w:val="00BD3163"/>
    <w:rsid w:val="00BD3E51"/>
    <w:rsid w:val="00BD3ED1"/>
    <w:rsid w:val="00BD4CA9"/>
    <w:rsid w:val="00BD4D07"/>
    <w:rsid w:val="00BD53F6"/>
    <w:rsid w:val="00BD59DA"/>
    <w:rsid w:val="00BD6517"/>
    <w:rsid w:val="00BD6B56"/>
    <w:rsid w:val="00BD6C39"/>
    <w:rsid w:val="00BD755C"/>
    <w:rsid w:val="00BD7B3D"/>
    <w:rsid w:val="00BD7F6E"/>
    <w:rsid w:val="00BE1890"/>
    <w:rsid w:val="00BE2E99"/>
    <w:rsid w:val="00BE30A2"/>
    <w:rsid w:val="00BE30BA"/>
    <w:rsid w:val="00BE37D5"/>
    <w:rsid w:val="00BE489A"/>
    <w:rsid w:val="00BE51F2"/>
    <w:rsid w:val="00BE5282"/>
    <w:rsid w:val="00BE5291"/>
    <w:rsid w:val="00BE534A"/>
    <w:rsid w:val="00BE58A5"/>
    <w:rsid w:val="00BE58F2"/>
    <w:rsid w:val="00BE5A76"/>
    <w:rsid w:val="00BE62CA"/>
    <w:rsid w:val="00BE7156"/>
    <w:rsid w:val="00BE7164"/>
    <w:rsid w:val="00BE78A0"/>
    <w:rsid w:val="00BF0090"/>
    <w:rsid w:val="00BF01A7"/>
    <w:rsid w:val="00BF0900"/>
    <w:rsid w:val="00BF0E84"/>
    <w:rsid w:val="00BF17AA"/>
    <w:rsid w:val="00BF23E4"/>
    <w:rsid w:val="00BF27E7"/>
    <w:rsid w:val="00BF2EDD"/>
    <w:rsid w:val="00BF3869"/>
    <w:rsid w:val="00BF4151"/>
    <w:rsid w:val="00BF4225"/>
    <w:rsid w:val="00BF4A13"/>
    <w:rsid w:val="00BF4A78"/>
    <w:rsid w:val="00BF4AF8"/>
    <w:rsid w:val="00BF4D65"/>
    <w:rsid w:val="00BF56FB"/>
    <w:rsid w:val="00BF57BC"/>
    <w:rsid w:val="00BF57C5"/>
    <w:rsid w:val="00BF587A"/>
    <w:rsid w:val="00BF653A"/>
    <w:rsid w:val="00BF6B3F"/>
    <w:rsid w:val="00C00002"/>
    <w:rsid w:val="00C005A7"/>
    <w:rsid w:val="00C00C4F"/>
    <w:rsid w:val="00C0124E"/>
    <w:rsid w:val="00C01979"/>
    <w:rsid w:val="00C01D99"/>
    <w:rsid w:val="00C025D2"/>
    <w:rsid w:val="00C02D09"/>
    <w:rsid w:val="00C048F3"/>
    <w:rsid w:val="00C04C76"/>
    <w:rsid w:val="00C04ED4"/>
    <w:rsid w:val="00C05545"/>
    <w:rsid w:val="00C05655"/>
    <w:rsid w:val="00C056B8"/>
    <w:rsid w:val="00C06390"/>
    <w:rsid w:val="00C06680"/>
    <w:rsid w:val="00C06F36"/>
    <w:rsid w:val="00C078AD"/>
    <w:rsid w:val="00C07AF3"/>
    <w:rsid w:val="00C10C6B"/>
    <w:rsid w:val="00C11760"/>
    <w:rsid w:val="00C118C1"/>
    <w:rsid w:val="00C11E3F"/>
    <w:rsid w:val="00C11FEC"/>
    <w:rsid w:val="00C125E9"/>
    <w:rsid w:val="00C12E4A"/>
    <w:rsid w:val="00C1320C"/>
    <w:rsid w:val="00C14192"/>
    <w:rsid w:val="00C14481"/>
    <w:rsid w:val="00C1460D"/>
    <w:rsid w:val="00C1464A"/>
    <w:rsid w:val="00C146B7"/>
    <w:rsid w:val="00C15C58"/>
    <w:rsid w:val="00C16B7C"/>
    <w:rsid w:val="00C16D70"/>
    <w:rsid w:val="00C16FA4"/>
    <w:rsid w:val="00C17C36"/>
    <w:rsid w:val="00C17EC8"/>
    <w:rsid w:val="00C17F8D"/>
    <w:rsid w:val="00C2020A"/>
    <w:rsid w:val="00C204D5"/>
    <w:rsid w:val="00C205A0"/>
    <w:rsid w:val="00C20762"/>
    <w:rsid w:val="00C21254"/>
    <w:rsid w:val="00C21E5E"/>
    <w:rsid w:val="00C22905"/>
    <w:rsid w:val="00C22CE6"/>
    <w:rsid w:val="00C23711"/>
    <w:rsid w:val="00C23E7A"/>
    <w:rsid w:val="00C2409D"/>
    <w:rsid w:val="00C2467A"/>
    <w:rsid w:val="00C246F7"/>
    <w:rsid w:val="00C24B01"/>
    <w:rsid w:val="00C26790"/>
    <w:rsid w:val="00C2693F"/>
    <w:rsid w:val="00C26C3A"/>
    <w:rsid w:val="00C2705F"/>
    <w:rsid w:val="00C3016E"/>
    <w:rsid w:val="00C30940"/>
    <w:rsid w:val="00C31801"/>
    <w:rsid w:val="00C318E7"/>
    <w:rsid w:val="00C323FF"/>
    <w:rsid w:val="00C3257D"/>
    <w:rsid w:val="00C33A33"/>
    <w:rsid w:val="00C33F85"/>
    <w:rsid w:val="00C33FB0"/>
    <w:rsid w:val="00C34295"/>
    <w:rsid w:val="00C34FC5"/>
    <w:rsid w:val="00C35647"/>
    <w:rsid w:val="00C36E2C"/>
    <w:rsid w:val="00C3787B"/>
    <w:rsid w:val="00C37B57"/>
    <w:rsid w:val="00C40074"/>
    <w:rsid w:val="00C407A4"/>
    <w:rsid w:val="00C41C87"/>
    <w:rsid w:val="00C41D53"/>
    <w:rsid w:val="00C42DD6"/>
    <w:rsid w:val="00C4307A"/>
    <w:rsid w:val="00C43E3E"/>
    <w:rsid w:val="00C4463E"/>
    <w:rsid w:val="00C44983"/>
    <w:rsid w:val="00C44C8C"/>
    <w:rsid w:val="00C45049"/>
    <w:rsid w:val="00C4575D"/>
    <w:rsid w:val="00C45AD5"/>
    <w:rsid w:val="00C46452"/>
    <w:rsid w:val="00C46718"/>
    <w:rsid w:val="00C46AB1"/>
    <w:rsid w:val="00C473AC"/>
    <w:rsid w:val="00C5017C"/>
    <w:rsid w:val="00C50C6E"/>
    <w:rsid w:val="00C50FB3"/>
    <w:rsid w:val="00C51569"/>
    <w:rsid w:val="00C516CA"/>
    <w:rsid w:val="00C51868"/>
    <w:rsid w:val="00C519F6"/>
    <w:rsid w:val="00C51A13"/>
    <w:rsid w:val="00C51B74"/>
    <w:rsid w:val="00C51D6D"/>
    <w:rsid w:val="00C5245B"/>
    <w:rsid w:val="00C524ED"/>
    <w:rsid w:val="00C5274C"/>
    <w:rsid w:val="00C52A74"/>
    <w:rsid w:val="00C52D9E"/>
    <w:rsid w:val="00C52EAF"/>
    <w:rsid w:val="00C53880"/>
    <w:rsid w:val="00C539CD"/>
    <w:rsid w:val="00C54D35"/>
    <w:rsid w:val="00C54D64"/>
    <w:rsid w:val="00C558BC"/>
    <w:rsid w:val="00C5612A"/>
    <w:rsid w:val="00C5668C"/>
    <w:rsid w:val="00C56ACB"/>
    <w:rsid w:val="00C572CE"/>
    <w:rsid w:val="00C57B24"/>
    <w:rsid w:val="00C602EB"/>
    <w:rsid w:val="00C60428"/>
    <w:rsid w:val="00C60EF3"/>
    <w:rsid w:val="00C613C9"/>
    <w:rsid w:val="00C6166D"/>
    <w:rsid w:val="00C616BE"/>
    <w:rsid w:val="00C6383F"/>
    <w:rsid w:val="00C63F63"/>
    <w:rsid w:val="00C640A3"/>
    <w:rsid w:val="00C640A6"/>
    <w:rsid w:val="00C64798"/>
    <w:rsid w:val="00C64CFE"/>
    <w:rsid w:val="00C65133"/>
    <w:rsid w:val="00C65CAF"/>
    <w:rsid w:val="00C660D5"/>
    <w:rsid w:val="00C66E0E"/>
    <w:rsid w:val="00C66FE0"/>
    <w:rsid w:val="00C67005"/>
    <w:rsid w:val="00C67044"/>
    <w:rsid w:val="00C67485"/>
    <w:rsid w:val="00C676D0"/>
    <w:rsid w:val="00C6796F"/>
    <w:rsid w:val="00C67B9D"/>
    <w:rsid w:val="00C67EAF"/>
    <w:rsid w:val="00C70609"/>
    <w:rsid w:val="00C70778"/>
    <w:rsid w:val="00C708DD"/>
    <w:rsid w:val="00C710D5"/>
    <w:rsid w:val="00C71A57"/>
    <w:rsid w:val="00C7205C"/>
    <w:rsid w:val="00C721AF"/>
    <w:rsid w:val="00C7363C"/>
    <w:rsid w:val="00C7477F"/>
    <w:rsid w:val="00C74D8C"/>
    <w:rsid w:val="00C755BE"/>
    <w:rsid w:val="00C756E9"/>
    <w:rsid w:val="00C759E2"/>
    <w:rsid w:val="00C75D46"/>
    <w:rsid w:val="00C75F9C"/>
    <w:rsid w:val="00C8080D"/>
    <w:rsid w:val="00C80FD3"/>
    <w:rsid w:val="00C81704"/>
    <w:rsid w:val="00C81732"/>
    <w:rsid w:val="00C81FFD"/>
    <w:rsid w:val="00C8313F"/>
    <w:rsid w:val="00C8389F"/>
    <w:rsid w:val="00C83DEF"/>
    <w:rsid w:val="00C84207"/>
    <w:rsid w:val="00C845C4"/>
    <w:rsid w:val="00C84996"/>
    <w:rsid w:val="00C849D4"/>
    <w:rsid w:val="00C84BC2"/>
    <w:rsid w:val="00C85BEC"/>
    <w:rsid w:val="00C85C9D"/>
    <w:rsid w:val="00C85FB7"/>
    <w:rsid w:val="00C85FB8"/>
    <w:rsid w:val="00C87437"/>
    <w:rsid w:val="00C874BE"/>
    <w:rsid w:val="00C87D72"/>
    <w:rsid w:val="00C90144"/>
    <w:rsid w:val="00C90860"/>
    <w:rsid w:val="00C90917"/>
    <w:rsid w:val="00C9165F"/>
    <w:rsid w:val="00C92558"/>
    <w:rsid w:val="00C93B09"/>
    <w:rsid w:val="00C940D3"/>
    <w:rsid w:val="00C940EB"/>
    <w:rsid w:val="00C94126"/>
    <w:rsid w:val="00C94222"/>
    <w:rsid w:val="00C94BEE"/>
    <w:rsid w:val="00C95241"/>
    <w:rsid w:val="00C95310"/>
    <w:rsid w:val="00C956D4"/>
    <w:rsid w:val="00C9642A"/>
    <w:rsid w:val="00C967D2"/>
    <w:rsid w:val="00C9723F"/>
    <w:rsid w:val="00C97C8D"/>
    <w:rsid w:val="00C97CB6"/>
    <w:rsid w:val="00C97DD3"/>
    <w:rsid w:val="00CA3AC3"/>
    <w:rsid w:val="00CA3B1A"/>
    <w:rsid w:val="00CA3DE2"/>
    <w:rsid w:val="00CA4DCF"/>
    <w:rsid w:val="00CA5240"/>
    <w:rsid w:val="00CA5278"/>
    <w:rsid w:val="00CA533B"/>
    <w:rsid w:val="00CA58F0"/>
    <w:rsid w:val="00CA5FAA"/>
    <w:rsid w:val="00CA6358"/>
    <w:rsid w:val="00CA7270"/>
    <w:rsid w:val="00CB0C43"/>
    <w:rsid w:val="00CB1276"/>
    <w:rsid w:val="00CB131C"/>
    <w:rsid w:val="00CB1602"/>
    <w:rsid w:val="00CB18F8"/>
    <w:rsid w:val="00CB1A90"/>
    <w:rsid w:val="00CB1BFE"/>
    <w:rsid w:val="00CB22DA"/>
    <w:rsid w:val="00CB2F97"/>
    <w:rsid w:val="00CB3436"/>
    <w:rsid w:val="00CB36C1"/>
    <w:rsid w:val="00CB5183"/>
    <w:rsid w:val="00CB537A"/>
    <w:rsid w:val="00CB56B2"/>
    <w:rsid w:val="00CB58CB"/>
    <w:rsid w:val="00CB5EE4"/>
    <w:rsid w:val="00CB6759"/>
    <w:rsid w:val="00CB67AD"/>
    <w:rsid w:val="00CB6828"/>
    <w:rsid w:val="00CB6B14"/>
    <w:rsid w:val="00CB6DFF"/>
    <w:rsid w:val="00CB7193"/>
    <w:rsid w:val="00CB76EE"/>
    <w:rsid w:val="00CC0552"/>
    <w:rsid w:val="00CC0683"/>
    <w:rsid w:val="00CC1001"/>
    <w:rsid w:val="00CC15B3"/>
    <w:rsid w:val="00CC19F9"/>
    <w:rsid w:val="00CC3ADE"/>
    <w:rsid w:val="00CC3F15"/>
    <w:rsid w:val="00CC4878"/>
    <w:rsid w:val="00CC4A51"/>
    <w:rsid w:val="00CC4FAD"/>
    <w:rsid w:val="00CC4FEC"/>
    <w:rsid w:val="00CC52FA"/>
    <w:rsid w:val="00CC5E99"/>
    <w:rsid w:val="00CC6536"/>
    <w:rsid w:val="00CC6FF5"/>
    <w:rsid w:val="00CC7B3B"/>
    <w:rsid w:val="00CD00B8"/>
    <w:rsid w:val="00CD0DFE"/>
    <w:rsid w:val="00CD0F0F"/>
    <w:rsid w:val="00CD14CE"/>
    <w:rsid w:val="00CD1675"/>
    <w:rsid w:val="00CD1B93"/>
    <w:rsid w:val="00CD234D"/>
    <w:rsid w:val="00CD2D58"/>
    <w:rsid w:val="00CD2F9D"/>
    <w:rsid w:val="00CD30E0"/>
    <w:rsid w:val="00CD471A"/>
    <w:rsid w:val="00CD4CE7"/>
    <w:rsid w:val="00CD4FF4"/>
    <w:rsid w:val="00CD54C8"/>
    <w:rsid w:val="00CD56C8"/>
    <w:rsid w:val="00CD599F"/>
    <w:rsid w:val="00CD5AB2"/>
    <w:rsid w:val="00CD5D17"/>
    <w:rsid w:val="00CD6CCA"/>
    <w:rsid w:val="00CD7D2A"/>
    <w:rsid w:val="00CD7DE2"/>
    <w:rsid w:val="00CD7E90"/>
    <w:rsid w:val="00CE01BE"/>
    <w:rsid w:val="00CE0701"/>
    <w:rsid w:val="00CE0D9B"/>
    <w:rsid w:val="00CE13AD"/>
    <w:rsid w:val="00CE13B3"/>
    <w:rsid w:val="00CE192B"/>
    <w:rsid w:val="00CE1D3E"/>
    <w:rsid w:val="00CE1E97"/>
    <w:rsid w:val="00CE22F1"/>
    <w:rsid w:val="00CE2825"/>
    <w:rsid w:val="00CE292B"/>
    <w:rsid w:val="00CE297D"/>
    <w:rsid w:val="00CE3611"/>
    <w:rsid w:val="00CE3C2A"/>
    <w:rsid w:val="00CE43DF"/>
    <w:rsid w:val="00CE46EB"/>
    <w:rsid w:val="00CE4768"/>
    <w:rsid w:val="00CE5909"/>
    <w:rsid w:val="00CE5FE5"/>
    <w:rsid w:val="00CE6E44"/>
    <w:rsid w:val="00CE70D3"/>
    <w:rsid w:val="00CE7D03"/>
    <w:rsid w:val="00CF136C"/>
    <w:rsid w:val="00CF1597"/>
    <w:rsid w:val="00CF189F"/>
    <w:rsid w:val="00CF2784"/>
    <w:rsid w:val="00CF3224"/>
    <w:rsid w:val="00CF38E5"/>
    <w:rsid w:val="00CF39D9"/>
    <w:rsid w:val="00CF3A5B"/>
    <w:rsid w:val="00CF4217"/>
    <w:rsid w:val="00CF5852"/>
    <w:rsid w:val="00CF6A27"/>
    <w:rsid w:val="00CF71BE"/>
    <w:rsid w:val="00CF7413"/>
    <w:rsid w:val="00CF7B0C"/>
    <w:rsid w:val="00CF7E02"/>
    <w:rsid w:val="00D00730"/>
    <w:rsid w:val="00D0182D"/>
    <w:rsid w:val="00D01D1D"/>
    <w:rsid w:val="00D028CE"/>
    <w:rsid w:val="00D03164"/>
    <w:rsid w:val="00D045D7"/>
    <w:rsid w:val="00D04FED"/>
    <w:rsid w:val="00D051A7"/>
    <w:rsid w:val="00D052C4"/>
    <w:rsid w:val="00D054DE"/>
    <w:rsid w:val="00D05822"/>
    <w:rsid w:val="00D0582C"/>
    <w:rsid w:val="00D05D25"/>
    <w:rsid w:val="00D0628E"/>
    <w:rsid w:val="00D0634B"/>
    <w:rsid w:val="00D065AF"/>
    <w:rsid w:val="00D065DD"/>
    <w:rsid w:val="00D06974"/>
    <w:rsid w:val="00D06AA8"/>
    <w:rsid w:val="00D07733"/>
    <w:rsid w:val="00D07CDB"/>
    <w:rsid w:val="00D107FD"/>
    <w:rsid w:val="00D11411"/>
    <w:rsid w:val="00D1146D"/>
    <w:rsid w:val="00D11583"/>
    <w:rsid w:val="00D116AD"/>
    <w:rsid w:val="00D119B6"/>
    <w:rsid w:val="00D119BD"/>
    <w:rsid w:val="00D11ECE"/>
    <w:rsid w:val="00D122E3"/>
    <w:rsid w:val="00D131D2"/>
    <w:rsid w:val="00D13AAA"/>
    <w:rsid w:val="00D13DBF"/>
    <w:rsid w:val="00D1404A"/>
    <w:rsid w:val="00D140BE"/>
    <w:rsid w:val="00D148D0"/>
    <w:rsid w:val="00D15234"/>
    <w:rsid w:val="00D1585C"/>
    <w:rsid w:val="00D158E9"/>
    <w:rsid w:val="00D15AC3"/>
    <w:rsid w:val="00D16353"/>
    <w:rsid w:val="00D170AB"/>
    <w:rsid w:val="00D17F5E"/>
    <w:rsid w:val="00D21D64"/>
    <w:rsid w:val="00D2271A"/>
    <w:rsid w:val="00D22C9D"/>
    <w:rsid w:val="00D22F89"/>
    <w:rsid w:val="00D2309A"/>
    <w:rsid w:val="00D23484"/>
    <w:rsid w:val="00D2430A"/>
    <w:rsid w:val="00D245F4"/>
    <w:rsid w:val="00D247C0"/>
    <w:rsid w:val="00D24A46"/>
    <w:rsid w:val="00D24E17"/>
    <w:rsid w:val="00D25084"/>
    <w:rsid w:val="00D26353"/>
    <w:rsid w:val="00D264E2"/>
    <w:rsid w:val="00D26656"/>
    <w:rsid w:val="00D26BDE"/>
    <w:rsid w:val="00D27633"/>
    <w:rsid w:val="00D2785D"/>
    <w:rsid w:val="00D30455"/>
    <w:rsid w:val="00D3117E"/>
    <w:rsid w:val="00D314A9"/>
    <w:rsid w:val="00D31A2F"/>
    <w:rsid w:val="00D31F4B"/>
    <w:rsid w:val="00D3214A"/>
    <w:rsid w:val="00D324FE"/>
    <w:rsid w:val="00D32541"/>
    <w:rsid w:val="00D33016"/>
    <w:rsid w:val="00D346EF"/>
    <w:rsid w:val="00D353D5"/>
    <w:rsid w:val="00D3551E"/>
    <w:rsid w:val="00D36225"/>
    <w:rsid w:val="00D363AC"/>
    <w:rsid w:val="00D37E63"/>
    <w:rsid w:val="00D4014E"/>
    <w:rsid w:val="00D40183"/>
    <w:rsid w:val="00D403DA"/>
    <w:rsid w:val="00D40DC8"/>
    <w:rsid w:val="00D40EB7"/>
    <w:rsid w:val="00D4138A"/>
    <w:rsid w:val="00D422CF"/>
    <w:rsid w:val="00D42396"/>
    <w:rsid w:val="00D42C26"/>
    <w:rsid w:val="00D42E7F"/>
    <w:rsid w:val="00D43FDE"/>
    <w:rsid w:val="00D4406E"/>
    <w:rsid w:val="00D444DA"/>
    <w:rsid w:val="00D457E8"/>
    <w:rsid w:val="00D458DE"/>
    <w:rsid w:val="00D46CF5"/>
    <w:rsid w:val="00D46EE2"/>
    <w:rsid w:val="00D471DA"/>
    <w:rsid w:val="00D47441"/>
    <w:rsid w:val="00D47A02"/>
    <w:rsid w:val="00D5080B"/>
    <w:rsid w:val="00D516B5"/>
    <w:rsid w:val="00D51CBF"/>
    <w:rsid w:val="00D528A9"/>
    <w:rsid w:val="00D52FE6"/>
    <w:rsid w:val="00D530D7"/>
    <w:rsid w:val="00D5447E"/>
    <w:rsid w:val="00D54A8E"/>
    <w:rsid w:val="00D54B2F"/>
    <w:rsid w:val="00D556BC"/>
    <w:rsid w:val="00D55F75"/>
    <w:rsid w:val="00D5619E"/>
    <w:rsid w:val="00D561EC"/>
    <w:rsid w:val="00D56523"/>
    <w:rsid w:val="00D57929"/>
    <w:rsid w:val="00D60449"/>
    <w:rsid w:val="00D60566"/>
    <w:rsid w:val="00D60830"/>
    <w:rsid w:val="00D60C62"/>
    <w:rsid w:val="00D60D66"/>
    <w:rsid w:val="00D60DBE"/>
    <w:rsid w:val="00D60F49"/>
    <w:rsid w:val="00D61D2B"/>
    <w:rsid w:val="00D61DCC"/>
    <w:rsid w:val="00D628F2"/>
    <w:rsid w:val="00D62A51"/>
    <w:rsid w:val="00D62EFD"/>
    <w:rsid w:val="00D63239"/>
    <w:rsid w:val="00D636D2"/>
    <w:rsid w:val="00D63C5E"/>
    <w:rsid w:val="00D641C2"/>
    <w:rsid w:val="00D64262"/>
    <w:rsid w:val="00D64620"/>
    <w:rsid w:val="00D647A8"/>
    <w:rsid w:val="00D6490B"/>
    <w:rsid w:val="00D64A73"/>
    <w:rsid w:val="00D65913"/>
    <w:rsid w:val="00D66CE6"/>
    <w:rsid w:val="00D67AA5"/>
    <w:rsid w:val="00D67E81"/>
    <w:rsid w:val="00D70365"/>
    <w:rsid w:val="00D706EC"/>
    <w:rsid w:val="00D707AF"/>
    <w:rsid w:val="00D711A8"/>
    <w:rsid w:val="00D72121"/>
    <w:rsid w:val="00D72139"/>
    <w:rsid w:val="00D7287F"/>
    <w:rsid w:val="00D72F56"/>
    <w:rsid w:val="00D733BA"/>
    <w:rsid w:val="00D7471A"/>
    <w:rsid w:val="00D74A30"/>
    <w:rsid w:val="00D759DE"/>
    <w:rsid w:val="00D75BA0"/>
    <w:rsid w:val="00D763C7"/>
    <w:rsid w:val="00D76743"/>
    <w:rsid w:val="00D76A53"/>
    <w:rsid w:val="00D774C4"/>
    <w:rsid w:val="00D77A70"/>
    <w:rsid w:val="00D80135"/>
    <w:rsid w:val="00D809DB"/>
    <w:rsid w:val="00D80CB5"/>
    <w:rsid w:val="00D81009"/>
    <w:rsid w:val="00D81596"/>
    <w:rsid w:val="00D83619"/>
    <w:rsid w:val="00D83BCE"/>
    <w:rsid w:val="00D841DA"/>
    <w:rsid w:val="00D84BB8"/>
    <w:rsid w:val="00D84CCF"/>
    <w:rsid w:val="00D85183"/>
    <w:rsid w:val="00D8579B"/>
    <w:rsid w:val="00D86294"/>
    <w:rsid w:val="00D8645C"/>
    <w:rsid w:val="00D8704F"/>
    <w:rsid w:val="00D873D8"/>
    <w:rsid w:val="00D87833"/>
    <w:rsid w:val="00D9180A"/>
    <w:rsid w:val="00D91900"/>
    <w:rsid w:val="00D9204C"/>
    <w:rsid w:val="00D922B7"/>
    <w:rsid w:val="00D92869"/>
    <w:rsid w:val="00D92879"/>
    <w:rsid w:val="00D92E8D"/>
    <w:rsid w:val="00D938F4"/>
    <w:rsid w:val="00D93A99"/>
    <w:rsid w:val="00D942E5"/>
    <w:rsid w:val="00D9460A"/>
    <w:rsid w:val="00D947FE"/>
    <w:rsid w:val="00DA051C"/>
    <w:rsid w:val="00DA08FF"/>
    <w:rsid w:val="00DA0F0C"/>
    <w:rsid w:val="00DA11F9"/>
    <w:rsid w:val="00DA1393"/>
    <w:rsid w:val="00DA21AC"/>
    <w:rsid w:val="00DA23D2"/>
    <w:rsid w:val="00DA245E"/>
    <w:rsid w:val="00DA2C1A"/>
    <w:rsid w:val="00DA2D30"/>
    <w:rsid w:val="00DA2DEC"/>
    <w:rsid w:val="00DA3BCA"/>
    <w:rsid w:val="00DA3D84"/>
    <w:rsid w:val="00DA3F7A"/>
    <w:rsid w:val="00DA42F8"/>
    <w:rsid w:val="00DA4A31"/>
    <w:rsid w:val="00DA5562"/>
    <w:rsid w:val="00DA6170"/>
    <w:rsid w:val="00DA72C0"/>
    <w:rsid w:val="00DA73F9"/>
    <w:rsid w:val="00DA789A"/>
    <w:rsid w:val="00DA7FE3"/>
    <w:rsid w:val="00DB019F"/>
    <w:rsid w:val="00DB0900"/>
    <w:rsid w:val="00DB0E79"/>
    <w:rsid w:val="00DB1771"/>
    <w:rsid w:val="00DB298A"/>
    <w:rsid w:val="00DB2F8C"/>
    <w:rsid w:val="00DB3091"/>
    <w:rsid w:val="00DB34C1"/>
    <w:rsid w:val="00DB3ACC"/>
    <w:rsid w:val="00DB454B"/>
    <w:rsid w:val="00DB55FD"/>
    <w:rsid w:val="00DB5DFF"/>
    <w:rsid w:val="00DB6540"/>
    <w:rsid w:val="00DB65DA"/>
    <w:rsid w:val="00DB6747"/>
    <w:rsid w:val="00DB6FDD"/>
    <w:rsid w:val="00DB7CDA"/>
    <w:rsid w:val="00DB7F35"/>
    <w:rsid w:val="00DC0865"/>
    <w:rsid w:val="00DC0A76"/>
    <w:rsid w:val="00DC0F89"/>
    <w:rsid w:val="00DC0FCE"/>
    <w:rsid w:val="00DC135E"/>
    <w:rsid w:val="00DC208F"/>
    <w:rsid w:val="00DC4B04"/>
    <w:rsid w:val="00DC4FED"/>
    <w:rsid w:val="00DC537B"/>
    <w:rsid w:val="00DC5467"/>
    <w:rsid w:val="00DC56E7"/>
    <w:rsid w:val="00DC6AAE"/>
    <w:rsid w:val="00DC6B19"/>
    <w:rsid w:val="00DC7C0D"/>
    <w:rsid w:val="00DD053B"/>
    <w:rsid w:val="00DD05F9"/>
    <w:rsid w:val="00DD0D72"/>
    <w:rsid w:val="00DD1220"/>
    <w:rsid w:val="00DD1490"/>
    <w:rsid w:val="00DD2300"/>
    <w:rsid w:val="00DD284D"/>
    <w:rsid w:val="00DD2890"/>
    <w:rsid w:val="00DD3855"/>
    <w:rsid w:val="00DD3A00"/>
    <w:rsid w:val="00DD4950"/>
    <w:rsid w:val="00DD4DD0"/>
    <w:rsid w:val="00DD6701"/>
    <w:rsid w:val="00DD6722"/>
    <w:rsid w:val="00DD6AB0"/>
    <w:rsid w:val="00DD6C66"/>
    <w:rsid w:val="00DE037F"/>
    <w:rsid w:val="00DE04D7"/>
    <w:rsid w:val="00DE0F2B"/>
    <w:rsid w:val="00DE1239"/>
    <w:rsid w:val="00DE1520"/>
    <w:rsid w:val="00DE1D1B"/>
    <w:rsid w:val="00DE1D3A"/>
    <w:rsid w:val="00DE2D37"/>
    <w:rsid w:val="00DE353A"/>
    <w:rsid w:val="00DE4AEF"/>
    <w:rsid w:val="00DE5802"/>
    <w:rsid w:val="00DE75F0"/>
    <w:rsid w:val="00DF0B84"/>
    <w:rsid w:val="00DF0BD7"/>
    <w:rsid w:val="00DF0D23"/>
    <w:rsid w:val="00DF13FF"/>
    <w:rsid w:val="00DF1B9A"/>
    <w:rsid w:val="00DF1EE8"/>
    <w:rsid w:val="00DF2274"/>
    <w:rsid w:val="00DF2318"/>
    <w:rsid w:val="00DF2D3A"/>
    <w:rsid w:val="00DF2E1A"/>
    <w:rsid w:val="00DF356E"/>
    <w:rsid w:val="00DF387D"/>
    <w:rsid w:val="00DF3CF8"/>
    <w:rsid w:val="00DF40B1"/>
    <w:rsid w:val="00DF4402"/>
    <w:rsid w:val="00DF4B31"/>
    <w:rsid w:val="00DF50B5"/>
    <w:rsid w:val="00DF6743"/>
    <w:rsid w:val="00DF79A3"/>
    <w:rsid w:val="00E00AA3"/>
    <w:rsid w:val="00E01527"/>
    <w:rsid w:val="00E016F4"/>
    <w:rsid w:val="00E0180F"/>
    <w:rsid w:val="00E018BE"/>
    <w:rsid w:val="00E01993"/>
    <w:rsid w:val="00E01CFD"/>
    <w:rsid w:val="00E0256A"/>
    <w:rsid w:val="00E03A5E"/>
    <w:rsid w:val="00E044C0"/>
    <w:rsid w:val="00E045D5"/>
    <w:rsid w:val="00E04A38"/>
    <w:rsid w:val="00E06047"/>
    <w:rsid w:val="00E0604A"/>
    <w:rsid w:val="00E063EC"/>
    <w:rsid w:val="00E06516"/>
    <w:rsid w:val="00E06631"/>
    <w:rsid w:val="00E06980"/>
    <w:rsid w:val="00E07248"/>
    <w:rsid w:val="00E0754C"/>
    <w:rsid w:val="00E0769A"/>
    <w:rsid w:val="00E1042A"/>
    <w:rsid w:val="00E111D1"/>
    <w:rsid w:val="00E11465"/>
    <w:rsid w:val="00E11478"/>
    <w:rsid w:val="00E117F6"/>
    <w:rsid w:val="00E1201A"/>
    <w:rsid w:val="00E12287"/>
    <w:rsid w:val="00E12567"/>
    <w:rsid w:val="00E12FA9"/>
    <w:rsid w:val="00E13575"/>
    <w:rsid w:val="00E139CA"/>
    <w:rsid w:val="00E14AF6"/>
    <w:rsid w:val="00E14C81"/>
    <w:rsid w:val="00E14D5D"/>
    <w:rsid w:val="00E14F86"/>
    <w:rsid w:val="00E15C5F"/>
    <w:rsid w:val="00E162DC"/>
    <w:rsid w:val="00E16B01"/>
    <w:rsid w:val="00E17062"/>
    <w:rsid w:val="00E17D1B"/>
    <w:rsid w:val="00E203EC"/>
    <w:rsid w:val="00E20468"/>
    <w:rsid w:val="00E20D40"/>
    <w:rsid w:val="00E21813"/>
    <w:rsid w:val="00E220E5"/>
    <w:rsid w:val="00E2223A"/>
    <w:rsid w:val="00E22474"/>
    <w:rsid w:val="00E22E51"/>
    <w:rsid w:val="00E2348A"/>
    <w:rsid w:val="00E2373C"/>
    <w:rsid w:val="00E239CA"/>
    <w:rsid w:val="00E23BA6"/>
    <w:rsid w:val="00E23D73"/>
    <w:rsid w:val="00E2473E"/>
    <w:rsid w:val="00E24A17"/>
    <w:rsid w:val="00E25E44"/>
    <w:rsid w:val="00E26CA9"/>
    <w:rsid w:val="00E2753B"/>
    <w:rsid w:val="00E275C5"/>
    <w:rsid w:val="00E275DD"/>
    <w:rsid w:val="00E2779E"/>
    <w:rsid w:val="00E277DF"/>
    <w:rsid w:val="00E309EF"/>
    <w:rsid w:val="00E30B13"/>
    <w:rsid w:val="00E30FA2"/>
    <w:rsid w:val="00E3118A"/>
    <w:rsid w:val="00E327CE"/>
    <w:rsid w:val="00E339B6"/>
    <w:rsid w:val="00E33C3F"/>
    <w:rsid w:val="00E341E2"/>
    <w:rsid w:val="00E34809"/>
    <w:rsid w:val="00E34B46"/>
    <w:rsid w:val="00E34FEE"/>
    <w:rsid w:val="00E35AD8"/>
    <w:rsid w:val="00E35CD2"/>
    <w:rsid w:val="00E35F41"/>
    <w:rsid w:val="00E364F0"/>
    <w:rsid w:val="00E369FF"/>
    <w:rsid w:val="00E36D96"/>
    <w:rsid w:val="00E3788B"/>
    <w:rsid w:val="00E378E0"/>
    <w:rsid w:val="00E37B5A"/>
    <w:rsid w:val="00E37BED"/>
    <w:rsid w:val="00E37C15"/>
    <w:rsid w:val="00E37FCB"/>
    <w:rsid w:val="00E401B1"/>
    <w:rsid w:val="00E410B9"/>
    <w:rsid w:val="00E416EF"/>
    <w:rsid w:val="00E43CE8"/>
    <w:rsid w:val="00E440D1"/>
    <w:rsid w:val="00E44538"/>
    <w:rsid w:val="00E458B4"/>
    <w:rsid w:val="00E45AEB"/>
    <w:rsid w:val="00E460BE"/>
    <w:rsid w:val="00E462BA"/>
    <w:rsid w:val="00E46BB2"/>
    <w:rsid w:val="00E47193"/>
    <w:rsid w:val="00E471AA"/>
    <w:rsid w:val="00E50445"/>
    <w:rsid w:val="00E506F5"/>
    <w:rsid w:val="00E521EE"/>
    <w:rsid w:val="00E52878"/>
    <w:rsid w:val="00E52B51"/>
    <w:rsid w:val="00E52C32"/>
    <w:rsid w:val="00E53234"/>
    <w:rsid w:val="00E5351A"/>
    <w:rsid w:val="00E5472C"/>
    <w:rsid w:val="00E54736"/>
    <w:rsid w:val="00E54C30"/>
    <w:rsid w:val="00E5552B"/>
    <w:rsid w:val="00E56036"/>
    <w:rsid w:val="00E561B0"/>
    <w:rsid w:val="00E56E1E"/>
    <w:rsid w:val="00E56EEE"/>
    <w:rsid w:val="00E5757B"/>
    <w:rsid w:val="00E57A12"/>
    <w:rsid w:val="00E57C4A"/>
    <w:rsid w:val="00E600B8"/>
    <w:rsid w:val="00E6090C"/>
    <w:rsid w:val="00E60AAD"/>
    <w:rsid w:val="00E62617"/>
    <w:rsid w:val="00E630A4"/>
    <w:rsid w:val="00E63976"/>
    <w:rsid w:val="00E63A6D"/>
    <w:rsid w:val="00E6444A"/>
    <w:rsid w:val="00E64677"/>
    <w:rsid w:val="00E64F44"/>
    <w:rsid w:val="00E66A61"/>
    <w:rsid w:val="00E670CF"/>
    <w:rsid w:val="00E6790D"/>
    <w:rsid w:val="00E6791D"/>
    <w:rsid w:val="00E705B2"/>
    <w:rsid w:val="00E714DE"/>
    <w:rsid w:val="00E715EC"/>
    <w:rsid w:val="00E71682"/>
    <w:rsid w:val="00E718CA"/>
    <w:rsid w:val="00E735EE"/>
    <w:rsid w:val="00E7384D"/>
    <w:rsid w:val="00E73F8C"/>
    <w:rsid w:val="00E74892"/>
    <w:rsid w:val="00E74A86"/>
    <w:rsid w:val="00E76AE6"/>
    <w:rsid w:val="00E77B18"/>
    <w:rsid w:val="00E77C20"/>
    <w:rsid w:val="00E80192"/>
    <w:rsid w:val="00E80784"/>
    <w:rsid w:val="00E81332"/>
    <w:rsid w:val="00E81B04"/>
    <w:rsid w:val="00E81CAE"/>
    <w:rsid w:val="00E833FC"/>
    <w:rsid w:val="00E83813"/>
    <w:rsid w:val="00E83E95"/>
    <w:rsid w:val="00E83F03"/>
    <w:rsid w:val="00E8538B"/>
    <w:rsid w:val="00E85868"/>
    <w:rsid w:val="00E85B05"/>
    <w:rsid w:val="00E85E41"/>
    <w:rsid w:val="00E86628"/>
    <w:rsid w:val="00E8702E"/>
    <w:rsid w:val="00E87A88"/>
    <w:rsid w:val="00E90ABB"/>
    <w:rsid w:val="00E91E32"/>
    <w:rsid w:val="00E92908"/>
    <w:rsid w:val="00E932D1"/>
    <w:rsid w:val="00E93EC5"/>
    <w:rsid w:val="00E93FFC"/>
    <w:rsid w:val="00E942E9"/>
    <w:rsid w:val="00E94497"/>
    <w:rsid w:val="00E94589"/>
    <w:rsid w:val="00E94D81"/>
    <w:rsid w:val="00E9620E"/>
    <w:rsid w:val="00E962AD"/>
    <w:rsid w:val="00E96B25"/>
    <w:rsid w:val="00E970F3"/>
    <w:rsid w:val="00EA12CA"/>
    <w:rsid w:val="00EA1381"/>
    <w:rsid w:val="00EA14A7"/>
    <w:rsid w:val="00EA2E11"/>
    <w:rsid w:val="00EA3F8E"/>
    <w:rsid w:val="00EA4339"/>
    <w:rsid w:val="00EA522F"/>
    <w:rsid w:val="00EA5837"/>
    <w:rsid w:val="00EA6143"/>
    <w:rsid w:val="00EA6ABC"/>
    <w:rsid w:val="00EA70CA"/>
    <w:rsid w:val="00EA721C"/>
    <w:rsid w:val="00EA76B6"/>
    <w:rsid w:val="00EA7ED9"/>
    <w:rsid w:val="00EA7F22"/>
    <w:rsid w:val="00EB0FFB"/>
    <w:rsid w:val="00EB157F"/>
    <w:rsid w:val="00EB16C6"/>
    <w:rsid w:val="00EB16FC"/>
    <w:rsid w:val="00EB1923"/>
    <w:rsid w:val="00EB1B9F"/>
    <w:rsid w:val="00EB1ECF"/>
    <w:rsid w:val="00EB22BF"/>
    <w:rsid w:val="00EB373E"/>
    <w:rsid w:val="00EB4757"/>
    <w:rsid w:val="00EB59EA"/>
    <w:rsid w:val="00EB5C7E"/>
    <w:rsid w:val="00EB60BF"/>
    <w:rsid w:val="00EB6E80"/>
    <w:rsid w:val="00EB745D"/>
    <w:rsid w:val="00EB7EAE"/>
    <w:rsid w:val="00EB7EB4"/>
    <w:rsid w:val="00EC058E"/>
    <w:rsid w:val="00EC0735"/>
    <w:rsid w:val="00EC1371"/>
    <w:rsid w:val="00EC1546"/>
    <w:rsid w:val="00EC1797"/>
    <w:rsid w:val="00EC1BEC"/>
    <w:rsid w:val="00EC292F"/>
    <w:rsid w:val="00EC3642"/>
    <w:rsid w:val="00EC488B"/>
    <w:rsid w:val="00EC4A0D"/>
    <w:rsid w:val="00EC5959"/>
    <w:rsid w:val="00EC5C99"/>
    <w:rsid w:val="00EC6375"/>
    <w:rsid w:val="00EC68F8"/>
    <w:rsid w:val="00EC6A1E"/>
    <w:rsid w:val="00EC7746"/>
    <w:rsid w:val="00EC7DDB"/>
    <w:rsid w:val="00ED0037"/>
    <w:rsid w:val="00ED17A9"/>
    <w:rsid w:val="00ED2724"/>
    <w:rsid w:val="00ED29D4"/>
    <w:rsid w:val="00ED2F28"/>
    <w:rsid w:val="00ED34DF"/>
    <w:rsid w:val="00ED382C"/>
    <w:rsid w:val="00ED3EAE"/>
    <w:rsid w:val="00ED4A5E"/>
    <w:rsid w:val="00ED4D2F"/>
    <w:rsid w:val="00ED4E3B"/>
    <w:rsid w:val="00ED5A23"/>
    <w:rsid w:val="00ED5D55"/>
    <w:rsid w:val="00ED643A"/>
    <w:rsid w:val="00ED676E"/>
    <w:rsid w:val="00ED6F07"/>
    <w:rsid w:val="00ED700A"/>
    <w:rsid w:val="00ED706C"/>
    <w:rsid w:val="00ED7A5D"/>
    <w:rsid w:val="00EE000C"/>
    <w:rsid w:val="00EE024B"/>
    <w:rsid w:val="00EE0283"/>
    <w:rsid w:val="00EE0771"/>
    <w:rsid w:val="00EE0C86"/>
    <w:rsid w:val="00EE0E0F"/>
    <w:rsid w:val="00EE12A5"/>
    <w:rsid w:val="00EE19FC"/>
    <w:rsid w:val="00EE1D3D"/>
    <w:rsid w:val="00EE20A1"/>
    <w:rsid w:val="00EE23F7"/>
    <w:rsid w:val="00EE2C30"/>
    <w:rsid w:val="00EE3825"/>
    <w:rsid w:val="00EE3B23"/>
    <w:rsid w:val="00EE63DA"/>
    <w:rsid w:val="00EE68D7"/>
    <w:rsid w:val="00EE6F64"/>
    <w:rsid w:val="00EE7790"/>
    <w:rsid w:val="00EE7983"/>
    <w:rsid w:val="00EF0713"/>
    <w:rsid w:val="00EF2663"/>
    <w:rsid w:val="00EF2DA6"/>
    <w:rsid w:val="00EF2DFF"/>
    <w:rsid w:val="00EF2E76"/>
    <w:rsid w:val="00EF3382"/>
    <w:rsid w:val="00EF35DF"/>
    <w:rsid w:val="00EF3A37"/>
    <w:rsid w:val="00EF47E6"/>
    <w:rsid w:val="00EF4D56"/>
    <w:rsid w:val="00EF521F"/>
    <w:rsid w:val="00EF52D7"/>
    <w:rsid w:val="00EF5AF6"/>
    <w:rsid w:val="00EF7781"/>
    <w:rsid w:val="00F01D24"/>
    <w:rsid w:val="00F023BC"/>
    <w:rsid w:val="00F02D64"/>
    <w:rsid w:val="00F03967"/>
    <w:rsid w:val="00F04409"/>
    <w:rsid w:val="00F04CDF"/>
    <w:rsid w:val="00F04F49"/>
    <w:rsid w:val="00F055A2"/>
    <w:rsid w:val="00F057F0"/>
    <w:rsid w:val="00F05A35"/>
    <w:rsid w:val="00F05C2F"/>
    <w:rsid w:val="00F07017"/>
    <w:rsid w:val="00F07D58"/>
    <w:rsid w:val="00F109B8"/>
    <w:rsid w:val="00F1125C"/>
    <w:rsid w:val="00F1199E"/>
    <w:rsid w:val="00F123B1"/>
    <w:rsid w:val="00F12453"/>
    <w:rsid w:val="00F126A3"/>
    <w:rsid w:val="00F12C76"/>
    <w:rsid w:val="00F13005"/>
    <w:rsid w:val="00F135F1"/>
    <w:rsid w:val="00F13D41"/>
    <w:rsid w:val="00F1433D"/>
    <w:rsid w:val="00F1451A"/>
    <w:rsid w:val="00F15CE4"/>
    <w:rsid w:val="00F16582"/>
    <w:rsid w:val="00F16D29"/>
    <w:rsid w:val="00F1712D"/>
    <w:rsid w:val="00F17E63"/>
    <w:rsid w:val="00F2285C"/>
    <w:rsid w:val="00F22E3D"/>
    <w:rsid w:val="00F2303D"/>
    <w:rsid w:val="00F24135"/>
    <w:rsid w:val="00F245E3"/>
    <w:rsid w:val="00F24936"/>
    <w:rsid w:val="00F24D4B"/>
    <w:rsid w:val="00F24EF6"/>
    <w:rsid w:val="00F25780"/>
    <w:rsid w:val="00F26298"/>
    <w:rsid w:val="00F26A38"/>
    <w:rsid w:val="00F27158"/>
    <w:rsid w:val="00F27D4E"/>
    <w:rsid w:val="00F30645"/>
    <w:rsid w:val="00F31F74"/>
    <w:rsid w:val="00F324BE"/>
    <w:rsid w:val="00F3253D"/>
    <w:rsid w:val="00F32598"/>
    <w:rsid w:val="00F33259"/>
    <w:rsid w:val="00F333AD"/>
    <w:rsid w:val="00F3362E"/>
    <w:rsid w:val="00F338D0"/>
    <w:rsid w:val="00F33C4F"/>
    <w:rsid w:val="00F34188"/>
    <w:rsid w:val="00F34CFD"/>
    <w:rsid w:val="00F34D7A"/>
    <w:rsid w:val="00F353EC"/>
    <w:rsid w:val="00F36ACF"/>
    <w:rsid w:val="00F3710D"/>
    <w:rsid w:val="00F376C1"/>
    <w:rsid w:val="00F376F0"/>
    <w:rsid w:val="00F404C2"/>
    <w:rsid w:val="00F407EB"/>
    <w:rsid w:val="00F41404"/>
    <w:rsid w:val="00F414DA"/>
    <w:rsid w:val="00F428C5"/>
    <w:rsid w:val="00F43053"/>
    <w:rsid w:val="00F44202"/>
    <w:rsid w:val="00F4466F"/>
    <w:rsid w:val="00F44B7E"/>
    <w:rsid w:val="00F44BDB"/>
    <w:rsid w:val="00F45239"/>
    <w:rsid w:val="00F45952"/>
    <w:rsid w:val="00F46316"/>
    <w:rsid w:val="00F4640A"/>
    <w:rsid w:val="00F46424"/>
    <w:rsid w:val="00F47820"/>
    <w:rsid w:val="00F479D3"/>
    <w:rsid w:val="00F5055B"/>
    <w:rsid w:val="00F50589"/>
    <w:rsid w:val="00F50671"/>
    <w:rsid w:val="00F508C2"/>
    <w:rsid w:val="00F51230"/>
    <w:rsid w:val="00F52BB8"/>
    <w:rsid w:val="00F52E69"/>
    <w:rsid w:val="00F549A9"/>
    <w:rsid w:val="00F54FB9"/>
    <w:rsid w:val="00F55F6E"/>
    <w:rsid w:val="00F56282"/>
    <w:rsid w:val="00F566EB"/>
    <w:rsid w:val="00F56A67"/>
    <w:rsid w:val="00F56E22"/>
    <w:rsid w:val="00F5705B"/>
    <w:rsid w:val="00F57D73"/>
    <w:rsid w:val="00F608A3"/>
    <w:rsid w:val="00F6098A"/>
    <w:rsid w:val="00F6127B"/>
    <w:rsid w:val="00F61671"/>
    <w:rsid w:val="00F61A43"/>
    <w:rsid w:val="00F61FA5"/>
    <w:rsid w:val="00F62CD2"/>
    <w:rsid w:val="00F62F07"/>
    <w:rsid w:val="00F64048"/>
    <w:rsid w:val="00F641E0"/>
    <w:rsid w:val="00F64D24"/>
    <w:rsid w:val="00F659CF"/>
    <w:rsid w:val="00F65DBE"/>
    <w:rsid w:val="00F666B3"/>
    <w:rsid w:val="00F66D6A"/>
    <w:rsid w:val="00F70657"/>
    <w:rsid w:val="00F7091A"/>
    <w:rsid w:val="00F70E5D"/>
    <w:rsid w:val="00F711A5"/>
    <w:rsid w:val="00F71AED"/>
    <w:rsid w:val="00F71EA4"/>
    <w:rsid w:val="00F72107"/>
    <w:rsid w:val="00F72ED6"/>
    <w:rsid w:val="00F73088"/>
    <w:rsid w:val="00F731C8"/>
    <w:rsid w:val="00F7323C"/>
    <w:rsid w:val="00F74733"/>
    <w:rsid w:val="00F75870"/>
    <w:rsid w:val="00F764DE"/>
    <w:rsid w:val="00F77CEF"/>
    <w:rsid w:val="00F803A7"/>
    <w:rsid w:val="00F80B33"/>
    <w:rsid w:val="00F82284"/>
    <w:rsid w:val="00F82D28"/>
    <w:rsid w:val="00F82DD0"/>
    <w:rsid w:val="00F8303A"/>
    <w:rsid w:val="00F83132"/>
    <w:rsid w:val="00F83177"/>
    <w:rsid w:val="00F83C90"/>
    <w:rsid w:val="00F83EA1"/>
    <w:rsid w:val="00F8422F"/>
    <w:rsid w:val="00F84A22"/>
    <w:rsid w:val="00F84CFA"/>
    <w:rsid w:val="00F84DA1"/>
    <w:rsid w:val="00F8609D"/>
    <w:rsid w:val="00F86382"/>
    <w:rsid w:val="00F86648"/>
    <w:rsid w:val="00F86747"/>
    <w:rsid w:val="00F86C22"/>
    <w:rsid w:val="00F87202"/>
    <w:rsid w:val="00F8747A"/>
    <w:rsid w:val="00F87818"/>
    <w:rsid w:val="00F87B37"/>
    <w:rsid w:val="00F87E30"/>
    <w:rsid w:val="00F901CC"/>
    <w:rsid w:val="00F90580"/>
    <w:rsid w:val="00F90DE4"/>
    <w:rsid w:val="00F9159D"/>
    <w:rsid w:val="00F919A7"/>
    <w:rsid w:val="00F921CE"/>
    <w:rsid w:val="00F9389E"/>
    <w:rsid w:val="00F948C9"/>
    <w:rsid w:val="00F94C11"/>
    <w:rsid w:val="00F958C7"/>
    <w:rsid w:val="00F96320"/>
    <w:rsid w:val="00F9666F"/>
    <w:rsid w:val="00FA0D1C"/>
    <w:rsid w:val="00FA1347"/>
    <w:rsid w:val="00FA1FB6"/>
    <w:rsid w:val="00FA3733"/>
    <w:rsid w:val="00FA3735"/>
    <w:rsid w:val="00FA444E"/>
    <w:rsid w:val="00FA4804"/>
    <w:rsid w:val="00FA4826"/>
    <w:rsid w:val="00FA4BBA"/>
    <w:rsid w:val="00FA4F59"/>
    <w:rsid w:val="00FA540B"/>
    <w:rsid w:val="00FA58D6"/>
    <w:rsid w:val="00FA6E79"/>
    <w:rsid w:val="00FB0372"/>
    <w:rsid w:val="00FB0BFC"/>
    <w:rsid w:val="00FB0E5B"/>
    <w:rsid w:val="00FB14B5"/>
    <w:rsid w:val="00FB2090"/>
    <w:rsid w:val="00FB2227"/>
    <w:rsid w:val="00FB37B9"/>
    <w:rsid w:val="00FB398F"/>
    <w:rsid w:val="00FB4D55"/>
    <w:rsid w:val="00FB65AA"/>
    <w:rsid w:val="00FB6A46"/>
    <w:rsid w:val="00FB741F"/>
    <w:rsid w:val="00FB7A6D"/>
    <w:rsid w:val="00FB7FD9"/>
    <w:rsid w:val="00FC0066"/>
    <w:rsid w:val="00FC0393"/>
    <w:rsid w:val="00FC05C7"/>
    <w:rsid w:val="00FC0AAF"/>
    <w:rsid w:val="00FC115D"/>
    <w:rsid w:val="00FC2894"/>
    <w:rsid w:val="00FC2A24"/>
    <w:rsid w:val="00FC3CED"/>
    <w:rsid w:val="00FC4A3A"/>
    <w:rsid w:val="00FC4BCD"/>
    <w:rsid w:val="00FC4FD8"/>
    <w:rsid w:val="00FC5386"/>
    <w:rsid w:val="00FC53C4"/>
    <w:rsid w:val="00FC56EF"/>
    <w:rsid w:val="00FC5831"/>
    <w:rsid w:val="00FC5A22"/>
    <w:rsid w:val="00FC5CC8"/>
    <w:rsid w:val="00FC67F1"/>
    <w:rsid w:val="00FC6AE6"/>
    <w:rsid w:val="00FC6F89"/>
    <w:rsid w:val="00FC7D86"/>
    <w:rsid w:val="00FD041D"/>
    <w:rsid w:val="00FD0A30"/>
    <w:rsid w:val="00FD0C5A"/>
    <w:rsid w:val="00FD0E3F"/>
    <w:rsid w:val="00FD1417"/>
    <w:rsid w:val="00FD1BB1"/>
    <w:rsid w:val="00FD2892"/>
    <w:rsid w:val="00FD29EC"/>
    <w:rsid w:val="00FD2D18"/>
    <w:rsid w:val="00FD2D25"/>
    <w:rsid w:val="00FD2D46"/>
    <w:rsid w:val="00FD3067"/>
    <w:rsid w:val="00FD337F"/>
    <w:rsid w:val="00FD3636"/>
    <w:rsid w:val="00FD3651"/>
    <w:rsid w:val="00FD38B4"/>
    <w:rsid w:val="00FD4027"/>
    <w:rsid w:val="00FD40F6"/>
    <w:rsid w:val="00FD522D"/>
    <w:rsid w:val="00FD5C47"/>
    <w:rsid w:val="00FD5DA0"/>
    <w:rsid w:val="00FD63F2"/>
    <w:rsid w:val="00FD697F"/>
    <w:rsid w:val="00FD69C3"/>
    <w:rsid w:val="00FD6F7A"/>
    <w:rsid w:val="00FD7A81"/>
    <w:rsid w:val="00FE08B5"/>
    <w:rsid w:val="00FE10D1"/>
    <w:rsid w:val="00FE1137"/>
    <w:rsid w:val="00FE162D"/>
    <w:rsid w:val="00FE1DB5"/>
    <w:rsid w:val="00FE1FAF"/>
    <w:rsid w:val="00FE2291"/>
    <w:rsid w:val="00FE309E"/>
    <w:rsid w:val="00FE3277"/>
    <w:rsid w:val="00FE342C"/>
    <w:rsid w:val="00FE3B24"/>
    <w:rsid w:val="00FE43A1"/>
    <w:rsid w:val="00FE43A5"/>
    <w:rsid w:val="00FE4A9A"/>
    <w:rsid w:val="00FE5CC8"/>
    <w:rsid w:val="00FE618B"/>
    <w:rsid w:val="00FE6617"/>
    <w:rsid w:val="00FE78D6"/>
    <w:rsid w:val="00FE7C48"/>
    <w:rsid w:val="00FE7E04"/>
    <w:rsid w:val="00FF0514"/>
    <w:rsid w:val="00FF058A"/>
    <w:rsid w:val="00FF0635"/>
    <w:rsid w:val="00FF085A"/>
    <w:rsid w:val="00FF11C2"/>
    <w:rsid w:val="00FF274C"/>
    <w:rsid w:val="00FF2816"/>
    <w:rsid w:val="00FF282F"/>
    <w:rsid w:val="00FF2CDB"/>
    <w:rsid w:val="00FF2F01"/>
    <w:rsid w:val="00FF3C07"/>
    <w:rsid w:val="00FF3DF5"/>
    <w:rsid w:val="00FF4524"/>
    <w:rsid w:val="00FF4A7D"/>
    <w:rsid w:val="00FF4FEA"/>
    <w:rsid w:val="00FF5504"/>
    <w:rsid w:val="00FF5A7B"/>
    <w:rsid w:val="00FF5CC4"/>
    <w:rsid w:val="00FF605E"/>
    <w:rsid w:val="00FF6A6E"/>
    <w:rsid w:val="00FF6B07"/>
    <w:rsid w:val="04DDD11A"/>
    <w:rsid w:val="078822BF"/>
    <w:rsid w:val="08080944"/>
    <w:rsid w:val="08090563"/>
    <w:rsid w:val="09271AF6"/>
    <w:rsid w:val="0987EE7F"/>
    <w:rsid w:val="1041F459"/>
    <w:rsid w:val="1065F1B4"/>
    <w:rsid w:val="11535CEF"/>
    <w:rsid w:val="12630DA2"/>
    <w:rsid w:val="1328B14B"/>
    <w:rsid w:val="14230AFC"/>
    <w:rsid w:val="15A99883"/>
    <w:rsid w:val="173CA801"/>
    <w:rsid w:val="18C2E6E4"/>
    <w:rsid w:val="1BA05938"/>
    <w:rsid w:val="1CD83C34"/>
    <w:rsid w:val="1E459912"/>
    <w:rsid w:val="1FBE8B59"/>
    <w:rsid w:val="202B7B01"/>
    <w:rsid w:val="21379C08"/>
    <w:rsid w:val="2154BF79"/>
    <w:rsid w:val="2A717F14"/>
    <w:rsid w:val="2A985155"/>
    <w:rsid w:val="2BEDD11B"/>
    <w:rsid w:val="2C5C7886"/>
    <w:rsid w:val="2F7CF83C"/>
    <w:rsid w:val="2F94FD8A"/>
    <w:rsid w:val="322B9927"/>
    <w:rsid w:val="35BC430F"/>
    <w:rsid w:val="35F5F8E0"/>
    <w:rsid w:val="36642EAB"/>
    <w:rsid w:val="36AA792A"/>
    <w:rsid w:val="38D3A936"/>
    <w:rsid w:val="38D55245"/>
    <w:rsid w:val="38FE38D4"/>
    <w:rsid w:val="39A1C3BA"/>
    <w:rsid w:val="3C2222B4"/>
    <w:rsid w:val="3CB9D327"/>
    <w:rsid w:val="41E83B6D"/>
    <w:rsid w:val="425C46DA"/>
    <w:rsid w:val="4484D45B"/>
    <w:rsid w:val="465086B9"/>
    <w:rsid w:val="465A29A8"/>
    <w:rsid w:val="46AB07F5"/>
    <w:rsid w:val="48265458"/>
    <w:rsid w:val="496D2F19"/>
    <w:rsid w:val="4991BB43"/>
    <w:rsid w:val="4CFA4F87"/>
    <w:rsid w:val="4DEA09CF"/>
    <w:rsid w:val="4E2569A6"/>
    <w:rsid w:val="4E36AA74"/>
    <w:rsid w:val="5117B4D8"/>
    <w:rsid w:val="54EFEB19"/>
    <w:rsid w:val="5518560F"/>
    <w:rsid w:val="559357CA"/>
    <w:rsid w:val="56FA4B54"/>
    <w:rsid w:val="5AC03D2C"/>
    <w:rsid w:val="5C955288"/>
    <w:rsid w:val="5CF5ADE8"/>
    <w:rsid w:val="5D097E53"/>
    <w:rsid w:val="5D3BC608"/>
    <w:rsid w:val="5E6369C1"/>
    <w:rsid w:val="60E84A2C"/>
    <w:rsid w:val="62CB4EF0"/>
    <w:rsid w:val="636DC438"/>
    <w:rsid w:val="64861391"/>
    <w:rsid w:val="649EA636"/>
    <w:rsid w:val="66DF30F6"/>
    <w:rsid w:val="67EF1534"/>
    <w:rsid w:val="690E0DC4"/>
    <w:rsid w:val="6C253D40"/>
    <w:rsid w:val="6C6059C2"/>
    <w:rsid w:val="6CBFC323"/>
    <w:rsid w:val="6DBA9DB6"/>
    <w:rsid w:val="6ED3BA57"/>
    <w:rsid w:val="6FEC7E1E"/>
    <w:rsid w:val="723A2C39"/>
    <w:rsid w:val="72DECFA4"/>
    <w:rsid w:val="73332A05"/>
    <w:rsid w:val="747C01C6"/>
    <w:rsid w:val="75973563"/>
    <w:rsid w:val="780FF12B"/>
    <w:rsid w:val="78F3CDE8"/>
    <w:rsid w:val="79C3A26D"/>
    <w:rsid w:val="7A6C3A1D"/>
    <w:rsid w:val="7FA8F5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C95E5A"/>
  <w15:chartTrackingRefBased/>
  <w15:docId w15:val="{66063E64-2FC9-4940-B1CD-788B9C2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sv"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3DCA"/>
    <w:pPr>
      <w:spacing w:after="0" w:line="240" w:lineRule="auto"/>
    </w:pPr>
    <w:rPr>
      <w:sz w:val="20"/>
    </w:rPr>
  </w:style>
  <w:style w:type="character" w:customStyle="1" w:styleId="FootnoteTextChar">
    <w:name w:val="Footnote Text Char"/>
    <w:basedOn w:val="DefaultParagraphFont"/>
    <w:link w:val="FootnoteText"/>
    <w:uiPriority w:val="99"/>
    <w:rsid w:val="00733DCA"/>
    <w:rPr>
      <w:sz w:val="20"/>
    </w:rPr>
  </w:style>
  <w:style w:type="paragraph" w:styleId="Header">
    <w:name w:val="header"/>
    <w:basedOn w:val="Normal"/>
    <w:link w:val="HeaderChar"/>
    <w:uiPriority w:val="99"/>
    <w:unhideWhenUsed/>
    <w:rsid w:val="0073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DCA"/>
  </w:style>
  <w:style w:type="paragraph" w:styleId="Footer">
    <w:name w:val="footer"/>
    <w:basedOn w:val="Normal"/>
    <w:link w:val="FooterChar"/>
    <w:uiPriority w:val="99"/>
    <w:unhideWhenUsed/>
    <w:rsid w:val="0073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DCA"/>
  </w:style>
  <w:style w:type="character" w:styleId="FootnoteReference">
    <w:name w:val="footnote reference"/>
    <w:basedOn w:val="DefaultParagraphFont"/>
    <w:uiPriority w:val="99"/>
    <w:semiHidden/>
    <w:unhideWhenUsed/>
    <w:rsid w:val="00733DCA"/>
    <w:rPr>
      <w:shd w:val="clear" w:color="auto" w:fill="auto"/>
      <w:vertAlign w:val="superscript"/>
    </w:rPr>
  </w:style>
  <w:style w:type="paragraph" w:customStyle="1" w:styleId="paragraph">
    <w:name w:val="paragraph"/>
    <w:basedOn w:val="Normal"/>
    <w:rsid w:val="00733DCA"/>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733DCA"/>
  </w:style>
  <w:style w:type="paragraph" w:styleId="ListParagraph">
    <w:name w:val="List Paragraph"/>
    <w:basedOn w:val="Normal"/>
    <w:uiPriority w:val="34"/>
    <w:qFormat/>
    <w:rsid w:val="00733DCA"/>
    <w:pPr>
      <w:ind w:left="720"/>
      <w:contextualSpacing/>
    </w:pPr>
  </w:style>
  <w:style w:type="character" w:customStyle="1" w:styleId="normaltextrun">
    <w:name w:val="normaltextrun"/>
    <w:basedOn w:val="DefaultParagraphFont"/>
    <w:rsid w:val="00733DCA"/>
  </w:style>
  <w:style w:type="character" w:customStyle="1" w:styleId="tabchar">
    <w:name w:val="tabchar"/>
    <w:basedOn w:val="DefaultParagraphFont"/>
    <w:rsid w:val="00733DCA"/>
  </w:style>
  <w:style w:type="character" w:customStyle="1" w:styleId="scxw134703037">
    <w:name w:val="scxw134703037"/>
    <w:basedOn w:val="DefaultParagraphFont"/>
    <w:rsid w:val="00733DCA"/>
  </w:style>
  <w:style w:type="paragraph" w:styleId="CommentText">
    <w:name w:val="annotation text"/>
    <w:basedOn w:val="Normal"/>
    <w:link w:val="CommentTextChar"/>
    <w:uiPriority w:val="99"/>
    <w:unhideWhenUsed/>
    <w:rsid w:val="00733DCA"/>
    <w:pPr>
      <w:spacing w:line="240" w:lineRule="auto"/>
    </w:pPr>
    <w:rPr>
      <w:sz w:val="20"/>
    </w:rPr>
  </w:style>
  <w:style w:type="character" w:customStyle="1" w:styleId="CommentTextChar">
    <w:name w:val="Comment Text Char"/>
    <w:basedOn w:val="DefaultParagraphFont"/>
    <w:link w:val="CommentText"/>
    <w:uiPriority w:val="99"/>
    <w:rsid w:val="00733DCA"/>
    <w:rPr>
      <w:sz w:val="20"/>
    </w:rPr>
  </w:style>
  <w:style w:type="character" w:styleId="CommentReference">
    <w:name w:val="annotation reference"/>
    <w:basedOn w:val="DefaultParagraphFont"/>
    <w:uiPriority w:val="99"/>
    <w:semiHidden/>
    <w:unhideWhenUsed/>
    <w:rsid w:val="00733DCA"/>
    <w:rPr>
      <w:sz w:val="16"/>
    </w:rPr>
  </w:style>
  <w:style w:type="paragraph" w:styleId="BalloonText">
    <w:name w:val="Balloon Text"/>
    <w:basedOn w:val="Normal"/>
    <w:link w:val="BalloonTextChar"/>
    <w:uiPriority w:val="99"/>
    <w:semiHidden/>
    <w:unhideWhenUsed/>
    <w:rsid w:val="00733DCA"/>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33DCA"/>
    <w:rPr>
      <w:rFonts w:ascii="Segoe UI" w:hAnsi="Segoe UI" w:cs="Segoe UI"/>
      <w:sz w:val="18"/>
    </w:rPr>
  </w:style>
  <w:style w:type="paragraph" w:styleId="Revision">
    <w:name w:val="Revision"/>
    <w:hidden/>
    <w:uiPriority w:val="99"/>
    <w:semiHidden/>
    <w:rsid w:val="00733DCA"/>
    <w:pPr>
      <w:spacing w:after="0" w:line="240" w:lineRule="auto"/>
    </w:pPr>
  </w:style>
  <w:style w:type="character" w:customStyle="1" w:styleId="Spominjanje1">
    <w:name w:val="Spominjanje1"/>
    <w:basedOn w:val="DefaultParagraphFont"/>
    <w:uiPriority w:val="99"/>
    <w:unhideWhenUsed/>
    <w:rsid w:val="00733DC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33DCA"/>
    <w:rPr>
      <w:b/>
    </w:rPr>
  </w:style>
  <w:style w:type="character" w:customStyle="1" w:styleId="CommentSubjectChar">
    <w:name w:val="Comment Subject Char"/>
    <w:basedOn w:val="CommentTextChar"/>
    <w:link w:val="CommentSubject"/>
    <w:uiPriority w:val="99"/>
    <w:semiHidden/>
    <w:rsid w:val="00733DCA"/>
    <w:rPr>
      <w:b/>
      <w:sz w:val="20"/>
    </w:rPr>
  </w:style>
  <w:style w:type="character" w:customStyle="1" w:styleId="ui-provider">
    <w:name w:val="ui-provider"/>
    <w:basedOn w:val="DefaultParagraphFont"/>
    <w:rsid w:val="00733DCA"/>
  </w:style>
  <w:style w:type="paragraph" w:customStyle="1" w:styleId="Text1">
    <w:name w:val="Text 1"/>
    <w:basedOn w:val="Normal"/>
    <w:rsid w:val="00733DCA"/>
    <w:pPr>
      <w:spacing w:before="120" w:after="120" w:line="240" w:lineRule="auto"/>
      <w:ind w:left="850"/>
      <w:jc w:val="both"/>
    </w:pPr>
    <w:rPr>
      <w:rFonts w:ascii="Times New Roman" w:hAnsi="Times New Roman" w:cs="Times New Roman"/>
      <w:sz w:val="24"/>
    </w:rPr>
  </w:style>
  <w:style w:type="character" w:customStyle="1" w:styleId="Bodytext2">
    <w:name w:val="Body text|2_"/>
    <w:basedOn w:val="DefaultParagraphFont"/>
    <w:link w:val="Bodytext20"/>
    <w:rsid w:val="00733DCA"/>
    <w:rPr>
      <w:rFonts w:ascii="Cambria Math" w:eastAsia="Cambria Math" w:hAnsi="Cambria Math" w:cs="Cambria Math"/>
      <w:sz w:val="21"/>
      <w:shd w:val="clear" w:color="auto" w:fill="FFFFFF"/>
    </w:rPr>
  </w:style>
  <w:style w:type="paragraph" w:customStyle="1" w:styleId="Bodytext20">
    <w:name w:val="Body text|2"/>
    <w:basedOn w:val="Normal"/>
    <w:link w:val="Bodytext2"/>
    <w:qFormat/>
    <w:rsid w:val="00733DCA"/>
    <w:pPr>
      <w:widowControl w:val="0"/>
      <w:shd w:val="clear" w:color="auto" w:fill="FFFFFF"/>
      <w:spacing w:before="200" w:after="60" w:line="293" w:lineRule="exact"/>
      <w:ind w:hanging="380"/>
      <w:jc w:val="both"/>
    </w:pPr>
    <w:rPr>
      <w:rFonts w:ascii="Cambria Math" w:eastAsia="Cambria Math" w:hAnsi="Cambria Math" w:cs="Cambria Math"/>
      <w:sz w:val="21"/>
    </w:rPr>
  </w:style>
  <w:style w:type="paragraph" w:customStyle="1" w:styleId="FooterCouncil">
    <w:name w:val="Footer Council"/>
    <w:basedOn w:val="Normal"/>
    <w:link w:val="FooterCouncilChar"/>
    <w:rsid w:val="00733DCA"/>
    <w:pPr>
      <w:spacing w:after="0" w:line="276" w:lineRule="auto"/>
    </w:pPr>
    <w:rPr>
      <w:sz w:val="2"/>
    </w:rPr>
  </w:style>
  <w:style w:type="character" w:customStyle="1" w:styleId="FooterCouncilChar">
    <w:name w:val="Footer Council Char"/>
    <w:basedOn w:val="DefaultParagraphFont"/>
    <w:link w:val="FooterCouncil"/>
    <w:rsid w:val="00733DCA"/>
    <w:rPr>
      <w:sz w:val="2"/>
    </w:rPr>
  </w:style>
  <w:style w:type="paragraph" w:customStyle="1" w:styleId="FooterText">
    <w:name w:val="Footer Text"/>
    <w:basedOn w:val="Normal"/>
    <w:rsid w:val="00733DCA"/>
    <w:pPr>
      <w:spacing w:after="0" w:line="240" w:lineRule="auto"/>
    </w:pPr>
    <w:rPr>
      <w:rFonts w:ascii="Times New Roman" w:eastAsia="Times New Roman" w:hAnsi="Times New Roman" w:cs="Times New Roman"/>
      <w:sz w:val="24"/>
    </w:rPr>
  </w:style>
  <w:style w:type="paragraph" w:styleId="NormalWeb">
    <w:name w:val="Normal (Web)"/>
    <w:basedOn w:val="Normal"/>
    <w:uiPriority w:val="99"/>
    <w:semiHidden/>
    <w:unhideWhenUsed/>
    <w:rsid w:val="00733DCA"/>
    <w:rPr>
      <w:rFonts w:ascii="Times New Roman" w:hAnsi="Times New Roman" w:cs="Times New Roman"/>
      <w:sz w:val="24"/>
    </w:rPr>
  </w:style>
  <w:style w:type="paragraph" w:customStyle="1" w:styleId="inline-block">
    <w:name w:val="inline-block"/>
    <w:basedOn w:val="Normal"/>
    <w:rsid w:val="00733DCA"/>
    <w:pPr>
      <w:spacing w:before="100" w:beforeAutospacing="1" w:after="100" w:afterAutospacing="1" w:line="240" w:lineRule="auto"/>
    </w:pPr>
    <w:rPr>
      <w:rFonts w:ascii="Times New Roman" w:eastAsia="Times New Roman" w:hAnsi="Times New Roman" w:cs="Times New Roman"/>
      <w:sz w:val="24"/>
    </w:rPr>
  </w:style>
  <w:style w:type="character" w:customStyle="1" w:styleId="scxw121540484">
    <w:name w:val="scxw121540484"/>
    <w:basedOn w:val="DefaultParagraphFont"/>
    <w:rsid w:val="00146C1C"/>
  </w:style>
  <w:style w:type="character" w:customStyle="1" w:styleId="scxw226962243">
    <w:name w:val="scxw226962243"/>
    <w:basedOn w:val="DefaultParagraphFont"/>
    <w:rsid w:val="00042078"/>
  </w:style>
  <w:style w:type="character" w:styleId="Hyperlink">
    <w:name w:val="Hyperlink"/>
    <w:basedOn w:val="DefaultParagraphFont"/>
    <w:uiPriority w:val="99"/>
    <w:semiHidden/>
    <w:unhideWhenUsed/>
    <w:rsid w:val="00146C1C"/>
    <w:rPr>
      <w:color w:val="0000FF"/>
      <w:u w:val="single"/>
    </w:rPr>
  </w:style>
  <w:style w:type="character" w:customStyle="1" w:styleId="cf01">
    <w:name w:val="cf01"/>
    <w:basedOn w:val="DefaultParagraphFont"/>
    <w:rsid w:val="00146C1C"/>
    <w:rPr>
      <w:rFonts w:ascii="Segoe UI" w:hAnsi="Segoe UI" w:cs="Segoe UI" w:hint="default"/>
      <w:sz w:val="18"/>
      <w:shd w:val="clear" w:color="auto" w:fill="FFFF00"/>
    </w:rPr>
  </w:style>
  <w:style w:type="character" w:customStyle="1" w:styleId="cf11">
    <w:name w:val="cf11"/>
    <w:basedOn w:val="DefaultParagraphFont"/>
    <w:rsid w:val="00146C1C"/>
    <w:rPr>
      <w:rFonts w:ascii="Segoe UI" w:hAnsi="Segoe UI" w:cs="Segoe UI" w:hint="default"/>
      <w:sz w:val="18"/>
      <w:shd w:val="clear" w:color="auto" w:fill="FFFF00"/>
    </w:rPr>
  </w:style>
  <w:style w:type="character" w:customStyle="1" w:styleId="UnresolvedMention1">
    <w:name w:val="Unresolved Mention1"/>
    <w:basedOn w:val="DefaultParagraphFont"/>
    <w:uiPriority w:val="99"/>
    <w:unhideWhenUsed/>
    <w:rsid w:val="00F1451A"/>
    <w:rPr>
      <w:color w:val="605E5C"/>
      <w:shd w:val="clear" w:color="auto" w:fill="E1DFDD"/>
    </w:rPr>
  </w:style>
  <w:style w:type="character" w:customStyle="1" w:styleId="Mention1">
    <w:name w:val="Mention1"/>
    <w:basedOn w:val="DefaultParagraphFont"/>
    <w:uiPriority w:val="99"/>
    <w:unhideWhenUsed/>
    <w:rsid w:val="00F1451A"/>
    <w:rPr>
      <w:color w:val="2B579A"/>
      <w:shd w:val="clear" w:color="auto" w:fill="E1DFDD"/>
    </w:rPr>
  </w:style>
  <w:style w:type="character" w:customStyle="1" w:styleId="Mention">
    <w:name w:val="Mention"/>
    <w:basedOn w:val="DefaultParagraphFont"/>
    <w:uiPriority w:val="99"/>
    <w:unhideWhenUsed/>
    <w:rsid w:val="001E6304"/>
    <w:rPr>
      <w:color w:val="2B579A"/>
      <w:shd w:val="clear" w:color="auto" w:fill="E1DFDD"/>
    </w:rPr>
  </w:style>
  <w:style w:type="character" w:customStyle="1" w:styleId="UnresolvedMention2">
    <w:name w:val="Unresolved Mention2"/>
    <w:basedOn w:val="DefaultParagraphFont"/>
    <w:uiPriority w:val="99"/>
    <w:unhideWhenUsed/>
    <w:rsid w:val="00E1042A"/>
    <w:rPr>
      <w:color w:val="605E5C"/>
      <w:shd w:val="clear" w:color="auto" w:fill="E1DFDD"/>
    </w:rPr>
  </w:style>
  <w:style w:type="character" w:customStyle="1" w:styleId="Mention2">
    <w:name w:val="Mention2"/>
    <w:basedOn w:val="DefaultParagraphFont"/>
    <w:uiPriority w:val="99"/>
    <w:unhideWhenUsed/>
    <w:rsid w:val="00E1042A"/>
    <w:rPr>
      <w:color w:val="2B579A"/>
      <w:shd w:val="clear" w:color="auto" w:fill="E1DFDD"/>
    </w:rPr>
  </w:style>
  <w:style w:type="character" w:customStyle="1" w:styleId="Marker">
    <w:name w:val="Marker"/>
    <w:basedOn w:val="DefaultParagraphFont"/>
    <w:rsid w:val="00982114"/>
    <w:rPr>
      <w:color w:val="0000FF"/>
      <w:shd w:val="clear" w:color="auto" w:fill="auto"/>
    </w:rPr>
  </w:style>
  <w:style w:type="paragraph" w:customStyle="1" w:styleId="Pagedecouverture">
    <w:name w:val="Page de couverture"/>
    <w:basedOn w:val="Normal"/>
    <w:next w:val="Normal"/>
    <w:rsid w:val="00982114"/>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98211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82114"/>
    <w:rPr>
      <w:rFonts w:ascii="Times New Roman" w:hAnsi="Times New Roman" w:cs="Times New Roman"/>
      <w:sz w:val="24"/>
    </w:rPr>
  </w:style>
  <w:style w:type="paragraph" w:customStyle="1" w:styleId="FooterSensitivity">
    <w:name w:val="Footer Sensitivity"/>
    <w:basedOn w:val="Normal"/>
    <w:link w:val="FooterSensitivityChar"/>
    <w:rsid w:val="0098211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82114"/>
    <w:rPr>
      <w:rFonts w:ascii="Times New Roman" w:hAnsi="Times New Roman" w:cs="Times New Roman"/>
      <w:b/>
      <w:sz w:val="32"/>
    </w:rPr>
  </w:style>
  <w:style w:type="paragraph" w:customStyle="1" w:styleId="HeaderCoverPage">
    <w:name w:val="Header Cover Page"/>
    <w:basedOn w:val="Normal"/>
    <w:link w:val="HeaderCoverPageChar"/>
    <w:rsid w:val="0098211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82114"/>
    <w:rPr>
      <w:rFonts w:ascii="Times New Roman" w:hAnsi="Times New Roman" w:cs="Times New Roman"/>
      <w:sz w:val="24"/>
    </w:rPr>
  </w:style>
  <w:style w:type="paragraph" w:customStyle="1" w:styleId="HeaderSensitivity">
    <w:name w:val="Header Sensitivity"/>
    <w:basedOn w:val="Normal"/>
    <w:link w:val="HeaderSensitivityChar"/>
    <w:rsid w:val="0098211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82114"/>
    <w:rPr>
      <w:rFonts w:ascii="Times New Roman" w:hAnsi="Times New Roman" w:cs="Times New Roman"/>
      <w:b/>
      <w:sz w:val="32"/>
    </w:rPr>
  </w:style>
  <w:style w:type="paragraph" w:customStyle="1" w:styleId="HeaderSensitivityRight">
    <w:name w:val="Header Sensitivity Right"/>
    <w:basedOn w:val="Normal"/>
    <w:link w:val="HeaderSensitivityRightChar"/>
    <w:rsid w:val="0098211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82114"/>
    <w:rPr>
      <w:rFonts w:ascii="Times New Roman" w:hAnsi="Times New Roman" w:cs="Times New Roman"/>
      <w:sz w:val="28"/>
    </w:rPr>
  </w:style>
  <w:style w:type="paragraph" w:customStyle="1" w:styleId="P68B1DB1-Normal1">
    <w:name w:val="P68B1DB1-Normal1"/>
    <w:basedOn w:val="Normal"/>
    <w:rPr>
      <w:rFonts w:ascii="Times New Roman" w:eastAsia="Calibri" w:hAnsi="Times New Roman" w:cs="Times New Roman"/>
      <w:b/>
      <w:sz w:val="24"/>
    </w:rPr>
  </w:style>
  <w:style w:type="paragraph" w:customStyle="1" w:styleId="P68B1DB1-Normal2">
    <w:name w:val="P68B1DB1-Normal2"/>
    <w:basedOn w:val="Normal"/>
    <w:rPr>
      <w:rFonts w:ascii="Times New Roman" w:eastAsia="Calibri" w:hAnsi="Times New Roman" w:cs="Times New Roman"/>
      <w:b/>
      <w:smallCaps/>
      <w:sz w:val="24"/>
    </w:rPr>
  </w:style>
  <w:style w:type="paragraph" w:customStyle="1" w:styleId="P68B1DB1-Normal3">
    <w:name w:val="P68B1DB1-Normal3"/>
    <w:basedOn w:val="Normal"/>
    <w:rPr>
      <w:rFonts w:ascii="Times New Roman" w:eastAsia="Calibri" w:hAnsi="Times New Roman" w:cs="Times New Roman"/>
      <w:sz w:val="24"/>
    </w:rPr>
  </w:style>
  <w:style w:type="paragraph" w:customStyle="1" w:styleId="P68B1DB1-Normal4">
    <w:name w:val="P68B1DB1-Normal4"/>
    <w:basedOn w:val="Normal"/>
    <w:rPr>
      <w:rFonts w:ascii="Times New Roman" w:eastAsia="SimSun" w:hAnsi="Times New Roman" w:cs="Times New Roman"/>
      <w:b/>
      <w:sz w:val="24"/>
      <w:u w:val="single"/>
    </w:rPr>
  </w:style>
  <w:style w:type="paragraph" w:customStyle="1" w:styleId="P68B1DB1-Normal5">
    <w:name w:val="P68B1DB1-Normal5"/>
    <w:basedOn w:val="Normal"/>
    <w:rPr>
      <w:rFonts w:ascii="Times New Roman" w:eastAsia="Calibri" w:hAnsi="Times New Roman" w:cs="Times New Roman"/>
      <w:sz w:val="24"/>
      <w:u w:val="single"/>
    </w:rPr>
  </w:style>
  <w:style w:type="paragraph" w:customStyle="1" w:styleId="P68B1DB1-Normal6">
    <w:name w:val="P68B1DB1-Normal6"/>
    <w:basedOn w:val="Normal"/>
    <w:rPr>
      <w:rFonts w:ascii="Times New Roman" w:eastAsia="Times New Roman" w:hAnsi="Times New Roman" w:cs="Times New Roman"/>
      <w:b/>
      <w:sz w:val="18"/>
    </w:rPr>
  </w:style>
  <w:style w:type="paragraph" w:customStyle="1" w:styleId="P68B1DB1-Normal7">
    <w:name w:val="P68B1DB1-Normal7"/>
    <w:basedOn w:val="Normal"/>
    <w:rPr>
      <w:rFonts w:ascii="Calibri" w:eastAsia="Calibri" w:hAnsi="Calibri" w:cs="Arial"/>
      <w:color w:val="000000"/>
      <w:sz w:val="20"/>
    </w:rPr>
  </w:style>
  <w:style w:type="paragraph" w:customStyle="1" w:styleId="P68B1DB1-Normal8">
    <w:name w:val="P68B1DB1-Normal8"/>
    <w:basedOn w:val="Normal"/>
    <w:rPr>
      <w:rFonts w:ascii="Times New Roman" w:eastAsia="Times New Roman" w:hAnsi="Times New Roman" w:cs="Times New Roman"/>
      <w:color w:val="000000" w:themeColor="text1"/>
      <w:sz w:val="24"/>
    </w:rPr>
  </w:style>
  <w:style w:type="paragraph" w:customStyle="1" w:styleId="P68B1DB1-Normal9">
    <w:name w:val="P68B1DB1-Normal9"/>
    <w:basedOn w:val="Normal"/>
    <w:rPr>
      <w:rFonts w:ascii="Times New Roman" w:hAnsi="Times New Roman" w:cs="Times New Roman"/>
      <w:sz w:val="24"/>
      <w:u w:val="single"/>
    </w:rPr>
  </w:style>
  <w:style w:type="paragraph" w:customStyle="1" w:styleId="P68B1DB1-Normal10">
    <w:name w:val="P68B1DB1-Normal10"/>
    <w:basedOn w:val="Normal"/>
    <w:rPr>
      <w:rFonts w:ascii="Times New Roman" w:eastAsia="Times New Roman" w:hAnsi="Times New Roman" w:cs="Times New Roman"/>
      <w:sz w:val="24"/>
      <w:u w:val="single"/>
    </w:rPr>
  </w:style>
  <w:style w:type="paragraph" w:customStyle="1" w:styleId="P68B1DB1-Normal11">
    <w:name w:val="P68B1DB1-Normal11"/>
    <w:basedOn w:val="Normal"/>
    <w:rPr>
      <w:rFonts w:ascii="Times New Roman" w:eastAsia="Times New Roman" w:hAnsi="Times New Roman" w:cs="Times New Roman"/>
      <w:sz w:val="24"/>
    </w:rPr>
  </w:style>
  <w:style w:type="paragraph" w:customStyle="1" w:styleId="P68B1DB1-Normal12">
    <w:name w:val="P68B1DB1-Normal12"/>
    <w:basedOn w:val="Normal"/>
    <w:rPr>
      <w:rFonts w:ascii="Times New Roman" w:eastAsia="Times New Roman" w:hAnsi="Times New Roman" w:cs="Times New Roman"/>
      <w:b/>
      <w:color w:val="000000" w:themeColor="text1"/>
      <w:sz w:val="20"/>
    </w:rPr>
  </w:style>
  <w:style w:type="paragraph" w:customStyle="1" w:styleId="P68B1DB1-Normal13">
    <w:name w:val="P68B1DB1-Normal13"/>
    <w:basedOn w:val="Normal"/>
    <w:rPr>
      <w:sz w:val="20"/>
    </w:rPr>
  </w:style>
  <w:style w:type="paragraph" w:customStyle="1" w:styleId="P68B1DB1-Normal14">
    <w:name w:val="P68B1DB1-Normal14"/>
    <w:basedOn w:val="Normal"/>
    <w:rPr>
      <w:rFonts w:ascii="Calibri" w:eastAsia="Calibri" w:hAnsi="Calibri" w:cs="Calibri"/>
      <w:sz w:val="20"/>
    </w:rPr>
  </w:style>
  <w:style w:type="paragraph" w:customStyle="1" w:styleId="P68B1DB1-Normal15">
    <w:name w:val="P68B1DB1-Normal15"/>
    <w:basedOn w:val="Normal"/>
    <w:rPr>
      <w:rFonts w:ascii="Calibri" w:eastAsia="Calibri" w:hAnsi="Calibri" w:cs="Calibri"/>
      <w:sz w:val="19"/>
    </w:rPr>
  </w:style>
  <w:style w:type="paragraph" w:customStyle="1" w:styleId="P68B1DB1-Normal16">
    <w:name w:val="P68B1DB1-Normal16"/>
    <w:basedOn w:val="Normal"/>
    <w:rPr>
      <w:rFonts w:eastAsia="Calibri" w:cstheme="minorHAnsi"/>
      <w:color w:val="000000"/>
      <w:sz w:val="20"/>
    </w:rPr>
  </w:style>
  <w:style w:type="paragraph" w:customStyle="1" w:styleId="P68B1DB1-Normal17">
    <w:name w:val="P68B1DB1-Normal17"/>
    <w:basedOn w:val="Normal"/>
    <w:rPr>
      <w:rFonts w:eastAsia="Calibri" w:cstheme="minorHAnsi"/>
      <w:sz w:val="20"/>
    </w:rPr>
  </w:style>
  <w:style w:type="paragraph" w:customStyle="1" w:styleId="P68B1DB1-Normal18">
    <w:name w:val="P68B1DB1-Normal18"/>
    <w:basedOn w:val="Normal"/>
    <w:rPr>
      <w:rFonts w:ascii="Times New Roman" w:eastAsia="SimSun" w:hAnsi="Times New Roman" w:cs="Times New Roman"/>
      <w:sz w:val="24"/>
      <w:u w:val="single"/>
    </w:rPr>
  </w:style>
  <w:style w:type="paragraph" w:customStyle="1" w:styleId="P68B1DB1-Normal19">
    <w:name w:val="P68B1DB1-Normal19"/>
    <w:basedOn w:val="Normal"/>
    <w:rPr>
      <w:u w:val="single"/>
    </w:rPr>
  </w:style>
  <w:style w:type="paragraph" w:customStyle="1" w:styleId="P68B1DB1-Normal20">
    <w:name w:val="P68B1DB1-Normal20"/>
    <w:basedOn w:val="Normal"/>
    <w:rPr>
      <w:rFonts w:ascii="Times New Roman" w:eastAsia="Calibri" w:hAnsi="Times New Roman" w:cs="Times New Roman"/>
      <w:sz w:val="24"/>
      <w:shd w:val="clear" w:color="auto" w:fill="FFFFFF"/>
    </w:rPr>
  </w:style>
  <w:style w:type="paragraph" w:customStyle="1" w:styleId="P68B1DB1-Normal21">
    <w:name w:val="P68B1DB1-Normal21"/>
    <w:basedOn w:val="Normal"/>
    <w:rPr>
      <w:rFonts w:eastAsia="Times New Roman" w:cstheme="minorHAnsi"/>
      <w:b/>
      <w:sz w:val="20"/>
    </w:rPr>
  </w:style>
  <w:style w:type="paragraph" w:customStyle="1" w:styleId="P68B1DB1-Normal22">
    <w:name w:val="P68B1DB1-Normal22"/>
    <w:basedOn w:val="Normal"/>
    <w:rPr>
      <w:rFonts w:eastAsia="Calibri"/>
      <w:color w:val="000000" w:themeColor="text1"/>
      <w:sz w:val="20"/>
    </w:rPr>
  </w:style>
  <w:style w:type="paragraph" w:customStyle="1" w:styleId="P68B1DB1-paragraph23">
    <w:name w:val="P68B1DB1-paragraph23"/>
    <w:basedOn w:val="paragraph"/>
    <w:rPr>
      <w:rFonts w:eastAsia="Calibri"/>
    </w:rPr>
  </w:style>
  <w:style w:type="paragraph" w:customStyle="1" w:styleId="P68B1DB1-Normal24">
    <w:name w:val="P68B1DB1-Normal24"/>
    <w:basedOn w:val="Normal"/>
    <w:rPr>
      <w:rFonts w:eastAsia="Times New Roman" w:cstheme="minorHAnsi"/>
      <w:sz w:val="20"/>
    </w:rPr>
  </w:style>
  <w:style w:type="paragraph" w:customStyle="1" w:styleId="P68B1DB1-Normal25">
    <w:name w:val="P68B1DB1-Normal25"/>
    <w:basedOn w:val="Normal"/>
    <w:rPr>
      <w:rFonts w:cstheme="minorHAnsi"/>
      <w:sz w:val="20"/>
    </w:rPr>
  </w:style>
  <w:style w:type="paragraph" w:customStyle="1" w:styleId="P68B1DB1-Normal26">
    <w:name w:val="P68B1DB1-Normal26"/>
    <w:basedOn w:val="Normal"/>
    <w:rPr>
      <w:rFonts w:eastAsia="Times New Roman" w:cstheme="minorHAnsi"/>
      <w:sz w:val="20"/>
      <w:shd w:val="clear" w:color="auto" w:fill="E6E6E6"/>
    </w:rPr>
  </w:style>
  <w:style w:type="paragraph" w:customStyle="1" w:styleId="P68B1DB1-Normal27">
    <w:name w:val="P68B1DB1-Normal27"/>
    <w:basedOn w:val="Normal"/>
    <w:rPr>
      <w:rFonts w:eastAsia="Times New Roman"/>
      <w:sz w:val="20"/>
    </w:rPr>
  </w:style>
  <w:style w:type="paragraph" w:customStyle="1" w:styleId="P68B1DB1-Normal28">
    <w:name w:val="P68B1DB1-Normal28"/>
    <w:basedOn w:val="Normal"/>
    <w:rPr>
      <w:rFonts w:eastAsia="Calibri" w:cstheme="minorHAnsi"/>
      <w:sz w:val="20"/>
      <w:shd w:val="clear" w:color="auto" w:fill="E6E6E6"/>
    </w:rPr>
  </w:style>
  <w:style w:type="paragraph" w:customStyle="1" w:styleId="P68B1DB1-Normal29">
    <w:name w:val="P68B1DB1-Normal29"/>
    <w:basedOn w:val="Normal"/>
    <w:rPr>
      <w:rFonts w:eastAsia="Calibri"/>
      <w:sz w:val="20"/>
    </w:rPr>
  </w:style>
  <w:style w:type="paragraph" w:customStyle="1" w:styleId="P68B1DB1-Normal30">
    <w:name w:val="P68B1DB1-Normal30"/>
    <w:basedOn w:val="Normal"/>
    <w:rPr>
      <w:rFonts w:ascii="Times New Roman" w:eastAsia="Calibri" w:hAnsi="Times New Roman" w:cs="Times New Roman"/>
      <w:color w:val="000000" w:themeColor="text1"/>
      <w:sz w:val="24"/>
    </w:rPr>
  </w:style>
  <w:style w:type="paragraph" w:customStyle="1" w:styleId="P68B1DB1-Normal31">
    <w:name w:val="P68B1DB1-Normal31"/>
    <w:basedOn w:val="Normal"/>
    <w:rPr>
      <w:rFonts w:ascii="Times New Roman" w:eastAsia="Calibri" w:hAnsi="Times New Roman" w:cs="Times New Roman"/>
      <w:b/>
      <w:smallCaps/>
      <w:color w:val="000000" w:themeColor="text1"/>
      <w:sz w:val="24"/>
    </w:rPr>
  </w:style>
  <w:style w:type="paragraph" w:customStyle="1" w:styleId="P68B1DB1-Normal32">
    <w:name w:val="P68B1DB1-Normal32"/>
    <w:basedOn w:val="Normal"/>
    <w:rPr>
      <w:rFonts w:ascii="Times New Roman" w:eastAsia="Calibri" w:hAnsi="Times New Roman" w:cs="Times New Roman"/>
      <w:color w:val="000000" w:themeColor="text1"/>
      <w:sz w:val="24"/>
      <w:u w:val="single"/>
    </w:rPr>
  </w:style>
  <w:style w:type="paragraph" w:customStyle="1" w:styleId="P68B1DB1-Normal33">
    <w:name w:val="P68B1DB1-Normal33"/>
    <w:basedOn w:val="Normal"/>
    <w:rPr>
      <w:rFonts w:ascii="Times New Roman" w:eastAsia="SimSun" w:hAnsi="Times New Roman" w:cs="Times New Roman"/>
      <w:b/>
      <w:color w:val="000000" w:themeColor="text1"/>
      <w:sz w:val="24"/>
      <w:u w:val="single"/>
      <w:shd w:val="clear" w:color="auto" w:fill="E6E6E6"/>
    </w:rPr>
  </w:style>
  <w:style w:type="paragraph" w:customStyle="1" w:styleId="P68B1DB1-Normal34">
    <w:name w:val="P68B1DB1-Normal34"/>
    <w:basedOn w:val="Normal"/>
    <w:rPr>
      <w:rFonts w:ascii="Times New Roman" w:eastAsia="Calibri" w:hAnsi="Times New Roman" w:cs="Times New Roman"/>
      <w:b/>
      <w:color w:val="000000" w:themeColor="text1"/>
      <w:sz w:val="18"/>
    </w:rPr>
  </w:style>
  <w:style w:type="paragraph" w:customStyle="1" w:styleId="P68B1DB1-Normal35">
    <w:name w:val="P68B1DB1-Normal35"/>
    <w:basedOn w:val="Normal"/>
    <w:rPr>
      <w:rFonts w:ascii="Calibri" w:eastAsia="Calibri" w:hAnsi="Calibri" w:cs="Arial"/>
      <w:color w:val="000000" w:themeColor="text1"/>
      <w:sz w:val="20"/>
      <w:shd w:val="clear" w:color="auto" w:fill="E6E6E6"/>
    </w:rPr>
  </w:style>
  <w:style w:type="paragraph" w:customStyle="1" w:styleId="P68B1DB1-Normal36">
    <w:name w:val="P68B1DB1-Normal36"/>
    <w:basedOn w:val="Normal"/>
    <w:rPr>
      <w:rFonts w:ascii="Times New Roman" w:hAnsi="Times New Roman" w:cs="Times New Roman"/>
      <w:b/>
      <w:smallCaps/>
      <w:sz w:val="24"/>
    </w:rPr>
  </w:style>
  <w:style w:type="paragraph" w:customStyle="1" w:styleId="P68B1DB1-Normal37">
    <w:name w:val="P68B1DB1-Normal37"/>
    <w:basedOn w:val="Normal"/>
    <w:rPr>
      <w:rFonts w:ascii="Times New Roman" w:eastAsiaTheme="minorEastAsia" w:hAnsi="Times New Roman" w:cs="Times New Roman"/>
      <w:b/>
      <w:sz w:val="24"/>
      <w:u w:val="single"/>
    </w:rPr>
  </w:style>
  <w:style w:type="paragraph" w:customStyle="1" w:styleId="P68B1DB1-Bodytext2038">
    <w:name w:val="P68B1DB1-Bodytext2038"/>
    <w:basedOn w:val="Bodytext20"/>
    <w:rPr>
      <w:rFonts w:ascii="Times New Roman" w:hAnsi="Times New Roman" w:cs="Times New Roman"/>
      <w:sz w:val="24"/>
    </w:rPr>
  </w:style>
  <w:style w:type="paragraph" w:customStyle="1" w:styleId="P68B1DB1-Text139">
    <w:name w:val="P68B1DB1-Text139"/>
    <w:basedOn w:val="Text1"/>
    <w:rPr>
      <w:u w:val="single"/>
    </w:rPr>
  </w:style>
  <w:style w:type="paragraph" w:customStyle="1" w:styleId="P68B1DB1-Normal40">
    <w:name w:val="P68B1DB1-Normal40"/>
    <w:basedOn w:val="Normal"/>
    <w:rPr>
      <w:rFonts w:ascii="Times New Roman" w:eastAsia="Cambria Math" w:hAnsi="Times New Roman" w:cs="Times New Roman"/>
      <w:sz w:val="24"/>
    </w:rPr>
  </w:style>
  <w:style w:type="paragraph" w:customStyle="1" w:styleId="P68B1DB1-Normal41">
    <w:name w:val="P68B1DB1-Normal41"/>
    <w:basedOn w:val="Normal"/>
    <w:rPr>
      <w:color w:val="000000"/>
      <w:sz w:val="20"/>
    </w:rPr>
  </w:style>
  <w:style w:type="paragraph" w:customStyle="1" w:styleId="P68B1DB1-Normal42">
    <w:name w:val="P68B1DB1-Normal42"/>
    <w:basedOn w:val="Normal"/>
    <w:rPr>
      <w:rFonts w:ascii="Times New Roman" w:hAnsi="Times New Roman" w:cs="Times New Roman"/>
      <w:sz w:val="24"/>
      <w:shd w:val="clear" w:color="auto" w:fill="FFFFFF"/>
    </w:rPr>
  </w:style>
  <w:style w:type="paragraph" w:customStyle="1" w:styleId="P68B1DB1-Normal43">
    <w:name w:val="P68B1DB1-Normal43"/>
    <w:basedOn w:val="Normal"/>
    <w:rPr>
      <w:sz w:val="24"/>
    </w:rPr>
  </w:style>
  <w:style w:type="paragraph" w:customStyle="1" w:styleId="P68B1DB1-Normal44">
    <w:name w:val="P68B1DB1-Normal44"/>
    <w:basedOn w:val="Normal"/>
    <w:rPr>
      <w:rFonts w:ascii="Times New Roman" w:eastAsia="SimSun" w:hAnsi="Times New Roman" w:cs="Times New Roman"/>
      <w:sz w:val="24"/>
    </w:rPr>
  </w:style>
  <w:style w:type="paragraph" w:customStyle="1" w:styleId="P68B1DB1-CommentText45">
    <w:name w:val="P68B1DB1-CommentText45"/>
    <w:basedOn w:val="CommentText"/>
    <w:rPr>
      <w:color w:val="000000"/>
    </w:rPr>
  </w:style>
  <w:style w:type="paragraph" w:customStyle="1" w:styleId="P68B1DB1-Normal46">
    <w:name w:val="P68B1DB1-Normal46"/>
    <w:basedOn w:val="Normal"/>
    <w:rPr>
      <w:rFonts w:ascii="Times New Roman" w:eastAsiaTheme="minorEastAsia" w:hAnsi="Times New Roman" w:cs="Times New Roman"/>
      <w:sz w:val="24"/>
      <w:u w:val="single"/>
    </w:rPr>
  </w:style>
  <w:style w:type="paragraph" w:customStyle="1" w:styleId="P68B1DB1-Normal47">
    <w:name w:val="P68B1DB1-Normal47"/>
    <w:basedOn w:val="Normal"/>
    <w:rPr>
      <w:rFonts w:ascii="Times New Roman" w:eastAsiaTheme="minorEastAsia" w:hAnsi="Times New Roman" w:cs="Times New Roman"/>
      <w:sz w:val="24"/>
    </w:rPr>
  </w:style>
  <w:style w:type="paragraph" w:customStyle="1" w:styleId="P68B1DB1-Normal48">
    <w:name w:val="P68B1DB1-Normal48"/>
    <w:basedOn w:val="Normal"/>
    <w:rPr>
      <w:rFonts w:ascii="Times New Roman" w:hAnsi="Times New Roman" w:cs="Times New Roman"/>
    </w:rPr>
  </w:style>
  <w:style w:type="paragraph" w:customStyle="1" w:styleId="P68B1DB1-Normal49">
    <w:name w:val="P68B1DB1-Normal49"/>
    <w:basedOn w:val="Normal"/>
    <w:rPr>
      <w:rFonts w:ascii="Times New Roman" w:eastAsia="Calibri" w:hAnsi="Times New Roman" w:cs="Times New Roman"/>
      <w:sz w:val="24"/>
      <w:bdr w:val="none" w:sz="0" w:space="0" w:color="auto" w:frame="1"/>
    </w:rPr>
  </w:style>
  <w:style w:type="paragraph" w:customStyle="1" w:styleId="P68B1DB1-Normal50">
    <w:name w:val="P68B1DB1-Normal50"/>
    <w:basedOn w:val="Normal"/>
    <w:rPr>
      <w:rFonts w:ascii="Calibri" w:eastAsia="Calibri" w:hAnsi="Calibri" w:cs="Arial"/>
      <w:shd w:val="clear" w:color="auto" w:fill="FFFFFF"/>
    </w:rPr>
  </w:style>
  <w:style w:type="paragraph" w:customStyle="1" w:styleId="P68B1DB1-ListParagraph51">
    <w:name w:val="P68B1DB1-ListParagraph51"/>
    <w:basedOn w:val="ListParagraph"/>
    <w:rPr>
      <w:rFonts w:ascii="Times New Roman" w:eastAsia="Calibri" w:hAnsi="Times New Roman" w:cs="Times New Roman"/>
      <w:sz w:val="24"/>
    </w:rPr>
  </w:style>
  <w:style w:type="paragraph" w:customStyle="1" w:styleId="P68B1DB1-Normal52">
    <w:name w:val="P68B1DB1-Normal52"/>
    <w:basedOn w:val="Normal"/>
    <w:rPr>
      <w:rFonts w:ascii="Times New Roman" w:eastAsia="SimSun" w:hAnsi="Times New Roman" w:cs="Times New Roman"/>
      <w:b/>
      <w:sz w:val="24"/>
    </w:rPr>
  </w:style>
  <w:style w:type="paragraph" w:customStyle="1" w:styleId="P68B1DB1-Normal53">
    <w:name w:val="P68B1DB1-Normal53"/>
    <w:basedOn w:val="Normal"/>
    <w:rPr>
      <w:rFonts w:eastAsia="Times New Roman"/>
      <w:b/>
      <w:sz w:val="20"/>
    </w:rPr>
  </w:style>
  <w:style w:type="paragraph" w:customStyle="1" w:styleId="P68B1DB1-Normal54">
    <w:name w:val="P68B1DB1-Normal54"/>
    <w:basedOn w:val="Normal"/>
    <w:rPr>
      <w:rFonts w:eastAsia="Times New Roman" w:cstheme="minorHAnsi"/>
      <w:color w:val="006100"/>
      <w:sz w:val="20"/>
    </w:rPr>
  </w:style>
  <w:style w:type="paragraph" w:customStyle="1" w:styleId="P68B1DB1-paragraph55">
    <w:name w:val="P68B1DB1-paragraph55"/>
    <w:basedOn w:val="paragraph"/>
    <w:rPr>
      <w:u w:val="single"/>
    </w:rPr>
  </w:style>
  <w:style w:type="paragraph" w:customStyle="1" w:styleId="P68B1DB1-paragraph56">
    <w:name w:val="P68B1DB1-paragraph56"/>
    <w:basedOn w:val="paragraph"/>
    <w:rPr>
      <w:color w:val="000000" w:themeColor="text1"/>
    </w:rPr>
  </w:style>
  <w:style w:type="paragraph" w:customStyle="1" w:styleId="P68B1DB1-paragraph57">
    <w:name w:val="P68B1DB1-paragraph57"/>
    <w:basedOn w:val="paragraph"/>
    <w:rPr>
      <w:color w:val="000000" w:themeColor="text1"/>
      <w:u w:val="single"/>
    </w:rPr>
  </w:style>
  <w:style w:type="paragraph" w:customStyle="1" w:styleId="P68B1DB1-Normal58">
    <w:name w:val="P68B1DB1-Normal58"/>
    <w:basedOn w:val="Normal"/>
    <w:rPr>
      <w:rFonts w:cstheme="minorHAnsi"/>
      <w:color w:val="000000" w:themeColor="text1"/>
      <w:sz w:val="20"/>
    </w:rPr>
  </w:style>
  <w:style w:type="paragraph" w:customStyle="1" w:styleId="P68B1DB1-Normal59">
    <w:name w:val="P68B1DB1-Normal59"/>
    <w:basedOn w:val="Normal"/>
    <w:rPr>
      <w:color w:val="000000" w:themeColor="text1"/>
    </w:rPr>
  </w:style>
  <w:style w:type="paragraph" w:customStyle="1" w:styleId="P68B1DB1-Normal60">
    <w:name w:val="P68B1DB1-Normal60"/>
    <w:basedOn w:val="Normal"/>
    <w:rPr>
      <w:rFonts w:eastAsiaTheme="minorEastAsia"/>
      <w:sz w:val="20"/>
    </w:rPr>
  </w:style>
  <w:style w:type="paragraph" w:customStyle="1" w:styleId="P68B1DB1-paragraph61">
    <w:name w:val="P68B1DB1-paragraph61"/>
    <w:basedOn w:val="paragraph"/>
    <w:rPr>
      <w:rFonts w:eastAsia="Calibri"/>
      <w:b/>
    </w:rPr>
  </w:style>
  <w:style w:type="paragraph" w:customStyle="1" w:styleId="P68B1DB1-Normal62">
    <w:name w:val="P68B1DB1-Normal62"/>
    <w:basedOn w:val="Normal"/>
    <w:rPr>
      <w:rFonts w:ascii="Calibri" w:eastAsia="Times New Roman" w:hAnsi="Calibri" w:cs="Calibri"/>
      <w:color w:val="D13438"/>
      <w:sz w:val="24"/>
    </w:rPr>
  </w:style>
  <w:style w:type="paragraph" w:customStyle="1" w:styleId="P68B1DB1-Normal63">
    <w:name w:val="P68B1DB1-Normal63"/>
    <w:basedOn w:val="Normal"/>
    <w:rPr>
      <w:rFonts w:ascii="Times New Roman" w:eastAsia="Times New Roman" w:hAnsi="Times New Roman" w:cs="Times New Roman"/>
      <w:sz w:val="20"/>
    </w:rPr>
  </w:style>
  <w:style w:type="paragraph" w:customStyle="1" w:styleId="P68B1DB1-Normal64">
    <w:name w:val="P68B1DB1-Normal64"/>
    <w:basedOn w:val="Normal"/>
    <w:rPr>
      <w:rFonts w:ascii="Times New Roman" w:hAnsi="Times New Roman" w:cs="Times New Roman"/>
      <w:color w:val="000000"/>
      <w:sz w:val="20"/>
    </w:rPr>
  </w:style>
  <w:style w:type="paragraph" w:customStyle="1" w:styleId="P68B1DB1-ListParagraph65">
    <w:name w:val="P68B1DB1-ListParagraph65"/>
    <w:basedOn w:val="ListParagraph"/>
    <w:rPr>
      <w:rFonts w:ascii="Times New Roman" w:eastAsia="Times New Roman" w:hAnsi="Times New Roman" w:cs="Times New Roman"/>
      <w:sz w:val="24"/>
    </w:rPr>
  </w:style>
  <w:style w:type="paragraph" w:customStyle="1" w:styleId="P68B1DB1-Normal66">
    <w:name w:val="P68B1DB1-Normal66"/>
    <w:basedOn w:val="Normal"/>
    <w:rPr>
      <w:rFonts w:ascii="Times New Roman" w:eastAsia="Calibri" w:hAnsi="Times New Roman" w:cs="Times New Roman"/>
      <w:color w:val="000000"/>
      <w:sz w:val="20"/>
    </w:rPr>
  </w:style>
  <w:style w:type="paragraph" w:customStyle="1" w:styleId="P68B1DB1-Normal67">
    <w:name w:val="P68B1DB1-Normal67"/>
    <w:basedOn w:val="Normal"/>
    <w:rPr>
      <w:rFonts w:ascii="Times New Roman" w:hAnsi="Times New Roman" w:cs="Times New Roman"/>
      <w:sz w:val="20"/>
    </w:rPr>
  </w:style>
  <w:style w:type="paragraph" w:customStyle="1" w:styleId="P68B1DB1-Normal68">
    <w:name w:val="P68B1DB1-Normal68"/>
    <w:basedOn w:val="Normal"/>
    <w:rPr>
      <w:rFonts w:ascii="Times New Roman" w:eastAsia="Times New Roman" w:hAnsi="Times New Roman" w:cs="Times New Roman"/>
      <w:color w:val="006100"/>
      <w:sz w:val="20"/>
    </w:rPr>
  </w:style>
  <w:style w:type="paragraph" w:customStyle="1" w:styleId="P68B1DB1-Normal69">
    <w:name w:val="P68B1DB1-Normal69"/>
    <w:basedOn w:val="Normal"/>
    <w:rPr>
      <w:rFonts w:ascii="Times New Roman" w:eastAsia="Calibri" w:hAnsi="Times New Roman" w:cs="Times New Roman"/>
      <w:sz w:val="20"/>
    </w:rPr>
  </w:style>
  <w:style w:type="paragraph" w:customStyle="1" w:styleId="P68B1DB1-Normal70">
    <w:name w:val="P68B1DB1-Normal70"/>
    <w:basedOn w:val="Normal"/>
    <w:rPr>
      <w:rFonts w:ascii="Times New Roman" w:eastAsia="Times New Roman" w:hAnsi="Times New Roman" w:cs="Times New Roman"/>
      <w:i/>
      <w:color w:val="4F81BD"/>
      <w:sz w:val="24"/>
    </w:rPr>
  </w:style>
  <w:style w:type="paragraph" w:customStyle="1" w:styleId="P68B1DB1-Footer71">
    <w:name w:val="P68B1DB1-Footer71"/>
    <w:basedOn w:val="Footer"/>
    <w:rPr>
      <w:rFonts w:ascii="Times New Roman" w:hAnsi="Times New Roman" w:cs="Times New Roman"/>
      <w:sz w:val="24"/>
    </w:rPr>
  </w:style>
  <w:style w:type="paragraph" w:customStyle="1" w:styleId="P68B1DB1-FootnoteText72">
    <w:name w:val="P68B1DB1-FootnoteText72"/>
    <w:basedOn w:val="FootnoteText"/>
    <w:rPr>
      <w:rFonts w:ascii="Times New Roman" w:hAnsi="Times New Roman" w:cs="Times New Roman"/>
    </w:rPr>
  </w:style>
  <w:style w:type="paragraph" w:customStyle="1" w:styleId="P68B1DB1-Footer73">
    <w:name w:val="P68B1DB1-Footer73"/>
    <w:basedOn w:val="Foote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8582">
      <w:bodyDiv w:val="1"/>
      <w:marLeft w:val="0"/>
      <w:marRight w:val="0"/>
      <w:marTop w:val="0"/>
      <w:marBottom w:val="0"/>
      <w:divBdr>
        <w:top w:val="none" w:sz="0" w:space="0" w:color="auto"/>
        <w:left w:val="none" w:sz="0" w:space="0" w:color="auto"/>
        <w:bottom w:val="none" w:sz="0" w:space="0" w:color="auto"/>
        <w:right w:val="none" w:sz="0" w:space="0" w:color="auto"/>
      </w:divBdr>
    </w:div>
    <w:div w:id="1216239056">
      <w:bodyDiv w:val="1"/>
      <w:marLeft w:val="0"/>
      <w:marRight w:val="0"/>
      <w:marTop w:val="0"/>
      <w:marBottom w:val="0"/>
      <w:divBdr>
        <w:top w:val="none" w:sz="0" w:space="0" w:color="auto"/>
        <w:left w:val="none" w:sz="0" w:space="0" w:color="auto"/>
        <w:bottom w:val="none" w:sz="0" w:space="0" w:color="auto"/>
        <w:right w:val="none" w:sz="0" w:space="0" w:color="auto"/>
      </w:divBdr>
      <w:divsChild>
        <w:div w:id="56518711">
          <w:marLeft w:val="0"/>
          <w:marRight w:val="0"/>
          <w:marTop w:val="0"/>
          <w:marBottom w:val="0"/>
          <w:divBdr>
            <w:top w:val="none" w:sz="0" w:space="0" w:color="auto"/>
            <w:left w:val="none" w:sz="0" w:space="0" w:color="auto"/>
            <w:bottom w:val="none" w:sz="0" w:space="0" w:color="auto"/>
            <w:right w:val="none" w:sz="0" w:space="0" w:color="auto"/>
          </w:divBdr>
        </w:div>
        <w:div w:id="82604629">
          <w:marLeft w:val="0"/>
          <w:marRight w:val="0"/>
          <w:marTop w:val="0"/>
          <w:marBottom w:val="0"/>
          <w:divBdr>
            <w:top w:val="none" w:sz="0" w:space="0" w:color="auto"/>
            <w:left w:val="none" w:sz="0" w:space="0" w:color="auto"/>
            <w:bottom w:val="none" w:sz="0" w:space="0" w:color="auto"/>
            <w:right w:val="none" w:sz="0" w:space="0" w:color="auto"/>
          </w:divBdr>
        </w:div>
        <w:div w:id="95518010">
          <w:marLeft w:val="0"/>
          <w:marRight w:val="0"/>
          <w:marTop w:val="0"/>
          <w:marBottom w:val="0"/>
          <w:divBdr>
            <w:top w:val="none" w:sz="0" w:space="0" w:color="auto"/>
            <w:left w:val="none" w:sz="0" w:space="0" w:color="auto"/>
            <w:bottom w:val="none" w:sz="0" w:space="0" w:color="auto"/>
            <w:right w:val="none" w:sz="0" w:space="0" w:color="auto"/>
          </w:divBdr>
        </w:div>
        <w:div w:id="456224752">
          <w:marLeft w:val="0"/>
          <w:marRight w:val="0"/>
          <w:marTop w:val="0"/>
          <w:marBottom w:val="0"/>
          <w:divBdr>
            <w:top w:val="none" w:sz="0" w:space="0" w:color="auto"/>
            <w:left w:val="none" w:sz="0" w:space="0" w:color="auto"/>
            <w:bottom w:val="none" w:sz="0" w:space="0" w:color="auto"/>
            <w:right w:val="none" w:sz="0" w:space="0" w:color="auto"/>
          </w:divBdr>
        </w:div>
        <w:div w:id="647980838">
          <w:marLeft w:val="0"/>
          <w:marRight w:val="0"/>
          <w:marTop w:val="0"/>
          <w:marBottom w:val="0"/>
          <w:divBdr>
            <w:top w:val="none" w:sz="0" w:space="0" w:color="auto"/>
            <w:left w:val="none" w:sz="0" w:space="0" w:color="auto"/>
            <w:bottom w:val="none" w:sz="0" w:space="0" w:color="auto"/>
            <w:right w:val="none" w:sz="0" w:space="0" w:color="auto"/>
          </w:divBdr>
        </w:div>
        <w:div w:id="1475373974">
          <w:marLeft w:val="0"/>
          <w:marRight w:val="0"/>
          <w:marTop w:val="0"/>
          <w:marBottom w:val="0"/>
          <w:divBdr>
            <w:top w:val="none" w:sz="0" w:space="0" w:color="auto"/>
            <w:left w:val="none" w:sz="0" w:space="0" w:color="auto"/>
            <w:bottom w:val="none" w:sz="0" w:space="0" w:color="auto"/>
            <w:right w:val="none" w:sz="0" w:space="0" w:color="auto"/>
          </w:divBdr>
        </w:div>
      </w:divsChild>
    </w:div>
    <w:div w:id="1675646078">
      <w:bodyDiv w:val="1"/>
      <w:marLeft w:val="0"/>
      <w:marRight w:val="0"/>
      <w:marTop w:val="0"/>
      <w:marBottom w:val="0"/>
      <w:divBdr>
        <w:top w:val="none" w:sz="0" w:space="0" w:color="auto"/>
        <w:left w:val="none" w:sz="0" w:space="0" w:color="auto"/>
        <w:bottom w:val="none" w:sz="0" w:space="0" w:color="auto"/>
        <w:right w:val="none" w:sz="0" w:space="0" w:color="auto"/>
      </w:divBdr>
    </w:div>
    <w:div w:id="1727332354">
      <w:bodyDiv w:val="1"/>
      <w:marLeft w:val="0"/>
      <w:marRight w:val="0"/>
      <w:marTop w:val="0"/>
      <w:marBottom w:val="0"/>
      <w:divBdr>
        <w:top w:val="none" w:sz="0" w:space="0" w:color="auto"/>
        <w:left w:val="none" w:sz="0" w:space="0" w:color="auto"/>
        <w:bottom w:val="none" w:sz="0" w:space="0" w:color="auto"/>
        <w:right w:val="none" w:sz="0" w:space="0" w:color="auto"/>
      </w:divBdr>
      <w:divsChild>
        <w:div w:id="3017637">
          <w:marLeft w:val="0"/>
          <w:marRight w:val="0"/>
          <w:marTop w:val="0"/>
          <w:marBottom w:val="0"/>
          <w:divBdr>
            <w:top w:val="none" w:sz="0" w:space="0" w:color="auto"/>
            <w:left w:val="none" w:sz="0" w:space="0" w:color="auto"/>
            <w:bottom w:val="none" w:sz="0" w:space="0" w:color="auto"/>
            <w:right w:val="none" w:sz="0" w:space="0" w:color="auto"/>
          </w:divBdr>
          <w:divsChild>
            <w:div w:id="1483303970">
              <w:marLeft w:val="0"/>
              <w:marRight w:val="0"/>
              <w:marTop w:val="0"/>
              <w:marBottom w:val="0"/>
              <w:divBdr>
                <w:top w:val="none" w:sz="0" w:space="0" w:color="auto"/>
                <w:left w:val="none" w:sz="0" w:space="0" w:color="auto"/>
                <w:bottom w:val="none" w:sz="0" w:space="0" w:color="auto"/>
                <w:right w:val="none" w:sz="0" w:space="0" w:color="auto"/>
              </w:divBdr>
            </w:div>
          </w:divsChild>
        </w:div>
        <w:div w:id="127628836">
          <w:marLeft w:val="0"/>
          <w:marRight w:val="0"/>
          <w:marTop w:val="0"/>
          <w:marBottom w:val="0"/>
          <w:divBdr>
            <w:top w:val="none" w:sz="0" w:space="0" w:color="auto"/>
            <w:left w:val="none" w:sz="0" w:space="0" w:color="auto"/>
            <w:bottom w:val="none" w:sz="0" w:space="0" w:color="auto"/>
            <w:right w:val="none" w:sz="0" w:space="0" w:color="auto"/>
          </w:divBdr>
          <w:divsChild>
            <w:div w:id="1547641465">
              <w:marLeft w:val="0"/>
              <w:marRight w:val="0"/>
              <w:marTop w:val="0"/>
              <w:marBottom w:val="0"/>
              <w:divBdr>
                <w:top w:val="none" w:sz="0" w:space="0" w:color="auto"/>
                <w:left w:val="none" w:sz="0" w:space="0" w:color="auto"/>
                <w:bottom w:val="none" w:sz="0" w:space="0" w:color="auto"/>
                <w:right w:val="none" w:sz="0" w:space="0" w:color="auto"/>
              </w:divBdr>
            </w:div>
          </w:divsChild>
        </w:div>
        <w:div w:id="165751412">
          <w:marLeft w:val="0"/>
          <w:marRight w:val="0"/>
          <w:marTop w:val="0"/>
          <w:marBottom w:val="0"/>
          <w:divBdr>
            <w:top w:val="none" w:sz="0" w:space="0" w:color="auto"/>
            <w:left w:val="none" w:sz="0" w:space="0" w:color="auto"/>
            <w:bottom w:val="none" w:sz="0" w:space="0" w:color="auto"/>
            <w:right w:val="none" w:sz="0" w:space="0" w:color="auto"/>
          </w:divBdr>
          <w:divsChild>
            <w:div w:id="1202324444">
              <w:marLeft w:val="0"/>
              <w:marRight w:val="0"/>
              <w:marTop w:val="0"/>
              <w:marBottom w:val="0"/>
              <w:divBdr>
                <w:top w:val="none" w:sz="0" w:space="0" w:color="auto"/>
                <w:left w:val="none" w:sz="0" w:space="0" w:color="auto"/>
                <w:bottom w:val="none" w:sz="0" w:space="0" w:color="auto"/>
                <w:right w:val="none" w:sz="0" w:space="0" w:color="auto"/>
              </w:divBdr>
            </w:div>
          </w:divsChild>
        </w:div>
        <w:div w:id="291910644">
          <w:marLeft w:val="0"/>
          <w:marRight w:val="0"/>
          <w:marTop w:val="0"/>
          <w:marBottom w:val="0"/>
          <w:divBdr>
            <w:top w:val="none" w:sz="0" w:space="0" w:color="auto"/>
            <w:left w:val="none" w:sz="0" w:space="0" w:color="auto"/>
            <w:bottom w:val="none" w:sz="0" w:space="0" w:color="auto"/>
            <w:right w:val="none" w:sz="0" w:space="0" w:color="auto"/>
          </w:divBdr>
          <w:divsChild>
            <w:div w:id="1452941928">
              <w:marLeft w:val="0"/>
              <w:marRight w:val="0"/>
              <w:marTop w:val="0"/>
              <w:marBottom w:val="0"/>
              <w:divBdr>
                <w:top w:val="none" w:sz="0" w:space="0" w:color="auto"/>
                <w:left w:val="none" w:sz="0" w:space="0" w:color="auto"/>
                <w:bottom w:val="none" w:sz="0" w:space="0" w:color="auto"/>
                <w:right w:val="none" w:sz="0" w:space="0" w:color="auto"/>
              </w:divBdr>
            </w:div>
          </w:divsChild>
        </w:div>
        <w:div w:id="296837946">
          <w:marLeft w:val="0"/>
          <w:marRight w:val="0"/>
          <w:marTop w:val="0"/>
          <w:marBottom w:val="0"/>
          <w:divBdr>
            <w:top w:val="none" w:sz="0" w:space="0" w:color="auto"/>
            <w:left w:val="none" w:sz="0" w:space="0" w:color="auto"/>
            <w:bottom w:val="none" w:sz="0" w:space="0" w:color="auto"/>
            <w:right w:val="none" w:sz="0" w:space="0" w:color="auto"/>
          </w:divBdr>
          <w:divsChild>
            <w:div w:id="1320570759">
              <w:marLeft w:val="0"/>
              <w:marRight w:val="0"/>
              <w:marTop w:val="0"/>
              <w:marBottom w:val="0"/>
              <w:divBdr>
                <w:top w:val="none" w:sz="0" w:space="0" w:color="auto"/>
                <w:left w:val="none" w:sz="0" w:space="0" w:color="auto"/>
                <w:bottom w:val="none" w:sz="0" w:space="0" w:color="auto"/>
                <w:right w:val="none" w:sz="0" w:space="0" w:color="auto"/>
              </w:divBdr>
            </w:div>
          </w:divsChild>
        </w:div>
        <w:div w:id="364259294">
          <w:marLeft w:val="0"/>
          <w:marRight w:val="0"/>
          <w:marTop w:val="0"/>
          <w:marBottom w:val="0"/>
          <w:divBdr>
            <w:top w:val="none" w:sz="0" w:space="0" w:color="auto"/>
            <w:left w:val="none" w:sz="0" w:space="0" w:color="auto"/>
            <w:bottom w:val="none" w:sz="0" w:space="0" w:color="auto"/>
            <w:right w:val="none" w:sz="0" w:space="0" w:color="auto"/>
          </w:divBdr>
          <w:divsChild>
            <w:div w:id="557132573">
              <w:marLeft w:val="0"/>
              <w:marRight w:val="0"/>
              <w:marTop w:val="0"/>
              <w:marBottom w:val="0"/>
              <w:divBdr>
                <w:top w:val="none" w:sz="0" w:space="0" w:color="auto"/>
                <w:left w:val="none" w:sz="0" w:space="0" w:color="auto"/>
                <w:bottom w:val="none" w:sz="0" w:space="0" w:color="auto"/>
                <w:right w:val="none" w:sz="0" w:space="0" w:color="auto"/>
              </w:divBdr>
            </w:div>
          </w:divsChild>
        </w:div>
        <w:div w:id="469135504">
          <w:marLeft w:val="0"/>
          <w:marRight w:val="0"/>
          <w:marTop w:val="0"/>
          <w:marBottom w:val="0"/>
          <w:divBdr>
            <w:top w:val="none" w:sz="0" w:space="0" w:color="auto"/>
            <w:left w:val="none" w:sz="0" w:space="0" w:color="auto"/>
            <w:bottom w:val="none" w:sz="0" w:space="0" w:color="auto"/>
            <w:right w:val="none" w:sz="0" w:space="0" w:color="auto"/>
          </w:divBdr>
          <w:divsChild>
            <w:div w:id="1519585068">
              <w:marLeft w:val="0"/>
              <w:marRight w:val="0"/>
              <w:marTop w:val="0"/>
              <w:marBottom w:val="0"/>
              <w:divBdr>
                <w:top w:val="none" w:sz="0" w:space="0" w:color="auto"/>
                <w:left w:val="none" w:sz="0" w:space="0" w:color="auto"/>
                <w:bottom w:val="none" w:sz="0" w:space="0" w:color="auto"/>
                <w:right w:val="none" w:sz="0" w:space="0" w:color="auto"/>
              </w:divBdr>
            </w:div>
          </w:divsChild>
        </w:div>
        <w:div w:id="536241453">
          <w:marLeft w:val="0"/>
          <w:marRight w:val="0"/>
          <w:marTop w:val="0"/>
          <w:marBottom w:val="0"/>
          <w:divBdr>
            <w:top w:val="none" w:sz="0" w:space="0" w:color="auto"/>
            <w:left w:val="none" w:sz="0" w:space="0" w:color="auto"/>
            <w:bottom w:val="none" w:sz="0" w:space="0" w:color="auto"/>
            <w:right w:val="none" w:sz="0" w:space="0" w:color="auto"/>
          </w:divBdr>
          <w:divsChild>
            <w:div w:id="1051921670">
              <w:marLeft w:val="0"/>
              <w:marRight w:val="0"/>
              <w:marTop w:val="0"/>
              <w:marBottom w:val="0"/>
              <w:divBdr>
                <w:top w:val="none" w:sz="0" w:space="0" w:color="auto"/>
                <w:left w:val="none" w:sz="0" w:space="0" w:color="auto"/>
                <w:bottom w:val="none" w:sz="0" w:space="0" w:color="auto"/>
                <w:right w:val="none" w:sz="0" w:space="0" w:color="auto"/>
              </w:divBdr>
            </w:div>
          </w:divsChild>
        </w:div>
        <w:div w:id="581375591">
          <w:marLeft w:val="0"/>
          <w:marRight w:val="0"/>
          <w:marTop w:val="0"/>
          <w:marBottom w:val="0"/>
          <w:divBdr>
            <w:top w:val="none" w:sz="0" w:space="0" w:color="auto"/>
            <w:left w:val="none" w:sz="0" w:space="0" w:color="auto"/>
            <w:bottom w:val="none" w:sz="0" w:space="0" w:color="auto"/>
            <w:right w:val="none" w:sz="0" w:space="0" w:color="auto"/>
          </w:divBdr>
          <w:divsChild>
            <w:div w:id="589584654">
              <w:marLeft w:val="0"/>
              <w:marRight w:val="0"/>
              <w:marTop w:val="0"/>
              <w:marBottom w:val="0"/>
              <w:divBdr>
                <w:top w:val="none" w:sz="0" w:space="0" w:color="auto"/>
                <w:left w:val="none" w:sz="0" w:space="0" w:color="auto"/>
                <w:bottom w:val="none" w:sz="0" w:space="0" w:color="auto"/>
                <w:right w:val="none" w:sz="0" w:space="0" w:color="auto"/>
              </w:divBdr>
            </w:div>
          </w:divsChild>
        </w:div>
        <w:div w:id="600601153">
          <w:marLeft w:val="0"/>
          <w:marRight w:val="0"/>
          <w:marTop w:val="0"/>
          <w:marBottom w:val="0"/>
          <w:divBdr>
            <w:top w:val="none" w:sz="0" w:space="0" w:color="auto"/>
            <w:left w:val="none" w:sz="0" w:space="0" w:color="auto"/>
            <w:bottom w:val="none" w:sz="0" w:space="0" w:color="auto"/>
            <w:right w:val="none" w:sz="0" w:space="0" w:color="auto"/>
          </w:divBdr>
          <w:divsChild>
            <w:div w:id="784082450">
              <w:marLeft w:val="0"/>
              <w:marRight w:val="0"/>
              <w:marTop w:val="0"/>
              <w:marBottom w:val="0"/>
              <w:divBdr>
                <w:top w:val="none" w:sz="0" w:space="0" w:color="auto"/>
                <w:left w:val="none" w:sz="0" w:space="0" w:color="auto"/>
                <w:bottom w:val="none" w:sz="0" w:space="0" w:color="auto"/>
                <w:right w:val="none" w:sz="0" w:space="0" w:color="auto"/>
              </w:divBdr>
            </w:div>
          </w:divsChild>
        </w:div>
        <w:div w:id="728891712">
          <w:marLeft w:val="0"/>
          <w:marRight w:val="0"/>
          <w:marTop w:val="0"/>
          <w:marBottom w:val="0"/>
          <w:divBdr>
            <w:top w:val="none" w:sz="0" w:space="0" w:color="auto"/>
            <w:left w:val="none" w:sz="0" w:space="0" w:color="auto"/>
            <w:bottom w:val="none" w:sz="0" w:space="0" w:color="auto"/>
            <w:right w:val="none" w:sz="0" w:space="0" w:color="auto"/>
          </w:divBdr>
          <w:divsChild>
            <w:div w:id="1334065053">
              <w:marLeft w:val="0"/>
              <w:marRight w:val="0"/>
              <w:marTop w:val="0"/>
              <w:marBottom w:val="0"/>
              <w:divBdr>
                <w:top w:val="none" w:sz="0" w:space="0" w:color="auto"/>
                <w:left w:val="none" w:sz="0" w:space="0" w:color="auto"/>
                <w:bottom w:val="none" w:sz="0" w:space="0" w:color="auto"/>
                <w:right w:val="none" w:sz="0" w:space="0" w:color="auto"/>
              </w:divBdr>
            </w:div>
          </w:divsChild>
        </w:div>
        <w:div w:id="803815126">
          <w:marLeft w:val="0"/>
          <w:marRight w:val="0"/>
          <w:marTop w:val="0"/>
          <w:marBottom w:val="0"/>
          <w:divBdr>
            <w:top w:val="none" w:sz="0" w:space="0" w:color="auto"/>
            <w:left w:val="none" w:sz="0" w:space="0" w:color="auto"/>
            <w:bottom w:val="none" w:sz="0" w:space="0" w:color="auto"/>
            <w:right w:val="none" w:sz="0" w:space="0" w:color="auto"/>
          </w:divBdr>
          <w:divsChild>
            <w:div w:id="665322584">
              <w:marLeft w:val="0"/>
              <w:marRight w:val="0"/>
              <w:marTop w:val="0"/>
              <w:marBottom w:val="0"/>
              <w:divBdr>
                <w:top w:val="none" w:sz="0" w:space="0" w:color="auto"/>
                <w:left w:val="none" w:sz="0" w:space="0" w:color="auto"/>
                <w:bottom w:val="none" w:sz="0" w:space="0" w:color="auto"/>
                <w:right w:val="none" w:sz="0" w:space="0" w:color="auto"/>
              </w:divBdr>
            </w:div>
          </w:divsChild>
        </w:div>
        <w:div w:id="874316037">
          <w:marLeft w:val="0"/>
          <w:marRight w:val="0"/>
          <w:marTop w:val="0"/>
          <w:marBottom w:val="0"/>
          <w:divBdr>
            <w:top w:val="none" w:sz="0" w:space="0" w:color="auto"/>
            <w:left w:val="none" w:sz="0" w:space="0" w:color="auto"/>
            <w:bottom w:val="none" w:sz="0" w:space="0" w:color="auto"/>
            <w:right w:val="none" w:sz="0" w:space="0" w:color="auto"/>
          </w:divBdr>
          <w:divsChild>
            <w:div w:id="1862165472">
              <w:marLeft w:val="0"/>
              <w:marRight w:val="0"/>
              <w:marTop w:val="0"/>
              <w:marBottom w:val="0"/>
              <w:divBdr>
                <w:top w:val="none" w:sz="0" w:space="0" w:color="auto"/>
                <w:left w:val="none" w:sz="0" w:space="0" w:color="auto"/>
                <w:bottom w:val="none" w:sz="0" w:space="0" w:color="auto"/>
                <w:right w:val="none" w:sz="0" w:space="0" w:color="auto"/>
              </w:divBdr>
            </w:div>
          </w:divsChild>
        </w:div>
        <w:div w:id="921523507">
          <w:marLeft w:val="0"/>
          <w:marRight w:val="0"/>
          <w:marTop w:val="0"/>
          <w:marBottom w:val="0"/>
          <w:divBdr>
            <w:top w:val="none" w:sz="0" w:space="0" w:color="auto"/>
            <w:left w:val="none" w:sz="0" w:space="0" w:color="auto"/>
            <w:bottom w:val="none" w:sz="0" w:space="0" w:color="auto"/>
            <w:right w:val="none" w:sz="0" w:space="0" w:color="auto"/>
          </w:divBdr>
          <w:divsChild>
            <w:div w:id="973562635">
              <w:marLeft w:val="0"/>
              <w:marRight w:val="0"/>
              <w:marTop w:val="0"/>
              <w:marBottom w:val="0"/>
              <w:divBdr>
                <w:top w:val="none" w:sz="0" w:space="0" w:color="auto"/>
                <w:left w:val="none" w:sz="0" w:space="0" w:color="auto"/>
                <w:bottom w:val="none" w:sz="0" w:space="0" w:color="auto"/>
                <w:right w:val="none" w:sz="0" w:space="0" w:color="auto"/>
              </w:divBdr>
            </w:div>
          </w:divsChild>
        </w:div>
        <w:div w:id="931819069">
          <w:marLeft w:val="0"/>
          <w:marRight w:val="0"/>
          <w:marTop w:val="0"/>
          <w:marBottom w:val="0"/>
          <w:divBdr>
            <w:top w:val="none" w:sz="0" w:space="0" w:color="auto"/>
            <w:left w:val="none" w:sz="0" w:space="0" w:color="auto"/>
            <w:bottom w:val="none" w:sz="0" w:space="0" w:color="auto"/>
            <w:right w:val="none" w:sz="0" w:space="0" w:color="auto"/>
          </w:divBdr>
          <w:divsChild>
            <w:div w:id="521553306">
              <w:marLeft w:val="0"/>
              <w:marRight w:val="0"/>
              <w:marTop w:val="0"/>
              <w:marBottom w:val="0"/>
              <w:divBdr>
                <w:top w:val="none" w:sz="0" w:space="0" w:color="auto"/>
                <w:left w:val="none" w:sz="0" w:space="0" w:color="auto"/>
                <w:bottom w:val="none" w:sz="0" w:space="0" w:color="auto"/>
                <w:right w:val="none" w:sz="0" w:space="0" w:color="auto"/>
              </w:divBdr>
            </w:div>
          </w:divsChild>
        </w:div>
        <w:div w:id="991367325">
          <w:marLeft w:val="0"/>
          <w:marRight w:val="0"/>
          <w:marTop w:val="0"/>
          <w:marBottom w:val="0"/>
          <w:divBdr>
            <w:top w:val="none" w:sz="0" w:space="0" w:color="auto"/>
            <w:left w:val="none" w:sz="0" w:space="0" w:color="auto"/>
            <w:bottom w:val="none" w:sz="0" w:space="0" w:color="auto"/>
            <w:right w:val="none" w:sz="0" w:space="0" w:color="auto"/>
          </w:divBdr>
          <w:divsChild>
            <w:div w:id="696736896">
              <w:marLeft w:val="0"/>
              <w:marRight w:val="0"/>
              <w:marTop w:val="0"/>
              <w:marBottom w:val="0"/>
              <w:divBdr>
                <w:top w:val="none" w:sz="0" w:space="0" w:color="auto"/>
                <w:left w:val="none" w:sz="0" w:space="0" w:color="auto"/>
                <w:bottom w:val="none" w:sz="0" w:space="0" w:color="auto"/>
                <w:right w:val="none" w:sz="0" w:space="0" w:color="auto"/>
              </w:divBdr>
            </w:div>
          </w:divsChild>
        </w:div>
        <w:div w:id="1017923540">
          <w:marLeft w:val="0"/>
          <w:marRight w:val="0"/>
          <w:marTop w:val="0"/>
          <w:marBottom w:val="0"/>
          <w:divBdr>
            <w:top w:val="none" w:sz="0" w:space="0" w:color="auto"/>
            <w:left w:val="none" w:sz="0" w:space="0" w:color="auto"/>
            <w:bottom w:val="none" w:sz="0" w:space="0" w:color="auto"/>
            <w:right w:val="none" w:sz="0" w:space="0" w:color="auto"/>
          </w:divBdr>
          <w:divsChild>
            <w:div w:id="1567909760">
              <w:marLeft w:val="0"/>
              <w:marRight w:val="0"/>
              <w:marTop w:val="0"/>
              <w:marBottom w:val="0"/>
              <w:divBdr>
                <w:top w:val="none" w:sz="0" w:space="0" w:color="auto"/>
                <w:left w:val="none" w:sz="0" w:space="0" w:color="auto"/>
                <w:bottom w:val="none" w:sz="0" w:space="0" w:color="auto"/>
                <w:right w:val="none" w:sz="0" w:space="0" w:color="auto"/>
              </w:divBdr>
            </w:div>
          </w:divsChild>
        </w:div>
        <w:div w:id="1059087730">
          <w:marLeft w:val="0"/>
          <w:marRight w:val="0"/>
          <w:marTop w:val="0"/>
          <w:marBottom w:val="0"/>
          <w:divBdr>
            <w:top w:val="none" w:sz="0" w:space="0" w:color="auto"/>
            <w:left w:val="none" w:sz="0" w:space="0" w:color="auto"/>
            <w:bottom w:val="none" w:sz="0" w:space="0" w:color="auto"/>
            <w:right w:val="none" w:sz="0" w:space="0" w:color="auto"/>
          </w:divBdr>
          <w:divsChild>
            <w:div w:id="413236054">
              <w:marLeft w:val="0"/>
              <w:marRight w:val="0"/>
              <w:marTop w:val="0"/>
              <w:marBottom w:val="0"/>
              <w:divBdr>
                <w:top w:val="none" w:sz="0" w:space="0" w:color="auto"/>
                <w:left w:val="none" w:sz="0" w:space="0" w:color="auto"/>
                <w:bottom w:val="none" w:sz="0" w:space="0" w:color="auto"/>
                <w:right w:val="none" w:sz="0" w:space="0" w:color="auto"/>
              </w:divBdr>
            </w:div>
          </w:divsChild>
        </w:div>
        <w:div w:id="1179925390">
          <w:marLeft w:val="0"/>
          <w:marRight w:val="0"/>
          <w:marTop w:val="0"/>
          <w:marBottom w:val="0"/>
          <w:divBdr>
            <w:top w:val="none" w:sz="0" w:space="0" w:color="auto"/>
            <w:left w:val="none" w:sz="0" w:space="0" w:color="auto"/>
            <w:bottom w:val="none" w:sz="0" w:space="0" w:color="auto"/>
            <w:right w:val="none" w:sz="0" w:space="0" w:color="auto"/>
          </w:divBdr>
          <w:divsChild>
            <w:div w:id="536285017">
              <w:marLeft w:val="0"/>
              <w:marRight w:val="0"/>
              <w:marTop w:val="0"/>
              <w:marBottom w:val="0"/>
              <w:divBdr>
                <w:top w:val="none" w:sz="0" w:space="0" w:color="auto"/>
                <w:left w:val="none" w:sz="0" w:space="0" w:color="auto"/>
                <w:bottom w:val="none" w:sz="0" w:space="0" w:color="auto"/>
                <w:right w:val="none" w:sz="0" w:space="0" w:color="auto"/>
              </w:divBdr>
            </w:div>
          </w:divsChild>
        </w:div>
        <w:div w:id="1231814775">
          <w:marLeft w:val="0"/>
          <w:marRight w:val="0"/>
          <w:marTop w:val="0"/>
          <w:marBottom w:val="0"/>
          <w:divBdr>
            <w:top w:val="none" w:sz="0" w:space="0" w:color="auto"/>
            <w:left w:val="none" w:sz="0" w:space="0" w:color="auto"/>
            <w:bottom w:val="none" w:sz="0" w:space="0" w:color="auto"/>
            <w:right w:val="none" w:sz="0" w:space="0" w:color="auto"/>
          </w:divBdr>
          <w:divsChild>
            <w:div w:id="35979830">
              <w:marLeft w:val="0"/>
              <w:marRight w:val="0"/>
              <w:marTop w:val="0"/>
              <w:marBottom w:val="0"/>
              <w:divBdr>
                <w:top w:val="none" w:sz="0" w:space="0" w:color="auto"/>
                <w:left w:val="none" w:sz="0" w:space="0" w:color="auto"/>
                <w:bottom w:val="none" w:sz="0" w:space="0" w:color="auto"/>
                <w:right w:val="none" w:sz="0" w:space="0" w:color="auto"/>
              </w:divBdr>
            </w:div>
          </w:divsChild>
        </w:div>
        <w:div w:id="1275594586">
          <w:marLeft w:val="0"/>
          <w:marRight w:val="0"/>
          <w:marTop w:val="0"/>
          <w:marBottom w:val="0"/>
          <w:divBdr>
            <w:top w:val="none" w:sz="0" w:space="0" w:color="auto"/>
            <w:left w:val="none" w:sz="0" w:space="0" w:color="auto"/>
            <w:bottom w:val="none" w:sz="0" w:space="0" w:color="auto"/>
            <w:right w:val="none" w:sz="0" w:space="0" w:color="auto"/>
          </w:divBdr>
          <w:divsChild>
            <w:div w:id="1286544071">
              <w:marLeft w:val="0"/>
              <w:marRight w:val="0"/>
              <w:marTop w:val="0"/>
              <w:marBottom w:val="0"/>
              <w:divBdr>
                <w:top w:val="none" w:sz="0" w:space="0" w:color="auto"/>
                <w:left w:val="none" w:sz="0" w:space="0" w:color="auto"/>
                <w:bottom w:val="none" w:sz="0" w:space="0" w:color="auto"/>
                <w:right w:val="none" w:sz="0" w:space="0" w:color="auto"/>
              </w:divBdr>
            </w:div>
          </w:divsChild>
        </w:div>
        <w:div w:id="1322659098">
          <w:marLeft w:val="0"/>
          <w:marRight w:val="0"/>
          <w:marTop w:val="0"/>
          <w:marBottom w:val="0"/>
          <w:divBdr>
            <w:top w:val="none" w:sz="0" w:space="0" w:color="auto"/>
            <w:left w:val="none" w:sz="0" w:space="0" w:color="auto"/>
            <w:bottom w:val="none" w:sz="0" w:space="0" w:color="auto"/>
            <w:right w:val="none" w:sz="0" w:space="0" w:color="auto"/>
          </w:divBdr>
          <w:divsChild>
            <w:div w:id="169300579">
              <w:marLeft w:val="0"/>
              <w:marRight w:val="0"/>
              <w:marTop w:val="0"/>
              <w:marBottom w:val="0"/>
              <w:divBdr>
                <w:top w:val="none" w:sz="0" w:space="0" w:color="auto"/>
                <w:left w:val="none" w:sz="0" w:space="0" w:color="auto"/>
                <w:bottom w:val="none" w:sz="0" w:space="0" w:color="auto"/>
                <w:right w:val="none" w:sz="0" w:space="0" w:color="auto"/>
              </w:divBdr>
            </w:div>
          </w:divsChild>
        </w:div>
        <w:div w:id="1333028128">
          <w:marLeft w:val="0"/>
          <w:marRight w:val="0"/>
          <w:marTop w:val="0"/>
          <w:marBottom w:val="0"/>
          <w:divBdr>
            <w:top w:val="none" w:sz="0" w:space="0" w:color="auto"/>
            <w:left w:val="none" w:sz="0" w:space="0" w:color="auto"/>
            <w:bottom w:val="none" w:sz="0" w:space="0" w:color="auto"/>
            <w:right w:val="none" w:sz="0" w:space="0" w:color="auto"/>
          </w:divBdr>
          <w:divsChild>
            <w:div w:id="337539482">
              <w:marLeft w:val="0"/>
              <w:marRight w:val="0"/>
              <w:marTop w:val="0"/>
              <w:marBottom w:val="0"/>
              <w:divBdr>
                <w:top w:val="none" w:sz="0" w:space="0" w:color="auto"/>
                <w:left w:val="none" w:sz="0" w:space="0" w:color="auto"/>
                <w:bottom w:val="none" w:sz="0" w:space="0" w:color="auto"/>
                <w:right w:val="none" w:sz="0" w:space="0" w:color="auto"/>
              </w:divBdr>
            </w:div>
          </w:divsChild>
        </w:div>
        <w:div w:id="1477183990">
          <w:marLeft w:val="0"/>
          <w:marRight w:val="0"/>
          <w:marTop w:val="0"/>
          <w:marBottom w:val="0"/>
          <w:divBdr>
            <w:top w:val="none" w:sz="0" w:space="0" w:color="auto"/>
            <w:left w:val="none" w:sz="0" w:space="0" w:color="auto"/>
            <w:bottom w:val="none" w:sz="0" w:space="0" w:color="auto"/>
            <w:right w:val="none" w:sz="0" w:space="0" w:color="auto"/>
          </w:divBdr>
          <w:divsChild>
            <w:div w:id="1426458497">
              <w:marLeft w:val="0"/>
              <w:marRight w:val="0"/>
              <w:marTop w:val="0"/>
              <w:marBottom w:val="0"/>
              <w:divBdr>
                <w:top w:val="none" w:sz="0" w:space="0" w:color="auto"/>
                <w:left w:val="none" w:sz="0" w:space="0" w:color="auto"/>
                <w:bottom w:val="none" w:sz="0" w:space="0" w:color="auto"/>
                <w:right w:val="none" w:sz="0" w:space="0" w:color="auto"/>
              </w:divBdr>
            </w:div>
          </w:divsChild>
        </w:div>
        <w:div w:id="1564172787">
          <w:marLeft w:val="0"/>
          <w:marRight w:val="0"/>
          <w:marTop w:val="0"/>
          <w:marBottom w:val="0"/>
          <w:divBdr>
            <w:top w:val="none" w:sz="0" w:space="0" w:color="auto"/>
            <w:left w:val="none" w:sz="0" w:space="0" w:color="auto"/>
            <w:bottom w:val="none" w:sz="0" w:space="0" w:color="auto"/>
            <w:right w:val="none" w:sz="0" w:space="0" w:color="auto"/>
          </w:divBdr>
          <w:divsChild>
            <w:div w:id="1554005762">
              <w:marLeft w:val="0"/>
              <w:marRight w:val="0"/>
              <w:marTop w:val="0"/>
              <w:marBottom w:val="0"/>
              <w:divBdr>
                <w:top w:val="none" w:sz="0" w:space="0" w:color="auto"/>
                <w:left w:val="none" w:sz="0" w:space="0" w:color="auto"/>
                <w:bottom w:val="none" w:sz="0" w:space="0" w:color="auto"/>
                <w:right w:val="none" w:sz="0" w:space="0" w:color="auto"/>
              </w:divBdr>
            </w:div>
          </w:divsChild>
        </w:div>
        <w:div w:id="1708409522">
          <w:marLeft w:val="0"/>
          <w:marRight w:val="0"/>
          <w:marTop w:val="0"/>
          <w:marBottom w:val="0"/>
          <w:divBdr>
            <w:top w:val="none" w:sz="0" w:space="0" w:color="auto"/>
            <w:left w:val="none" w:sz="0" w:space="0" w:color="auto"/>
            <w:bottom w:val="none" w:sz="0" w:space="0" w:color="auto"/>
            <w:right w:val="none" w:sz="0" w:space="0" w:color="auto"/>
          </w:divBdr>
          <w:divsChild>
            <w:div w:id="851452536">
              <w:marLeft w:val="0"/>
              <w:marRight w:val="0"/>
              <w:marTop w:val="0"/>
              <w:marBottom w:val="0"/>
              <w:divBdr>
                <w:top w:val="none" w:sz="0" w:space="0" w:color="auto"/>
                <w:left w:val="none" w:sz="0" w:space="0" w:color="auto"/>
                <w:bottom w:val="none" w:sz="0" w:space="0" w:color="auto"/>
                <w:right w:val="none" w:sz="0" w:space="0" w:color="auto"/>
              </w:divBdr>
            </w:div>
          </w:divsChild>
        </w:div>
        <w:div w:id="1737514391">
          <w:marLeft w:val="0"/>
          <w:marRight w:val="0"/>
          <w:marTop w:val="0"/>
          <w:marBottom w:val="0"/>
          <w:divBdr>
            <w:top w:val="none" w:sz="0" w:space="0" w:color="auto"/>
            <w:left w:val="none" w:sz="0" w:space="0" w:color="auto"/>
            <w:bottom w:val="none" w:sz="0" w:space="0" w:color="auto"/>
            <w:right w:val="none" w:sz="0" w:space="0" w:color="auto"/>
          </w:divBdr>
          <w:divsChild>
            <w:div w:id="15735482">
              <w:marLeft w:val="0"/>
              <w:marRight w:val="0"/>
              <w:marTop w:val="0"/>
              <w:marBottom w:val="0"/>
              <w:divBdr>
                <w:top w:val="none" w:sz="0" w:space="0" w:color="auto"/>
                <w:left w:val="none" w:sz="0" w:space="0" w:color="auto"/>
                <w:bottom w:val="none" w:sz="0" w:space="0" w:color="auto"/>
                <w:right w:val="none" w:sz="0" w:space="0" w:color="auto"/>
              </w:divBdr>
            </w:div>
          </w:divsChild>
        </w:div>
        <w:div w:id="1738741398">
          <w:marLeft w:val="0"/>
          <w:marRight w:val="0"/>
          <w:marTop w:val="0"/>
          <w:marBottom w:val="0"/>
          <w:divBdr>
            <w:top w:val="none" w:sz="0" w:space="0" w:color="auto"/>
            <w:left w:val="none" w:sz="0" w:space="0" w:color="auto"/>
            <w:bottom w:val="none" w:sz="0" w:space="0" w:color="auto"/>
            <w:right w:val="none" w:sz="0" w:space="0" w:color="auto"/>
          </w:divBdr>
          <w:divsChild>
            <w:div w:id="1334182831">
              <w:marLeft w:val="0"/>
              <w:marRight w:val="0"/>
              <w:marTop w:val="0"/>
              <w:marBottom w:val="0"/>
              <w:divBdr>
                <w:top w:val="none" w:sz="0" w:space="0" w:color="auto"/>
                <w:left w:val="none" w:sz="0" w:space="0" w:color="auto"/>
                <w:bottom w:val="none" w:sz="0" w:space="0" w:color="auto"/>
                <w:right w:val="none" w:sz="0" w:space="0" w:color="auto"/>
              </w:divBdr>
            </w:div>
          </w:divsChild>
        </w:div>
        <w:div w:id="1828396343">
          <w:marLeft w:val="0"/>
          <w:marRight w:val="0"/>
          <w:marTop w:val="0"/>
          <w:marBottom w:val="0"/>
          <w:divBdr>
            <w:top w:val="none" w:sz="0" w:space="0" w:color="auto"/>
            <w:left w:val="none" w:sz="0" w:space="0" w:color="auto"/>
            <w:bottom w:val="none" w:sz="0" w:space="0" w:color="auto"/>
            <w:right w:val="none" w:sz="0" w:space="0" w:color="auto"/>
          </w:divBdr>
          <w:divsChild>
            <w:div w:id="806506264">
              <w:marLeft w:val="0"/>
              <w:marRight w:val="0"/>
              <w:marTop w:val="0"/>
              <w:marBottom w:val="0"/>
              <w:divBdr>
                <w:top w:val="none" w:sz="0" w:space="0" w:color="auto"/>
                <w:left w:val="none" w:sz="0" w:space="0" w:color="auto"/>
                <w:bottom w:val="none" w:sz="0" w:space="0" w:color="auto"/>
                <w:right w:val="none" w:sz="0" w:space="0" w:color="auto"/>
              </w:divBdr>
            </w:div>
          </w:divsChild>
        </w:div>
        <w:div w:id="1866093299">
          <w:marLeft w:val="0"/>
          <w:marRight w:val="0"/>
          <w:marTop w:val="0"/>
          <w:marBottom w:val="0"/>
          <w:divBdr>
            <w:top w:val="none" w:sz="0" w:space="0" w:color="auto"/>
            <w:left w:val="none" w:sz="0" w:space="0" w:color="auto"/>
            <w:bottom w:val="none" w:sz="0" w:space="0" w:color="auto"/>
            <w:right w:val="none" w:sz="0" w:space="0" w:color="auto"/>
          </w:divBdr>
          <w:divsChild>
            <w:div w:id="288782651">
              <w:marLeft w:val="0"/>
              <w:marRight w:val="0"/>
              <w:marTop w:val="0"/>
              <w:marBottom w:val="0"/>
              <w:divBdr>
                <w:top w:val="none" w:sz="0" w:space="0" w:color="auto"/>
                <w:left w:val="none" w:sz="0" w:space="0" w:color="auto"/>
                <w:bottom w:val="none" w:sz="0" w:space="0" w:color="auto"/>
                <w:right w:val="none" w:sz="0" w:space="0" w:color="auto"/>
              </w:divBdr>
            </w:div>
          </w:divsChild>
        </w:div>
        <w:div w:id="1951544722">
          <w:marLeft w:val="0"/>
          <w:marRight w:val="0"/>
          <w:marTop w:val="0"/>
          <w:marBottom w:val="0"/>
          <w:divBdr>
            <w:top w:val="none" w:sz="0" w:space="0" w:color="auto"/>
            <w:left w:val="none" w:sz="0" w:space="0" w:color="auto"/>
            <w:bottom w:val="none" w:sz="0" w:space="0" w:color="auto"/>
            <w:right w:val="none" w:sz="0" w:space="0" w:color="auto"/>
          </w:divBdr>
          <w:divsChild>
            <w:div w:id="1383940711">
              <w:marLeft w:val="0"/>
              <w:marRight w:val="0"/>
              <w:marTop w:val="0"/>
              <w:marBottom w:val="0"/>
              <w:divBdr>
                <w:top w:val="none" w:sz="0" w:space="0" w:color="auto"/>
                <w:left w:val="none" w:sz="0" w:space="0" w:color="auto"/>
                <w:bottom w:val="none" w:sz="0" w:space="0" w:color="auto"/>
                <w:right w:val="none" w:sz="0" w:space="0" w:color="auto"/>
              </w:divBdr>
            </w:div>
          </w:divsChild>
        </w:div>
        <w:div w:id="1966503304">
          <w:marLeft w:val="0"/>
          <w:marRight w:val="0"/>
          <w:marTop w:val="0"/>
          <w:marBottom w:val="0"/>
          <w:divBdr>
            <w:top w:val="none" w:sz="0" w:space="0" w:color="auto"/>
            <w:left w:val="none" w:sz="0" w:space="0" w:color="auto"/>
            <w:bottom w:val="none" w:sz="0" w:space="0" w:color="auto"/>
            <w:right w:val="none" w:sz="0" w:space="0" w:color="auto"/>
          </w:divBdr>
          <w:divsChild>
            <w:div w:id="1917670929">
              <w:marLeft w:val="0"/>
              <w:marRight w:val="0"/>
              <w:marTop w:val="0"/>
              <w:marBottom w:val="0"/>
              <w:divBdr>
                <w:top w:val="none" w:sz="0" w:space="0" w:color="auto"/>
                <w:left w:val="none" w:sz="0" w:space="0" w:color="auto"/>
                <w:bottom w:val="none" w:sz="0" w:space="0" w:color="auto"/>
                <w:right w:val="none" w:sz="0" w:space="0" w:color="auto"/>
              </w:divBdr>
            </w:div>
          </w:divsChild>
        </w:div>
        <w:div w:id="1992058255">
          <w:marLeft w:val="0"/>
          <w:marRight w:val="0"/>
          <w:marTop w:val="0"/>
          <w:marBottom w:val="0"/>
          <w:divBdr>
            <w:top w:val="none" w:sz="0" w:space="0" w:color="auto"/>
            <w:left w:val="none" w:sz="0" w:space="0" w:color="auto"/>
            <w:bottom w:val="none" w:sz="0" w:space="0" w:color="auto"/>
            <w:right w:val="none" w:sz="0" w:space="0" w:color="auto"/>
          </w:divBdr>
          <w:divsChild>
            <w:div w:id="8822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8.xml"/><Relationship Id="rId170" Type="http://schemas.openxmlformats.org/officeDocument/2006/relationships/footer" Target="footer79.xml"/><Relationship Id="rId226" Type="http://schemas.openxmlformats.org/officeDocument/2006/relationships/header" Target="header108.xml"/><Relationship Id="rId433" Type="http://schemas.openxmlformats.org/officeDocument/2006/relationships/header" Target="header212.xml"/><Relationship Id="rId268" Type="http://schemas.openxmlformats.org/officeDocument/2006/relationships/header" Target="header129.xml"/><Relationship Id="rId32" Type="http://schemas.openxmlformats.org/officeDocument/2006/relationships/footer" Target="footer10.xml"/><Relationship Id="rId74" Type="http://schemas.openxmlformats.org/officeDocument/2006/relationships/footer" Target="footer31.xml"/><Relationship Id="rId128" Type="http://schemas.openxmlformats.org/officeDocument/2006/relationships/footer" Target="footer58.xml"/><Relationship Id="rId335" Type="http://schemas.openxmlformats.org/officeDocument/2006/relationships/footer" Target="footer162.xml"/><Relationship Id="rId377" Type="http://schemas.openxmlformats.org/officeDocument/2006/relationships/footer" Target="footer183.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footer" Target="footer113.xml"/><Relationship Id="rId402" Type="http://schemas.openxmlformats.org/officeDocument/2006/relationships/header" Target="header196.xml"/><Relationship Id="rId279" Type="http://schemas.openxmlformats.org/officeDocument/2006/relationships/footer" Target="footer134.xml"/><Relationship Id="rId444" Type="http://schemas.openxmlformats.org/officeDocument/2006/relationships/header" Target="header217.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46" Type="http://schemas.openxmlformats.org/officeDocument/2006/relationships/header" Target="header168.xml"/><Relationship Id="rId388" Type="http://schemas.openxmlformats.org/officeDocument/2006/relationships/header" Target="header189.xml"/><Relationship Id="rId85" Type="http://schemas.openxmlformats.org/officeDocument/2006/relationships/header" Target="header38.xml"/><Relationship Id="rId150" Type="http://schemas.openxmlformats.org/officeDocument/2006/relationships/header" Target="header70.xml"/><Relationship Id="rId192" Type="http://schemas.openxmlformats.org/officeDocument/2006/relationships/header" Target="header91.xml"/><Relationship Id="rId206" Type="http://schemas.openxmlformats.org/officeDocument/2006/relationships/footer" Target="footer97.xml"/><Relationship Id="rId413" Type="http://schemas.openxmlformats.org/officeDocument/2006/relationships/footer" Target="footer201.xml"/><Relationship Id="rId248" Type="http://schemas.openxmlformats.org/officeDocument/2006/relationships/footer" Target="footer118.xml"/><Relationship Id="rId455" Type="http://schemas.openxmlformats.org/officeDocument/2006/relationships/footer" Target="footer222.xml"/><Relationship Id="rId12" Type="http://schemas.openxmlformats.org/officeDocument/2006/relationships/header" Target="header1.xml"/><Relationship Id="rId108" Type="http://schemas.openxmlformats.org/officeDocument/2006/relationships/header" Target="header49.xml"/><Relationship Id="rId315" Type="http://schemas.openxmlformats.org/officeDocument/2006/relationships/footer" Target="footer152.xml"/><Relationship Id="rId357" Type="http://schemas.openxmlformats.org/officeDocument/2006/relationships/footer" Target="footer173.xml"/><Relationship Id="rId54" Type="http://schemas.openxmlformats.org/officeDocument/2006/relationships/header" Target="header22.xml"/><Relationship Id="rId96" Type="http://schemas.openxmlformats.org/officeDocument/2006/relationships/header" Target="header43.xml"/><Relationship Id="rId161" Type="http://schemas.openxmlformats.org/officeDocument/2006/relationships/footer" Target="footer75.xml"/><Relationship Id="rId217" Type="http://schemas.openxmlformats.org/officeDocument/2006/relationships/header" Target="header104.xml"/><Relationship Id="rId399" Type="http://schemas.openxmlformats.org/officeDocument/2006/relationships/footer" Target="footer194.xml"/><Relationship Id="rId259" Type="http://schemas.openxmlformats.org/officeDocument/2006/relationships/header" Target="header125.xml"/><Relationship Id="rId424" Type="http://schemas.openxmlformats.org/officeDocument/2006/relationships/header" Target="header207.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326" Type="http://schemas.openxmlformats.org/officeDocument/2006/relationships/footer" Target="footer157.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footer" Target="footer178.xml"/><Relationship Id="rId389" Type="http://schemas.openxmlformats.org/officeDocument/2006/relationships/footer" Target="footer189.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414" Type="http://schemas.openxmlformats.org/officeDocument/2006/relationships/header" Target="header202.xml"/><Relationship Id="rId435" Type="http://schemas.openxmlformats.org/officeDocument/2006/relationships/footer" Target="footer212.xml"/><Relationship Id="rId456" Type="http://schemas.openxmlformats.org/officeDocument/2006/relationships/header" Target="header223.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header" Target="header174.xml"/><Relationship Id="rId379" Type="http://schemas.openxmlformats.org/officeDocument/2006/relationships/header" Target="header185.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90.xml"/><Relationship Id="rId404" Type="http://schemas.openxmlformats.org/officeDocument/2006/relationships/footer" Target="footer196.xml"/><Relationship Id="rId425" Type="http://schemas.openxmlformats.org/officeDocument/2006/relationships/footer" Target="footer207.xml"/><Relationship Id="rId446" Type="http://schemas.openxmlformats.org/officeDocument/2006/relationships/footer" Target="footer217.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8.xml"/><Relationship Id="rId348" Type="http://schemas.openxmlformats.org/officeDocument/2006/relationships/header" Target="header169.xml"/><Relationship Id="rId369" Type="http://schemas.openxmlformats.org/officeDocument/2006/relationships/footer" Target="footer179.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footer" Target="footer184.xml"/><Relationship Id="rId415" Type="http://schemas.openxmlformats.org/officeDocument/2006/relationships/header" Target="header203.xml"/><Relationship Id="rId436" Type="http://schemas.openxmlformats.org/officeDocument/2006/relationships/header" Target="header213.xml"/><Relationship Id="rId457" Type="http://schemas.openxmlformats.org/officeDocument/2006/relationships/header" Target="header224.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4.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header" Target="header180.xml"/><Relationship Id="rId391" Type="http://schemas.openxmlformats.org/officeDocument/2006/relationships/header" Target="header191.xml"/><Relationship Id="rId405" Type="http://schemas.openxmlformats.org/officeDocument/2006/relationships/footer" Target="footer197.xml"/><Relationship Id="rId426" Type="http://schemas.openxmlformats.org/officeDocument/2006/relationships/header" Target="header208.xml"/><Relationship Id="rId447" Type="http://schemas.openxmlformats.org/officeDocument/2006/relationships/footer" Target="footer218.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eader" Target="header170.xm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5.xml"/><Relationship Id="rId381" Type="http://schemas.openxmlformats.org/officeDocument/2006/relationships/footer" Target="footer185.xml"/><Relationship Id="rId416" Type="http://schemas.openxmlformats.org/officeDocument/2006/relationships/footer" Target="footer202.xml"/><Relationship Id="rId220" Type="http://schemas.openxmlformats.org/officeDocument/2006/relationships/header" Target="header105.xml"/><Relationship Id="rId241" Type="http://schemas.openxmlformats.org/officeDocument/2006/relationships/header" Target="header116.xml"/><Relationship Id="rId437" Type="http://schemas.openxmlformats.org/officeDocument/2006/relationships/footer" Target="footer213.xml"/><Relationship Id="rId458" Type="http://schemas.openxmlformats.org/officeDocument/2006/relationships/footer" Target="footer223.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footer" Target="footer169.xml"/><Relationship Id="rId371" Type="http://schemas.openxmlformats.org/officeDocument/2006/relationships/footer" Target="footer180.xml"/><Relationship Id="rId406" Type="http://schemas.openxmlformats.org/officeDocument/2006/relationships/header" Target="header198.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footer" Target="footer190.xml"/><Relationship Id="rId427" Type="http://schemas.openxmlformats.org/officeDocument/2006/relationships/header" Target="header209.xml"/><Relationship Id="rId448" Type="http://schemas.openxmlformats.org/officeDocument/2006/relationships/header" Target="header219.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header" Target="header176.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header" Target="header186.xml"/><Relationship Id="rId417" Type="http://schemas.openxmlformats.org/officeDocument/2006/relationships/footer" Target="footer203.xml"/><Relationship Id="rId438" Type="http://schemas.openxmlformats.org/officeDocument/2006/relationships/header" Target="header214.xml"/><Relationship Id="rId459" Type="http://schemas.openxmlformats.org/officeDocument/2006/relationships/footer" Target="footer22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footer" Target="footer170.xml"/><Relationship Id="rId372" Type="http://schemas.openxmlformats.org/officeDocument/2006/relationships/header" Target="header181.xml"/><Relationship Id="rId393" Type="http://schemas.openxmlformats.org/officeDocument/2006/relationships/footer" Target="footer191.xml"/><Relationship Id="rId407" Type="http://schemas.openxmlformats.org/officeDocument/2006/relationships/footer" Target="footer198.xml"/><Relationship Id="rId428" Type="http://schemas.openxmlformats.org/officeDocument/2006/relationships/footer" Target="footer208.xml"/><Relationship Id="rId449" Type="http://schemas.openxmlformats.org/officeDocument/2006/relationships/footer" Target="footer219.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460" Type="http://schemas.openxmlformats.org/officeDocument/2006/relationships/header" Target="header225.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footer" Target="footer175.xml"/><Relationship Id="rId383" Type="http://schemas.openxmlformats.org/officeDocument/2006/relationships/footer" Target="footer186.xml"/><Relationship Id="rId418" Type="http://schemas.openxmlformats.org/officeDocument/2006/relationships/header" Target="header204.xml"/><Relationship Id="rId439" Type="http://schemas.openxmlformats.org/officeDocument/2006/relationships/header" Target="header21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450" Type="http://schemas.openxmlformats.org/officeDocument/2006/relationships/header" Target="header220.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header" Target="header171.xml"/><Relationship Id="rId373" Type="http://schemas.openxmlformats.org/officeDocument/2006/relationships/header" Target="header182.xml"/><Relationship Id="rId394" Type="http://schemas.openxmlformats.org/officeDocument/2006/relationships/header" Target="header192.xml"/><Relationship Id="rId408" Type="http://schemas.openxmlformats.org/officeDocument/2006/relationships/header" Target="header199.xml"/><Relationship Id="rId429" Type="http://schemas.openxmlformats.org/officeDocument/2006/relationships/footer" Target="footer209.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440" Type="http://schemas.openxmlformats.org/officeDocument/2006/relationships/footer" Target="footer214.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461" Type="http://schemas.openxmlformats.org/officeDocument/2006/relationships/footer" Target="footer22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footer" Target="footer176.xml"/><Relationship Id="rId384" Type="http://schemas.openxmlformats.org/officeDocument/2006/relationships/header" Target="header187.xml"/><Relationship Id="rId419" Type="http://schemas.openxmlformats.org/officeDocument/2006/relationships/footer" Target="footer204.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430" Type="http://schemas.openxmlformats.org/officeDocument/2006/relationships/header" Target="header210.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451" Type="http://schemas.openxmlformats.org/officeDocument/2006/relationships/header" Target="header221.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1.xml"/><Relationship Id="rId374" Type="http://schemas.openxmlformats.org/officeDocument/2006/relationships/footer" Target="footer181.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420" Type="http://schemas.openxmlformats.org/officeDocument/2006/relationships/header" Target="header205.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41" Type="http://schemas.openxmlformats.org/officeDocument/2006/relationships/footer" Target="footer215.xml"/><Relationship Id="rId462" Type="http://schemas.openxmlformats.org/officeDocument/2006/relationships/fontTable" Target="fontTable.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header" Target="header177.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header" Target="header188.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410" Type="http://schemas.openxmlformats.org/officeDocument/2006/relationships/footer" Target="footer199.xml"/><Relationship Id="rId431" Type="http://schemas.openxmlformats.org/officeDocument/2006/relationships/footer" Target="footer210.xml"/><Relationship Id="rId452" Type="http://schemas.openxmlformats.org/officeDocument/2006/relationships/footer" Target="footer220.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2.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header" Target="header216.xml"/><Relationship Id="rId463" Type="http://schemas.openxmlformats.org/officeDocument/2006/relationships/theme" Target="theme/theme1.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7.xml"/><Relationship Id="rId386" Type="http://schemas.openxmlformats.org/officeDocument/2006/relationships/footer" Target="foot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1.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header" Target="header173.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footer" Target="footer216.xml"/><Relationship Id="rId464" Type="http://schemas.microsoft.com/office/2019/05/relationships/documenttasks" Target="documenttasks/documenttasks1.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footer" Target="foot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 Id="rId412" Type="http://schemas.openxmlformats.org/officeDocument/2006/relationships/header" Target="header201.xml"/><Relationship Id="rId107" Type="http://schemas.openxmlformats.org/officeDocument/2006/relationships/footer" Target="footer48.xml"/><Relationship Id="rId289" Type="http://schemas.openxmlformats.org/officeDocument/2006/relationships/header" Target="header140.xml"/><Relationship Id="rId454" Type="http://schemas.openxmlformats.org/officeDocument/2006/relationships/header" Target="header222.xml"/><Relationship Id="rId11" Type="http://schemas.openxmlformats.org/officeDocument/2006/relationships/image" Target="media/image1.emf"/><Relationship Id="rId53" Type="http://schemas.openxmlformats.org/officeDocument/2006/relationships/footer" Target="footer21.xml"/><Relationship Id="rId149" Type="http://schemas.openxmlformats.org/officeDocument/2006/relationships/footer" Target="footer69.xml"/><Relationship Id="rId314" Type="http://schemas.openxmlformats.org/officeDocument/2006/relationships/footer" Target="footer151.xml"/><Relationship Id="rId356" Type="http://schemas.openxmlformats.org/officeDocument/2006/relationships/footer" Target="footer172.xml"/><Relationship Id="rId398" Type="http://schemas.openxmlformats.org/officeDocument/2006/relationships/footer" Target="footer193.xml"/><Relationship Id="rId95" Type="http://schemas.openxmlformats.org/officeDocument/2006/relationships/footer" Target="footer42.xml"/><Relationship Id="rId160" Type="http://schemas.openxmlformats.org/officeDocument/2006/relationships/header" Target="header75.xml"/><Relationship Id="rId216" Type="http://schemas.openxmlformats.org/officeDocument/2006/relationships/header" Target="header103.xml"/><Relationship Id="rId423" Type="http://schemas.openxmlformats.org/officeDocument/2006/relationships/footer" Target="footer206.xml"/><Relationship Id="rId258" Type="http://schemas.openxmlformats.org/officeDocument/2006/relationships/header" Target="header124.xml"/><Relationship Id="rId465" Type="http://schemas.microsoft.com/office/2020/10/relationships/intelligence" Target="intelligence2.xml"/><Relationship Id="rId22" Type="http://schemas.openxmlformats.org/officeDocument/2006/relationships/header" Target="header6.xml"/><Relationship Id="rId64" Type="http://schemas.openxmlformats.org/officeDocument/2006/relationships/header" Target="header27.xml"/><Relationship Id="rId118" Type="http://schemas.openxmlformats.org/officeDocument/2006/relationships/header" Target="header54.xml"/><Relationship Id="rId325" Type="http://schemas.openxmlformats.org/officeDocument/2006/relationships/header" Target="header158.xml"/><Relationship Id="rId367" Type="http://schemas.openxmlformats.org/officeDocument/2006/relationships/header" Target="header179.xml"/><Relationship Id="rId171" Type="http://schemas.openxmlformats.org/officeDocument/2006/relationships/footer" Target="footer80.xml"/><Relationship Id="rId227" Type="http://schemas.openxmlformats.org/officeDocument/2006/relationships/footer" Target="footer108.xml"/><Relationship Id="rId269" Type="http://schemas.openxmlformats.org/officeDocument/2006/relationships/footer" Target="footer129.xml"/><Relationship Id="rId434" Type="http://schemas.openxmlformats.org/officeDocument/2006/relationships/footer" Target="footer211.xml"/><Relationship Id="rId33" Type="http://schemas.openxmlformats.org/officeDocument/2006/relationships/footer" Target="footer11.xml"/><Relationship Id="rId129" Type="http://schemas.openxmlformats.org/officeDocument/2006/relationships/footer" Target="footer59.xml"/><Relationship Id="rId280" Type="http://schemas.openxmlformats.org/officeDocument/2006/relationships/header" Target="header135.xml"/><Relationship Id="rId336" Type="http://schemas.openxmlformats.org/officeDocument/2006/relationships/header" Target="header163.xml"/><Relationship Id="rId75" Type="http://schemas.openxmlformats.org/officeDocument/2006/relationships/footer" Target="footer32.xml"/><Relationship Id="rId140" Type="http://schemas.openxmlformats.org/officeDocument/2006/relationships/footer" Target="footer64.xml"/><Relationship Id="rId182" Type="http://schemas.openxmlformats.org/officeDocument/2006/relationships/footer" Target="footer85.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styles" Target="styles.xml"/><Relationship Id="rId238" Type="http://schemas.openxmlformats.org/officeDocument/2006/relationships/header" Target="header114.xml"/><Relationship Id="rId445" Type="http://schemas.openxmlformats.org/officeDocument/2006/relationships/header" Target="header218.xml"/><Relationship Id="rId291" Type="http://schemas.openxmlformats.org/officeDocument/2006/relationships/footer" Target="footer140.xml"/><Relationship Id="rId305" Type="http://schemas.openxmlformats.org/officeDocument/2006/relationships/footer" Target="footer147.xml"/><Relationship Id="rId347" Type="http://schemas.openxmlformats.org/officeDocument/2006/relationships/footer" Target="footer168.xml"/></Relationships>
</file>

<file path=word/documenttasks/documenttasks1.xml><?xml version="1.0" encoding="utf-8"?>
<t:Tasks xmlns:t="http://schemas.microsoft.com/office/tasks/2019/documenttasks" xmlns:oel="http://schemas.microsoft.com/office/2019/extlst">
  <t:Task id="{8E9382A3-DCF1-4DD4-990C-B0613AC7CA00}">
    <t:Anchor>
      <t:Comment id="1586342720"/>
    </t:Anchor>
    <t:History>
      <t:Event id="{EB1E0CD6-200C-4B11-8C2A-7A832F4E56EA}" time="2023-11-10T11:27:13.956Z">
        <t:Attribution userId="S::uros.saraja@ec.europa.eu::da21f095-2dc8-46bc-807a-8c4350cfae80" userProvider="AD" userName="SARAJA Uros-Valentino (ECFIN)"/>
        <t:Anchor>
          <t:Comment id="1586342720"/>
        </t:Anchor>
        <t:Create/>
      </t:Event>
      <t:Event id="{53B2B7FC-1C57-41FE-9DA6-9D8B6E557419}" time="2023-11-10T11:27:13.956Z">
        <t:Attribution userId="S::uros.saraja@ec.europa.eu::da21f095-2dc8-46bc-807a-8c4350cfae80" userProvider="AD" userName="SARAJA Uros-Valentino (ECFIN)"/>
        <t:Anchor>
          <t:Comment id="1586342720"/>
        </t:Anchor>
        <t:Assign userId="S::Viktor.KOLOBARA@ec.europa.eu::5815ef9b-77ad-48dd-91d1-1fe75b00e46b" userProvider="AD" userName="KOLOBARA Viktor (SG-RECOVER)"/>
      </t:Event>
      <t:Event id="{1F7BE2DF-EE6A-4BD1-8527-7F2D3BFDEE81}" time="2023-11-10T11:27:13.956Z">
        <t:Attribution userId="S::uros.saraja@ec.europa.eu::da21f095-2dc8-46bc-807a-8c4350cfae80" userProvider="AD" userName="SARAJA Uros-Valentino (ECFIN)"/>
        <t:Anchor>
          <t:Comment id="1586342720"/>
        </t:Anchor>
        <t:SetTitle title="@KOLOBARA Viktor (SG-RECOVER) We need to have some deadline it cannot be without no?"/>
      </t:Event>
      <t:Event id="{7EAB9423-2B11-4738-A49C-AB6CFDD81A47}" time="2023-11-10T11:33:01.728Z">
        <t:Attribution userId="S::uros.saraja@ec.europa.eu::da21f095-2dc8-46bc-807a-8c4350cfae80" userProvider="AD" userName="SARAJA Uros-Valentino (ECFIN)"/>
        <t:Progress percentComplete="100"/>
      </t:Event>
    </t:History>
  </t:Task>
  <t:Task id="{8D62331A-4C15-4346-9FE4-C461550AAEE6}">
    <t:Anchor>
      <t:Comment id="956175729"/>
    </t:Anchor>
    <t:History>
      <t:Event id="{8513FC4B-3AA1-4766-AEB8-FC3763936912}" time="2023-11-13T09:31:40.522Z">
        <t:Attribution userId="S::gabriele.giudice@ec.europa.eu::d748798a-92ac-430c-8461-6411ffe3f30d" userProvider="AD" userName="GIUDICE Gabriele (ECFIN)"/>
        <t:Anchor>
          <t:Comment id="894116585"/>
        </t:Anchor>
        <t:Create/>
      </t:Event>
      <t:Event id="{D15EF718-57AB-449E-8FCB-97AA2264833C}" time="2023-11-13T09:31:40.522Z">
        <t:Attribution userId="S::gabriele.giudice@ec.europa.eu::d748798a-92ac-430c-8461-6411ffe3f30d" userProvider="AD" userName="GIUDICE Gabriele (ECFIN)"/>
        <t:Anchor>
          <t:Comment id="894116585"/>
        </t:Anchor>
        <t:Assign userId="S::Zeljko.KOVACEVIC@ec.europa.eu::e0663f12-c27c-437c-b2fb-5d83c515756d" userProvider="AD" userName="KOVACEVIC Zeljko (SG-RECOVER)"/>
      </t:Event>
      <t:Event id="{0F29F61B-2942-485B-9F46-826872428412}" time="2023-11-13T09:31:40.522Z">
        <t:Attribution userId="S::gabriele.giudice@ec.europa.eu::d748798a-92ac-430c-8461-6411ffe3f30d" userProvider="AD" userName="GIUDICE Gabriele (ECFIN)"/>
        <t:Anchor>
          <t:Comment id="894116585"/>
        </t:Anchor>
        <t:SetTitle title="@KOVACEVIC Zeljko (SG-RECOVER) ; can up please ensure the tables are presented in a readable way? I assume they are correct, as I cannot check them online"/>
      </t:Event>
    </t:History>
  </t:Task>
  <t:Task id="{6E74FC27-B8AB-43A8-9868-C7694C3E6A8D}">
    <t:Anchor>
      <t:Comment id="1199912829"/>
    </t:Anchor>
    <t:History>
      <t:Event id="{28DF0AD2-3F78-44E3-A8D8-42D5B4A7A0F0}" time="2023-11-13T09:27:13.713Z">
        <t:Attribution userId="S::gabriele.giudice@ec.europa.eu::d748798a-92ac-430c-8461-6411ffe3f30d" userProvider="AD" userName="GIUDICE Gabriele (ECFIN)"/>
        <t:Anchor>
          <t:Comment id="1199912829"/>
        </t:Anchor>
        <t:Create/>
      </t:Event>
      <t:Event id="{1A578C12-5A13-4CA1-859A-2A373DC88AA7}" time="2023-11-13T09:27:13.713Z">
        <t:Attribution userId="S::gabriele.giudice@ec.europa.eu::d748798a-92ac-430c-8461-6411ffe3f30d" userProvider="AD" userName="GIUDICE Gabriele (ECFIN)"/>
        <t:Anchor>
          <t:Comment id="1199912829"/>
        </t:Anchor>
        <t:Assign userId="S::Zeljko.KOVACEVIC@ec.europa.eu::e0663f12-c27c-437c-b2fb-5d83c515756d" userProvider="AD" userName="KOVACEVIC Zeljko (SG-RECOVER)"/>
      </t:Event>
      <t:Event id="{99EF339A-815C-42AD-A240-032E3EBDCF05}" time="2023-11-13T09:27:13.713Z">
        <t:Attribution userId="S::gabriele.giudice@ec.europa.eu::d748798a-92ac-430c-8461-6411ffe3f30d" userProvider="AD" userName="GIUDICE Gabriele (ECFIN)"/>
        <t:Anchor>
          <t:Comment id="1199912829"/>
        </t:Anchor>
        <t:SetTitle title="to? for? should it not be 'TSO certification to Plinacro'? @KOVACEVIC Zeljko (SG-RECOV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6" ma:contentTypeDescription="Create a new document." ma:contentTypeScope="" ma:versionID="07f3873f937a172c3d20d58506370c86">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ef80ccd467c2c6fe1cab37a19ed0a0bd"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60b4a5-ff48-4974-86bf-928fadcba5eb}"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7C7B-EACD-4BF9-8DF9-DFF9F4DF9403}">
  <ds:schemaRefs>
    <ds:schemaRef ds:uri="http://schemas.microsoft.com/sharepoint/v3/contenttype/forms"/>
  </ds:schemaRefs>
</ds:datastoreItem>
</file>

<file path=customXml/itemProps2.xml><?xml version="1.0" encoding="utf-8"?>
<ds:datastoreItem xmlns:ds="http://schemas.openxmlformats.org/officeDocument/2006/customXml" ds:itemID="{1992813A-8EC5-49E4-B259-4776C898ED66}">
  <ds:schemaRefs>
    <ds:schemaRef ds:uri="http://schemas.microsoft.com/office/2006/metadata/properties"/>
    <ds:schemaRef ds:uri="http://schemas.microsoft.com/office/infopath/2007/PartnerControls"/>
    <ds:schemaRef ds:uri="http://schemas.microsoft.com/sharepoint/v3"/>
    <ds:schemaRef ds:uri="e6c3bc29-9e11-4027-900b-c73633d7928a"/>
    <ds:schemaRef ds:uri="1700ab43-7395-48ff-866c-657c86ba7f4e"/>
  </ds:schemaRefs>
</ds:datastoreItem>
</file>

<file path=customXml/itemProps3.xml><?xml version="1.0" encoding="utf-8"?>
<ds:datastoreItem xmlns:ds="http://schemas.openxmlformats.org/officeDocument/2006/customXml" ds:itemID="{1CF2A361-EE22-46D8-BA41-893464E39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80076-029C-4250-8F89-02C2831A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16</Pages>
  <Words>99328</Words>
  <Characters>566176</Characters>
  <Application>Microsoft Office Word</Application>
  <DocSecurity>0</DocSecurity>
  <Lines>4718</Lines>
  <Paragraphs>1328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ROGULJIC Marija (ECFIN)</dc:creator>
  <cp:keywords/>
  <dc:description/>
  <cp:lastModifiedBy>EC CoDe</cp:lastModifiedBy>
  <cp:revision>127</cp:revision>
  <dcterms:created xsi:type="dcterms:W3CDTF">2023-11-16T20:16:00Z</dcterms:created>
  <dcterms:modified xsi:type="dcterms:W3CDTF">2023-11-27T09:45:00Z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2023-11-08T15:22:17Z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6b3f9a57-562e-4825-9a86-79f7bac157d2</vt:lpwstr>
  </property>
  <property fmtid="{D5CDD505-2E9C-101B-9397-08002B2CF9AE}" pid="8" name="MSIP_Label_6bd9ddd1-4d20-43f6-abfa-fc3c07406f94_ContentBits">
    <vt:lpwstr>0</vt:lpwstr>
  </property>
  <property fmtid="{D5CDD505-2E9C-101B-9397-08002B2CF9AE}" pid="9" name="ContentTypeId">
    <vt:lpwstr>0x01010062094E9F29D6C04F85860C631ABC812A</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