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6E295" w14:textId="3FC2F5DD" w:rsidR="0066307E" w:rsidRPr="00A10386" w:rsidRDefault="00297CFA" w:rsidP="00297CFA">
      <w:pPr>
        <w:pStyle w:val="Pagedecouverture"/>
        <w:rPr>
          <w:noProof/>
        </w:rPr>
      </w:pPr>
      <w:r>
        <w:rPr>
          <w:noProof/>
        </w:rPr>
        <w:pict w14:anchorId="517A2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9C4CFCE-7791-4B3D-9B48-DF5134C29CCD" style="width:455.25pt;height:369.75pt">
            <v:imagedata r:id="rId8" o:title=""/>
          </v:shape>
        </w:pict>
      </w:r>
    </w:p>
    <w:p w14:paraId="409F44AC" w14:textId="77777777" w:rsidR="0066307E" w:rsidRPr="00A10386" w:rsidRDefault="0066307E" w:rsidP="0066307E">
      <w:pPr>
        <w:rPr>
          <w:noProof/>
        </w:rPr>
        <w:sectPr w:rsidR="0066307E" w:rsidRPr="00A10386" w:rsidSect="00297CFA">
          <w:footerReference w:type="default" r:id="rId9"/>
          <w:pgSz w:w="11907" w:h="16839"/>
          <w:pgMar w:top="1134" w:right="1417" w:bottom="1134" w:left="1417" w:header="709" w:footer="709" w:gutter="0"/>
          <w:pgNumType w:start="0"/>
          <w:cols w:space="720"/>
          <w:docGrid w:linePitch="360"/>
        </w:sectPr>
      </w:pPr>
    </w:p>
    <w:p w14:paraId="391A4C75" w14:textId="77777777" w:rsidR="0066307E" w:rsidRPr="00A10386" w:rsidRDefault="0066307E" w:rsidP="007F522A">
      <w:pPr>
        <w:pStyle w:val="Exposdesmotifstitre"/>
        <w:rPr>
          <w:noProof/>
        </w:rPr>
      </w:pPr>
      <w:bookmarkStart w:id="0" w:name="_GoBack"/>
      <w:bookmarkEnd w:id="0"/>
      <w:r w:rsidRPr="00A10386">
        <w:rPr>
          <w:noProof/>
        </w:rPr>
        <w:lastRenderedPageBreak/>
        <w:t>EXPLANATORY MEMORANDUM</w:t>
      </w:r>
    </w:p>
    <w:p w14:paraId="40F3F367" w14:textId="77777777" w:rsidR="0066307E" w:rsidRPr="00A10386" w:rsidRDefault="0066307E" w:rsidP="007F522A">
      <w:pPr>
        <w:pStyle w:val="ManualHeading1"/>
        <w:rPr>
          <w:noProof/>
        </w:rPr>
      </w:pPr>
      <w:r w:rsidRPr="00A10386">
        <w:rPr>
          <w:noProof/>
        </w:rPr>
        <w:t>1.</w:t>
      </w:r>
      <w:r w:rsidRPr="00A10386">
        <w:rPr>
          <w:noProof/>
        </w:rPr>
        <w:tab/>
        <w:t>CONTEXT OF THE PROPOSAL</w:t>
      </w:r>
    </w:p>
    <w:p w14:paraId="69CD9A85" w14:textId="77777777" w:rsidR="0066307E" w:rsidRPr="00A10386" w:rsidRDefault="0066307E" w:rsidP="5DD71006">
      <w:pPr>
        <w:pStyle w:val="ManualHeading2"/>
        <w:rPr>
          <w:rFonts w:eastAsia="Arial Unicode MS"/>
          <w:noProof/>
        </w:rPr>
      </w:pPr>
      <w:r w:rsidRPr="00A10386">
        <w:rPr>
          <w:rFonts w:eastAsia="Arial Unicode MS"/>
          <w:noProof/>
          <w:color w:val="000000"/>
          <w:bdr w:val="nil"/>
          <w:lang w:eastAsia="en-GB"/>
        </w:rPr>
        <w:t>•</w:t>
      </w:r>
      <w:r w:rsidRPr="00A10386">
        <w:rPr>
          <w:rFonts w:eastAsia="Arial Unicode MS"/>
          <w:noProof/>
          <w:color w:val="000000"/>
          <w:u w:color="000000"/>
          <w:bdr w:val="nil"/>
          <w:lang w:eastAsia="en-GB"/>
        </w:rPr>
        <w:tab/>
      </w:r>
      <w:r w:rsidRPr="00A10386">
        <w:rPr>
          <w:rFonts w:eastAsia="Arial Unicode MS"/>
          <w:noProof/>
        </w:rPr>
        <w:t>Reasons for and objectives of the proposal</w:t>
      </w:r>
    </w:p>
    <w:p w14:paraId="0FADD3EF" w14:textId="2626CB9A" w:rsidR="00D20E45" w:rsidRPr="00A10386" w:rsidRDefault="00D20E45" w:rsidP="002D3FA5">
      <w:pPr>
        <w:rPr>
          <w:rFonts w:eastAsia="Times New Roman"/>
          <w:noProof/>
        </w:rPr>
      </w:pPr>
      <w:r w:rsidRPr="00A10386">
        <w:rPr>
          <w:rFonts w:eastAsia="Times New Roman"/>
          <w:noProof/>
        </w:rPr>
        <w:t xml:space="preserve">Migrant smuggling is a criminal activity that disrespects human life and </w:t>
      </w:r>
      <w:r w:rsidR="006753AC" w:rsidRPr="00A10386">
        <w:rPr>
          <w:rFonts w:eastAsia="Times New Roman"/>
          <w:noProof/>
        </w:rPr>
        <w:t xml:space="preserve">strips people of their </w:t>
      </w:r>
      <w:r w:rsidRPr="00A10386">
        <w:rPr>
          <w:rFonts w:eastAsia="Times New Roman"/>
          <w:noProof/>
        </w:rPr>
        <w:t xml:space="preserve">dignity in the pursuit of profit, </w:t>
      </w:r>
      <w:r w:rsidR="006753AC" w:rsidRPr="00A10386">
        <w:rPr>
          <w:rFonts w:eastAsia="Times New Roman"/>
          <w:noProof/>
        </w:rPr>
        <w:t>violating</w:t>
      </w:r>
      <w:r w:rsidRPr="00A10386">
        <w:rPr>
          <w:rFonts w:eastAsia="Times New Roman"/>
          <w:noProof/>
        </w:rPr>
        <w:t xml:space="preserve"> fundamental rights </w:t>
      </w:r>
      <w:r w:rsidR="006753AC" w:rsidRPr="00A10386">
        <w:rPr>
          <w:rFonts w:eastAsia="Times New Roman"/>
          <w:noProof/>
        </w:rPr>
        <w:t>as well as undermining</w:t>
      </w:r>
      <w:r w:rsidRPr="00A10386">
        <w:rPr>
          <w:rFonts w:eastAsia="Times New Roman"/>
          <w:noProof/>
        </w:rPr>
        <w:t xml:space="preserve"> the migration </w:t>
      </w:r>
      <w:r w:rsidRPr="00A10386">
        <w:rPr>
          <w:rFonts w:eastAsiaTheme="minorEastAsia"/>
          <w:noProof/>
        </w:rPr>
        <w:t>management</w:t>
      </w:r>
      <w:r w:rsidRPr="00A10386">
        <w:rPr>
          <w:rFonts w:eastAsia="Times New Roman"/>
          <w:noProof/>
        </w:rPr>
        <w:t xml:space="preserve"> objectives of the EU. </w:t>
      </w:r>
    </w:p>
    <w:p w14:paraId="223BB8DA" w14:textId="1C29D967" w:rsidR="00BF271E" w:rsidRPr="00A10386" w:rsidRDefault="4050CF01" w:rsidP="002D3FA5">
      <w:pPr>
        <w:rPr>
          <w:rFonts w:eastAsia="Times New Roman"/>
          <w:noProof/>
        </w:rPr>
      </w:pPr>
      <w:r w:rsidRPr="00A10386">
        <w:rPr>
          <w:rFonts w:eastAsia="Times New Roman"/>
          <w:noProof/>
        </w:rPr>
        <w:t xml:space="preserve">Fighting and preventing </w:t>
      </w:r>
      <w:r w:rsidR="00031734" w:rsidRPr="00A10386">
        <w:rPr>
          <w:rFonts w:eastAsia="Times New Roman"/>
          <w:noProof/>
        </w:rPr>
        <w:t>migrant</w:t>
      </w:r>
      <w:r w:rsidRPr="00A10386">
        <w:rPr>
          <w:rFonts w:eastAsia="Times New Roman"/>
          <w:noProof/>
        </w:rPr>
        <w:t xml:space="preserve"> smuggling is one of the priorities of the European Union and crucial to addressing irregular migration in a comprehensive way. Criminal networks take advantage </w:t>
      </w:r>
      <w:r w:rsidRPr="00A10386">
        <w:rPr>
          <w:rFonts w:eastAsiaTheme="minorEastAsia"/>
          <w:noProof/>
        </w:rPr>
        <w:t>of</w:t>
      </w:r>
      <w:r w:rsidRPr="00A10386">
        <w:rPr>
          <w:rFonts w:eastAsia="Times New Roman"/>
          <w:noProof/>
        </w:rPr>
        <w:t xml:space="preserve"> people’s despair and use land, sea</w:t>
      </w:r>
      <w:r w:rsidR="00BF271E" w:rsidRPr="00A10386">
        <w:rPr>
          <w:rFonts w:eastAsia="Times New Roman"/>
          <w:noProof/>
        </w:rPr>
        <w:t>,</w:t>
      </w:r>
      <w:r w:rsidRPr="00A10386">
        <w:rPr>
          <w:rFonts w:eastAsia="Times New Roman"/>
          <w:noProof/>
        </w:rPr>
        <w:t xml:space="preserve"> and air routes to facilitate irregular migration, putting people’s lives at risk and seek</w:t>
      </w:r>
      <w:r w:rsidR="00BF271E" w:rsidRPr="00A10386">
        <w:rPr>
          <w:rFonts w:eastAsia="Times New Roman"/>
          <w:noProof/>
        </w:rPr>
        <w:t>ing</w:t>
      </w:r>
      <w:r w:rsidRPr="00A10386">
        <w:rPr>
          <w:rFonts w:eastAsia="Times New Roman"/>
          <w:noProof/>
        </w:rPr>
        <w:t xml:space="preserve"> in every way to maximi</w:t>
      </w:r>
      <w:r w:rsidR="006753AC" w:rsidRPr="00A10386">
        <w:rPr>
          <w:rFonts w:eastAsia="Times New Roman"/>
          <w:noProof/>
        </w:rPr>
        <w:t>s</w:t>
      </w:r>
      <w:r w:rsidRPr="00A10386">
        <w:rPr>
          <w:rFonts w:eastAsia="Times New Roman"/>
          <w:noProof/>
        </w:rPr>
        <w:t xml:space="preserve">e their profits. </w:t>
      </w:r>
    </w:p>
    <w:p w14:paraId="7B5EBBF5" w14:textId="06B11554" w:rsidR="00BF271E" w:rsidRPr="00A10386" w:rsidRDefault="00BF271E" w:rsidP="002D3FA5">
      <w:pPr>
        <w:rPr>
          <w:rFonts w:eastAsia="Times New Roman"/>
          <w:noProof/>
        </w:rPr>
      </w:pPr>
      <w:r w:rsidRPr="00A10386">
        <w:rPr>
          <w:rFonts w:eastAsia="Times New Roman"/>
          <w:noProof/>
          <w:color w:val="000000" w:themeColor="text1"/>
        </w:rPr>
        <w:t xml:space="preserve">In </w:t>
      </w:r>
      <w:r w:rsidR="006753AC" w:rsidRPr="00A10386">
        <w:rPr>
          <w:rFonts w:eastAsia="Times New Roman"/>
          <w:noProof/>
          <w:color w:val="000000" w:themeColor="text1"/>
        </w:rPr>
        <w:t>her</w:t>
      </w:r>
      <w:r w:rsidRPr="00A10386">
        <w:rPr>
          <w:rFonts w:eastAsia="Times New Roman"/>
          <w:noProof/>
        </w:rPr>
        <w:t xml:space="preserve"> State</w:t>
      </w:r>
      <w:r w:rsidRPr="00A10386">
        <w:rPr>
          <w:noProof/>
          <w:color w:val="000000" w:themeColor="text1"/>
        </w:rPr>
        <w:t xml:space="preserve"> of the </w:t>
      </w:r>
      <w:r w:rsidRPr="00A10386">
        <w:rPr>
          <w:rFonts w:eastAsia="Times New Roman"/>
          <w:noProof/>
        </w:rPr>
        <w:t>Union address on 13 September</w:t>
      </w:r>
      <w:r w:rsidRPr="00A10386">
        <w:rPr>
          <w:noProof/>
          <w:color w:val="000000" w:themeColor="text1"/>
        </w:rPr>
        <w:t xml:space="preserve"> 2023,</w:t>
      </w:r>
      <w:r w:rsidRPr="00A10386">
        <w:rPr>
          <w:rFonts w:eastAsia="Times New Roman"/>
          <w:noProof/>
        </w:rPr>
        <w:t xml:space="preserve"> President von der Leyen called for strengthening of all the tools at disposal </w:t>
      </w:r>
      <w:r w:rsidR="006753AC" w:rsidRPr="00A10386">
        <w:rPr>
          <w:rFonts w:eastAsia="Times New Roman"/>
          <w:noProof/>
        </w:rPr>
        <w:t xml:space="preserve">of the EU </w:t>
      </w:r>
      <w:r w:rsidRPr="00A10386">
        <w:rPr>
          <w:rFonts w:eastAsia="Times New Roman"/>
          <w:noProof/>
        </w:rPr>
        <w:t xml:space="preserve">to effectively counter migrant smuggling, by updating the current, more than 20-year-old </w:t>
      </w:r>
      <w:r w:rsidRPr="00A10386">
        <w:rPr>
          <w:rFonts w:eastAsiaTheme="minorEastAsia"/>
          <w:noProof/>
        </w:rPr>
        <w:t>legislative</w:t>
      </w:r>
      <w:r w:rsidRPr="00A10386">
        <w:rPr>
          <w:rFonts w:eastAsia="Times New Roman"/>
          <w:noProof/>
        </w:rPr>
        <w:t xml:space="preserve"> framework</w:t>
      </w:r>
      <w:r w:rsidR="006753AC" w:rsidRPr="00A10386">
        <w:rPr>
          <w:rFonts w:eastAsia="Times New Roman"/>
          <w:noProof/>
        </w:rPr>
        <w:t>.</w:t>
      </w:r>
      <w:r w:rsidRPr="00A10386">
        <w:rPr>
          <w:rFonts w:eastAsia="Times New Roman"/>
          <w:noProof/>
        </w:rPr>
        <w:t xml:space="preserve"> </w:t>
      </w:r>
      <w:r w:rsidR="006753AC" w:rsidRPr="00A10386">
        <w:rPr>
          <w:rFonts w:eastAsia="Times New Roman"/>
          <w:noProof/>
        </w:rPr>
        <w:t xml:space="preserve">She also called for </w:t>
      </w:r>
      <w:r w:rsidRPr="00A10386">
        <w:rPr>
          <w:rFonts w:eastAsia="Times New Roman"/>
          <w:noProof/>
        </w:rPr>
        <w:t xml:space="preserve">strengthening the governance on migrant smuggling and </w:t>
      </w:r>
      <w:r w:rsidR="006753AC" w:rsidRPr="00A10386">
        <w:rPr>
          <w:rFonts w:eastAsia="Times New Roman"/>
          <w:noProof/>
        </w:rPr>
        <w:t xml:space="preserve">increasing </w:t>
      </w:r>
      <w:r w:rsidRPr="00A10386">
        <w:rPr>
          <w:rFonts w:eastAsia="Times New Roman"/>
          <w:noProof/>
        </w:rPr>
        <w:t xml:space="preserve">the role of EU agencies, in particular of Europol. She also emphasised the need to work with partners to tackle this global challenge, and this is why the Commission is organising an International Conference, creating a Global Alliance with a Call to Action to </w:t>
      </w:r>
      <w:r w:rsidR="00F443F8" w:rsidRPr="00A10386">
        <w:rPr>
          <w:rFonts w:eastAsia="Times New Roman"/>
          <w:noProof/>
        </w:rPr>
        <w:t>fight</w:t>
      </w:r>
      <w:r w:rsidRPr="00A10386">
        <w:rPr>
          <w:rFonts w:eastAsia="Times New Roman"/>
          <w:noProof/>
        </w:rPr>
        <w:t xml:space="preserve"> migrant smuggling.</w:t>
      </w:r>
    </w:p>
    <w:p w14:paraId="1AA835B8" w14:textId="0B2A14D0" w:rsidR="00644E5C" w:rsidRPr="00A10386" w:rsidRDefault="00D20E45" w:rsidP="002D3FA5">
      <w:pPr>
        <w:rPr>
          <w:rFonts w:eastAsia="Times New Roman"/>
          <w:noProof/>
        </w:rPr>
      </w:pPr>
      <w:r w:rsidRPr="00A10386">
        <w:rPr>
          <w:rFonts w:eastAsia="Times New Roman"/>
          <w:noProof/>
        </w:rPr>
        <w:t xml:space="preserve">Migrant smuggling to and within the EU is reaching new heights, </w:t>
      </w:r>
      <w:r w:rsidR="7AE6B314" w:rsidRPr="00A10386">
        <w:rPr>
          <w:rFonts w:eastAsia="Times New Roman"/>
          <w:noProof/>
        </w:rPr>
        <w:t>fuelled</w:t>
      </w:r>
      <w:r w:rsidRPr="00A10386">
        <w:rPr>
          <w:rFonts w:eastAsia="Times New Roman"/>
          <w:noProof/>
        </w:rPr>
        <w:t xml:space="preserve"> by increasing demand due to emerging and deepening crises, most notably economic recessions, environmental emergencies caused by climate change, as well as conflicts and demographic pressure in many third countries. </w:t>
      </w:r>
      <w:r w:rsidR="00BF271E" w:rsidRPr="00A10386">
        <w:rPr>
          <w:rFonts w:eastAsia="Times New Roman"/>
          <w:noProof/>
        </w:rPr>
        <w:t>Migrant smuggling</w:t>
      </w:r>
      <w:r w:rsidRPr="00A10386">
        <w:rPr>
          <w:rFonts w:eastAsia="Times New Roman"/>
          <w:noProof/>
        </w:rPr>
        <w:t xml:space="preserve"> </w:t>
      </w:r>
      <w:r w:rsidR="00BF271E" w:rsidRPr="00A10386">
        <w:rPr>
          <w:rFonts w:eastAsia="Times New Roman"/>
          <w:noProof/>
        </w:rPr>
        <w:t>drives the</w:t>
      </w:r>
      <w:r w:rsidRPr="00A10386">
        <w:rPr>
          <w:rFonts w:eastAsia="Times New Roman"/>
          <w:noProof/>
        </w:rPr>
        <w:t xml:space="preserve"> increase of irregular arrivals to the EU: in 2022, around 331 000 irregular entries were detected at the EU external borders, the highest level since 2016, representing a 66% increase compared to the previous year</w:t>
      </w:r>
      <w:r w:rsidRPr="00A10386">
        <w:rPr>
          <w:rStyle w:val="FootnoteReference"/>
          <w:rFonts w:eastAsia="Times New Roman"/>
          <w:noProof/>
        </w:rPr>
        <w:footnoteReference w:id="2"/>
      </w:r>
      <w:r w:rsidRPr="00A10386">
        <w:rPr>
          <w:rFonts w:eastAsia="Times New Roman"/>
          <w:noProof/>
        </w:rPr>
        <w:t xml:space="preserve">. In 2023, until </w:t>
      </w:r>
      <w:r w:rsidR="006753AC" w:rsidRPr="00A10386">
        <w:rPr>
          <w:rFonts w:eastAsia="Times New Roman"/>
          <w:noProof/>
        </w:rPr>
        <w:t xml:space="preserve">the </w:t>
      </w:r>
      <w:r w:rsidR="12C47AD4" w:rsidRPr="00A10386">
        <w:rPr>
          <w:rFonts w:eastAsia="Times New Roman"/>
          <w:noProof/>
        </w:rPr>
        <w:t>end of September</w:t>
      </w:r>
      <w:r w:rsidR="28C48BD6" w:rsidRPr="00A10386">
        <w:rPr>
          <w:rFonts w:eastAsia="Times New Roman"/>
          <w:noProof/>
        </w:rPr>
        <w:t xml:space="preserve">, </w:t>
      </w:r>
      <w:r w:rsidRPr="00A10386">
        <w:rPr>
          <w:rFonts w:eastAsia="Times New Roman"/>
          <w:noProof/>
          <w:color w:val="000000" w:themeColor="text1"/>
        </w:rPr>
        <w:t>approximately 28</w:t>
      </w:r>
      <w:r w:rsidR="6108D6D7" w:rsidRPr="00A10386">
        <w:rPr>
          <w:rFonts w:eastAsia="Times New Roman"/>
          <w:noProof/>
          <w:color w:val="000000" w:themeColor="text1"/>
        </w:rPr>
        <w:t>1</w:t>
      </w:r>
      <w:r w:rsidRPr="00A10386">
        <w:rPr>
          <w:rFonts w:eastAsia="Times New Roman"/>
          <w:noProof/>
          <w:color w:val="000000" w:themeColor="text1"/>
        </w:rPr>
        <w:t xml:space="preserve"> 000 irregular border crossings were detected at the external borders of the EU, representing a</w:t>
      </w:r>
      <w:r w:rsidR="4809284E" w:rsidRPr="00A10386">
        <w:rPr>
          <w:rFonts w:eastAsia="Times New Roman"/>
          <w:noProof/>
          <w:color w:val="000000" w:themeColor="text1"/>
        </w:rPr>
        <w:t>n</w:t>
      </w:r>
      <w:r w:rsidRPr="00A10386">
        <w:rPr>
          <w:rFonts w:eastAsia="Times New Roman"/>
          <w:noProof/>
          <w:color w:val="000000" w:themeColor="text1"/>
        </w:rPr>
        <w:t xml:space="preserve"> 1</w:t>
      </w:r>
      <w:r w:rsidR="093D2E4E" w:rsidRPr="00A10386">
        <w:rPr>
          <w:rFonts w:eastAsia="Times New Roman"/>
          <w:noProof/>
          <w:color w:val="000000" w:themeColor="text1"/>
        </w:rPr>
        <w:t>8</w:t>
      </w:r>
      <w:r w:rsidRPr="00A10386">
        <w:rPr>
          <w:rFonts w:eastAsia="Times New Roman"/>
          <w:noProof/>
          <w:color w:val="000000" w:themeColor="text1"/>
        </w:rPr>
        <w:t xml:space="preserve">% increase compared to the same period in 2022. </w:t>
      </w:r>
      <w:r w:rsidRPr="00A10386">
        <w:rPr>
          <w:rFonts w:eastAsia="Times New Roman"/>
          <w:noProof/>
        </w:rPr>
        <w:t xml:space="preserve">This coincides with an increase in the smuggling activities, evidenced by a new record with over 15 000 migrant smugglers reported </w:t>
      </w:r>
      <w:r w:rsidR="00F15CF4" w:rsidRPr="00A10386">
        <w:rPr>
          <w:rFonts w:eastAsia="Times New Roman"/>
          <w:noProof/>
        </w:rPr>
        <w:t xml:space="preserve">by Member States </w:t>
      </w:r>
      <w:r w:rsidRPr="00A10386">
        <w:rPr>
          <w:rFonts w:eastAsia="Times New Roman"/>
          <w:noProof/>
        </w:rPr>
        <w:t>to Frontex in 2022</w:t>
      </w:r>
      <w:r w:rsidRPr="00A10386">
        <w:rPr>
          <w:rStyle w:val="FootnoteReference"/>
          <w:rFonts w:eastAsia="Times New Roman"/>
          <w:noProof/>
        </w:rPr>
        <w:footnoteReference w:id="3"/>
      </w:r>
      <w:r w:rsidRPr="00A10386">
        <w:rPr>
          <w:rFonts w:eastAsia="Times New Roman"/>
          <w:noProof/>
        </w:rPr>
        <w:t xml:space="preserve">. </w:t>
      </w:r>
      <w:r w:rsidR="00031734" w:rsidRPr="00A10386">
        <w:rPr>
          <w:rFonts w:eastAsia="Times New Roman"/>
          <w:noProof/>
        </w:rPr>
        <w:t xml:space="preserve">Taking into account the increase in irregular arrivals in 2023 and the </w:t>
      </w:r>
      <w:r w:rsidR="00F443F8" w:rsidRPr="00A10386">
        <w:rPr>
          <w:rFonts w:eastAsia="Times New Roman"/>
          <w:noProof/>
        </w:rPr>
        <w:t>various</w:t>
      </w:r>
      <w:r w:rsidR="00031734" w:rsidRPr="00A10386">
        <w:rPr>
          <w:rFonts w:eastAsia="Times New Roman"/>
          <w:noProof/>
        </w:rPr>
        <w:t xml:space="preserve"> worldwide crises </w:t>
      </w:r>
      <w:r w:rsidR="5D40A488" w:rsidRPr="00A10386">
        <w:rPr>
          <w:rFonts w:eastAsia="Times New Roman"/>
          <w:noProof/>
        </w:rPr>
        <w:t>in a range of countries of origin and transit</w:t>
      </w:r>
      <w:r w:rsidR="00031734" w:rsidRPr="00A10386">
        <w:rPr>
          <w:rFonts w:eastAsia="Times New Roman"/>
          <w:noProof/>
        </w:rPr>
        <w:t>,</w:t>
      </w:r>
      <w:r w:rsidR="5D40A488" w:rsidRPr="00A10386">
        <w:rPr>
          <w:rFonts w:eastAsia="Times New Roman"/>
          <w:noProof/>
        </w:rPr>
        <w:t xml:space="preserve"> </w:t>
      </w:r>
      <w:r w:rsidR="00A76748" w:rsidRPr="00A10386">
        <w:rPr>
          <w:rFonts w:eastAsia="Times New Roman"/>
          <w:noProof/>
        </w:rPr>
        <w:t xml:space="preserve">consistently </w:t>
      </w:r>
      <w:r w:rsidR="00CE5F7E" w:rsidRPr="00A10386">
        <w:rPr>
          <w:rFonts w:eastAsia="Times New Roman"/>
          <w:noProof/>
        </w:rPr>
        <w:t xml:space="preserve">high and </w:t>
      </w:r>
      <w:r w:rsidR="006753AC" w:rsidRPr="00A10386">
        <w:rPr>
          <w:rFonts w:eastAsia="Times New Roman"/>
          <w:noProof/>
        </w:rPr>
        <w:t>potentially increased</w:t>
      </w:r>
      <w:r w:rsidR="5D40A488" w:rsidRPr="00A10386">
        <w:rPr>
          <w:rFonts w:eastAsia="Times New Roman"/>
          <w:noProof/>
        </w:rPr>
        <w:t xml:space="preserve"> migratory flows to Europe</w:t>
      </w:r>
      <w:r w:rsidR="4050CF01" w:rsidRPr="00A10386">
        <w:rPr>
          <w:rStyle w:val="FootnoteReference"/>
          <w:rFonts w:eastAsia="Times New Roman"/>
          <w:noProof/>
        </w:rPr>
        <w:footnoteReference w:id="4"/>
      </w:r>
      <w:r w:rsidR="00031734" w:rsidRPr="00A10386">
        <w:rPr>
          <w:rFonts w:eastAsia="Times New Roman"/>
          <w:noProof/>
        </w:rPr>
        <w:t xml:space="preserve"> and related smuggling </w:t>
      </w:r>
      <w:r w:rsidR="008F4E4D" w:rsidRPr="00A10386">
        <w:rPr>
          <w:rFonts w:eastAsia="Times New Roman"/>
          <w:noProof/>
        </w:rPr>
        <w:t xml:space="preserve">criminal </w:t>
      </w:r>
      <w:r w:rsidR="00031734" w:rsidRPr="00A10386">
        <w:rPr>
          <w:rFonts w:eastAsia="Times New Roman"/>
          <w:noProof/>
        </w:rPr>
        <w:t xml:space="preserve">activities can be </w:t>
      </w:r>
      <w:r w:rsidR="00031734" w:rsidRPr="00A10386">
        <w:rPr>
          <w:rFonts w:eastAsiaTheme="minorEastAsia"/>
          <w:noProof/>
        </w:rPr>
        <w:t>expected</w:t>
      </w:r>
      <w:r w:rsidR="5D40A488" w:rsidRPr="00A10386">
        <w:rPr>
          <w:rFonts w:eastAsia="Times New Roman"/>
          <w:noProof/>
        </w:rPr>
        <w:t xml:space="preserve">. </w:t>
      </w:r>
    </w:p>
    <w:p w14:paraId="422188AB" w14:textId="2D14FCD2" w:rsidR="00D20E45" w:rsidRPr="00A10386" w:rsidRDefault="562A260D" w:rsidP="002D3FA5">
      <w:pPr>
        <w:rPr>
          <w:rFonts w:eastAsia="Times New Roman"/>
          <w:noProof/>
        </w:rPr>
      </w:pPr>
      <w:r w:rsidRPr="00A10386">
        <w:rPr>
          <w:rFonts w:eastAsia="Times New Roman"/>
          <w:noProof/>
        </w:rPr>
        <w:t xml:space="preserve">It is </w:t>
      </w:r>
      <w:r w:rsidRPr="00A10386">
        <w:rPr>
          <w:rFonts w:eastAsiaTheme="minorEastAsia"/>
          <w:noProof/>
        </w:rPr>
        <w:t>estimated</w:t>
      </w:r>
      <w:r w:rsidRPr="00A10386">
        <w:rPr>
          <w:rFonts w:eastAsia="Times New Roman"/>
          <w:noProof/>
        </w:rPr>
        <w:t xml:space="preserve"> that more </w:t>
      </w:r>
      <w:r w:rsidRPr="00A10386">
        <w:rPr>
          <w:rFonts w:eastAsia="Times New Roman"/>
          <w:noProof/>
          <w:color w:val="000000" w:themeColor="text1"/>
        </w:rPr>
        <w:t xml:space="preserve">than 90% of </w:t>
      </w:r>
      <w:r w:rsidR="68AACF6B" w:rsidRPr="00A10386">
        <w:rPr>
          <w:rFonts w:eastAsia="Times New Roman"/>
          <w:noProof/>
          <w:color w:val="000000" w:themeColor="text1"/>
        </w:rPr>
        <w:t xml:space="preserve">the </w:t>
      </w:r>
      <w:r w:rsidRPr="00A10386">
        <w:rPr>
          <w:rFonts w:eastAsia="Times New Roman"/>
          <w:noProof/>
          <w:color w:val="000000" w:themeColor="text1"/>
        </w:rPr>
        <w:t xml:space="preserve">irregular migrants </w:t>
      </w:r>
      <w:r w:rsidR="6922BECD" w:rsidRPr="00A10386">
        <w:rPr>
          <w:rFonts w:eastAsia="Times New Roman"/>
          <w:noProof/>
          <w:color w:val="000000" w:themeColor="text1"/>
        </w:rPr>
        <w:t>who</w:t>
      </w:r>
      <w:r w:rsidRPr="00A10386">
        <w:rPr>
          <w:rFonts w:eastAsia="Times New Roman"/>
          <w:noProof/>
          <w:color w:val="000000" w:themeColor="text1"/>
        </w:rPr>
        <w:t xml:space="preserve"> reach the EU make use </w:t>
      </w:r>
      <w:r w:rsidR="006753AC" w:rsidRPr="00A10386">
        <w:rPr>
          <w:rFonts w:eastAsia="Times New Roman"/>
          <w:noProof/>
          <w:color w:val="000000" w:themeColor="text1"/>
        </w:rPr>
        <w:t xml:space="preserve">of the services </w:t>
      </w:r>
      <w:r w:rsidRPr="00A10386">
        <w:rPr>
          <w:rFonts w:eastAsia="Times New Roman"/>
          <w:noProof/>
          <w:color w:val="000000" w:themeColor="text1"/>
        </w:rPr>
        <w:t>of smugglers</w:t>
      </w:r>
      <w:r w:rsidR="00826808" w:rsidRPr="00A10386">
        <w:rPr>
          <w:rStyle w:val="FootnoteReference"/>
          <w:rFonts w:eastAsia="Times New Roman"/>
          <w:noProof/>
        </w:rPr>
        <w:footnoteReference w:id="5"/>
      </w:r>
      <w:r w:rsidR="7E531053" w:rsidRPr="00A10386">
        <w:rPr>
          <w:rFonts w:eastAsia="Times New Roman"/>
          <w:noProof/>
          <w:color w:val="000000" w:themeColor="text1"/>
        </w:rPr>
        <w:t>, mostly organised in criminal groups</w:t>
      </w:r>
      <w:r w:rsidR="00F443F8" w:rsidRPr="00A10386">
        <w:rPr>
          <w:rFonts w:eastAsia="Times New Roman"/>
          <w:noProof/>
          <w:color w:val="000000" w:themeColor="text1"/>
        </w:rPr>
        <w:t>.</w:t>
      </w:r>
      <w:r w:rsidR="3D47A7E2" w:rsidRPr="00A10386">
        <w:rPr>
          <w:rFonts w:eastAsia="Times New Roman"/>
          <w:noProof/>
          <w:color w:val="000000" w:themeColor="text1"/>
        </w:rPr>
        <w:t xml:space="preserve"> </w:t>
      </w:r>
      <w:r w:rsidR="00F443F8" w:rsidRPr="00A10386">
        <w:rPr>
          <w:rFonts w:eastAsia="Times New Roman"/>
          <w:noProof/>
          <w:color w:val="000000" w:themeColor="text1"/>
        </w:rPr>
        <w:t>Moreover,</w:t>
      </w:r>
      <w:r w:rsidR="7E531053" w:rsidRPr="00A10386">
        <w:rPr>
          <w:rFonts w:eastAsia="Times New Roman"/>
          <w:noProof/>
          <w:color w:val="000000" w:themeColor="text1"/>
        </w:rPr>
        <w:t xml:space="preserve"> </w:t>
      </w:r>
      <w:r w:rsidR="4CDDBBDC" w:rsidRPr="00A10386">
        <w:rPr>
          <w:rFonts w:eastAsia="Times New Roman"/>
          <w:noProof/>
          <w:color w:val="000000" w:themeColor="text1"/>
        </w:rPr>
        <w:t xml:space="preserve">smuggling networks make substantial profits from their criminal activities, </w:t>
      </w:r>
      <w:r w:rsidR="006753AC" w:rsidRPr="00A10386">
        <w:rPr>
          <w:rFonts w:eastAsia="Times New Roman"/>
          <w:noProof/>
          <w:color w:val="000000" w:themeColor="text1"/>
        </w:rPr>
        <w:t xml:space="preserve">with estimates </w:t>
      </w:r>
      <w:r w:rsidR="4CDDBBDC" w:rsidRPr="00A10386">
        <w:rPr>
          <w:rFonts w:eastAsia="Times New Roman"/>
          <w:noProof/>
          <w:color w:val="000000" w:themeColor="text1"/>
        </w:rPr>
        <w:t>ranging between EUR 4.7 – 6 billion worldwide annually</w:t>
      </w:r>
      <w:r w:rsidR="00D20E45" w:rsidRPr="00A10386">
        <w:rPr>
          <w:rStyle w:val="FootnoteReference"/>
          <w:rFonts w:eastAsia="Times New Roman"/>
          <w:noProof/>
          <w:color w:val="000000" w:themeColor="text1"/>
        </w:rPr>
        <w:footnoteReference w:id="6"/>
      </w:r>
      <w:r w:rsidR="0081ECFF" w:rsidRPr="00A10386">
        <w:rPr>
          <w:rFonts w:eastAsia="Times New Roman"/>
          <w:noProof/>
          <w:color w:val="000000" w:themeColor="text1"/>
        </w:rPr>
        <w:t>. P</w:t>
      </w:r>
      <w:r w:rsidRPr="00A10386">
        <w:rPr>
          <w:rFonts w:eastAsia="Times New Roman"/>
          <w:noProof/>
          <w:color w:val="000000" w:themeColor="text1"/>
        </w:rPr>
        <w:t xml:space="preserve">roviding a strong and firm response to </w:t>
      </w:r>
      <w:r w:rsidR="655D5CBA" w:rsidRPr="00A10386">
        <w:rPr>
          <w:rFonts w:eastAsia="Times New Roman"/>
          <w:noProof/>
          <w:color w:val="000000" w:themeColor="text1"/>
        </w:rPr>
        <w:t>smugglers’</w:t>
      </w:r>
      <w:r w:rsidRPr="00A10386">
        <w:rPr>
          <w:rFonts w:eastAsia="Times New Roman"/>
          <w:noProof/>
          <w:color w:val="000000" w:themeColor="text1"/>
        </w:rPr>
        <w:t xml:space="preserve"> activities is therefore of primary importance to reduc</w:t>
      </w:r>
      <w:r w:rsidR="21FF0301" w:rsidRPr="00A10386">
        <w:rPr>
          <w:rFonts w:eastAsia="Times New Roman"/>
          <w:noProof/>
          <w:color w:val="000000" w:themeColor="text1"/>
        </w:rPr>
        <w:t>ing</w:t>
      </w:r>
      <w:r w:rsidRPr="00A10386">
        <w:rPr>
          <w:rFonts w:eastAsia="Times New Roman"/>
          <w:noProof/>
          <w:color w:val="000000" w:themeColor="text1"/>
        </w:rPr>
        <w:t xml:space="preserve"> irregular migration</w:t>
      </w:r>
      <w:r w:rsidR="5C7A441A" w:rsidRPr="00A10386">
        <w:rPr>
          <w:rFonts w:eastAsia="Times New Roman"/>
          <w:noProof/>
          <w:color w:val="000000" w:themeColor="text1"/>
        </w:rPr>
        <w:t>.</w:t>
      </w:r>
      <w:r w:rsidRPr="00A10386">
        <w:rPr>
          <w:rFonts w:eastAsia="Times New Roman"/>
          <w:noProof/>
          <w:color w:val="000000" w:themeColor="text1"/>
        </w:rPr>
        <w:t xml:space="preserve"> </w:t>
      </w:r>
      <w:r w:rsidR="00F443F8" w:rsidRPr="00A10386">
        <w:rPr>
          <w:rFonts w:eastAsia="Times New Roman"/>
          <w:noProof/>
          <w:color w:val="000000" w:themeColor="text1"/>
        </w:rPr>
        <w:t>It is estimated that the activities of r</w:t>
      </w:r>
      <w:r w:rsidRPr="00A10386">
        <w:rPr>
          <w:rFonts w:eastAsia="Times New Roman"/>
          <w:noProof/>
          <w:color w:val="000000" w:themeColor="text1"/>
        </w:rPr>
        <w:t>uthless migrant smugglers</w:t>
      </w:r>
      <w:r w:rsidR="00F443F8" w:rsidRPr="00A10386">
        <w:rPr>
          <w:rFonts w:eastAsia="Times New Roman"/>
          <w:noProof/>
          <w:color w:val="000000" w:themeColor="text1"/>
        </w:rPr>
        <w:t>, especially at sea</w:t>
      </w:r>
      <w:r w:rsidRPr="00A10386">
        <w:rPr>
          <w:rFonts w:eastAsia="Times New Roman"/>
          <w:noProof/>
          <w:color w:val="000000" w:themeColor="text1"/>
        </w:rPr>
        <w:t>,</w:t>
      </w:r>
      <w:r w:rsidR="09A22CD1" w:rsidRPr="00A10386">
        <w:rPr>
          <w:rFonts w:eastAsia="Times New Roman"/>
          <w:noProof/>
          <w:color w:val="000000" w:themeColor="text1"/>
        </w:rPr>
        <w:t xml:space="preserve"> </w:t>
      </w:r>
      <w:r w:rsidR="00DE05C5" w:rsidRPr="00A10386">
        <w:rPr>
          <w:rFonts w:eastAsia="Times New Roman"/>
          <w:noProof/>
          <w:color w:val="000000" w:themeColor="text1"/>
        </w:rPr>
        <w:t>resulted</w:t>
      </w:r>
      <w:r w:rsidR="4229D794" w:rsidRPr="00A10386">
        <w:rPr>
          <w:rFonts w:eastAsia="Times New Roman"/>
          <w:noProof/>
          <w:color w:val="000000" w:themeColor="text1"/>
        </w:rPr>
        <w:t xml:space="preserve"> </w:t>
      </w:r>
      <w:r w:rsidR="00F8242A" w:rsidRPr="00A10386">
        <w:rPr>
          <w:rFonts w:eastAsia="Times New Roman"/>
          <w:noProof/>
          <w:color w:val="000000" w:themeColor="text1"/>
        </w:rPr>
        <w:t xml:space="preserve">in </w:t>
      </w:r>
      <w:r w:rsidR="00A04661" w:rsidRPr="00A10386">
        <w:rPr>
          <w:rFonts w:eastAsia="Times New Roman"/>
          <w:noProof/>
          <w:color w:val="000000" w:themeColor="text1"/>
        </w:rPr>
        <w:t xml:space="preserve">a staggering </w:t>
      </w:r>
      <w:r w:rsidR="00F443F8" w:rsidRPr="00A10386">
        <w:rPr>
          <w:rFonts w:eastAsia="Times New Roman"/>
          <w:noProof/>
          <w:color w:val="000000" w:themeColor="text1"/>
        </w:rPr>
        <w:t>death</w:t>
      </w:r>
      <w:r w:rsidR="00A04661" w:rsidRPr="00A10386">
        <w:rPr>
          <w:rFonts w:eastAsia="Times New Roman"/>
          <w:noProof/>
          <w:color w:val="000000" w:themeColor="text1"/>
        </w:rPr>
        <w:t xml:space="preserve"> toll of over</w:t>
      </w:r>
      <w:r w:rsidR="00F8242A" w:rsidRPr="00A10386">
        <w:rPr>
          <w:rFonts w:eastAsia="Times New Roman"/>
          <w:noProof/>
          <w:color w:val="000000" w:themeColor="text1"/>
        </w:rPr>
        <w:t xml:space="preserve"> 28 000 people</w:t>
      </w:r>
      <w:r w:rsidR="00D20E45" w:rsidRPr="00A10386">
        <w:rPr>
          <w:rStyle w:val="FootnoteReference"/>
          <w:rFonts w:eastAsia="Times New Roman"/>
          <w:noProof/>
          <w:color w:val="000000" w:themeColor="text1"/>
        </w:rPr>
        <w:footnoteReference w:id="7"/>
      </w:r>
      <w:r w:rsidR="00DE05C5" w:rsidRPr="00A10386">
        <w:rPr>
          <w:rFonts w:eastAsia="Times New Roman"/>
          <w:noProof/>
          <w:color w:val="000000" w:themeColor="text1"/>
        </w:rPr>
        <w:t xml:space="preserve"> </w:t>
      </w:r>
      <w:r w:rsidR="4229D794" w:rsidRPr="00A10386">
        <w:rPr>
          <w:rFonts w:eastAsia="Times New Roman"/>
          <w:noProof/>
          <w:color w:val="000000" w:themeColor="text1"/>
        </w:rPr>
        <w:t>since 2014</w:t>
      </w:r>
      <w:r w:rsidRPr="00A10386">
        <w:rPr>
          <w:rFonts w:eastAsia="Times New Roman"/>
          <w:noProof/>
        </w:rPr>
        <w:t>.</w:t>
      </w:r>
    </w:p>
    <w:p w14:paraId="1B84E423" w14:textId="72692377" w:rsidR="00F70512" w:rsidRPr="00A10386" w:rsidRDefault="09DBB622" w:rsidP="002D3FA5">
      <w:pPr>
        <w:rPr>
          <w:rFonts w:eastAsia="Times New Roman"/>
          <w:noProof/>
        </w:rPr>
      </w:pPr>
      <w:r w:rsidRPr="00A10386">
        <w:rPr>
          <w:rFonts w:eastAsia="Times New Roman"/>
          <w:noProof/>
        </w:rPr>
        <w:t>A</w:t>
      </w:r>
      <w:r w:rsidR="14099381" w:rsidRPr="00A10386">
        <w:rPr>
          <w:rFonts w:eastAsia="Times New Roman"/>
          <w:noProof/>
        </w:rPr>
        <w:t xml:space="preserve">round </w:t>
      </w:r>
      <w:r w:rsidR="00B9266D" w:rsidRPr="00A10386">
        <w:rPr>
          <w:rFonts w:eastAsia="Times New Roman"/>
          <w:noProof/>
        </w:rPr>
        <w:t>half of the</w:t>
      </w:r>
      <w:r w:rsidR="14099381" w:rsidRPr="00A10386">
        <w:rPr>
          <w:rFonts w:eastAsia="Times New Roman"/>
          <w:noProof/>
        </w:rPr>
        <w:t xml:space="preserve"> migrant smuggling networks are also</w:t>
      </w:r>
      <w:r w:rsidR="00B9266D" w:rsidRPr="00A10386">
        <w:rPr>
          <w:rFonts w:eastAsia="Times New Roman"/>
          <w:noProof/>
        </w:rPr>
        <w:t xml:space="preserve"> </w:t>
      </w:r>
      <w:r w:rsidR="14099381" w:rsidRPr="00A10386">
        <w:rPr>
          <w:rFonts w:eastAsia="Times New Roman"/>
          <w:noProof/>
        </w:rPr>
        <w:t>involved in other crime</w:t>
      </w:r>
      <w:r w:rsidR="00B9266D" w:rsidRPr="00A10386">
        <w:rPr>
          <w:rFonts w:eastAsia="Times New Roman"/>
          <w:noProof/>
        </w:rPr>
        <w:t>s,</w:t>
      </w:r>
      <w:r w:rsidR="14099381" w:rsidRPr="00A10386">
        <w:rPr>
          <w:rFonts w:eastAsia="Times New Roman"/>
          <w:noProof/>
        </w:rPr>
        <w:t xml:space="preserve"> such as trafficking </w:t>
      </w:r>
      <w:r w:rsidR="00C35BD0" w:rsidRPr="00A10386">
        <w:rPr>
          <w:rFonts w:eastAsia="Times New Roman"/>
          <w:noProof/>
        </w:rPr>
        <w:t>in human beings,</w:t>
      </w:r>
      <w:r w:rsidR="14099381" w:rsidRPr="00A10386">
        <w:rPr>
          <w:rFonts w:eastAsia="Times New Roman"/>
          <w:noProof/>
        </w:rPr>
        <w:t xml:space="preserve"> drugs</w:t>
      </w:r>
      <w:r w:rsidR="00C35BD0" w:rsidRPr="00A10386">
        <w:rPr>
          <w:rFonts w:eastAsia="Times New Roman"/>
          <w:noProof/>
        </w:rPr>
        <w:t xml:space="preserve"> and</w:t>
      </w:r>
      <w:r w:rsidR="14099381" w:rsidRPr="00A10386">
        <w:rPr>
          <w:rFonts w:eastAsia="Times New Roman"/>
          <w:noProof/>
        </w:rPr>
        <w:t xml:space="preserve"> firearms</w:t>
      </w:r>
      <w:r w:rsidR="00B9266D" w:rsidRPr="00A10386">
        <w:rPr>
          <w:rFonts w:eastAsia="Times New Roman"/>
          <w:noProof/>
        </w:rPr>
        <w:t xml:space="preserve"> smuggling</w:t>
      </w:r>
      <w:r w:rsidR="009C7968" w:rsidRPr="00A10386">
        <w:rPr>
          <w:rFonts w:eastAsia="Times New Roman"/>
          <w:noProof/>
        </w:rPr>
        <w:t>,</w:t>
      </w:r>
      <w:r w:rsidR="339F3C86" w:rsidRPr="00A10386">
        <w:rPr>
          <w:rFonts w:eastAsia="Times New Roman"/>
          <w:noProof/>
        </w:rPr>
        <w:t xml:space="preserve"> while also facilitating </w:t>
      </w:r>
      <w:r w:rsidR="00F443F8" w:rsidRPr="00A10386">
        <w:rPr>
          <w:rFonts w:eastAsia="Times New Roman"/>
          <w:noProof/>
        </w:rPr>
        <w:t>unauthorised</w:t>
      </w:r>
      <w:r w:rsidR="339F3C86" w:rsidRPr="00A10386">
        <w:rPr>
          <w:rFonts w:eastAsia="Times New Roman"/>
          <w:noProof/>
        </w:rPr>
        <w:t xml:space="preserve"> movements within the EU</w:t>
      </w:r>
      <w:r w:rsidR="000878F0" w:rsidRPr="00A10386">
        <w:rPr>
          <w:rFonts w:eastAsia="Times New Roman"/>
          <w:noProof/>
        </w:rPr>
        <w:t>.</w:t>
      </w:r>
      <w:r w:rsidR="00B9266D" w:rsidRPr="00A10386">
        <w:rPr>
          <w:rFonts w:eastAsia="Times New Roman"/>
          <w:noProof/>
        </w:rPr>
        <w:t xml:space="preserve"> </w:t>
      </w:r>
      <w:r w:rsidR="0329E1C8" w:rsidRPr="00A10386">
        <w:rPr>
          <w:rFonts w:eastAsia="Times New Roman"/>
          <w:noProof/>
        </w:rPr>
        <w:t>L</w:t>
      </w:r>
      <w:r w:rsidR="14099381" w:rsidRPr="00A10386">
        <w:rPr>
          <w:rFonts w:eastAsia="Times New Roman"/>
          <w:noProof/>
        </w:rPr>
        <w:t>aw enforcement and judicial authorities</w:t>
      </w:r>
      <w:r w:rsidR="46DBFB7B" w:rsidRPr="00A10386">
        <w:rPr>
          <w:rFonts w:eastAsia="Times New Roman"/>
          <w:noProof/>
        </w:rPr>
        <w:t xml:space="preserve"> are faced with multiple </w:t>
      </w:r>
      <w:r w:rsidR="00F443F8" w:rsidRPr="00A10386">
        <w:rPr>
          <w:rFonts w:eastAsia="Times New Roman"/>
          <w:noProof/>
        </w:rPr>
        <w:t xml:space="preserve">and </w:t>
      </w:r>
      <w:r w:rsidR="46DBFB7B" w:rsidRPr="00A10386">
        <w:rPr>
          <w:rFonts w:eastAsia="Times New Roman"/>
          <w:noProof/>
        </w:rPr>
        <w:t>constantly evolving challenges</w:t>
      </w:r>
      <w:r w:rsidR="00826808" w:rsidRPr="00A10386">
        <w:rPr>
          <w:rFonts w:eastAsia="Times New Roman"/>
          <w:noProof/>
        </w:rPr>
        <w:t>:</w:t>
      </w:r>
      <w:r w:rsidR="00F70512" w:rsidRPr="00A10386">
        <w:rPr>
          <w:rFonts w:eastAsia="Times New Roman"/>
          <w:noProof/>
        </w:rPr>
        <w:t xml:space="preserve"> </w:t>
      </w:r>
      <w:r w:rsidR="1DE13690" w:rsidRPr="00A10386">
        <w:rPr>
          <w:rFonts w:eastAsia="Times New Roman"/>
          <w:noProof/>
        </w:rPr>
        <w:t>the</w:t>
      </w:r>
      <w:r w:rsidR="00F70512" w:rsidRPr="00A10386">
        <w:rPr>
          <w:rFonts w:eastAsia="Times New Roman"/>
          <w:noProof/>
        </w:rPr>
        <w:t xml:space="preserve"> rapidly chang</w:t>
      </w:r>
      <w:r w:rsidR="5CF59376" w:rsidRPr="00A10386">
        <w:rPr>
          <w:rFonts w:eastAsia="Times New Roman"/>
          <w:noProof/>
        </w:rPr>
        <w:t>ing</w:t>
      </w:r>
      <w:r w:rsidR="00F70512" w:rsidRPr="00A10386">
        <w:rPr>
          <w:rFonts w:eastAsia="Times New Roman"/>
          <w:noProof/>
        </w:rPr>
        <w:t xml:space="preserve"> and adapt</w:t>
      </w:r>
      <w:r w:rsidR="0BB62AB7" w:rsidRPr="00A10386">
        <w:rPr>
          <w:rFonts w:eastAsia="Times New Roman"/>
          <w:noProof/>
        </w:rPr>
        <w:t xml:space="preserve">ing </w:t>
      </w:r>
      <w:r w:rsidR="0BB62AB7" w:rsidRPr="00A10386">
        <w:rPr>
          <w:rFonts w:eastAsia="Times New Roman"/>
          <w:i/>
          <w:iCs/>
          <w:noProof/>
        </w:rPr>
        <w:t>modi operandi</w:t>
      </w:r>
      <w:r w:rsidR="0BB62AB7" w:rsidRPr="00A10386">
        <w:rPr>
          <w:rFonts w:eastAsia="Times New Roman"/>
          <w:noProof/>
        </w:rPr>
        <w:t xml:space="preserve"> of smugglers</w:t>
      </w:r>
      <w:r w:rsidR="00037A79" w:rsidRPr="00A10386">
        <w:rPr>
          <w:rFonts w:eastAsia="Times New Roman"/>
          <w:noProof/>
        </w:rPr>
        <w:t>;</w:t>
      </w:r>
      <w:r w:rsidR="00F70512" w:rsidRPr="00A10386">
        <w:rPr>
          <w:rFonts w:eastAsia="Times New Roman"/>
          <w:noProof/>
        </w:rPr>
        <w:t xml:space="preserve"> </w:t>
      </w:r>
      <w:r w:rsidR="00102CED" w:rsidRPr="00A10386">
        <w:rPr>
          <w:rFonts w:eastAsia="Times New Roman"/>
          <w:noProof/>
        </w:rPr>
        <w:t xml:space="preserve">the increased use of </w:t>
      </w:r>
      <w:r w:rsidR="00F443F8" w:rsidRPr="00A10386">
        <w:rPr>
          <w:rFonts w:eastAsia="Times New Roman"/>
          <w:noProof/>
        </w:rPr>
        <w:t xml:space="preserve">threats and </w:t>
      </w:r>
      <w:r w:rsidR="00102CED" w:rsidRPr="00A10386">
        <w:rPr>
          <w:rFonts w:eastAsia="Times New Roman"/>
          <w:noProof/>
        </w:rPr>
        <w:t xml:space="preserve">violence vis-à-vis the migrants </w:t>
      </w:r>
      <w:r w:rsidR="00F70512" w:rsidRPr="00A10386">
        <w:rPr>
          <w:rFonts w:eastAsia="Times New Roman"/>
          <w:noProof/>
        </w:rPr>
        <w:t xml:space="preserve">as well as </w:t>
      </w:r>
      <w:r w:rsidR="00102CED" w:rsidRPr="00A10386">
        <w:rPr>
          <w:rFonts w:eastAsia="Times New Roman"/>
          <w:noProof/>
        </w:rPr>
        <w:t>law enforcement authorities</w:t>
      </w:r>
      <w:r w:rsidRPr="00A10386">
        <w:rPr>
          <w:rStyle w:val="FootnoteReference"/>
          <w:rFonts w:eastAsia="Times New Roman"/>
          <w:noProof/>
        </w:rPr>
        <w:footnoteReference w:id="8"/>
      </w:r>
      <w:r w:rsidR="00037A79" w:rsidRPr="00A10386">
        <w:rPr>
          <w:rFonts w:eastAsia="Times New Roman"/>
          <w:noProof/>
        </w:rPr>
        <w:t>;</w:t>
      </w:r>
      <w:r w:rsidR="00102CED" w:rsidRPr="00A10386">
        <w:rPr>
          <w:rFonts w:eastAsia="Times New Roman"/>
          <w:noProof/>
        </w:rPr>
        <w:t xml:space="preserve"> </w:t>
      </w:r>
      <w:r w:rsidR="00037A79" w:rsidRPr="00A10386">
        <w:rPr>
          <w:rFonts w:eastAsia="Times New Roman"/>
          <w:noProof/>
        </w:rPr>
        <w:t xml:space="preserve">the difficulties to locate and arrest smugglers who hide in countries outside the EU; the use of a broad variety of means of transport, including unseaworthy, less detectable vessels (such as fishing boats and makeshift metal boats), </w:t>
      </w:r>
      <w:r w:rsidR="002E1414" w:rsidRPr="00A10386">
        <w:rPr>
          <w:rFonts w:eastAsia="Times New Roman"/>
          <w:noProof/>
        </w:rPr>
        <w:t xml:space="preserve">road </w:t>
      </w:r>
      <w:r w:rsidR="00037A79" w:rsidRPr="00A10386">
        <w:rPr>
          <w:rFonts w:eastAsia="Times New Roman"/>
          <w:noProof/>
        </w:rPr>
        <w:t xml:space="preserve">vehicles in which migrants are </w:t>
      </w:r>
      <w:r w:rsidR="002E1414" w:rsidRPr="00A10386">
        <w:rPr>
          <w:rFonts w:eastAsia="Times New Roman"/>
          <w:noProof/>
        </w:rPr>
        <w:t xml:space="preserve">dangerously </w:t>
      </w:r>
      <w:r w:rsidR="00037A79" w:rsidRPr="00A10386">
        <w:rPr>
          <w:rFonts w:eastAsia="Times New Roman"/>
          <w:noProof/>
        </w:rPr>
        <w:t xml:space="preserve">concealed, </w:t>
      </w:r>
      <w:r w:rsidR="002E1414" w:rsidRPr="00A10386">
        <w:rPr>
          <w:rFonts w:eastAsia="Times New Roman"/>
          <w:noProof/>
        </w:rPr>
        <w:t xml:space="preserve">as well as </w:t>
      </w:r>
      <w:r w:rsidR="00037A79" w:rsidRPr="00A10386">
        <w:rPr>
          <w:rFonts w:eastAsia="Times New Roman"/>
          <w:noProof/>
        </w:rPr>
        <w:t xml:space="preserve">commercial and charter flights </w:t>
      </w:r>
      <w:r w:rsidR="002E1414" w:rsidRPr="00A10386">
        <w:rPr>
          <w:rFonts w:eastAsia="Times New Roman"/>
          <w:noProof/>
        </w:rPr>
        <w:t xml:space="preserve">increasingly used </w:t>
      </w:r>
      <w:r w:rsidR="00037A79" w:rsidRPr="00A10386">
        <w:rPr>
          <w:rFonts w:eastAsia="Times New Roman"/>
          <w:noProof/>
        </w:rPr>
        <w:t xml:space="preserve">to bring </w:t>
      </w:r>
      <w:r w:rsidR="00037A79" w:rsidRPr="00A10386">
        <w:rPr>
          <w:rFonts w:eastAsiaTheme="minorEastAsia"/>
          <w:noProof/>
        </w:rPr>
        <w:t>migrants</w:t>
      </w:r>
      <w:r w:rsidR="00037A79" w:rsidRPr="00A10386">
        <w:rPr>
          <w:rFonts w:eastAsia="Times New Roman"/>
          <w:noProof/>
        </w:rPr>
        <w:t xml:space="preserve"> to countries close to or bordering the EU, from where migrants</w:t>
      </w:r>
      <w:r w:rsidR="00F16A65" w:rsidRPr="00A10386">
        <w:rPr>
          <w:rFonts w:eastAsia="Times New Roman"/>
          <w:noProof/>
        </w:rPr>
        <w:t xml:space="preserve"> then</w:t>
      </w:r>
      <w:r w:rsidR="00037A79" w:rsidRPr="00A10386">
        <w:rPr>
          <w:rFonts w:eastAsia="Times New Roman"/>
          <w:noProof/>
        </w:rPr>
        <w:t xml:space="preserve"> seek to irregularly enter the EU</w:t>
      </w:r>
      <w:r w:rsidRPr="00A10386">
        <w:rPr>
          <w:rStyle w:val="FootnoteReference"/>
          <w:rFonts w:eastAsia="Times New Roman"/>
          <w:noProof/>
        </w:rPr>
        <w:footnoteReference w:id="9"/>
      </w:r>
      <w:r w:rsidR="002E1414" w:rsidRPr="00A10386">
        <w:rPr>
          <w:rFonts w:eastAsia="Times New Roman"/>
          <w:noProof/>
        </w:rPr>
        <w:t xml:space="preserve">; </w:t>
      </w:r>
      <w:r w:rsidR="00102CED" w:rsidRPr="00A10386">
        <w:rPr>
          <w:rFonts w:eastAsia="Times New Roman"/>
          <w:noProof/>
        </w:rPr>
        <w:t xml:space="preserve">the </w:t>
      </w:r>
      <w:r w:rsidR="14099381" w:rsidRPr="00A10386">
        <w:rPr>
          <w:rFonts w:eastAsia="Times New Roman"/>
          <w:noProof/>
        </w:rPr>
        <w:t>use of digital tools</w:t>
      </w:r>
      <w:r w:rsidR="00037A79" w:rsidRPr="00A10386">
        <w:rPr>
          <w:rFonts w:eastAsia="Times New Roman"/>
          <w:noProof/>
        </w:rPr>
        <w:t xml:space="preserve"> at all stages of the process, with online advertising of smuggling services, routes and prices as well as for forging documents;</w:t>
      </w:r>
      <w:r w:rsidR="14099381" w:rsidRPr="00A10386">
        <w:rPr>
          <w:rFonts w:eastAsia="Times New Roman"/>
          <w:noProof/>
        </w:rPr>
        <w:t xml:space="preserve"> the use of crypto-currencies</w:t>
      </w:r>
      <w:r w:rsidR="00C656DD" w:rsidRPr="00A10386">
        <w:rPr>
          <w:rFonts w:eastAsia="Times New Roman"/>
          <w:noProof/>
        </w:rPr>
        <w:t>,</w:t>
      </w:r>
      <w:r w:rsidR="14099381" w:rsidRPr="00A10386">
        <w:rPr>
          <w:rFonts w:eastAsia="Times New Roman"/>
          <w:noProof/>
        </w:rPr>
        <w:t xml:space="preserve"> digital money</w:t>
      </w:r>
      <w:r w:rsidR="00C656DD" w:rsidRPr="00A10386">
        <w:rPr>
          <w:rFonts w:eastAsia="Times New Roman"/>
          <w:noProof/>
        </w:rPr>
        <w:t xml:space="preserve"> or other unofficial forms of payment (e.g. </w:t>
      </w:r>
      <w:r w:rsidR="00C656DD" w:rsidRPr="00A10386">
        <w:rPr>
          <w:rFonts w:eastAsia="Times New Roman"/>
          <w:i/>
          <w:iCs/>
          <w:noProof/>
        </w:rPr>
        <w:t>hawala</w:t>
      </w:r>
      <w:r w:rsidR="00C656DD" w:rsidRPr="00A10386">
        <w:rPr>
          <w:rFonts w:eastAsia="Times New Roman"/>
          <w:noProof/>
        </w:rPr>
        <w:t>)</w:t>
      </w:r>
      <w:r w:rsidRPr="00A10386">
        <w:rPr>
          <w:rStyle w:val="FootnoteReference"/>
          <w:rFonts w:eastAsia="Times New Roman"/>
          <w:noProof/>
        </w:rPr>
        <w:footnoteReference w:id="10"/>
      </w:r>
      <w:r w:rsidR="14099381" w:rsidRPr="00A10386">
        <w:rPr>
          <w:rFonts w:eastAsia="Times New Roman"/>
          <w:noProof/>
        </w:rPr>
        <w:t xml:space="preserve">. </w:t>
      </w:r>
    </w:p>
    <w:p w14:paraId="5430C84A" w14:textId="45EDD08E" w:rsidR="00725A65" w:rsidRPr="00A10386" w:rsidRDefault="000D1076" w:rsidP="008D1BF7">
      <w:pPr>
        <w:autoSpaceDE w:val="0"/>
        <w:autoSpaceDN w:val="0"/>
        <w:spacing w:before="40" w:after="40"/>
        <w:rPr>
          <w:rFonts w:eastAsia="Times New Roman"/>
          <w:noProof/>
        </w:rPr>
      </w:pPr>
      <w:r w:rsidRPr="00A10386">
        <w:rPr>
          <w:rFonts w:eastAsia="Times New Roman"/>
          <w:noProof/>
        </w:rPr>
        <w:t>Tackling migrant smuggling is essential to dismantl</w:t>
      </w:r>
      <w:r w:rsidR="21076640" w:rsidRPr="00A10386">
        <w:rPr>
          <w:rFonts w:eastAsia="Times New Roman"/>
          <w:noProof/>
        </w:rPr>
        <w:t>ing</w:t>
      </w:r>
      <w:r w:rsidRPr="00A10386">
        <w:rPr>
          <w:rFonts w:eastAsia="Times New Roman"/>
          <w:noProof/>
        </w:rPr>
        <w:t xml:space="preserve"> organised crime networks that </w:t>
      </w:r>
      <w:r w:rsidR="00826808" w:rsidRPr="00A10386">
        <w:rPr>
          <w:rFonts w:eastAsia="Times New Roman"/>
          <w:noProof/>
        </w:rPr>
        <w:t xml:space="preserve">can </w:t>
      </w:r>
      <w:r w:rsidRPr="00A10386">
        <w:rPr>
          <w:rFonts w:eastAsia="Times New Roman"/>
          <w:noProof/>
        </w:rPr>
        <w:t>caus</w:t>
      </w:r>
      <w:r w:rsidR="5A9B7AA5" w:rsidRPr="00A10386">
        <w:rPr>
          <w:rFonts w:eastAsia="Times New Roman"/>
          <w:noProof/>
        </w:rPr>
        <w:t>e</w:t>
      </w:r>
      <w:r w:rsidRPr="00A10386">
        <w:rPr>
          <w:rFonts w:eastAsia="Times New Roman"/>
          <w:noProof/>
        </w:rPr>
        <w:t xml:space="preserve"> human rights </w:t>
      </w:r>
      <w:r w:rsidR="001E1DC0" w:rsidRPr="00A10386">
        <w:rPr>
          <w:rFonts w:eastAsia="Times New Roman"/>
          <w:noProof/>
        </w:rPr>
        <w:t>violations</w:t>
      </w:r>
      <w:r w:rsidRPr="00A10386">
        <w:rPr>
          <w:rFonts w:eastAsia="Times New Roman"/>
          <w:noProof/>
        </w:rPr>
        <w:t xml:space="preserve"> and death, and to counter</w:t>
      </w:r>
      <w:r w:rsidR="7C581DD2" w:rsidRPr="00A10386">
        <w:rPr>
          <w:rFonts w:eastAsia="Times New Roman"/>
          <w:noProof/>
        </w:rPr>
        <w:t>ing</w:t>
      </w:r>
      <w:r w:rsidRPr="00A10386">
        <w:rPr>
          <w:rFonts w:eastAsia="Times New Roman"/>
          <w:noProof/>
        </w:rPr>
        <w:t xml:space="preserve"> the increase in irregular migration to the EU. </w:t>
      </w:r>
      <w:r w:rsidR="008D1BF7" w:rsidRPr="00A10386">
        <w:rPr>
          <w:rFonts w:eastAsia="Times New Roman"/>
          <w:noProof/>
        </w:rPr>
        <w:t>A comprehensive and sustainable approach to migration requires a combination of robust and efficient actions complementing mutually beneficial partnerships with countries of origin and transit, addressing the root causes of migration and in particular irregular migration, and at the same time fighting organised crime including migrant smuggling and trafficking in human beings. </w:t>
      </w:r>
      <w:r w:rsidR="00725A65" w:rsidRPr="00A10386">
        <w:rPr>
          <w:rFonts w:eastAsia="Times New Roman"/>
          <w:noProof/>
        </w:rPr>
        <w:t>The New Pact on Migration and Asylum</w:t>
      </w:r>
      <w:r w:rsidR="00725A65" w:rsidRPr="00A10386">
        <w:rPr>
          <w:rStyle w:val="FootnoteReference"/>
          <w:rFonts w:eastAsia="Times New Roman"/>
          <w:noProof/>
        </w:rPr>
        <w:footnoteReference w:id="11"/>
      </w:r>
      <w:r w:rsidR="00725A65" w:rsidRPr="00A10386">
        <w:rPr>
          <w:rFonts w:eastAsia="Times New Roman"/>
          <w:noProof/>
        </w:rPr>
        <w:t xml:space="preserve"> puts preventing and countering </w:t>
      </w:r>
      <w:r w:rsidR="3A990AB3" w:rsidRPr="00A10386">
        <w:rPr>
          <w:rFonts w:eastAsia="Times New Roman"/>
          <w:noProof/>
        </w:rPr>
        <w:t>migrant</w:t>
      </w:r>
      <w:r w:rsidR="00725A65" w:rsidRPr="00A10386">
        <w:rPr>
          <w:rFonts w:eastAsia="Times New Roman"/>
          <w:noProof/>
        </w:rPr>
        <w:t xml:space="preserve"> smuggling at the centre of its comprehensive approach to migration.  </w:t>
      </w:r>
    </w:p>
    <w:p w14:paraId="6E8093D9" w14:textId="77777777" w:rsidR="000A0650" w:rsidRPr="00A10386" w:rsidRDefault="6A82F0F8" w:rsidP="002D3FA5">
      <w:pPr>
        <w:rPr>
          <w:rFonts w:eastAsia="Times New Roman"/>
          <w:noProof/>
        </w:rPr>
      </w:pPr>
      <w:r w:rsidRPr="00A10386">
        <w:rPr>
          <w:rFonts w:eastAsia="Times New Roman"/>
          <w:noProof/>
        </w:rPr>
        <w:t>T</w:t>
      </w:r>
      <w:r w:rsidR="00000BF6" w:rsidRPr="00A10386">
        <w:rPr>
          <w:rFonts w:eastAsia="Times New Roman"/>
          <w:noProof/>
        </w:rPr>
        <w:t xml:space="preserve">he existing EU legal and operational framework </w:t>
      </w:r>
      <w:r w:rsidR="00377DAB" w:rsidRPr="00A10386">
        <w:rPr>
          <w:rFonts w:eastAsia="Times New Roman"/>
          <w:noProof/>
        </w:rPr>
        <w:t xml:space="preserve">on migrant smuggling </w:t>
      </w:r>
      <w:r w:rsidR="008D4F4C" w:rsidRPr="00A10386">
        <w:rPr>
          <w:rFonts w:eastAsia="Times New Roman"/>
          <w:noProof/>
        </w:rPr>
        <w:t xml:space="preserve">needs to be </w:t>
      </w:r>
      <w:r w:rsidR="00E716E2" w:rsidRPr="00A10386">
        <w:rPr>
          <w:rFonts w:eastAsia="Times New Roman"/>
          <w:noProof/>
        </w:rPr>
        <w:t xml:space="preserve">modernised </w:t>
      </w:r>
      <w:r w:rsidR="008D4F4C" w:rsidRPr="00A10386">
        <w:rPr>
          <w:rFonts w:eastAsia="Times New Roman"/>
          <w:noProof/>
        </w:rPr>
        <w:t xml:space="preserve">and reinforced </w:t>
      </w:r>
      <w:r w:rsidR="00104962" w:rsidRPr="00A10386">
        <w:rPr>
          <w:noProof/>
        </w:rPr>
        <w:t xml:space="preserve">to </w:t>
      </w:r>
      <w:r w:rsidR="6C7CDD5C" w:rsidRPr="00A10386">
        <w:rPr>
          <w:noProof/>
        </w:rPr>
        <w:t xml:space="preserve">enhance the tools at the disposal of the European Union to prevent and respond to this </w:t>
      </w:r>
      <w:r w:rsidR="00104962" w:rsidRPr="00A10386">
        <w:rPr>
          <w:noProof/>
        </w:rPr>
        <w:t>continuous</w:t>
      </w:r>
      <w:r w:rsidR="32B3C0EC" w:rsidRPr="00A10386">
        <w:rPr>
          <w:noProof/>
        </w:rPr>
        <w:t>ly</w:t>
      </w:r>
      <w:r w:rsidR="00104962" w:rsidRPr="00A10386">
        <w:rPr>
          <w:noProof/>
        </w:rPr>
        <w:t xml:space="preserve"> evol</w:t>
      </w:r>
      <w:r w:rsidR="49C59D51" w:rsidRPr="00A10386">
        <w:rPr>
          <w:noProof/>
        </w:rPr>
        <w:t>ving crime,</w:t>
      </w:r>
      <w:r w:rsidR="3FFBFF89" w:rsidRPr="00A10386">
        <w:rPr>
          <w:noProof/>
        </w:rPr>
        <w:t xml:space="preserve"> </w:t>
      </w:r>
      <w:r w:rsidR="077AB5FE" w:rsidRPr="00A10386">
        <w:rPr>
          <w:noProof/>
        </w:rPr>
        <w:t>including in the context of the</w:t>
      </w:r>
      <w:r w:rsidR="00104962" w:rsidRPr="00A10386">
        <w:rPr>
          <w:noProof/>
        </w:rPr>
        <w:t xml:space="preserve"> legal obligations on the Union and </w:t>
      </w:r>
      <w:r w:rsidR="489304F9" w:rsidRPr="00A10386">
        <w:rPr>
          <w:noProof/>
        </w:rPr>
        <w:t xml:space="preserve">its </w:t>
      </w:r>
      <w:r w:rsidR="00104962" w:rsidRPr="00A10386">
        <w:rPr>
          <w:noProof/>
        </w:rPr>
        <w:t>Member States under international law</w:t>
      </w:r>
      <w:r w:rsidR="006368F2" w:rsidRPr="00A10386">
        <w:rPr>
          <w:noProof/>
        </w:rPr>
        <w:t xml:space="preserve"> under the</w:t>
      </w:r>
      <w:r w:rsidR="000A0650" w:rsidRPr="00A10386">
        <w:rPr>
          <w:noProof/>
        </w:rPr>
        <w:t xml:space="preserve"> </w:t>
      </w:r>
      <w:r w:rsidR="000A0650" w:rsidRPr="00A10386">
        <w:rPr>
          <w:rFonts w:eastAsia="Times New Roman"/>
          <w:noProof/>
        </w:rPr>
        <w:t xml:space="preserve">United Nations Protocol against the Smuggling of Migrants by Land, Sea and Air. </w:t>
      </w:r>
    </w:p>
    <w:p w14:paraId="18B32850" w14:textId="13B6B135" w:rsidR="003924D3" w:rsidRPr="00A10386" w:rsidRDefault="35D1B01C" w:rsidP="602C1E41">
      <w:pPr>
        <w:rPr>
          <w:rFonts w:eastAsia="Times New Roman"/>
          <w:noProof/>
        </w:rPr>
      </w:pPr>
      <w:r w:rsidRPr="00A10386">
        <w:rPr>
          <w:rFonts w:eastAsiaTheme="minorEastAsia"/>
          <w:noProof/>
        </w:rPr>
        <w:t xml:space="preserve">This proposal for a Directive is part of a </w:t>
      </w:r>
      <w:r w:rsidR="006753AC" w:rsidRPr="00A10386">
        <w:rPr>
          <w:rFonts w:eastAsiaTheme="minorEastAsia"/>
          <w:noProof/>
        </w:rPr>
        <w:t>set</w:t>
      </w:r>
      <w:r w:rsidRPr="00A10386">
        <w:rPr>
          <w:rFonts w:eastAsiaTheme="minorEastAsia"/>
          <w:noProof/>
        </w:rPr>
        <w:t xml:space="preserve"> </w:t>
      </w:r>
      <w:r w:rsidR="00F443F8" w:rsidRPr="00A10386">
        <w:rPr>
          <w:rFonts w:eastAsiaTheme="minorEastAsia"/>
          <w:noProof/>
        </w:rPr>
        <w:t xml:space="preserve">of measures </w:t>
      </w:r>
      <w:r w:rsidR="4135EF43" w:rsidRPr="00A10386">
        <w:rPr>
          <w:rFonts w:eastAsia="Times New Roman"/>
          <w:noProof/>
        </w:rPr>
        <w:t>that operationalise the call of President von der Leyen</w:t>
      </w:r>
      <w:r w:rsidR="4135EF43" w:rsidRPr="00A10386">
        <w:rPr>
          <w:rFonts w:eastAsia="Times New Roman"/>
          <w:noProof/>
          <w:color w:val="000000" w:themeColor="text1"/>
        </w:rPr>
        <w:t xml:space="preserve"> and </w:t>
      </w:r>
      <w:r w:rsidR="0D9AC185" w:rsidRPr="00A10386">
        <w:rPr>
          <w:rFonts w:eastAsia="Times New Roman"/>
          <w:noProof/>
          <w:color w:val="000000" w:themeColor="text1"/>
        </w:rPr>
        <w:t>ai</w:t>
      </w:r>
      <w:r w:rsidR="0206D86E" w:rsidRPr="00A10386">
        <w:rPr>
          <w:rFonts w:eastAsia="Times New Roman"/>
          <w:noProof/>
          <w:color w:val="000000" w:themeColor="text1"/>
        </w:rPr>
        <w:t>m</w:t>
      </w:r>
      <w:r w:rsidR="0D9AC185" w:rsidRPr="00A10386">
        <w:rPr>
          <w:rFonts w:eastAsia="Times New Roman"/>
          <w:noProof/>
          <w:color w:val="000000" w:themeColor="text1"/>
        </w:rPr>
        <w:t xml:space="preserve"> </w:t>
      </w:r>
      <w:r w:rsidR="006753AC" w:rsidRPr="00A10386">
        <w:rPr>
          <w:rFonts w:eastAsia="Times New Roman"/>
          <w:noProof/>
          <w:color w:val="000000" w:themeColor="text1"/>
        </w:rPr>
        <w:t>to modernise</w:t>
      </w:r>
      <w:r w:rsidR="0D9AC185" w:rsidRPr="00A10386">
        <w:rPr>
          <w:rFonts w:eastAsia="Times New Roman"/>
          <w:noProof/>
          <w:color w:val="000000" w:themeColor="text1"/>
        </w:rPr>
        <w:t xml:space="preserve"> and strengthen the existing legal framework and provid</w:t>
      </w:r>
      <w:r w:rsidR="00EB13B7" w:rsidRPr="00A10386">
        <w:rPr>
          <w:rFonts w:eastAsia="Times New Roman"/>
          <w:noProof/>
          <w:color w:val="000000" w:themeColor="text1"/>
        </w:rPr>
        <w:t>e</w:t>
      </w:r>
      <w:r w:rsidR="0D9AC185" w:rsidRPr="00A10386">
        <w:rPr>
          <w:rFonts w:eastAsia="Times New Roman"/>
          <w:noProof/>
          <w:color w:val="000000" w:themeColor="text1"/>
        </w:rPr>
        <w:t xml:space="preserve"> the Union with rules which are fit for purpose.</w:t>
      </w:r>
      <w:r w:rsidR="0D9AC185" w:rsidRPr="00A10386">
        <w:rPr>
          <w:noProof/>
          <w:color w:val="000000" w:themeColor="text1"/>
        </w:rPr>
        <w:t xml:space="preserve"> </w:t>
      </w:r>
      <w:r w:rsidR="0F0766A8" w:rsidRPr="00A10386">
        <w:rPr>
          <w:rFonts w:eastAsia="Times New Roman"/>
          <w:noProof/>
        </w:rPr>
        <w:t xml:space="preserve">It updates and modernises the existing </w:t>
      </w:r>
      <w:r w:rsidR="36E1F86B" w:rsidRPr="00A10386">
        <w:rPr>
          <w:rFonts w:eastAsia="Times New Roman"/>
          <w:noProof/>
        </w:rPr>
        <w:t xml:space="preserve">EU criminal law </w:t>
      </w:r>
      <w:r w:rsidR="0F0766A8" w:rsidRPr="00A10386">
        <w:rPr>
          <w:rFonts w:eastAsia="Times New Roman"/>
          <w:noProof/>
        </w:rPr>
        <w:t xml:space="preserve">rules of the </w:t>
      </w:r>
      <w:r w:rsidR="0F0766A8" w:rsidRPr="00A10386">
        <w:rPr>
          <w:noProof/>
        </w:rPr>
        <w:t>“Facilitators Package”, composed of Directive 2002/90/EC establishing a common definition of the offen</w:t>
      </w:r>
      <w:r w:rsidR="45B2C2FA" w:rsidRPr="00A10386">
        <w:rPr>
          <w:noProof/>
        </w:rPr>
        <w:t>c</w:t>
      </w:r>
      <w:r w:rsidR="0F0766A8" w:rsidRPr="00A10386">
        <w:rPr>
          <w:noProof/>
        </w:rPr>
        <w:t>e of facilitation of unauthorised entry, transit</w:t>
      </w:r>
      <w:r w:rsidR="00F443F8" w:rsidRPr="00A10386">
        <w:rPr>
          <w:noProof/>
        </w:rPr>
        <w:t>,</w:t>
      </w:r>
      <w:r w:rsidR="0F0766A8" w:rsidRPr="00A10386">
        <w:rPr>
          <w:noProof/>
        </w:rPr>
        <w:t xml:space="preserve"> and </w:t>
      </w:r>
      <w:r w:rsidR="0F0766A8" w:rsidRPr="00A10386">
        <w:rPr>
          <w:rFonts w:eastAsiaTheme="minorEastAsia"/>
          <w:noProof/>
        </w:rPr>
        <w:t>residence</w:t>
      </w:r>
      <w:r w:rsidR="000A273A" w:rsidRPr="00A10386">
        <w:rPr>
          <w:rStyle w:val="FootnoteReference"/>
          <w:noProof/>
        </w:rPr>
        <w:footnoteReference w:id="12"/>
      </w:r>
      <w:r w:rsidR="0F0766A8" w:rsidRPr="00A10386">
        <w:rPr>
          <w:noProof/>
        </w:rPr>
        <w:t xml:space="preserve">, and Framework Decision 2002/946/JHA on the strengthening of the penal </w:t>
      </w:r>
      <w:r w:rsidR="0F0766A8" w:rsidRPr="00A10386">
        <w:rPr>
          <w:rFonts w:eastAsia="Times New Roman"/>
          <w:noProof/>
        </w:rPr>
        <w:t>framework</w:t>
      </w:r>
      <w:r w:rsidR="0F0766A8" w:rsidRPr="00A10386">
        <w:rPr>
          <w:noProof/>
        </w:rPr>
        <w:t xml:space="preserve"> to prevent the facilitation of unauthorised entry, transit</w:t>
      </w:r>
      <w:r w:rsidR="00F443F8" w:rsidRPr="00A10386">
        <w:rPr>
          <w:noProof/>
        </w:rPr>
        <w:t>,</w:t>
      </w:r>
      <w:r w:rsidR="0F0766A8" w:rsidRPr="00A10386">
        <w:rPr>
          <w:noProof/>
        </w:rPr>
        <w:t xml:space="preserve"> and residence</w:t>
      </w:r>
      <w:r w:rsidR="008F77D2" w:rsidRPr="00A10386">
        <w:rPr>
          <w:rStyle w:val="FootnoteReference"/>
          <w:noProof/>
        </w:rPr>
        <w:footnoteReference w:id="13"/>
      </w:r>
      <w:r w:rsidR="22F37E1D" w:rsidRPr="00A10386">
        <w:rPr>
          <w:noProof/>
        </w:rPr>
        <w:t xml:space="preserve">. </w:t>
      </w:r>
    </w:p>
    <w:p w14:paraId="2C1E41E8" w14:textId="1104FD8A" w:rsidR="000C4E81" w:rsidRPr="00A10386" w:rsidRDefault="00230D0B" w:rsidP="09C515E4">
      <w:pPr>
        <w:rPr>
          <w:rFonts w:eastAsiaTheme="minorEastAsia"/>
          <w:noProof/>
        </w:rPr>
      </w:pPr>
      <w:r w:rsidRPr="00A10386">
        <w:rPr>
          <w:rFonts w:eastAsia="Times New Roman"/>
          <w:noProof/>
        </w:rPr>
        <w:t xml:space="preserve">This proposal is accompanied by </w:t>
      </w:r>
      <w:r w:rsidR="00836E99" w:rsidRPr="00A10386">
        <w:rPr>
          <w:rFonts w:eastAsia="Times New Roman"/>
          <w:noProof/>
        </w:rPr>
        <w:t>a</w:t>
      </w:r>
      <w:r w:rsidRPr="00A10386">
        <w:rPr>
          <w:rFonts w:eastAsia="Times New Roman"/>
          <w:noProof/>
        </w:rPr>
        <w:t xml:space="preserve"> </w:t>
      </w:r>
      <w:r w:rsidR="001D3B49" w:rsidRPr="00A10386">
        <w:rPr>
          <w:rFonts w:eastAsiaTheme="minorEastAsia"/>
          <w:noProof/>
        </w:rPr>
        <w:t>Commission proposal for a Regulation</w:t>
      </w:r>
      <w:r w:rsidR="00B86EE2" w:rsidRPr="00A10386">
        <w:rPr>
          <w:rStyle w:val="FootnoteReference"/>
          <w:rFonts w:eastAsiaTheme="minorEastAsia"/>
          <w:noProof/>
        </w:rPr>
        <w:footnoteReference w:id="14"/>
      </w:r>
      <w:r w:rsidR="00363C74" w:rsidRPr="00A10386">
        <w:rPr>
          <w:rFonts w:eastAsia="Times New Roman"/>
          <w:noProof/>
        </w:rPr>
        <w:t>, which</w:t>
      </w:r>
      <w:r w:rsidR="001D3B49" w:rsidRPr="00A10386">
        <w:rPr>
          <w:rFonts w:eastAsiaTheme="minorEastAsia"/>
          <w:noProof/>
        </w:rPr>
        <w:t xml:space="preserve"> enhanc</w:t>
      </w:r>
      <w:r w:rsidR="003924D3" w:rsidRPr="00A10386">
        <w:rPr>
          <w:rFonts w:eastAsiaTheme="minorEastAsia"/>
          <w:noProof/>
        </w:rPr>
        <w:t>es</w:t>
      </w:r>
      <w:r w:rsidR="001D3B49" w:rsidRPr="00A10386">
        <w:rPr>
          <w:rFonts w:eastAsiaTheme="minorEastAsia"/>
          <w:noProof/>
        </w:rPr>
        <w:t xml:space="preserve"> </w:t>
      </w:r>
      <w:r w:rsidR="00E716E2" w:rsidRPr="00A10386">
        <w:rPr>
          <w:rFonts w:eastAsiaTheme="minorEastAsia"/>
          <w:noProof/>
        </w:rPr>
        <w:t xml:space="preserve">police cooperation as well as </w:t>
      </w:r>
      <w:r w:rsidRPr="00A10386">
        <w:rPr>
          <w:rFonts w:eastAsiaTheme="minorEastAsia"/>
          <w:noProof/>
        </w:rPr>
        <w:t>the powers of Europol in the area of migrant smuggling</w:t>
      </w:r>
      <w:r w:rsidR="006C0CD8" w:rsidRPr="00A10386">
        <w:rPr>
          <w:rFonts w:eastAsiaTheme="minorEastAsia"/>
          <w:noProof/>
        </w:rPr>
        <w:t xml:space="preserve"> and trafficking in human beings</w:t>
      </w:r>
      <w:r w:rsidRPr="00A10386">
        <w:rPr>
          <w:rFonts w:eastAsiaTheme="minorEastAsia"/>
          <w:noProof/>
        </w:rPr>
        <w:t xml:space="preserve"> </w:t>
      </w:r>
      <w:r w:rsidR="00E716E2" w:rsidRPr="00A10386">
        <w:rPr>
          <w:rFonts w:eastAsiaTheme="minorEastAsia"/>
          <w:noProof/>
        </w:rPr>
        <w:t xml:space="preserve">notably </w:t>
      </w:r>
      <w:r w:rsidR="008953C8" w:rsidRPr="00A10386">
        <w:rPr>
          <w:rFonts w:eastAsiaTheme="minorEastAsia"/>
          <w:noProof/>
        </w:rPr>
        <w:t>by</w:t>
      </w:r>
      <w:r w:rsidR="00E716E2" w:rsidRPr="00A10386">
        <w:rPr>
          <w:rFonts w:eastAsiaTheme="minorEastAsia"/>
          <w:noProof/>
        </w:rPr>
        <w:t xml:space="preserve"> </w:t>
      </w:r>
      <w:r w:rsidR="692E861A" w:rsidRPr="00A10386">
        <w:rPr>
          <w:rFonts w:eastAsiaTheme="minorEastAsia"/>
          <w:noProof/>
        </w:rPr>
        <w:t>codifying</w:t>
      </w:r>
      <w:r w:rsidR="008953C8" w:rsidRPr="00A10386">
        <w:rPr>
          <w:rFonts w:eastAsiaTheme="minorEastAsia"/>
          <w:noProof/>
        </w:rPr>
        <w:t xml:space="preserve"> the </w:t>
      </w:r>
      <w:r w:rsidR="44B46155" w:rsidRPr="00A10386">
        <w:rPr>
          <w:rFonts w:eastAsiaTheme="minorEastAsia"/>
          <w:noProof/>
        </w:rPr>
        <w:t>establishment of</w:t>
      </w:r>
      <w:r w:rsidR="008953C8" w:rsidRPr="00A10386">
        <w:rPr>
          <w:rFonts w:eastAsiaTheme="minorEastAsia"/>
          <w:noProof/>
        </w:rPr>
        <w:t xml:space="preserve"> the European </w:t>
      </w:r>
      <w:r w:rsidR="039A689B" w:rsidRPr="00A10386">
        <w:rPr>
          <w:rFonts w:eastAsiaTheme="minorEastAsia"/>
          <w:noProof/>
        </w:rPr>
        <w:t xml:space="preserve">Centre Against </w:t>
      </w:r>
      <w:r w:rsidR="005C3576" w:rsidRPr="00A10386">
        <w:rPr>
          <w:rFonts w:eastAsiaTheme="minorEastAsia"/>
          <w:noProof/>
        </w:rPr>
        <w:t xml:space="preserve">Migrant Smuggling </w:t>
      </w:r>
      <w:r w:rsidR="008953C8" w:rsidRPr="00A10386">
        <w:rPr>
          <w:rFonts w:eastAsiaTheme="minorEastAsia"/>
          <w:noProof/>
        </w:rPr>
        <w:t>with</w:t>
      </w:r>
      <w:r w:rsidR="006C0CD8" w:rsidRPr="00A10386">
        <w:rPr>
          <w:rFonts w:eastAsiaTheme="minorEastAsia"/>
          <w:noProof/>
        </w:rPr>
        <w:t>in</w:t>
      </w:r>
      <w:r w:rsidR="008953C8" w:rsidRPr="00A10386">
        <w:rPr>
          <w:rFonts w:eastAsiaTheme="minorEastAsia"/>
          <w:noProof/>
        </w:rPr>
        <w:t xml:space="preserve"> </w:t>
      </w:r>
      <w:r w:rsidR="00013848" w:rsidRPr="00A10386">
        <w:rPr>
          <w:rFonts w:eastAsiaTheme="minorEastAsia"/>
          <w:noProof/>
        </w:rPr>
        <w:t xml:space="preserve">the </w:t>
      </w:r>
      <w:r w:rsidR="00F443F8" w:rsidRPr="00A10386">
        <w:rPr>
          <w:rFonts w:eastAsiaTheme="minorEastAsia"/>
          <w:noProof/>
        </w:rPr>
        <w:t>Europol</w:t>
      </w:r>
      <w:r w:rsidR="00E716E2" w:rsidRPr="00A10386">
        <w:rPr>
          <w:rFonts w:eastAsiaTheme="minorEastAsia"/>
          <w:noProof/>
        </w:rPr>
        <w:t xml:space="preserve"> and reinforcing its</w:t>
      </w:r>
      <w:r w:rsidR="006753AC" w:rsidRPr="00A10386">
        <w:rPr>
          <w:rFonts w:eastAsiaTheme="minorEastAsia"/>
          <w:noProof/>
        </w:rPr>
        <w:t xml:space="preserve"> related</w:t>
      </w:r>
      <w:r w:rsidR="00E716E2" w:rsidRPr="00A10386">
        <w:rPr>
          <w:rFonts w:eastAsiaTheme="minorEastAsia"/>
          <w:noProof/>
        </w:rPr>
        <w:t xml:space="preserve"> powers</w:t>
      </w:r>
      <w:r w:rsidR="006C0CD8" w:rsidRPr="00A10386">
        <w:rPr>
          <w:rFonts w:eastAsiaTheme="minorEastAsia"/>
          <w:noProof/>
        </w:rPr>
        <w:t>. Th</w:t>
      </w:r>
      <w:r w:rsidR="00363C74" w:rsidRPr="00A10386">
        <w:rPr>
          <w:rFonts w:eastAsiaTheme="minorEastAsia"/>
          <w:noProof/>
        </w:rPr>
        <w:t xml:space="preserve">e </w:t>
      </w:r>
      <w:r w:rsidR="006C0CD8" w:rsidRPr="00A10386">
        <w:rPr>
          <w:rFonts w:eastAsiaTheme="minorEastAsia"/>
          <w:noProof/>
        </w:rPr>
        <w:t xml:space="preserve">proposal </w:t>
      </w:r>
      <w:r w:rsidR="000C4E81" w:rsidRPr="00A10386">
        <w:rPr>
          <w:rFonts w:eastAsiaTheme="minorEastAsia"/>
          <w:noProof/>
        </w:rPr>
        <w:t>e</w:t>
      </w:r>
      <w:r w:rsidR="006C0CD8" w:rsidRPr="00A10386">
        <w:rPr>
          <w:rFonts w:eastAsiaTheme="minorEastAsia"/>
          <w:noProof/>
        </w:rPr>
        <w:t>nhance</w:t>
      </w:r>
      <w:r w:rsidR="00A04825" w:rsidRPr="00A10386">
        <w:rPr>
          <w:rFonts w:eastAsiaTheme="minorEastAsia"/>
          <w:noProof/>
        </w:rPr>
        <w:t>s</w:t>
      </w:r>
      <w:r w:rsidR="006C0CD8" w:rsidRPr="00A10386">
        <w:rPr>
          <w:rFonts w:eastAsiaTheme="minorEastAsia"/>
          <w:noProof/>
        </w:rPr>
        <w:t xml:space="preserve"> the </w:t>
      </w:r>
      <w:r w:rsidR="001C539E" w:rsidRPr="00A10386">
        <w:rPr>
          <w:rFonts w:eastAsiaTheme="minorEastAsia"/>
          <w:noProof/>
        </w:rPr>
        <w:t xml:space="preserve">strategic and operational </w:t>
      </w:r>
      <w:r w:rsidR="45246098" w:rsidRPr="00A10386">
        <w:rPr>
          <w:rFonts w:eastAsiaTheme="minorEastAsia"/>
          <w:noProof/>
        </w:rPr>
        <w:t>ta</w:t>
      </w:r>
      <w:r w:rsidR="28A25E99" w:rsidRPr="00A10386">
        <w:rPr>
          <w:rFonts w:eastAsiaTheme="minorEastAsia"/>
          <w:noProof/>
        </w:rPr>
        <w:t>s</w:t>
      </w:r>
      <w:r w:rsidR="45246098" w:rsidRPr="00A10386">
        <w:rPr>
          <w:rFonts w:eastAsiaTheme="minorEastAsia"/>
          <w:noProof/>
        </w:rPr>
        <w:t>ks</w:t>
      </w:r>
      <w:r w:rsidR="009C228A" w:rsidRPr="00A10386">
        <w:rPr>
          <w:rFonts w:eastAsiaTheme="minorEastAsia"/>
          <w:noProof/>
        </w:rPr>
        <w:t xml:space="preserve"> of</w:t>
      </w:r>
      <w:r w:rsidR="006C0CD8" w:rsidRPr="00A10386">
        <w:rPr>
          <w:rFonts w:eastAsiaTheme="minorEastAsia"/>
          <w:noProof/>
        </w:rPr>
        <w:t xml:space="preserve"> </w:t>
      </w:r>
      <w:r w:rsidR="00F443F8" w:rsidRPr="00A10386">
        <w:rPr>
          <w:rFonts w:eastAsiaTheme="minorEastAsia"/>
          <w:noProof/>
        </w:rPr>
        <w:t>Europol</w:t>
      </w:r>
      <w:r w:rsidR="006C0CD8" w:rsidRPr="00A10386">
        <w:rPr>
          <w:rFonts w:eastAsiaTheme="minorEastAsia"/>
          <w:noProof/>
        </w:rPr>
        <w:t xml:space="preserve"> </w:t>
      </w:r>
      <w:r w:rsidR="6F8A8EEE" w:rsidRPr="00A10386">
        <w:rPr>
          <w:rFonts w:eastAsiaTheme="minorEastAsia"/>
          <w:noProof/>
        </w:rPr>
        <w:t>on</w:t>
      </w:r>
      <w:r w:rsidR="00F443F8" w:rsidRPr="00A10386">
        <w:rPr>
          <w:rFonts w:eastAsiaTheme="minorEastAsia"/>
          <w:noProof/>
        </w:rPr>
        <w:t xml:space="preserve"> fighting</w:t>
      </w:r>
      <w:r w:rsidR="6F8A8EEE" w:rsidRPr="00A10386">
        <w:rPr>
          <w:rFonts w:eastAsiaTheme="minorEastAsia"/>
          <w:noProof/>
        </w:rPr>
        <w:t xml:space="preserve"> migrant smuggling</w:t>
      </w:r>
      <w:r w:rsidR="00D10903" w:rsidRPr="00A10386">
        <w:rPr>
          <w:rFonts w:eastAsiaTheme="minorEastAsia"/>
          <w:noProof/>
        </w:rPr>
        <w:t xml:space="preserve"> t</w:t>
      </w:r>
      <w:r w:rsidR="601DFB85" w:rsidRPr="00A10386">
        <w:rPr>
          <w:rStyle w:val="normaltextrun"/>
          <w:noProof/>
          <w:color w:val="000000" w:themeColor="text1"/>
        </w:rPr>
        <w:t xml:space="preserve">o steer and support the Centre’s activities and </w:t>
      </w:r>
      <w:r w:rsidR="601DFB85" w:rsidRPr="00A10386">
        <w:rPr>
          <w:rFonts w:eastAsiaTheme="minorEastAsia"/>
          <w:noProof/>
        </w:rPr>
        <w:t>to identify and implement operational priorities and actions</w:t>
      </w:r>
      <w:r w:rsidR="491E3325" w:rsidRPr="00A10386">
        <w:rPr>
          <w:rFonts w:eastAsiaTheme="minorEastAsia"/>
          <w:noProof/>
        </w:rPr>
        <w:t>.</w:t>
      </w:r>
      <w:r w:rsidR="601DFB85" w:rsidRPr="00A10386">
        <w:rPr>
          <w:rFonts w:eastAsiaTheme="minorEastAsia"/>
          <w:noProof/>
        </w:rPr>
        <w:t xml:space="preserve"> I</w:t>
      </w:r>
      <w:r w:rsidR="00BE1E52" w:rsidRPr="00A10386">
        <w:rPr>
          <w:rFonts w:eastAsiaTheme="minorEastAsia"/>
          <w:noProof/>
        </w:rPr>
        <w:t xml:space="preserve">t establishes </w:t>
      </w:r>
      <w:r w:rsidR="00993918" w:rsidRPr="00A10386">
        <w:rPr>
          <w:rFonts w:eastAsiaTheme="minorEastAsia"/>
          <w:noProof/>
        </w:rPr>
        <w:t>a</w:t>
      </w:r>
      <w:r w:rsidR="001B171E" w:rsidRPr="00A10386">
        <w:rPr>
          <w:rFonts w:eastAsiaTheme="minorEastAsia"/>
          <w:noProof/>
          <w:shd w:val="clear" w:color="auto" w:fill="FFFFFF"/>
        </w:rPr>
        <w:t xml:space="preserve"> </w:t>
      </w:r>
      <w:r w:rsidR="001B171E" w:rsidRPr="00A10386">
        <w:rPr>
          <w:rStyle w:val="normaltextrun"/>
          <w:noProof/>
          <w:color w:val="000000"/>
          <w:shd w:val="clear" w:color="auto" w:fill="FFFFFF"/>
        </w:rPr>
        <w:t>governance framework</w:t>
      </w:r>
      <w:r w:rsidR="00BE1E52" w:rsidRPr="00A10386">
        <w:rPr>
          <w:rStyle w:val="normaltextrun"/>
          <w:noProof/>
          <w:color w:val="000000" w:themeColor="text1"/>
        </w:rPr>
        <w:t xml:space="preserve">, which includes </w:t>
      </w:r>
      <w:r w:rsidR="00BE1E52" w:rsidRPr="00A10386">
        <w:rPr>
          <w:rFonts w:eastAsiaTheme="minorEastAsia"/>
          <w:noProof/>
          <w:shd w:val="clear" w:color="auto" w:fill="FFFFFF"/>
        </w:rPr>
        <w:t>Member States’ entities responsible for migrant smuggling, the Commission,</w:t>
      </w:r>
      <w:r w:rsidR="00097C33" w:rsidRPr="00A10386">
        <w:rPr>
          <w:rFonts w:eastAsiaTheme="minorEastAsia"/>
          <w:noProof/>
          <w:shd w:val="clear" w:color="auto" w:fill="FFFFFF"/>
        </w:rPr>
        <w:t xml:space="preserve"> and</w:t>
      </w:r>
      <w:r w:rsidR="00BE1E52" w:rsidRPr="00A10386">
        <w:rPr>
          <w:rFonts w:eastAsiaTheme="minorEastAsia"/>
          <w:noProof/>
          <w:shd w:val="clear" w:color="auto" w:fill="FFFFFF"/>
        </w:rPr>
        <w:t xml:space="preserve"> other EU agencies</w:t>
      </w:r>
      <w:r w:rsidR="583A7A81" w:rsidRPr="00A10386">
        <w:rPr>
          <w:rFonts w:eastAsiaTheme="minorEastAsia"/>
          <w:noProof/>
        </w:rPr>
        <w:t>.</w:t>
      </w:r>
      <w:r w:rsidR="008953C8" w:rsidRPr="00A10386">
        <w:rPr>
          <w:rFonts w:eastAsiaTheme="minorEastAsia"/>
          <w:noProof/>
        </w:rPr>
        <w:t xml:space="preserve"> </w:t>
      </w:r>
      <w:r w:rsidR="03C543B3" w:rsidRPr="00A10386">
        <w:rPr>
          <w:rFonts w:eastAsiaTheme="minorEastAsia"/>
          <w:noProof/>
        </w:rPr>
        <w:t xml:space="preserve">It </w:t>
      </w:r>
      <w:r w:rsidR="00423417" w:rsidRPr="00A10386">
        <w:rPr>
          <w:rFonts w:eastAsiaTheme="minorEastAsia"/>
          <w:noProof/>
        </w:rPr>
        <w:t>strengthen</w:t>
      </w:r>
      <w:r w:rsidR="00A04825" w:rsidRPr="00A10386">
        <w:rPr>
          <w:rFonts w:eastAsiaTheme="minorEastAsia"/>
          <w:noProof/>
        </w:rPr>
        <w:t>s</w:t>
      </w:r>
      <w:r w:rsidR="00423417" w:rsidRPr="00A10386">
        <w:rPr>
          <w:rFonts w:eastAsiaTheme="minorEastAsia"/>
          <w:noProof/>
        </w:rPr>
        <w:t xml:space="preserve"> </w:t>
      </w:r>
      <w:r w:rsidR="001D3B49" w:rsidRPr="00A10386">
        <w:rPr>
          <w:rFonts w:eastAsiaTheme="minorEastAsia"/>
          <w:noProof/>
        </w:rPr>
        <w:t>inter-agency cooperation</w:t>
      </w:r>
      <w:r w:rsidR="00A04825" w:rsidRPr="00A10386">
        <w:rPr>
          <w:rFonts w:eastAsiaTheme="minorEastAsia"/>
          <w:noProof/>
        </w:rPr>
        <w:t xml:space="preserve"> with Frontex and Eurojust</w:t>
      </w:r>
      <w:r w:rsidR="247838B5" w:rsidRPr="00A10386">
        <w:rPr>
          <w:rFonts w:eastAsiaTheme="minorEastAsia"/>
          <w:noProof/>
        </w:rPr>
        <w:t xml:space="preserve"> and</w:t>
      </w:r>
      <w:r w:rsidR="00855297" w:rsidRPr="00A10386">
        <w:rPr>
          <w:rFonts w:eastAsiaTheme="minorEastAsia"/>
          <w:noProof/>
        </w:rPr>
        <w:t xml:space="preserve"> reinforce</w:t>
      </w:r>
      <w:r w:rsidR="000C4E81" w:rsidRPr="00A10386">
        <w:rPr>
          <w:rFonts w:eastAsiaTheme="minorEastAsia"/>
          <w:noProof/>
        </w:rPr>
        <w:t>s</w:t>
      </w:r>
      <w:r w:rsidR="00855297" w:rsidRPr="00A10386">
        <w:rPr>
          <w:rFonts w:eastAsiaTheme="minorEastAsia"/>
          <w:noProof/>
        </w:rPr>
        <w:t xml:space="preserve"> </w:t>
      </w:r>
      <w:r w:rsidR="000C4E81" w:rsidRPr="00A10386">
        <w:rPr>
          <w:rFonts w:eastAsiaTheme="minorEastAsia"/>
          <w:noProof/>
        </w:rPr>
        <w:t>cooperation between Europol and third countries</w:t>
      </w:r>
      <w:r w:rsidR="001D3B49" w:rsidRPr="00A10386">
        <w:rPr>
          <w:rFonts w:eastAsiaTheme="minorEastAsia"/>
          <w:noProof/>
        </w:rPr>
        <w:t>.</w:t>
      </w:r>
      <w:r w:rsidR="78464721" w:rsidRPr="00A10386" w:rsidDel="00363C74">
        <w:rPr>
          <w:rFonts w:eastAsiaTheme="minorEastAsia"/>
          <w:noProof/>
        </w:rPr>
        <w:t xml:space="preserve"> </w:t>
      </w:r>
    </w:p>
    <w:p w14:paraId="1FD327A4" w14:textId="4643338F" w:rsidR="14099381" w:rsidRPr="00A10386" w:rsidRDefault="73B0C11B" w:rsidP="3DA06B46">
      <w:pPr>
        <w:rPr>
          <w:rFonts w:eastAsia="Times New Roman"/>
          <w:noProof/>
        </w:rPr>
      </w:pPr>
      <w:r w:rsidRPr="00A10386">
        <w:rPr>
          <w:rFonts w:eastAsia="Times New Roman"/>
          <w:noProof/>
          <w:color w:val="000000" w:themeColor="text1"/>
        </w:rPr>
        <w:t>T</w:t>
      </w:r>
      <w:r w:rsidR="00A04825" w:rsidRPr="00A10386">
        <w:rPr>
          <w:rFonts w:eastAsia="Times New Roman"/>
          <w:noProof/>
          <w:color w:val="000000" w:themeColor="text1"/>
        </w:rPr>
        <w:t>h</w:t>
      </w:r>
      <w:r w:rsidR="2537AEF5" w:rsidRPr="00A10386">
        <w:rPr>
          <w:rFonts w:eastAsia="Times New Roman"/>
          <w:noProof/>
          <w:color w:val="000000" w:themeColor="text1"/>
        </w:rPr>
        <w:t xml:space="preserve">is </w:t>
      </w:r>
      <w:r w:rsidR="2537AEF5" w:rsidRPr="00A10386">
        <w:rPr>
          <w:rFonts w:eastAsiaTheme="minorEastAsia"/>
          <w:noProof/>
        </w:rPr>
        <w:t>package</w:t>
      </w:r>
      <w:r w:rsidR="2537AEF5" w:rsidRPr="00A10386">
        <w:rPr>
          <w:rFonts w:eastAsia="Times New Roman"/>
          <w:noProof/>
          <w:color w:val="000000" w:themeColor="text1"/>
        </w:rPr>
        <w:t xml:space="preserve"> is presented </w:t>
      </w:r>
      <w:r w:rsidR="002C4B10" w:rsidRPr="00A10386">
        <w:rPr>
          <w:rFonts w:eastAsia="Times New Roman"/>
          <w:noProof/>
        </w:rPr>
        <w:t xml:space="preserve">on </w:t>
      </w:r>
      <w:r w:rsidR="002C4B10" w:rsidRPr="00A10386">
        <w:rPr>
          <w:rFonts w:eastAsia="Times New Roman"/>
          <w:noProof/>
          <w:color w:val="000000" w:themeColor="text1"/>
        </w:rPr>
        <w:t xml:space="preserve">the day of the </w:t>
      </w:r>
      <w:r w:rsidR="00F443F8" w:rsidRPr="00A10386">
        <w:rPr>
          <w:rFonts w:eastAsia="Times New Roman"/>
          <w:noProof/>
        </w:rPr>
        <w:t>I</w:t>
      </w:r>
      <w:r w:rsidR="14099381" w:rsidRPr="00A10386">
        <w:rPr>
          <w:rFonts w:eastAsia="Times New Roman"/>
          <w:noProof/>
        </w:rPr>
        <w:t xml:space="preserve">nternational </w:t>
      </w:r>
      <w:r w:rsidR="381E9D61" w:rsidRPr="00A10386">
        <w:rPr>
          <w:rFonts w:eastAsia="Times New Roman"/>
          <w:noProof/>
        </w:rPr>
        <w:t>C</w:t>
      </w:r>
      <w:r w:rsidR="14099381" w:rsidRPr="00A10386">
        <w:rPr>
          <w:rFonts w:eastAsia="Times New Roman"/>
          <w:noProof/>
        </w:rPr>
        <w:t xml:space="preserve">onference </w:t>
      </w:r>
      <w:r w:rsidR="00E716E2" w:rsidRPr="00A10386">
        <w:rPr>
          <w:rFonts w:eastAsia="Times New Roman"/>
          <w:noProof/>
        </w:rPr>
        <w:t xml:space="preserve">launching </w:t>
      </w:r>
      <w:r w:rsidR="000E6A56" w:rsidRPr="00A10386">
        <w:rPr>
          <w:rFonts w:eastAsia="Times New Roman"/>
          <w:noProof/>
        </w:rPr>
        <w:t>a</w:t>
      </w:r>
      <w:r w:rsidR="14099381" w:rsidRPr="00A10386">
        <w:rPr>
          <w:rFonts w:eastAsia="Times New Roman"/>
          <w:noProof/>
        </w:rPr>
        <w:t xml:space="preserve"> </w:t>
      </w:r>
      <w:r w:rsidR="6ADC8AA5" w:rsidRPr="00A10386">
        <w:rPr>
          <w:rFonts w:eastAsia="Times New Roman"/>
          <w:noProof/>
        </w:rPr>
        <w:t>“</w:t>
      </w:r>
      <w:r w:rsidR="14099381" w:rsidRPr="00A10386">
        <w:rPr>
          <w:rFonts w:eastAsia="Times New Roman"/>
          <w:noProof/>
        </w:rPr>
        <w:t xml:space="preserve">Global Alliance </w:t>
      </w:r>
      <w:r w:rsidR="000E6A56" w:rsidRPr="00A10386">
        <w:rPr>
          <w:rFonts w:eastAsia="Times New Roman"/>
          <w:noProof/>
        </w:rPr>
        <w:t>to counter migrant smuggling”</w:t>
      </w:r>
      <w:r w:rsidR="00890D79" w:rsidRPr="00A10386">
        <w:rPr>
          <w:rFonts w:eastAsia="Times New Roman"/>
          <w:noProof/>
        </w:rPr>
        <w:t xml:space="preserve">. </w:t>
      </w:r>
      <w:r w:rsidR="7D8E2E83" w:rsidRPr="00A10386">
        <w:rPr>
          <w:rFonts w:eastAsia="Times New Roman"/>
          <w:noProof/>
        </w:rPr>
        <w:t>With this Conference</w:t>
      </w:r>
      <w:r w:rsidR="004F471F" w:rsidRPr="00A10386">
        <w:rPr>
          <w:rFonts w:eastAsia="Times New Roman"/>
          <w:noProof/>
        </w:rPr>
        <w:t>,</w:t>
      </w:r>
      <w:r w:rsidR="7D8E2E83" w:rsidRPr="00A10386">
        <w:rPr>
          <w:rFonts w:eastAsia="Times New Roman"/>
          <w:noProof/>
        </w:rPr>
        <w:t xml:space="preserve"> t</w:t>
      </w:r>
      <w:r w:rsidR="00890D79" w:rsidRPr="00A10386">
        <w:rPr>
          <w:rFonts w:eastAsia="Times New Roman"/>
          <w:noProof/>
        </w:rPr>
        <w:t xml:space="preserve">he Commission </w:t>
      </w:r>
      <w:r w:rsidR="00030356" w:rsidRPr="00A10386">
        <w:rPr>
          <w:rFonts w:eastAsia="Times New Roman"/>
          <w:noProof/>
        </w:rPr>
        <w:t>is</w:t>
      </w:r>
      <w:r w:rsidR="00890D79" w:rsidRPr="00A10386">
        <w:rPr>
          <w:rFonts w:eastAsia="Times New Roman"/>
          <w:noProof/>
        </w:rPr>
        <w:t xml:space="preserve"> </w:t>
      </w:r>
      <w:r w:rsidR="451D303A" w:rsidRPr="00A10386">
        <w:rPr>
          <w:rFonts w:eastAsia="Times New Roman"/>
          <w:noProof/>
        </w:rPr>
        <w:t>creating a</w:t>
      </w:r>
      <w:r w:rsidR="00F443F8" w:rsidRPr="00A10386">
        <w:rPr>
          <w:rFonts w:eastAsia="Times New Roman"/>
          <w:noProof/>
        </w:rPr>
        <w:t xml:space="preserve"> framework for</w:t>
      </w:r>
      <w:r w:rsidR="00890D79" w:rsidRPr="00A10386">
        <w:rPr>
          <w:rFonts w:eastAsia="Times New Roman"/>
          <w:noProof/>
        </w:rPr>
        <w:t xml:space="preserve"> </w:t>
      </w:r>
      <w:r w:rsidR="451D303A" w:rsidRPr="00A10386">
        <w:rPr>
          <w:rFonts w:eastAsia="Times New Roman"/>
          <w:noProof/>
        </w:rPr>
        <w:t>st</w:t>
      </w:r>
      <w:r w:rsidR="23F84447" w:rsidRPr="00A10386">
        <w:rPr>
          <w:rFonts w:eastAsia="Times New Roman"/>
          <w:noProof/>
        </w:rPr>
        <w:t>r</w:t>
      </w:r>
      <w:r w:rsidR="451D303A" w:rsidRPr="00A10386">
        <w:rPr>
          <w:rFonts w:eastAsia="Times New Roman"/>
          <w:noProof/>
        </w:rPr>
        <w:t>ong</w:t>
      </w:r>
      <w:r w:rsidR="00890D79" w:rsidRPr="00A10386">
        <w:rPr>
          <w:rFonts w:eastAsia="Times New Roman"/>
          <w:noProof/>
        </w:rPr>
        <w:t xml:space="preserve"> </w:t>
      </w:r>
      <w:r w:rsidR="00030356" w:rsidRPr="00A10386">
        <w:rPr>
          <w:rFonts w:eastAsia="Times New Roman"/>
          <w:noProof/>
        </w:rPr>
        <w:t xml:space="preserve">political </w:t>
      </w:r>
      <w:r w:rsidR="00F443F8" w:rsidRPr="00A10386">
        <w:rPr>
          <w:rFonts w:eastAsia="Times New Roman"/>
          <w:noProof/>
        </w:rPr>
        <w:t>cooperation</w:t>
      </w:r>
      <w:r w:rsidR="00890D79" w:rsidRPr="00A10386">
        <w:rPr>
          <w:rFonts w:eastAsia="Times New Roman"/>
          <w:noProof/>
        </w:rPr>
        <w:t xml:space="preserve"> </w:t>
      </w:r>
      <w:r w:rsidR="7B40A09F" w:rsidRPr="00A10386">
        <w:rPr>
          <w:rFonts w:eastAsia="Times New Roman"/>
          <w:noProof/>
        </w:rPr>
        <w:t>with international partners</w:t>
      </w:r>
      <w:r w:rsidR="29309A81" w:rsidRPr="00A10386">
        <w:rPr>
          <w:rFonts w:eastAsia="Times New Roman"/>
          <w:noProof/>
        </w:rPr>
        <w:t xml:space="preserve"> to</w:t>
      </w:r>
      <w:r w:rsidR="00030356" w:rsidRPr="00A10386">
        <w:rPr>
          <w:rFonts w:eastAsia="Times New Roman"/>
          <w:noProof/>
        </w:rPr>
        <w:t xml:space="preserve"> </w:t>
      </w:r>
      <w:r w:rsidR="00890D79" w:rsidRPr="00A10386">
        <w:rPr>
          <w:rFonts w:eastAsia="Times New Roman"/>
          <w:noProof/>
        </w:rPr>
        <w:t xml:space="preserve">jointly counter migrant smuggling </w:t>
      </w:r>
      <w:r w:rsidR="24856262" w:rsidRPr="00A10386">
        <w:rPr>
          <w:rFonts w:eastAsia="Times New Roman"/>
          <w:noProof/>
        </w:rPr>
        <w:t>globally</w:t>
      </w:r>
      <w:r w:rsidR="0E97DE02" w:rsidRPr="00A10386">
        <w:rPr>
          <w:rFonts w:eastAsia="Times New Roman"/>
          <w:noProof/>
        </w:rPr>
        <w:t>.</w:t>
      </w:r>
    </w:p>
    <w:p w14:paraId="02A48790" w14:textId="0F3915DC" w:rsidR="00B86EE2" w:rsidRPr="00A10386" w:rsidRDefault="00B86EE2" w:rsidP="00153F4E">
      <w:pPr>
        <w:rPr>
          <w:rFonts w:eastAsia="Times New Roman"/>
          <w:noProof/>
        </w:rPr>
      </w:pPr>
      <w:r w:rsidRPr="00A10386">
        <w:rPr>
          <w:rFonts w:eastAsia="Times New Roman"/>
          <w:noProof/>
        </w:rPr>
        <w:t>These three initiatives</w:t>
      </w:r>
      <w:r w:rsidR="00C366B9" w:rsidRPr="00A10386">
        <w:rPr>
          <w:rFonts w:eastAsia="Times New Roman"/>
          <w:noProof/>
        </w:rPr>
        <w:t xml:space="preserve"> </w:t>
      </w:r>
      <w:r w:rsidR="00E716E2" w:rsidRPr="00A10386">
        <w:rPr>
          <w:rFonts w:eastAsia="Times New Roman"/>
          <w:noProof/>
        </w:rPr>
        <w:t xml:space="preserve">complement </w:t>
      </w:r>
      <w:r w:rsidR="002A3241" w:rsidRPr="00A10386">
        <w:rPr>
          <w:rFonts w:eastAsia="Times New Roman"/>
          <w:noProof/>
        </w:rPr>
        <w:t xml:space="preserve">the </w:t>
      </w:r>
      <w:r w:rsidR="00E716E2" w:rsidRPr="00A10386">
        <w:rPr>
          <w:rFonts w:eastAsia="Times New Roman"/>
          <w:noProof/>
        </w:rPr>
        <w:t xml:space="preserve">existing initiatives in the area of </w:t>
      </w:r>
      <w:r w:rsidR="6B652942" w:rsidRPr="00A10386">
        <w:rPr>
          <w:rFonts w:eastAsia="Times New Roman"/>
          <w:noProof/>
        </w:rPr>
        <w:t xml:space="preserve">countering migrant </w:t>
      </w:r>
      <w:r w:rsidR="00E716E2" w:rsidRPr="00A10386">
        <w:rPr>
          <w:rFonts w:eastAsia="Times New Roman"/>
          <w:noProof/>
        </w:rPr>
        <w:t>smuggling</w:t>
      </w:r>
      <w:r w:rsidR="002A3241" w:rsidRPr="00A10386">
        <w:rPr>
          <w:rFonts w:eastAsia="Times New Roman"/>
          <w:noProof/>
        </w:rPr>
        <w:t>,</w:t>
      </w:r>
      <w:r w:rsidR="00E716E2" w:rsidRPr="00A10386">
        <w:rPr>
          <w:rFonts w:eastAsia="Times New Roman"/>
          <w:noProof/>
        </w:rPr>
        <w:t xml:space="preserve"> </w:t>
      </w:r>
      <w:r w:rsidR="0070662F" w:rsidRPr="00A10386">
        <w:rPr>
          <w:rFonts w:eastAsia="Times New Roman"/>
          <w:noProof/>
        </w:rPr>
        <w:t>implement</w:t>
      </w:r>
      <w:r w:rsidR="002A3241" w:rsidRPr="00A10386">
        <w:rPr>
          <w:rFonts w:eastAsia="Times New Roman"/>
          <w:noProof/>
        </w:rPr>
        <w:t>ing</w:t>
      </w:r>
      <w:r w:rsidR="0070662F" w:rsidRPr="00A10386">
        <w:rPr>
          <w:rFonts w:eastAsia="Times New Roman"/>
          <w:noProof/>
        </w:rPr>
        <w:t xml:space="preserve"> the renewed EU action plan against smuggling (2021-2025)</w:t>
      </w:r>
      <w:r w:rsidR="0070662F" w:rsidRPr="00A10386">
        <w:rPr>
          <w:rStyle w:val="FootnoteReference"/>
          <w:rFonts w:eastAsia="Times New Roman"/>
          <w:noProof/>
        </w:rPr>
        <w:footnoteReference w:id="15"/>
      </w:r>
      <w:r w:rsidR="0070662F" w:rsidRPr="00A10386">
        <w:rPr>
          <w:rFonts w:eastAsia="Times New Roman"/>
          <w:noProof/>
        </w:rPr>
        <w:t xml:space="preserve"> by </w:t>
      </w:r>
      <w:r w:rsidR="00A72C26" w:rsidRPr="00A10386">
        <w:rPr>
          <w:rFonts w:eastAsia="Times New Roman"/>
          <w:noProof/>
        </w:rPr>
        <w:t>modernising</w:t>
      </w:r>
      <w:r w:rsidR="0070662F" w:rsidRPr="00A10386">
        <w:rPr>
          <w:rFonts w:eastAsia="Times New Roman"/>
          <w:noProof/>
        </w:rPr>
        <w:t xml:space="preserve"> the existing EU legal framework to s</w:t>
      </w:r>
      <w:r w:rsidR="0070662F" w:rsidRPr="00A10386">
        <w:rPr>
          <w:noProof/>
        </w:rPr>
        <w:t>anction migrant smugglers acting on the migratory routes</w:t>
      </w:r>
      <w:r w:rsidR="00D403A5" w:rsidRPr="00A10386">
        <w:rPr>
          <w:noProof/>
        </w:rPr>
        <w:t>,</w:t>
      </w:r>
      <w:r w:rsidR="0070662F" w:rsidRPr="00A10386">
        <w:rPr>
          <w:noProof/>
        </w:rPr>
        <w:t xml:space="preserve"> </w:t>
      </w:r>
      <w:r w:rsidR="00E716E2" w:rsidRPr="00A10386">
        <w:rPr>
          <w:rFonts w:eastAsia="Times New Roman"/>
          <w:noProof/>
        </w:rPr>
        <w:t xml:space="preserve">and </w:t>
      </w:r>
      <w:r w:rsidR="0CF991BB" w:rsidRPr="00A10386">
        <w:rPr>
          <w:rFonts w:eastAsia="Times New Roman"/>
          <w:noProof/>
        </w:rPr>
        <w:t>set</w:t>
      </w:r>
      <w:r w:rsidR="00AC1463" w:rsidRPr="00A10386">
        <w:rPr>
          <w:rFonts w:eastAsia="Times New Roman"/>
          <w:noProof/>
        </w:rPr>
        <w:t>ting</w:t>
      </w:r>
      <w:r w:rsidR="0CF991BB" w:rsidRPr="00A10386">
        <w:rPr>
          <w:rFonts w:eastAsia="Times New Roman"/>
          <w:noProof/>
        </w:rPr>
        <w:t xml:space="preserve"> out</w:t>
      </w:r>
      <w:r w:rsidR="431CDF20" w:rsidRPr="00A10386">
        <w:rPr>
          <w:rFonts w:eastAsia="Times New Roman"/>
          <w:noProof/>
        </w:rPr>
        <w:t xml:space="preserve"> </w:t>
      </w:r>
      <w:r w:rsidR="000D00C7" w:rsidRPr="00A10386">
        <w:rPr>
          <w:rFonts w:eastAsia="Times New Roman"/>
          <w:noProof/>
        </w:rPr>
        <w:t>a re</w:t>
      </w:r>
      <w:r w:rsidR="00CB1800" w:rsidRPr="00A10386">
        <w:rPr>
          <w:rFonts w:eastAsia="Times New Roman"/>
          <w:noProof/>
        </w:rPr>
        <w:t>new</w:t>
      </w:r>
      <w:r w:rsidR="000D00C7" w:rsidRPr="00A10386">
        <w:rPr>
          <w:rFonts w:eastAsia="Times New Roman"/>
          <w:noProof/>
        </w:rPr>
        <w:t>ed</w:t>
      </w:r>
      <w:r w:rsidR="00CB1800" w:rsidRPr="00A10386">
        <w:rPr>
          <w:rFonts w:eastAsia="Times New Roman"/>
          <w:noProof/>
        </w:rPr>
        <w:t xml:space="preserve"> legal, operational and international </w:t>
      </w:r>
      <w:r w:rsidR="00CB1800" w:rsidRPr="00A10386">
        <w:rPr>
          <w:rFonts w:eastAsiaTheme="minorEastAsia"/>
          <w:noProof/>
        </w:rPr>
        <w:t>cooperation</w:t>
      </w:r>
      <w:r w:rsidR="00CB1800" w:rsidRPr="00A10386">
        <w:rPr>
          <w:rFonts w:eastAsia="Times New Roman"/>
          <w:noProof/>
        </w:rPr>
        <w:t xml:space="preserve"> framework against migrant smuggling for the years to come.</w:t>
      </w:r>
    </w:p>
    <w:p w14:paraId="7CF14FA3" w14:textId="28AD52FF" w:rsidR="009D7B15" w:rsidRPr="00A10386" w:rsidRDefault="009D7B15" w:rsidP="00153F4E">
      <w:pPr>
        <w:rPr>
          <w:rFonts w:eastAsia="Times New Roman"/>
          <w:noProof/>
        </w:rPr>
      </w:pPr>
      <w:r w:rsidRPr="00A10386">
        <w:rPr>
          <w:rFonts w:eastAsia="Times New Roman"/>
          <w:noProof/>
        </w:rPr>
        <w:t xml:space="preserve">Together, these proposals </w:t>
      </w:r>
      <w:r w:rsidR="00D403A5" w:rsidRPr="00A10386">
        <w:rPr>
          <w:rFonts w:eastAsia="Times New Roman"/>
          <w:noProof/>
        </w:rPr>
        <w:t>aim</w:t>
      </w:r>
      <w:r w:rsidRPr="00A10386">
        <w:rPr>
          <w:rFonts w:eastAsia="Times New Roman"/>
          <w:noProof/>
        </w:rPr>
        <w:t xml:space="preserve"> to modernise the legal framework to fight the smuggling of migrants, to ensure that we have the necessary legal and operational tools to respond to the new modus operandi of smugglers, as set out in the Commission work programme 2024 announced on 17 October 2023.</w:t>
      </w:r>
    </w:p>
    <w:p w14:paraId="5089267D" w14:textId="77777777" w:rsidR="00CB1800" w:rsidRPr="00A10386" w:rsidRDefault="00CB1800" w:rsidP="00153F4E">
      <w:pPr>
        <w:rPr>
          <w:rFonts w:eastAsia="Times New Roman"/>
          <w:i/>
          <w:iCs/>
          <w:noProof/>
        </w:rPr>
      </w:pPr>
      <w:r w:rsidRPr="00A10386">
        <w:rPr>
          <w:rFonts w:eastAsia="Times New Roman"/>
          <w:i/>
          <w:iCs/>
          <w:noProof/>
        </w:rPr>
        <w:t>Objectives of the proposal</w:t>
      </w:r>
    </w:p>
    <w:p w14:paraId="38966725" w14:textId="3A77C7AC" w:rsidR="25FBB5A0" w:rsidRPr="00A10386" w:rsidRDefault="00B70B3D" w:rsidP="00153F4E">
      <w:pPr>
        <w:rPr>
          <w:rFonts w:eastAsia="Times New Roman"/>
          <w:noProof/>
        </w:rPr>
      </w:pPr>
      <w:r w:rsidRPr="00A10386">
        <w:rPr>
          <w:rFonts w:eastAsia="Times New Roman"/>
          <w:noProof/>
        </w:rPr>
        <w:t xml:space="preserve">The current EU legal framework on facilitation of unauthorised entry, transit and residence in the EU was adopted in 2002 under provisions pre-dating the </w:t>
      </w:r>
      <w:r w:rsidR="00B2046E" w:rsidRPr="00A10386">
        <w:rPr>
          <w:rFonts w:eastAsia="Times New Roman"/>
          <w:noProof/>
        </w:rPr>
        <w:t xml:space="preserve">Treaty of </w:t>
      </w:r>
      <w:r w:rsidRPr="00A10386">
        <w:rPr>
          <w:rFonts w:eastAsia="Times New Roman"/>
          <w:noProof/>
        </w:rPr>
        <w:t xml:space="preserve">Lisbon. </w:t>
      </w:r>
      <w:r w:rsidR="006753AC" w:rsidRPr="00A10386">
        <w:rPr>
          <w:rFonts w:eastAsia="Times New Roman"/>
          <w:noProof/>
        </w:rPr>
        <w:t>T</w:t>
      </w:r>
      <w:r w:rsidRPr="00A10386">
        <w:rPr>
          <w:rFonts w:eastAsia="Times New Roman"/>
          <w:noProof/>
        </w:rPr>
        <w:t>h</w:t>
      </w:r>
      <w:r w:rsidR="60CE7D5D" w:rsidRPr="00A10386">
        <w:rPr>
          <w:rFonts w:eastAsia="Times New Roman"/>
          <w:noProof/>
        </w:rPr>
        <w:t xml:space="preserve">e general objective of this proposal </w:t>
      </w:r>
      <w:r w:rsidR="003B6CD9" w:rsidRPr="00A10386">
        <w:rPr>
          <w:rFonts w:eastAsia="Times New Roman"/>
          <w:noProof/>
        </w:rPr>
        <w:t xml:space="preserve">for a Directive </w:t>
      </w:r>
      <w:r w:rsidR="60CE7D5D" w:rsidRPr="00A10386">
        <w:rPr>
          <w:rFonts w:eastAsia="Times New Roman"/>
          <w:noProof/>
        </w:rPr>
        <w:t xml:space="preserve">is to bring about a modern </w:t>
      </w:r>
      <w:r w:rsidR="00E15C3C" w:rsidRPr="00A10386">
        <w:rPr>
          <w:rFonts w:eastAsia="Times New Roman"/>
          <w:noProof/>
        </w:rPr>
        <w:t xml:space="preserve">EU </w:t>
      </w:r>
      <w:r w:rsidR="60CE7D5D" w:rsidRPr="00A10386">
        <w:rPr>
          <w:rFonts w:eastAsia="Times New Roman"/>
          <w:noProof/>
        </w:rPr>
        <w:t xml:space="preserve">criminal law instrument </w:t>
      </w:r>
      <w:r w:rsidR="00454CA9" w:rsidRPr="00A10386">
        <w:rPr>
          <w:rFonts w:eastAsia="Times New Roman"/>
          <w:noProof/>
        </w:rPr>
        <w:t>that clearly define</w:t>
      </w:r>
      <w:r w:rsidR="3AED0C86" w:rsidRPr="00A10386">
        <w:rPr>
          <w:rFonts w:eastAsia="Times New Roman"/>
          <w:noProof/>
        </w:rPr>
        <w:t>s</w:t>
      </w:r>
      <w:r w:rsidR="00454CA9" w:rsidRPr="00A10386">
        <w:rPr>
          <w:rFonts w:eastAsia="Times New Roman"/>
          <w:noProof/>
        </w:rPr>
        <w:t xml:space="preserve"> and effectively sanction</w:t>
      </w:r>
      <w:r w:rsidR="535A8F32" w:rsidRPr="00A10386">
        <w:rPr>
          <w:rFonts w:eastAsia="Times New Roman"/>
          <w:noProof/>
        </w:rPr>
        <w:t>s</w:t>
      </w:r>
      <w:r w:rsidR="00454CA9" w:rsidRPr="00A10386">
        <w:rPr>
          <w:rFonts w:eastAsia="Times New Roman"/>
          <w:noProof/>
        </w:rPr>
        <w:t xml:space="preserve"> the offence of </w:t>
      </w:r>
      <w:r w:rsidR="60CE7D5D" w:rsidRPr="00A10386">
        <w:rPr>
          <w:rFonts w:eastAsia="Times New Roman"/>
          <w:noProof/>
        </w:rPr>
        <w:t xml:space="preserve">facilitation of unauthorised entry, transit and stay in the EU, in line with the </w:t>
      </w:r>
      <w:r w:rsidR="006A3863" w:rsidRPr="00A10386">
        <w:rPr>
          <w:rFonts w:eastAsia="Times New Roman"/>
          <w:noProof/>
        </w:rPr>
        <w:t xml:space="preserve">provisions </w:t>
      </w:r>
      <w:r w:rsidR="60CE7D5D" w:rsidRPr="00A10386">
        <w:rPr>
          <w:rFonts w:eastAsia="Times New Roman"/>
          <w:noProof/>
        </w:rPr>
        <w:t xml:space="preserve">of </w:t>
      </w:r>
      <w:r w:rsidR="006A3863" w:rsidRPr="00A10386">
        <w:rPr>
          <w:rFonts w:eastAsia="Times New Roman"/>
          <w:noProof/>
        </w:rPr>
        <w:t xml:space="preserve">Article 83 of the Treaty on the Functioning of the European Union and </w:t>
      </w:r>
      <w:r w:rsidR="60CE7D5D" w:rsidRPr="00A10386">
        <w:rPr>
          <w:rFonts w:eastAsia="Times New Roman"/>
          <w:noProof/>
        </w:rPr>
        <w:t>the U</w:t>
      </w:r>
      <w:r w:rsidR="006A3863" w:rsidRPr="00A10386">
        <w:rPr>
          <w:rFonts w:eastAsia="Times New Roman"/>
          <w:noProof/>
        </w:rPr>
        <w:t xml:space="preserve">nited </w:t>
      </w:r>
      <w:r w:rsidR="60CE7D5D" w:rsidRPr="00A10386">
        <w:rPr>
          <w:rFonts w:eastAsia="Times New Roman"/>
          <w:noProof/>
        </w:rPr>
        <w:t>N</w:t>
      </w:r>
      <w:r w:rsidR="006A3863" w:rsidRPr="00A10386">
        <w:rPr>
          <w:rFonts w:eastAsia="Times New Roman"/>
          <w:noProof/>
        </w:rPr>
        <w:t>ations</w:t>
      </w:r>
      <w:r w:rsidR="60CE7D5D" w:rsidRPr="00A10386">
        <w:rPr>
          <w:rFonts w:eastAsia="Times New Roman"/>
          <w:noProof/>
        </w:rPr>
        <w:t xml:space="preserve"> Protocol against the Smuggling of Migrants by Land, Sea and Air.</w:t>
      </w:r>
    </w:p>
    <w:p w14:paraId="7CFFD932" w14:textId="77777777" w:rsidR="25FBB5A0" w:rsidRPr="00A10386" w:rsidRDefault="00346F45" w:rsidP="00153F4E">
      <w:pPr>
        <w:rPr>
          <w:rFonts w:eastAsia="Times New Roman"/>
          <w:noProof/>
          <w:szCs w:val="24"/>
        </w:rPr>
      </w:pPr>
      <w:r w:rsidRPr="00A10386">
        <w:rPr>
          <w:rFonts w:eastAsia="Times New Roman"/>
          <w:noProof/>
          <w:szCs w:val="24"/>
        </w:rPr>
        <w:t xml:space="preserve">This </w:t>
      </w:r>
      <w:r w:rsidRPr="00A10386">
        <w:rPr>
          <w:rFonts w:eastAsia="Times New Roman"/>
          <w:noProof/>
        </w:rPr>
        <w:t>proposal</w:t>
      </w:r>
      <w:r w:rsidRPr="00A10386">
        <w:rPr>
          <w:rFonts w:eastAsia="Times New Roman"/>
          <w:noProof/>
          <w:szCs w:val="24"/>
        </w:rPr>
        <w:t xml:space="preserve"> for a Directive serves the following s</w:t>
      </w:r>
      <w:r w:rsidR="60CE7D5D" w:rsidRPr="00A10386">
        <w:rPr>
          <w:rFonts w:eastAsia="Times New Roman"/>
          <w:noProof/>
          <w:szCs w:val="24"/>
        </w:rPr>
        <w:t>pecific objectives:</w:t>
      </w:r>
    </w:p>
    <w:p w14:paraId="7E3C3C6F" w14:textId="77777777" w:rsidR="25FBB5A0" w:rsidRPr="00A10386" w:rsidRDefault="0032583C" w:rsidP="00DD774F">
      <w:pPr>
        <w:pStyle w:val="Tiret0"/>
        <w:numPr>
          <w:ilvl w:val="0"/>
          <w:numId w:val="6"/>
        </w:numPr>
        <w:rPr>
          <w:i/>
          <w:noProof/>
        </w:rPr>
      </w:pPr>
      <w:r w:rsidRPr="00A10386">
        <w:rPr>
          <w:i/>
          <w:iCs/>
          <w:noProof/>
        </w:rPr>
        <w:t>E</w:t>
      </w:r>
      <w:r w:rsidR="1C89E230" w:rsidRPr="00A10386">
        <w:rPr>
          <w:i/>
          <w:iCs/>
          <w:noProof/>
        </w:rPr>
        <w:t>nsuring an e</w:t>
      </w:r>
      <w:r w:rsidRPr="00A10386">
        <w:rPr>
          <w:i/>
          <w:iCs/>
          <w:noProof/>
        </w:rPr>
        <w:t xml:space="preserve">ffective </w:t>
      </w:r>
      <w:r w:rsidR="580298BC" w:rsidRPr="00A10386">
        <w:rPr>
          <w:i/>
          <w:iCs/>
          <w:noProof/>
        </w:rPr>
        <w:t xml:space="preserve">investigation, </w:t>
      </w:r>
      <w:r w:rsidRPr="00A10386">
        <w:rPr>
          <w:i/>
          <w:iCs/>
          <w:noProof/>
        </w:rPr>
        <w:t>prosecut</w:t>
      </w:r>
      <w:r w:rsidR="350D4353" w:rsidRPr="00A10386">
        <w:rPr>
          <w:i/>
          <w:iCs/>
          <w:noProof/>
        </w:rPr>
        <w:t>ion</w:t>
      </w:r>
      <w:r w:rsidRPr="00A10386">
        <w:rPr>
          <w:i/>
          <w:iCs/>
          <w:noProof/>
        </w:rPr>
        <w:t xml:space="preserve"> and sanction</w:t>
      </w:r>
      <w:r w:rsidR="08DC481B" w:rsidRPr="00A10386">
        <w:rPr>
          <w:i/>
          <w:iCs/>
          <w:noProof/>
        </w:rPr>
        <w:t>ing of</w:t>
      </w:r>
      <w:r w:rsidRPr="00A10386">
        <w:rPr>
          <w:i/>
          <w:noProof/>
        </w:rPr>
        <w:t xml:space="preserve"> </w:t>
      </w:r>
      <w:r w:rsidR="60CE7D5D" w:rsidRPr="00A10386">
        <w:rPr>
          <w:i/>
          <w:noProof/>
        </w:rPr>
        <w:t>organised crim</w:t>
      </w:r>
      <w:r w:rsidRPr="00A10386">
        <w:rPr>
          <w:i/>
          <w:noProof/>
        </w:rPr>
        <w:t>inal</w:t>
      </w:r>
      <w:r w:rsidR="60CE7D5D" w:rsidRPr="00A10386">
        <w:rPr>
          <w:i/>
          <w:noProof/>
        </w:rPr>
        <w:t xml:space="preserve"> networks</w:t>
      </w:r>
      <w:r w:rsidR="00A038BF" w:rsidRPr="00A10386">
        <w:rPr>
          <w:i/>
          <w:noProof/>
        </w:rPr>
        <w:t xml:space="preserve"> responsible for migrant smuggling</w:t>
      </w:r>
    </w:p>
    <w:p w14:paraId="67E77678" w14:textId="087993EC" w:rsidR="00FE4BA6" w:rsidRPr="00A10386" w:rsidRDefault="60CE7D5D" w:rsidP="00862328">
      <w:pPr>
        <w:rPr>
          <w:noProof/>
        </w:rPr>
      </w:pPr>
      <w:r w:rsidRPr="00A10386">
        <w:rPr>
          <w:noProof/>
        </w:rPr>
        <w:t xml:space="preserve">The 2017 </w:t>
      </w:r>
      <w:r w:rsidR="00A038BF" w:rsidRPr="00A10386">
        <w:rPr>
          <w:noProof/>
        </w:rPr>
        <w:t xml:space="preserve">REFIT </w:t>
      </w:r>
      <w:r w:rsidRPr="00A10386">
        <w:rPr>
          <w:noProof/>
        </w:rPr>
        <w:t>evaluation of the current Facilitators Package</w:t>
      </w:r>
      <w:r w:rsidR="005A58EB" w:rsidRPr="00A10386">
        <w:rPr>
          <w:noProof/>
        </w:rPr>
        <w:t>,</w:t>
      </w:r>
      <w:r w:rsidRPr="00A10386">
        <w:rPr>
          <w:noProof/>
        </w:rPr>
        <w:t xml:space="preserve"> and </w:t>
      </w:r>
      <w:r w:rsidR="005A58EB" w:rsidRPr="00A10386">
        <w:rPr>
          <w:noProof/>
        </w:rPr>
        <w:t xml:space="preserve">the </w:t>
      </w:r>
      <w:r w:rsidRPr="00A10386">
        <w:rPr>
          <w:noProof/>
        </w:rPr>
        <w:t xml:space="preserve">subsequent monitoring of </w:t>
      </w:r>
      <w:r w:rsidR="11734733" w:rsidRPr="00A10386">
        <w:rPr>
          <w:noProof/>
        </w:rPr>
        <w:t xml:space="preserve">its </w:t>
      </w:r>
      <w:r w:rsidRPr="00A10386">
        <w:rPr>
          <w:noProof/>
        </w:rPr>
        <w:t>implementation</w:t>
      </w:r>
      <w:r w:rsidR="005A58EB" w:rsidRPr="00A10386">
        <w:rPr>
          <w:noProof/>
        </w:rPr>
        <w:t>,</w:t>
      </w:r>
      <w:r w:rsidRPr="00A10386">
        <w:rPr>
          <w:noProof/>
        </w:rPr>
        <w:t xml:space="preserve"> pointed to the challenges linked to a broad definition on what constitutes a crime of facilitation of </w:t>
      </w:r>
      <w:r w:rsidR="00F26A89" w:rsidRPr="00A10386">
        <w:rPr>
          <w:noProof/>
        </w:rPr>
        <w:t xml:space="preserve">unauthorised </w:t>
      </w:r>
      <w:r w:rsidRPr="00A10386">
        <w:rPr>
          <w:noProof/>
        </w:rPr>
        <w:t>entry</w:t>
      </w:r>
      <w:r w:rsidR="002E427F" w:rsidRPr="00A10386">
        <w:rPr>
          <w:noProof/>
        </w:rPr>
        <w:t xml:space="preserve">, </w:t>
      </w:r>
      <w:r w:rsidRPr="00A10386">
        <w:rPr>
          <w:noProof/>
        </w:rPr>
        <w:t>transit and residence</w:t>
      </w:r>
      <w:r w:rsidR="0059682B" w:rsidRPr="00A10386">
        <w:rPr>
          <w:noProof/>
        </w:rPr>
        <w:t>.</w:t>
      </w:r>
      <w:r w:rsidR="4AC7E860" w:rsidRPr="00A10386">
        <w:rPr>
          <w:noProof/>
        </w:rPr>
        <w:t xml:space="preserve"> </w:t>
      </w:r>
      <w:r w:rsidR="0059682B" w:rsidRPr="00A10386">
        <w:rPr>
          <w:noProof/>
        </w:rPr>
        <w:t>N</w:t>
      </w:r>
      <w:r w:rsidR="4AC7E860" w:rsidRPr="00A10386">
        <w:rPr>
          <w:noProof/>
        </w:rPr>
        <w:t>amely</w:t>
      </w:r>
      <w:r w:rsidR="0059682B" w:rsidRPr="00A10386">
        <w:rPr>
          <w:noProof/>
        </w:rPr>
        <w:t xml:space="preserve">, it </w:t>
      </w:r>
      <w:r w:rsidR="00FF2C17" w:rsidRPr="00A10386">
        <w:rPr>
          <w:noProof/>
        </w:rPr>
        <w:t>pointed</w:t>
      </w:r>
      <w:r w:rsidR="4AC7E860" w:rsidRPr="00A10386">
        <w:rPr>
          <w:noProof/>
        </w:rPr>
        <w:t xml:space="preserve"> </w:t>
      </w:r>
      <w:r w:rsidR="006753AC" w:rsidRPr="00A10386">
        <w:rPr>
          <w:noProof/>
        </w:rPr>
        <w:t xml:space="preserve">to the fact </w:t>
      </w:r>
      <w:r w:rsidR="4AC7E860" w:rsidRPr="00A10386">
        <w:rPr>
          <w:noProof/>
        </w:rPr>
        <w:t>that</w:t>
      </w:r>
      <w:r w:rsidR="2A7859C4" w:rsidRPr="00A10386">
        <w:rPr>
          <w:noProof/>
        </w:rPr>
        <w:t xml:space="preserve"> it has not been effective in creating clarity and legal certainty </w:t>
      </w:r>
      <w:r w:rsidR="006753AC" w:rsidRPr="00A10386">
        <w:rPr>
          <w:noProof/>
        </w:rPr>
        <w:t>about</w:t>
      </w:r>
      <w:r w:rsidR="2A7859C4" w:rsidRPr="00A10386">
        <w:rPr>
          <w:noProof/>
        </w:rPr>
        <w:t xml:space="preserve"> the distinction between facilitation </w:t>
      </w:r>
      <w:r w:rsidR="00AD5702" w:rsidRPr="00A10386">
        <w:rPr>
          <w:noProof/>
        </w:rPr>
        <w:t xml:space="preserve">of irregular migration </w:t>
      </w:r>
      <w:r w:rsidR="2A7859C4" w:rsidRPr="00A10386">
        <w:rPr>
          <w:noProof/>
        </w:rPr>
        <w:t>and humanitarian assi</w:t>
      </w:r>
      <w:r w:rsidR="2740B902" w:rsidRPr="00A10386">
        <w:rPr>
          <w:noProof/>
        </w:rPr>
        <w:t>stance</w:t>
      </w:r>
      <w:r w:rsidR="2A7859C4" w:rsidRPr="00A10386">
        <w:rPr>
          <w:noProof/>
        </w:rPr>
        <w:t xml:space="preserve">, </w:t>
      </w:r>
      <w:r w:rsidR="00D16FF0" w:rsidRPr="00A10386">
        <w:rPr>
          <w:noProof/>
        </w:rPr>
        <w:t>due to</w:t>
      </w:r>
      <w:r w:rsidR="00444DF9" w:rsidRPr="00A10386">
        <w:rPr>
          <w:noProof/>
        </w:rPr>
        <w:t xml:space="preserve"> the broad definition</w:t>
      </w:r>
      <w:r w:rsidR="2A7859C4" w:rsidRPr="00A10386">
        <w:rPr>
          <w:noProof/>
        </w:rPr>
        <w:t xml:space="preserve"> of</w:t>
      </w:r>
      <w:r w:rsidR="4584340B" w:rsidRPr="00A10386">
        <w:rPr>
          <w:noProof/>
        </w:rPr>
        <w:t xml:space="preserve"> the offence</w:t>
      </w:r>
      <w:r w:rsidRPr="00A10386">
        <w:rPr>
          <w:noProof/>
        </w:rPr>
        <w:t xml:space="preserve"> and </w:t>
      </w:r>
      <w:r w:rsidR="00E716E2" w:rsidRPr="00A10386">
        <w:rPr>
          <w:noProof/>
        </w:rPr>
        <w:t xml:space="preserve">the absence </w:t>
      </w:r>
      <w:r w:rsidRPr="00A10386">
        <w:rPr>
          <w:noProof/>
        </w:rPr>
        <w:t>of exemptions</w:t>
      </w:r>
      <w:r w:rsidR="72819FF3" w:rsidRPr="00A10386">
        <w:rPr>
          <w:noProof/>
        </w:rPr>
        <w:t>.</w:t>
      </w:r>
      <w:r w:rsidRPr="00A10386">
        <w:rPr>
          <w:noProof/>
        </w:rPr>
        <w:t xml:space="preserve"> </w:t>
      </w:r>
      <w:r w:rsidR="00C24F69" w:rsidRPr="00A10386">
        <w:rPr>
          <w:noProof/>
        </w:rPr>
        <w:t>Th</w:t>
      </w:r>
      <w:r w:rsidR="00D16FF0" w:rsidRPr="00A10386">
        <w:rPr>
          <w:noProof/>
        </w:rPr>
        <w:t>is</w:t>
      </w:r>
      <w:r w:rsidR="00C24F69" w:rsidRPr="00A10386">
        <w:rPr>
          <w:noProof/>
        </w:rPr>
        <w:t xml:space="preserve"> proposal </w:t>
      </w:r>
      <w:r w:rsidR="000B15CB" w:rsidRPr="00A10386">
        <w:rPr>
          <w:noProof/>
        </w:rPr>
        <w:t>brings</w:t>
      </w:r>
      <w:r w:rsidR="00BC18E5" w:rsidRPr="00A10386">
        <w:rPr>
          <w:noProof/>
        </w:rPr>
        <w:t xml:space="preserve"> cl</w:t>
      </w:r>
      <w:r w:rsidR="000B15CB" w:rsidRPr="00A10386">
        <w:rPr>
          <w:noProof/>
        </w:rPr>
        <w:t>arity</w:t>
      </w:r>
      <w:r w:rsidR="00BC18E5" w:rsidRPr="00A10386">
        <w:rPr>
          <w:noProof/>
        </w:rPr>
        <w:t xml:space="preserve"> </w:t>
      </w:r>
      <w:r w:rsidR="000B15CB" w:rsidRPr="00A10386">
        <w:rPr>
          <w:noProof/>
        </w:rPr>
        <w:t xml:space="preserve">on </w:t>
      </w:r>
      <w:r w:rsidR="00BC18E5" w:rsidRPr="00A10386">
        <w:rPr>
          <w:noProof/>
        </w:rPr>
        <w:t>which</w:t>
      </w:r>
      <w:r w:rsidR="00EE3606" w:rsidRPr="00A10386">
        <w:rPr>
          <w:noProof/>
        </w:rPr>
        <w:t xml:space="preserve"> offence</w:t>
      </w:r>
      <w:r w:rsidR="00452701" w:rsidRPr="00A10386">
        <w:rPr>
          <w:noProof/>
        </w:rPr>
        <w:t>s should be criminalised</w:t>
      </w:r>
      <w:r w:rsidR="006904F5" w:rsidRPr="00A10386">
        <w:rPr>
          <w:noProof/>
        </w:rPr>
        <w:t>. Th</w:t>
      </w:r>
      <w:r w:rsidR="00CF78B4" w:rsidRPr="00A10386">
        <w:rPr>
          <w:noProof/>
        </w:rPr>
        <w:t>ese</w:t>
      </w:r>
      <w:r w:rsidR="006904F5" w:rsidRPr="00A10386">
        <w:rPr>
          <w:noProof/>
        </w:rPr>
        <w:t xml:space="preserve"> include</w:t>
      </w:r>
      <w:r w:rsidR="000C6366" w:rsidRPr="00A10386">
        <w:rPr>
          <w:noProof/>
        </w:rPr>
        <w:t xml:space="preserve"> facilitation</w:t>
      </w:r>
      <w:r w:rsidR="00A260DB" w:rsidRPr="00A10386">
        <w:rPr>
          <w:noProof/>
        </w:rPr>
        <w:t xml:space="preserve"> conducted for </w:t>
      </w:r>
      <w:r w:rsidR="4C93535E" w:rsidRPr="00A10386">
        <w:rPr>
          <w:noProof/>
        </w:rPr>
        <w:t xml:space="preserve">financial </w:t>
      </w:r>
      <w:r w:rsidR="00BC09F7" w:rsidRPr="00A10386">
        <w:rPr>
          <w:noProof/>
        </w:rPr>
        <w:t>or</w:t>
      </w:r>
      <w:r w:rsidR="00776737" w:rsidRPr="00A10386">
        <w:rPr>
          <w:noProof/>
        </w:rPr>
        <w:t xml:space="preserve"> material benefit </w:t>
      </w:r>
      <w:r w:rsidR="00EA2DCE" w:rsidRPr="00A10386">
        <w:rPr>
          <w:noProof/>
        </w:rPr>
        <w:t>or the promise thereof</w:t>
      </w:r>
      <w:r w:rsidR="005B405B" w:rsidRPr="00A10386">
        <w:rPr>
          <w:noProof/>
        </w:rPr>
        <w:t>;</w:t>
      </w:r>
      <w:r w:rsidR="002403F6" w:rsidRPr="00A10386">
        <w:rPr>
          <w:noProof/>
        </w:rPr>
        <w:t xml:space="preserve"> </w:t>
      </w:r>
      <w:r w:rsidR="005B405B" w:rsidRPr="00A10386">
        <w:rPr>
          <w:noProof/>
        </w:rPr>
        <w:t>facilitation</w:t>
      </w:r>
      <w:r w:rsidR="00C51C8F" w:rsidRPr="00A10386">
        <w:rPr>
          <w:noProof/>
        </w:rPr>
        <w:t xml:space="preserve"> that is </w:t>
      </w:r>
      <w:r w:rsidR="00BC09F7" w:rsidRPr="00A10386">
        <w:rPr>
          <w:noProof/>
        </w:rPr>
        <w:t xml:space="preserve">highly </w:t>
      </w:r>
      <w:r w:rsidR="00C51C8F" w:rsidRPr="00A10386">
        <w:rPr>
          <w:noProof/>
        </w:rPr>
        <w:t xml:space="preserve">likely to cause serious harm to </w:t>
      </w:r>
      <w:r w:rsidR="00580A12" w:rsidRPr="00A10386">
        <w:rPr>
          <w:noProof/>
        </w:rPr>
        <w:t>a person</w:t>
      </w:r>
      <w:r w:rsidR="00993256" w:rsidRPr="00A10386">
        <w:rPr>
          <w:noProof/>
        </w:rPr>
        <w:t xml:space="preserve"> even though conducted without financial or material benefit</w:t>
      </w:r>
      <w:r w:rsidR="000B15CB" w:rsidRPr="00A10386">
        <w:rPr>
          <w:noProof/>
        </w:rPr>
        <w:t>;</w:t>
      </w:r>
      <w:r w:rsidR="00580A12" w:rsidRPr="00A10386">
        <w:rPr>
          <w:noProof/>
        </w:rPr>
        <w:t xml:space="preserve"> and </w:t>
      </w:r>
      <w:r w:rsidR="00BC09F7" w:rsidRPr="00A10386">
        <w:rPr>
          <w:noProof/>
        </w:rPr>
        <w:t xml:space="preserve">in </w:t>
      </w:r>
      <w:r w:rsidR="00580A12" w:rsidRPr="00A10386">
        <w:rPr>
          <w:noProof/>
        </w:rPr>
        <w:t>cases</w:t>
      </w:r>
      <w:r w:rsidR="006E4587" w:rsidRPr="00A10386">
        <w:rPr>
          <w:noProof/>
        </w:rPr>
        <w:t xml:space="preserve"> </w:t>
      </w:r>
      <w:r w:rsidR="00BC09F7" w:rsidRPr="00A10386">
        <w:rPr>
          <w:noProof/>
        </w:rPr>
        <w:t xml:space="preserve">of public instigation of </w:t>
      </w:r>
      <w:r w:rsidR="00580A12" w:rsidRPr="00A10386">
        <w:rPr>
          <w:noProof/>
        </w:rPr>
        <w:t>third</w:t>
      </w:r>
      <w:r w:rsidR="00BC09F7" w:rsidRPr="00A10386">
        <w:rPr>
          <w:noProof/>
        </w:rPr>
        <w:t>-</w:t>
      </w:r>
      <w:r w:rsidR="00580A12" w:rsidRPr="00A10386">
        <w:rPr>
          <w:noProof/>
        </w:rPr>
        <w:t>country nationals</w:t>
      </w:r>
      <w:r w:rsidR="00BC09F7" w:rsidRPr="00A10386">
        <w:rPr>
          <w:noProof/>
        </w:rPr>
        <w:t>, for instance through the internet,</w:t>
      </w:r>
      <w:r w:rsidR="006E4587" w:rsidRPr="00A10386">
        <w:rPr>
          <w:noProof/>
        </w:rPr>
        <w:t xml:space="preserve"> </w:t>
      </w:r>
      <w:r w:rsidR="00580A12" w:rsidRPr="00A10386">
        <w:rPr>
          <w:noProof/>
        </w:rPr>
        <w:t xml:space="preserve">to </w:t>
      </w:r>
      <w:r w:rsidR="00F87765" w:rsidRPr="00A10386">
        <w:rPr>
          <w:noProof/>
        </w:rPr>
        <w:t>ente</w:t>
      </w:r>
      <w:r w:rsidR="007C57DA" w:rsidRPr="00A10386">
        <w:rPr>
          <w:noProof/>
        </w:rPr>
        <w:t>r</w:t>
      </w:r>
      <w:r w:rsidR="00F87765" w:rsidRPr="00A10386">
        <w:rPr>
          <w:noProof/>
        </w:rPr>
        <w:t>, transit a</w:t>
      </w:r>
      <w:r w:rsidR="003714CE" w:rsidRPr="00A10386">
        <w:rPr>
          <w:noProof/>
        </w:rPr>
        <w:t xml:space="preserve">cross </w:t>
      </w:r>
      <w:r w:rsidR="00F87765" w:rsidRPr="00A10386">
        <w:rPr>
          <w:noProof/>
        </w:rPr>
        <w:t xml:space="preserve">or stay </w:t>
      </w:r>
      <w:r w:rsidR="003714CE" w:rsidRPr="00A10386">
        <w:rPr>
          <w:noProof/>
        </w:rPr>
        <w:t xml:space="preserve">irregularly in the European Union. </w:t>
      </w:r>
      <w:r w:rsidR="00804DD8" w:rsidRPr="00A10386">
        <w:rPr>
          <w:rFonts w:eastAsiaTheme="minorEastAsia"/>
          <w:noProof/>
        </w:rPr>
        <w:t xml:space="preserve">The proposal also </w:t>
      </w:r>
      <w:r w:rsidR="000B15CB" w:rsidRPr="00A10386">
        <w:rPr>
          <w:rFonts w:eastAsiaTheme="minorEastAsia"/>
          <w:noProof/>
        </w:rPr>
        <w:t xml:space="preserve">clarifies </w:t>
      </w:r>
      <w:r w:rsidR="00804DD8" w:rsidRPr="00A10386">
        <w:rPr>
          <w:rFonts w:eastAsiaTheme="minorEastAsia"/>
          <w:noProof/>
        </w:rPr>
        <w:t xml:space="preserve">that </w:t>
      </w:r>
      <w:r w:rsidR="00FE4BA6" w:rsidRPr="00A10386">
        <w:rPr>
          <w:rFonts w:eastAsiaTheme="minorEastAsia"/>
          <w:noProof/>
        </w:rPr>
        <w:t>the purpose of th</w:t>
      </w:r>
      <w:r w:rsidR="00804DD8" w:rsidRPr="00A10386">
        <w:rPr>
          <w:rFonts w:eastAsiaTheme="minorEastAsia"/>
          <w:noProof/>
        </w:rPr>
        <w:t xml:space="preserve">e </w:t>
      </w:r>
      <w:r w:rsidR="00FE4BA6" w:rsidRPr="00A10386">
        <w:rPr>
          <w:rFonts w:eastAsiaTheme="minorEastAsia"/>
          <w:noProof/>
        </w:rPr>
        <w:t xml:space="preserve">Directive </w:t>
      </w:r>
      <w:r w:rsidR="00804DD8" w:rsidRPr="00A10386">
        <w:rPr>
          <w:rFonts w:eastAsiaTheme="minorEastAsia"/>
          <w:noProof/>
        </w:rPr>
        <w:t xml:space="preserve">is not </w:t>
      </w:r>
      <w:r w:rsidR="00FE4BA6" w:rsidRPr="00A10386">
        <w:rPr>
          <w:rFonts w:eastAsiaTheme="minorEastAsia"/>
          <w:noProof/>
        </w:rPr>
        <w:t>to criminalise</w:t>
      </w:r>
      <w:r w:rsidR="007D6BC8" w:rsidRPr="00A10386">
        <w:rPr>
          <w:rFonts w:eastAsiaTheme="minorEastAsia"/>
          <w:noProof/>
        </w:rPr>
        <w:t xml:space="preserve"> </w:t>
      </w:r>
      <w:r w:rsidR="000F678E" w:rsidRPr="00A10386">
        <w:rPr>
          <w:noProof/>
        </w:rPr>
        <w:t xml:space="preserve">third-country nationals for the fact of being smuggled, </w:t>
      </w:r>
      <w:r w:rsidR="00FE4BA6" w:rsidRPr="00A10386">
        <w:rPr>
          <w:rFonts w:eastAsiaTheme="minorEastAsia"/>
          <w:noProof/>
        </w:rPr>
        <w:t>assistance provided to family members</w:t>
      </w:r>
      <w:r w:rsidR="00E91874" w:rsidRPr="00A10386">
        <w:rPr>
          <w:rFonts w:eastAsiaTheme="minorEastAsia"/>
          <w:noProof/>
        </w:rPr>
        <w:t>,</w:t>
      </w:r>
      <w:r w:rsidR="007D6BC8" w:rsidRPr="00A10386">
        <w:rPr>
          <w:rFonts w:eastAsiaTheme="minorEastAsia"/>
          <w:noProof/>
        </w:rPr>
        <w:t xml:space="preserve"> </w:t>
      </w:r>
      <w:r w:rsidR="006753AC" w:rsidRPr="00A10386">
        <w:rPr>
          <w:rFonts w:eastAsiaTheme="minorEastAsia"/>
          <w:noProof/>
        </w:rPr>
        <w:t>or</w:t>
      </w:r>
      <w:r w:rsidR="000F678E" w:rsidRPr="00A10386">
        <w:rPr>
          <w:rFonts w:eastAsiaTheme="minorEastAsia"/>
          <w:noProof/>
        </w:rPr>
        <w:t xml:space="preserve"> </w:t>
      </w:r>
      <w:r w:rsidR="00FE4BA6" w:rsidRPr="00A10386">
        <w:rPr>
          <w:rFonts w:eastAsiaTheme="minorEastAsia"/>
          <w:noProof/>
        </w:rPr>
        <w:t xml:space="preserve">humanitarian assistance </w:t>
      </w:r>
      <w:r w:rsidR="00993256" w:rsidRPr="00A10386">
        <w:rPr>
          <w:rFonts w:eastAsiaTheme="minorEastAsia"/>
          <w:noProof/>
        </w:rPr>
        <w:t xml:space="preserve">or the support of basic human needs </w:t>
      </w:r>
      <w:r w:rsidR="00FE4BA6" w:rsidRPr="00A10386">
        <w:rPr>
          <w:rFonts w:eastAsiaTheme="minorEastAsia"/>
          <w:noProof/>
        </w:rPr>
        <w:t>provided to third-country nationals in compliance with legal o</w:t>
      </w:r>
      <w:r w:rsidR="00FE4BA6" w:rsidRPr="00A10386">
        <w:rPr>
          <w:noProof/>
        </w:rPr>
        <w:t>bligations</w:t>
      </w:r>
      <w:r w:rsidR="0084149F" w:rsidRPr="00A10386">
        <w:rPr>
          <w:noProof/>
        </w:rPr>
        <w:t>.</w:t>
      </w:r>
    </w:p>
    <w:p w14:paraId="35B8B515" w14:textId="77777777" w:rsidR="25FBB5A0" w:rsidRPr="00A10386" w:rsidRDefault="0674BCA1" w:rsidP="00153F4E">
      <w:pPr>
        <w:rPr>
          <w:noProof/>
        </w:rPr>
      </w:pPr>
      <w:r w:rsidRPr="00A10386">
        <w:rPr>
          <w:rFonts w:eastAsia="Times New Roman"/>
          <w:noProof/>
        </w:rPr>
        <w:t xml:space="preserve">Furthermore, </w:t>
      </w:r>
      <w:r w:rsidR="00A053AB" w:rsidRPr="00A10386">
        <w:rPr>
          <w:rFonts w:eastAsia="Times New Roman"/>
          <w:noProof/>
        </w:rPr>
        <w:t xml:space="preserve">the refined definition also provides that </w:t>
      </w:r>
      <w:r w:rsidR="60CE7D5D" w:rsidRPr="00A10386">
        <w:rPr>
          <w:rFonts w:eastAsia="Times New Roman"/>
          <w:noProof/>
        </w:rPr>
        <w:t xml:space="preserve">the offence </w:t>
      </w:r>
      <w:r w:rsidR="00A053AB" w:rsidRPr="00A10386">
        <w:rPr>
          <w:rFonts w:eastAsia="Times New Roman"/>
          <w:noProof/>
        </w:rPr>
        <w:t xml:space="preserve">of facilitation </w:t>
      </w:r>
      <w:r w:rsidR="60CE7D5D" w:rsidRPr="00A10386">
        <w:rPr>
          <w:rFonts w:eastAsia="Times New Roman"/>
          <w:noProof/>
        </w:rPr>
        <w:t>can take place w</w:t>
      </w:r>
      <w:r w:rsidR="60CE7D5D" w:rsidRPr="00A10386">
        <w:rPr>
          <w:rFonts w:eastAsia="Times New Roman"/>
          <w:noProof/>
          <w:color w:val="000000" w:themeColor="text1"/>
        </w:rPr>
        <w:t xml:space="preserve">ithin the territory of </w:t>
      </w:r>
      <w:r w:rsidR="60CE7D5D" w:rsidRPr="00A10386">
        <w:rPr>
          <w:noProof/>
          <w:color w:val="000000" w:themeColor="text1"/>
        </w:rPr>
        <w:t>any</w:t>
      </w:r>
      <w:r w:rsidR="60CE7D5D" w:rsidRPr="00A10386">
        <w:rPr>
          <w:rFonts w:eastAsia="Times New Roman"/>
          <w:noProof/>
          <w:color w:val="000000" w:themeColor="text1"/>
        </w:rPr>
        <w:t xml:space="preserve"> Member State</w:t>
      </w:r>
      <w:r w:rsidR="00A053AB" w:rsidRPr="00A10386">
        <w:rPr>
          <w:rFonts w:eastAsia="Times New Roman"/>
          <w:noProof/>
          <w:color w:val="000000" w:themeColor="text1"/>
        </w:rPr>
        <w:t>,</w:t>
      </w:r>
      <w:r w:rsidR="60CE7D5D" w:rsidRPr="00A10386">
        <w:rPr>
          <w:rFonts w:eastAsia="Times New Roman"/>
          <w:noProof/>
        </w:rPr>
        <w:t xml:space="preserve"> </w:t>
      </w:r>
      <w:r w:rsidR="00153968" w:rsidRPr="00A10386">
        <w:rPr>
          <w:rFonts w:eastAsia="Times New Roman"/>
          <w:noProof/>
        </w:rPr>
        <w:t>facilitating</w:t>
      </w:r>
      <w:r w:rsidR="60CE7D5D" w:rsidRPr="00A10386">
        <w:rPr>
          <w:rFonts w:eastAsia="Times New Roman"/>
          <w:noProof/>
        </w:rPr>
        <w:t xml:space="preserve"> judicial cooperation between Member States.</w:t>
      </w:r>
      <w:r w:rsidR="42C49FE2" w:rsidRPr="00A10386">
        <w:rPr>
          <w:noProof/>
        </w:rPr>
        <w:t xml:space="preserve"> </w:t>
      </w:r>
    </w:p>
    <w:p w14:paraId="0A07B828" w14:textId="77777777" w:rsidR="25FBB5A0" w:rsidRPr="00A10386" w:rsidRDefault="00877793" w:rsidP="09C515E4">
      <w:pPr>
        <w:pStyle w:val="Tiret0"/>
        <w:rPr>
          <w:i/>
          <w:noProof/>
        </w:rPr>
      </w:pPr>
      <w:r w:rsidRPr="00A10386">
        <w:rPr>
          <w:i/>
          <w:noProof/>
        </w:rPr>
        <w:t>More harmonised p</w:t>
      </w:r>
      <w:r w:rsidR="60CE7D5D" w:rsidRPr="00A10386">
        <w:rPr>
          <w:i/>
          <w:noProof/>
        </w:rPr>
        <w:t xml:space="preserve">enalties </w:t>
      </w:r>
      <w:r w:rsidRPr="00A10386">
        <w:rPr>
          <w:i/>
          <w:noProof/>
        </w:rPr>
        <w:t xml:space="preserve">that </w:t>
      </w:r>
      <w:r w:rsidR="60CE7D5D" w:rsidRPr="00A10386">
        <w:rPr>
          <w:i/>
          <w:noProof/>
        </w:rPr>
        <w:t xml:space="preserve">take account of the </w:t>
      </w:r>
      <w:r w:rsidRPr="00A10386">
        <w:rPr>
          <w:i/>
          <w:noProof/>
        </w:rPr>
        <w:t>seriousness of the offence</w:t>
      </w:r>
    </w:p>
    <w:p w14:paraId="65307B9E" w14:textId="77777777" w:rsidR="25FBB5A0" w:rsidRPr="00A10386" w:rsidRDefault="60CE7D5D" w:rsidP="0F1795CD">
      <w:pPr>
        <w:rPr>
          <w:rFonts w:eastAsia="Times New Roman"/>
          <w:noProof/>
        </w:rPr>
      </w:pPr>
      <w:r w:rsidRPr="00A10386">
        <w:rPr>
          <w:rFonts w:eastAsia="Times New Roman"/>
          <w:noProof/>
        </w:rPr>
        <w:t xml:space="preserve">Since the adoption of the </w:t>
      </w:r>
      <w:r w:rsidR="0685C300" w:rsidRPr="00A10386">
        <w:rPr>
          <w:rFonts w:eastAsia="Times New Roman"/>
          <w:noProof/>
        </w:rPr>
        <w:t>F</w:t>
      </w:r>
      <w:r w:rsidRPr="00A10386">
        <w:rPr>
          <w:rFonts w:eastAsia="Times New Roman"/>
          <w:noProof/>
        </w:rPr>
        <w:t xml:space="preserve">acilitators </w:t>
      </w:r>
      <w:r w:rsidR="2DC2464C" w:rsidRPr="00A10386">
        <w:rPr>
          <w:rFonts w:eastAsia="Times New Roman"/>
          <w:noProof/>
        </w:rPr>
        <w:t>P</w:t>
      </w:r>
      <w:r w:rsidRPr="00A10386">
        <w:rPr>
          <w:rFonts w:eastAsia="Times New Roman"/>
          <w:noProof/>
        </w:rPr>
        <w:t xml:space="preserve">ackage in 2002, </w:t>
      </w:r>
      <w:r w:rsidR="2D030924" w:rsidRPr="00A10386">
        <w:rPr>
          <w:rFonts w:eastAsia="Times New Roman"/>
          <w:noProof/>
        </w:rPr>
        <w:t xml:space="preserve">criminal </w:t>
      </w:r>
      <w:r w:rsidR="4945BCC4" w:rsidRPr="00A10386">
        <w:rPr>
          <w:rFonts w:eastAsia="Times New Roman"/>
          <w:noProof/>
        </w:rPr>
        <w:t>networks</w:t>
      </w:r>
      <w:r w:rsidR="2D030924" w:rsidRPr="00A10386">
        <w:rPr>
          <w:rFonts w:eastAsia="Times New Roman"/>
          <w:noProof/>
        </w:rPr>
        <w:t xml:space="preserve"> involved in </w:t>
      </w:r>
      <w:r w:rsidRPr="00A10386">
        <w:rPr>
          <w:rFonts w:eastAsia="Times New Roman"/>
          <w:noProof/>
        </w:rPr>
        <w:t xml:space="preserve">migrant smuggling have </w:t>
      </w:r>
      <w:r w:rsidR="74422D5A" w:rsidRPr="00A10386">
        <w:rPr>
          <w:rFonts w:eastAsia="Times New Roman"/>
          <w:noProof/>
        </w:rPr>
        <w:t>increasingly resorted to</w:t>
      </w:r>
      <w:r w:rsidRPr="00A10386">
        <w:rPr>
          <w:rFonts w:eastAsia="Times New Roman"/>
          <w:noProof/>
        </w:rPr>
        <w:t xml:space="preserve"> violence towards migrants and law enforcement</w:t>
      </w:r>
      <w:r w:rsidR="0FCE3D8E" w:rsidRPr="00A10386">
        <w:rPr>
          <w:rFonts w:eastAsia="Times New Roman"/>
          <w:noProof/>
        </w:rPr>
        <w:t xml:space="preserve"> authorities</w:t>
      </w:r>
      <w:r w:rsidR="00877793" w:rsidRPr="00A10386">
        <w:rPr>
          <w:rFonts w:eastAsia="Times New Roman"/>
          <w:noProof/>
        </w:rPr>
        <w:t>,</w:t>
      </w:r>
      <w:r w:rsidRPr="00A10386">
        <w:rPr>
          <w:rFonts w:eastAsia="Times New Roman"/>
          <w:noProof/>
        </w:rPr>
        <w:t xml:space="preserve"> </w:t>
      </w:r>
      <w:r w:rsidR="2E0D4A2F" w:rsidRPr="00A10386">
        <w:rPr>
          <w:rFonts w:eastAsia="Times New Roman"/>
          <w:noProof/>
        </w:rPr>
        <w:t>endangering lives.</w:t>
      </w:r>
      <w:r w:rsidRPr="00A10386">
        <w:rPr>
          <w:rFonts w:eastAsia="Times New Roman"/>
          <w:noProof/>
        </w:rPr>
        <w:t xml:space="preserve"> </w:t>
      </w:r>
      <w:r w:rsidR="00877793" w:rsidRPr="00A10386">
        <w:rPr>
          <w:rFonts w:eastAsia="Times New Roman"/>
          <w:noProof/>
        </w:rPr>
        <w:t>T</w:t>
      </w:r>
      <w:r w:rsidRPr="00A10386">
        <w:rPr>
          <w:rFonts w:eastAsia="Times New Roman"/>
          <w:noProof/>
        </w:rPr>
        <w:t xml:space="preserve">he proposal introduces </w:t>
      </w:r>
      <w:r w:rsidR="00D31E7E" w:rsidRPr="00A10386">
        <w:rPr>
          <w:rFonts w:eastAsia="Times New Roman"/>
          <w:noProof/>
        </w:rPr>
        <w:t xml:space="preserve">the definition of </w:t>
      </w:r>
      <w:r w:rsidRPr="00A10386">
        <w:rPr>
          <w:rFonts w:eastAsia="Times New Roman"/>
          <w:noProof/>
        </w:rPr>
        <w:t xml:space="preserve">aggravated criminal offences </w:t>
      </w:r>
      <w:r w:rsidR="00877793" w:rsidRPr="00A10386">
        <w:rPr>
          <w:rFonts w:eastAsia="Times New Roman"/>
          <w:noProof/>
        </w:rPr>
        <w:t>(e.g</w:t>
      </w:r>
      <w:r w:rsidR="000E0D3C" w:rsidRPr="00A10386">
        <w:rPr>
          <w:rFonts w:eastAsia="Times New Roman"/>
          <w:noProof/>
        </w:rPr>
        <w:t>.,</w:t>
      </w:r>
      <w:r w:rsidR="00877793" w:rsidRPr="00A10386">
        <w:rPr>
          <w:rFonts w:eastAsia="Times New Roman"/>
          <w:noProof/>
        </w:rPr>
        <w:t xml:space="preserve"> </w:t>
      </w:r>
      <w:r w:rsidRPr="00A10386">
        <w:rPr>
          <w:rFonts w:eastAsia="Times New Roman"/>
          <w:noProof/>
        </w:rPr>
        <w:t>offence committed as part of an organised crim</w:t>
      </w:r>
      <w:r w:rsidR="00877793" w:rsidRPr="00A10386">
        <w:rPr>
          <w:rFonts w:eastAsia="Times New Roman"/>
          <w:noProof/>
        </w:rPr>
        <w:t>inal</w:t>
      </w:r>
      <w:r w:rsidRPr="00A10386">
        <w:rPr>
          <w:rFonts w:eastAsia="Times New Roman"/>
          <w:noProof/>
        </w:rPr>
        <w:t xml:space="preserve"> group, causing serious harm or endangering life or health, </w:t>
      </w:r>
      <w:r w:rsidR="00A33D29" w:rsidRPr="00A10386">
        <w:rPr>
          <w:rFonts w:eastAsia="Times New Roman"/>
          <w:noProof/>
        </w:rPr>
        <w:t>causing death)</w:t>
      </w:r>
      <w:r w:rsidR="00D31E7E" w:rsidRPr="00A10386">
        <w:rPr>
          <w:rFonts w:eastAsia="Times New Roman"/>
          <w:noProof/>
        </w:rPr>
        <w:t xml:space="preserve"> to which </w:t>
      </w:r>
      <w:r w:rsidR="02BA22FE" w:rsidRPr="00A10386">
        <w:rPr>
          <w:rFonts w:eastAsia="Times New Roman"/>
          <w:noProof/>
        </w:rPr>
        <w:t>there are corresponding</w:t>
      </w:r>
      <w:r w:rsidR="00D31E7E" w:rsidRPr="00A10386">
        <w:rPr>
          <w:rFonts w:eastAsia="Times New Roman"/>
          <w:noProof/>
        </w:rPr>
        <w:t xml:space="preserve"> higher level of criminal penalties.</w:t>
      </w:r>
      <w:r w:rsidRPr="00A10386">
        <w:rPr>
          <w:rFonts w:eastAsia="Times New Roman"/>
          <w:noProof/>
        </w:rPr>
        <w:t xml:space="preserve"> </w:t>
      </w:r>
      <w:r w:rsidR="00C17324" w:rsidRPr="00A10386">
        <w:rPr>
          <w:rFonts w:eastAsia="Times New Roman"/>
          <w:noProof/>
        </w:rPr>
        <w:t xml:space="preserve">The minimum level of maximum penalties in the proposed Directive are higher than those provided for by the current </w:t>
      </w:r>
      <w:r w:rsidR="00A741B0" w:rsidRPr="00A10386">
        <w:rPr>
          <w:rFonts w:eastAsia="Times New Roman"/>
          <w:noProof/>
        </w:rPr>
        <w:t>Facilitator</w:t>
      </w:r>
      <w:r w:rsidR="17EF08B0" w:rsidRPr="00A10386">
        <w:rPr>
          <w:rFonts w:eastAsia="Times New Roman"/>
          <w:noProof/>
        </w:rPr>
        <w:t>s</w:t>
      </w:r>
      <w:r w:rsidR="00A741B0" w:rsidRPr="00A10386">
        <w:rPr>
          <w:rFonts w:eastAsia="Times New Roman"/>
          <w:noProof/>
        </w:rPr>
        <w:t xml:space="preserve"> Package</w:t>
      </w:r>
      <w:r w:rsidR="00937F57" w:rsidRPr="00A10386">
        <w:rPr>
          <w:rFonts w:eastAsia="Times New Roman"/>
          <w:noProof/>
        </w:rPr>
        <w:t xml:space="preserve"> </w:t>
      </w:r>
      <w:r w:rsidR="008E2FBD" w:rsidRPr="00A10386">
        <w:rPr>
          <w:rFonts w:eastAsia="Times New Roman"/>
          <w:noProof/>
        </w:rPr>
        <w:t xml:space="preserve">(which envisaged a maximum level of imprisonment of at least 8 years) </w:t>
      </w:r>
      <w:r w:rsidR="00937F57" w:rsidRPr="00A10386">
        <w:rPr>
          <w:rFonts w:eastAsia="Times New Roman"/>
          <w:noProof/>
        </w:rPr>
        <w:t xml:space="preserve">and have been determined taking into account the overall regime of the penalties introduced by EU criminal law instruments. </w:t>
      </w:r>
      <w:r w:rsidR="00564688" w:rsidRPr="00A10386">
        <w:rPr>
          <w:rFonts w:eastAsia="Times New Roman"/>
          <w:noProof/>
        </w:rPr>
        <w:t>T</w:t>
      </w:r>
      <w:r w:rsidR="00A741B0" w:rsidRPr="00A10386">
        <w:rPr>
          <w:rFonts w:eastAsia="Times New Roman"/>
          <w:noProof/>
        </w:rPr>
        <w:t xml:space="preserve">he </w:t>
      </w:r>
      <w:r w:rsidR="00564688" w:rsidRPr="00A10386">
        <w:rPr>
          <w:rFonts w:eastAsia="Times New Roman"/>
          <w:noProof/>
        </w:rPr>
        <w:t xml:space="preserve">main offence of facilitation would be punishable by a maximum level of imprisonment of at least 3 years, while aggravated offences (e.g. organised crime, </w:t>
      </w:r>
      <w:r w:rsidR="006D4E1F" w:rsidRPr="00A10386">
        <w:rPr>
          <w:rFonts w:eastAsia="Times New Roman"/>
          <w:noProof/>
        </w:rPr>
        <w:t>use of serious violence</w:t>
      </w:r>
      <w:r w:rsidR="00564688" w:rsidRPr="00A10386">
        <w:rPr>
          <w:rFonts w:eastAsia="Times New Roman"/>
          <w:noProof/>
        </w:rPr>
        <w:t xml:space="preserve">) for at least 10 years and the </w:t>
      </w:r>
      <w:r w:rsidR="00A741B0" w:rsidRPr="00A10386">
        <w:rPr>
          <w:rFonts w:eastAsia="Times New Roman"/>
          <w:noProof/>
        </w:rPr>
        <w:t xml:space="preserve">most serious </w:t>
      </w:r>
      <w:r w:rsidR="00564688" w:rsidRPr="00A10386">
        <w:rPr>
          <w:rFonts w:eastAsia="Times New Roman"/>
          <w:noProof/>
        </w:rPr>
        <w:t xml:space="preserve">offences </w:t>
      </w:r>
      <w:r w:rsidR="00A741B0" w:rsidRPr="00A10386">
        <w:rPr>
          <w:rFonts w:eastAsia="Times New Roman"/>
          <w:noProof/>
        </w:rPr>
        <w:t>(causing death) 15 years</w:t>
      </w:r>
      <w:r w:rsidR="00B86EE2" w:rsidRPr="00A10386">
        <w:rPr>
          <w:rFonts w:eastAsia="Times New Roman"/>
          <w:noProof/>
        </w:rPr>
        <w:t>.</w:t>
      </w:r>
      <w:r w:rsidR="7D331479" w:rsidRPr="00A10386">
        <w:rPr>
          <w:rFonts w:eastAsia="Times New Roman"/>
          <w:noProof/>
        </w:rPr>
        <w:t xml:space="preserve"> </w:t>
      </w:r>
    </w:p>
    <w:p w14:paraId="1003593B" w14:textId="77777777" w:rsidR="25FBB5A0" w:rsidRPr="00A10386" w:rsidRDefault="60CE7D5D" w:rsidP="09C515E4">
      <w:pPr>
        <w:pStyle w:val="Tiret0"/>
        <w:rPr>
          <w:i/>
          <w:noProof/>
        </w:rPr>
      </w:pPr>
      <w:r w:rsidRPr="00A10386">
        <w:rPr>
          <w:i/>
          <w:noProof/>
        </w:rPr>
        <w:t>Improv</w:t>
      </w:r>
      <w:r w:rsidR="5DB29F60" w:rsidRPr="00A10386">
        <w:rPr>
          <w:i/>
          <w:noProof/>
        </w:rPr>
        <w:t>ing</w:t>
      </w:r>
      <w:r w:rsidRPr="00A10386">
        <w:rPr>
          <w:i/>
          <w:noProof/>
        </w:rPr>
        <w:t xml:space="preserve"> the jurisdictional reach</w:t>
      </w:r>
    </w:p>
    <w:p w14:paraId="6B82F76F" w14:textId="39ACF734" w:rsidR="25FBB5A0" w:rsidRPr="00A10386" w:rsidRDefault="004922C4" w:rsidP="00153F4E">
      <w:pPr>
        <w:rPr>
          <w:rFonts w:eastAsia="Times New Roman"/>
          <w:noProof/>
        </w:rPr>
      </w:pPr>
      <w:r w:rsidRPr="00A10386">
        <w:rPr>
          <w:rFonts w:eastAsia="Times New Roman"/>
          <w:noProof/>
        </w:rPr>
        <w:t xml:space="preserve">The people who are organising and conducting migrant smuggling activities often </w:t>
      </w:r>
      <w:r w:rsidR="007055C7" w:rsidRPr="00A10386">
        <w:rPr>
          <w:rFonts w:eastAsia="Times New Roman"/>
          <w:noProof/>
        </w:rPr>
        <w:t>reside</w:t>
      </w:r>
      <w:r w:rsidR="00C14426" w:rsidRPr="00A10386">
        <w:rPr>
          <w:rFonts w:eastAsia="Times New Roman"/>
          <w:noProof/>
        </w:rPr>
        <w:t xml:space="preserve"> outside the EU and are therefore outside the </w:t>
      </w:r>
      <w:r w:rsidR="007055C7" w:rsidRPr="00A10386">
        <w:rPr>
          <w:rFonts w:eastAsia="Times New Roman"/>
          <w:noProof/>
        </w:rPr>
        <w:t xml:space="preserve">reach of the </w:t>
      </w:r>
      <w:r w:rsidR="00C14426" w:rsidRPr="00A10386">
        <w:rPr>
          <w:rFonts w:eastAsia="Times New Roman"/>
          <w:noProof/>
        </w:rPr>
        <w:t xml:space="preserve">jurisdiction of the Member States. To increase the </w:t>
      </w:r>
      <w:r w:rsidR="5B2EFB3A" w:rsidRPr="00A10386">
        <w:rPr>
          <w:rFonts w:eastAsia="Times New Roman"/>
          <w:noProof/>
        </w:rPr>
        <w:t>possibilities</w:t>
      </w:r>
      <w:r w:rsidR="00C14426" w:rsidRPr="00A10386">
        <w:rPr>
          <w:rFonts w:eastAsia="Times New Roman"/>
          <w:noProof/>
        </w:rPr>
        <w:t xml:space="preserve"> of sanctioning </w:t>
      </w:r>
      <w:r w:rsidR="00A73B7C" w:rsidRPr="00A10386">
        <w:rPr>
          <w:rFonts w:eastAsia="Times New Roman"/>
          <w:noProof/>
        </w:rPr>
        <w:t xml:space="preserve">high-value targets who are </w:t>
      </w:r>
      <w:r w:rsidR="00C14426" w:rsidRPr="00A10386">
        <w:rPr>
          <w:rFonts w:eastAsia="Times New Roman"/>
          <w:noProof/>
        </w:rPr>
        <w:t>organis</w:t>
      </w:r>
      <w:r w:rsidR="00A73B7C" w:rsidRPr="00A10386">
        <w:rPr>
          <w:rFonts w:eastAsia="Times New Roman"/>
          <w:noProof/>
        </w:rPr>
        <w:t>ing smuggling activities</w:t>
      </w:r>
      <w:r w:rsidR="0057061A" w:rsidRPr="00A10386">
        <w:rPr>
          <w:rFonts w:eastAsia="Times New Roman"/>
          <w:noProof/>
        </w:rPr>
        <w:t xml:space="preserve"> and to avoid </w:t>
      </w:r>
      <w:r w:rsidR="00993256" w:rsidRPr="00A10386">
        <w:rPr>
          <w:rFonts w:eastAsia="Times New Roman"/>
          <w:noProof/>
        </w:rPr>
        <w:t>a situation where</w:t>
      </w:r>
      <w:r w:rsidR="0057061A" w:rsidRPr="00A10386">
        <w:rPr>
          <w:rFonts w:eastAsia="Times New Roman"/>
          <w:noProof/>
        </w:rPr>
        <w:t xml:space="preserve"> no </w:t>
      </w:r>
      <w:r w:rsidR="00CD7948" w:rsidRPr="00A10386">
        <w:rPr>
          <w:rFonts w:eastAsia="Times New Roman"/>
          <w:noProof/>
        </w:rPr>
        <w:t xml:space="preserve">State </w:t>
      </w:r>
      <w:r w:rsidR="00993256" w:rsidRPr="00A10386">
        <w:rPr>
          <w:rFonts w:eastAsia="Times New Roman"/>
          <w:noProof/>
        </w:rPr>
        <w:t>is able to</w:t>
      </w:r>
      <w:r w:rsidR="007055C7" w:rsidRPr="00A10386">
        <w:rPr>
          <w:rFonts w:eastAsia="Times New Roman"/>
          <w:noProof/>
        </w:rPr>
        <w:t xml:space="preserve"> exercise </w:t>
      </w:r>
      <w:r w:rsidR="00CD7948" w:rsidRPr="00A10386">
        <w:rPr>
          <w:rFonts w:eastAsia="Times New Roman"/>
          <w:noProof/>
        </w:rPr>
        <w:t>jurisdiction over serious and tragic smuggling cases happening for instance in international waters</w:t>
      </w:r>
      <w:r w:rsidR="00A73B7C" w:rsidRPr="00A10386">
        <w:rPr>
          <w:rFonts w:eastAsia="Times New Roman"/>
          <w:noProof/>
        </w:rPr>
        <w:t xml:space="preserve">, the proposed Directive </w:t>
      </w:r>
      <w:r w:rsidR="6DD92B1B" w:rsidRPr="00A10386">
        <w:rPr>
          <w:rFonts w:eastAsia="Times New Roman"/>
          <w:noProof/>
        </w:rPr>
        <w:t>expand</w:t>
      </w:r>
      <w:r w:rsidR="00A73B7C" w:rsidRPr="00A10386">
        <w:rPr>
          <w:rFonts w:eastAsia="Times New Roman"/>
          <w:noProof/>
        </w:rPr>
        <w:t>s</w:t>
      </w:r>
      <w:r w:rsidR="6DD92B1B" w:rsidRPr="00A10386">
        <w:rPr>
          <w:rFonts w:eastAsia="Times New Roman"/>
          <w:noProof/>
        </w:rPr>
        <w:t xml:space="preserve"> the jurisdiction </w:t>
      </w:r>
      <w:r w:rsidR="00A73B7C" w:rsidRPr="00A10386">
        <w:rPr>
          <w:rFonts w:eastAsia="Times New Roman"/>
          <w:noProof/>
        </w:rPr>
        <w:t xml:space="preserve">of the Member States </w:t>
      </w:r>
      <w:r w:rsidR="60CE7D5D" w:rsidRPr="00A10386">
        <w:rPr>
          <w:rFonts w:eastAsia="Times New Roman"/>
          <w:noProof/>
        </w:rPr>
        <w:t xml:space="preserve">to </w:t>
      </w:r>
      <w:r w:rsidR="0057061A" w:rsidRPr="00A10386">
        <w:rPr>
          <w:rFonts w:eastAsia="Times New Roman"/>
          <w:noProof/>
        </w:rPr>
        <w:t xml:space="preserve">cases in which </w:t>
      </w:r>
      <w:r w:rsidR="00AD5702" w:rsidRPr="00A10386">
        <w:rPr>
          <w:rFonts w:eastAsia="Times New Roman"/>
          <w:noProof/>
        </w:rPr>
        <w:t>the</w:t>
      </w:r>
      <w:r w:rsidR="0057061A" w:rsidRPr="00A10386">
        <w:rPr>
          <w:rFonts w:eastAsia="Times New Roman"/>
          <w:noProof/>
        </w:rPr>
        <w:t xml:space="preserve"> facilitat</w:t>
      </w:r>
      <w:r w:rsidR="00AD5702" w:rsidRPr="00A10386">
        <w:rPr>
          <w:rFonts w:eastAsia="Times New Roman"/>
          <w:noProof/>
        </w:rPr>
        <w:t>ion</w:t>
      </w:r>
      <w:r w:rsidR="0057061A" w:rsidRPr="00A10386">
        <w:rPr>
          <w:rFonts w:eastAsia="Times New Roman"/>
          <w:noProof/>
        </w:rPr>
        <w:t xml:space="preserve"> </w:t>
      </w:r>
      <w:r w:rsidR="00AD5702" w:rsidRPr="00A10386">
        <w:rPr>
          <w:rFonts w:eastAsia="Times New Roman"/>
          <w:noProof/>
        </w:rPr>
        <w:t xml:space="preserve">of </w:t>
      </w:r>
      <w:r w:rsidR="0057061A" w:rsidRPr="00A10386">
        <w:rPr>
          <w:rFonts w:eastAsia="Times New Roman"/>
          <w:noProof/>
        </w:rPr>
        <w:t>unauthorised entry into the EU fails and third</w:t>
      </w:r>
      <w:r w:rsidR="00AD5702" w:rsidRPr="00A10386">
        <w:rPr>
          <w:rFonts w:eastAsia="Times New Roman"/>
          <w:noProof/>
        </w:rPr>
        <w:t>-</w:t>
      </w:r>
      <w:r w:rsidR="0057061A" w:rsidRPr="00A10386">
        <w:rPr>
          <w:rFonts w:eastAsia="Times New Roman"/>
          <w:noProof/>
        </w:rPr>
        <w:t xml:space="preserve">country nationals </w:t>
      </w:r>
      <w:r w:rsidR="277B3EB5" w:rsidRPr="00A10386">
        <w:rPr>
          <w:rFonts w:eastAsia="Times New Roman"/>
          <w:noProof/>
        </w:rPr>
        <w:t>lose their lives</w:t>
      </w:r>
      <w:r w:rsidR="00ED2B00" w:rsidRPr="00A10386">
        <w:rPr>
          <w:rFonts w:eastAsia="Times New Roman"/>
          <w:noProof/>
        </w:rPr>
        <w:t>: this is</w:t>
      </w:r>
      <w:r w:rsidR="00993256" w:rsidRPr="00A10386">
        <w:rPr>
          <w:rFonts w:eastAsia="Times New Roman"/>
          <w:noProof/>
        </w:rPr>
        <w:t>,</w:t>
      </w:r>
      <w:r w:rsidR="00ED2B00" w:rsidRPr="00A10386">
        <w:rPr>
          <w:rFonts w:eastAsia="Times New Roman"/>
          <w:noProof/>
        </w:rPr>
        <w:t xml:space="preserve"> for instance</w:t>
      </w:r>
      <w:r w:rsidR="00993256" w:rsidRPr="00A10386">
        <w:rPr>
          <w:rFonts w:eastAsia="Times New Roman"/>
          <w:noProof/>
        </w:rPr>
        <w:t>,</w:t>
      </w:r>
      <w:r w:rsidR="00ED2B00" w:rsidRPr="00A10386">
        <w:rPr>
          <w:rFonts w:eastAsia="Times New Roman"/>
          <w:noProof/>
        </w:rPr>
        <w:t xml:space="preserve"> the case in which unseaworthy boats sink in international water</w:t>
      </w:r>
      <w:r w:rsidR="00993256" w:rsidRPr="00A10386">
        <w:rPr>
          <w:rFonts w:eastAsia="Times New Roman"/>
          <w:noProof/>
        </w:rPr>
        <w:t>s</w:t>
      </w:r>
      <w:r w:rsidR="00ED2B00" w:rsidRPr="00A10386">
        <w:rPr>
          <w:rFonts w:eastAsia="Times New Roman"/>
          <w:noProof/>
        </w:rPr>
        <w:t xml:space="preserve">, therefore before reaching the territorial waters of a Member State or a third country. </w:t>
      </w:r>
      <w:r w:rsidR="7D00B230" w:rsidRPr="00A10386">
        <w:rPr>
          <w:rFonts w:eastAsia="Times New Roman"/>
          <w:noProof/>
        </w:rPr>
        <w:t>T</w:t>
      </w:r>
      <w:r w:rsidR="00E46863" w:rsidRPr="00A10386">
        <w:rPr>
          <w:rFonts w:eastAsia="Times New Roman"/>
          <w:noProof/>
        </w:rPr>
        <w:t xml:space="preserve">he proposed Directive also expands jurisdiction over </w:t>
      </w:r>
      <w:r w:rsidR="60CE7D5D" w:rsidRPr="00A10386">
        <w:rPr>
          <w:rFonts w:eastAsia="Times New Roman"/>
          <w:noProof/>
        </w:rPr>
        <w:t>offences committed on board of</w:t>
      </w:r>
      <w:r w:rsidR="76FA575C" w:rsidRPr="00A10386">
        <w:rPr>
          <w:rFonts w:eastAsia="Times New Roman"/>
          <w:noProof/>
        </w:rPr>
        <w:t xml:space="preserve"> </w:t>
      </w:r>
      <w:r w:rsidR="60CE7D5D" w:rsidRPr="00A10386">
        <w:rPr>
          <w:rFonts w:eastAsia="Times New Roman"/>
          <w:noProof/>
        </w:rPr>
        <w:t>ships or aircrafts</w:t>
      </w:r>
      <w:r w:rsidR="00A73B7C" w:rsidRPr="00A10386">
        <w:rPr>
          <w:rFonts w:eastAsia="Times New Roman"/>
          <w:noProof/>
        </w:rPr>
        <w:t xml:space="preserve"> registered in </w:t>
      </w:r>
      <w:r w:rsidR="00993256" w:rsidRPr="00A10386">
        <w:rPr>
          <w:rFonts w:eastAsia="Times New Roman"/>
          <w:noProof/>
        </w:rPr>
        <w:t xml:space="preserve">a </w:t>
      </w:r>
      <w:r w:rsidR="00A73B7C" w:rsidRPr="00A10386">
        <w:rPr>
          <w:rFonts w:eastAsia="Times New Roman"/>
          <w:noProof/>
        </w:rPr>
        <w:t>Member State</w:t>
      </w:r>
      <w:r w:rsidR="42B65641" w:rsidRPr="00A10386">
        <w:rPr>
          <w:rFonts w:eastAsia="Times New Roman"/>
          <w:noProof/>
        </w:rPr>
        <w:t xml:space="preserve"> </w:t>
      </w:r>
      <w:r w:rsidR="00993256" w:rsidRPr="00A10386">
        <w:rPr>
          <w:rFonts w:eastAsia="Times New Roman"/>
          <w:noProof/>
        </w:rPr>
        <w:t xml:space="preserve">or flying it flag, </w:t>
      </w:r>
      <w:r w:rsidR="42B65641" w:rsidRPr="00A10386">
        <w:rPr>
          <w:rFonts w:eastAsia="Times New Roman"/>
          <w:noProof/>
        </w:rPr>
        <w:t xml:space="preserve">and </w:t>
      </w:r>
      <w:r w:rsidR="60CE7D5D" w:rsidRPr="00A10386">
        <w:rPr>
          <w:rFonts w:eastAsia="Times New Roman"/>
          <w:noProof/>
        </w:rPr>
        <w:t xml:space="preserve">offences committed by legal persons doing business </w:t>
      </w:r>
      <w:r w:rsidR="5657769F" w:rsidRPr="00A10386">
        <w:rPr>
          <w:rFonts w:eastAsia="Times New Roman"/>
          <w:noProof/>
        </w:rPr>
        <w:t>bu</w:t>
      </w:r>
      <w:r w:rsidR="59859C7C" w:rsidRPr="00A10386">
        <w:rPr>
          <w:rFonts w:eastAsia="Times New Roman"/>
          <w:noProof/>
        </w:rPr>
        <w:t>t</w:t>
      </w:r>
      <w:r w:rsidR="5657769F" w:rsidRPr="00A10386">
        <w:rPr>
          <w:rFonts w:eastAsia="Times New Roman"/>
          <w:noProof/>
        </w:rPr>
        <w:t xml:space="preserve"> </w:t>
      </w:r>
      <w:r w:rsidR="60CE7D5D" w:rsidRPr="00A10386">
        <w:rPr>
          <w:rFonts w:eastAsia="Times New Roman"/>
          <w:noProof/>
        </w:rPr>
        <w:t xml:space="preserve">not </w:t>
      </w:r>
      <w:r w:rsidR="00F02A8E" w:rsidRPr="00A10386">
        <w:rPr>
          <w:rFonts w:eastAsia="Times New Roman"/>
          <w:noProof/>
        </w:rPr>
        <w:t xml:space="preserve">necessarily </w:t>
      </w:r>
      <w:r w:rsidR="60CE7D5D" w:rsidRPr="00A10386">
        <w:rPr>
          <w:rFonts w:eastAsia="Times New Roman"/>
          <w:noProof/>
        </w:rPr>
        <w:t>established in the EU</w:t>
      </w:r>
      <w:r w:rsidR="424BDC84" w:rsidRPr="00A10386">
        <w:rPr>
          <w:rFonts w:eastAsia="Times New Roman"/>
          <w:noProof/>
        </w:rPr>
        <w:t>.</w:t>
      </w:r>
    </w:p>
    <w:p w14:paraId="1A5B56B6" w14:textId="77777777" w:rsidR="7096F37E" w:rsidRPr="00A10386" w:rsidRDefault="2BF47B6F" w:rsidP="09C515E4">
      <w:pPr>
        <w:pStyle w:val="Tiret0"/>
        <w:rPr>
          <w:i/>
          <w:noProof/>
        </w:rPr>
      </w:pPr>
      <w:r w:rsidRPr="00A10386">
        <w:rPr>
          <w:i/>
          <w:noProof/>
        </w:rPr>
        <w:t xml:space="preserve">Reinforcing Member States resources to tackle </w:t>
      </w:r>
      <w:r w:rsidR="00E1423E" w:rsidRPr="00A10386">
        <w:rPr>
          <w:i/>
          <w:noProof/>
        </w:rPr>
        <w:t xml:space="preserve">and prevent </w:t>
      </w:r>
      <w:r w:rsidRPr="00A10386">
        <w:rPr>
          <w:i/>
          <w:noProof/>
        </w:rPr>
        <w:t>migrant smuggling</w:t>
      </w:r>
    </w:p>
    <w:p w14:paraId="3D1A417C" w14:textId="77777777" w:rsidR="00AD5702" w:rsidRPr="00A10386" w:rsidRDefault="00686CAF" w:rsidP="00E46863">
      <w:pPr>
        <w:rPr>
          <w:rFonts w:eastAsia="Times New Roman"/>
          <w:noProof/>
        </w:rPr>
      </w:pPr>
      <w:r w:rsidRPr="00A10386">
        <w:rPr>
          <w:rFonts w:eastAsia="Times New Roman"/>
          <w:noProof/>
        </w:rPr>
        <w:t>T</w:t>
      </w:r>
      <w:r w:rsidR="2BF47B6F" w:rsidRPr="00A10386">
        <w:rPr>
          <w:rFonts w:eastAsia="Times New Roman"/>
          <w:noProof/>
        </w:rPr>
        <w:t xml:space="preserve">o ensure </w:t>
      </w:r>
      <w:r w:rsidR="00BB4E11" w:rsidRPr="00A10386">
        <w:rPr>
          <w:rFonts w:eastAsia="Times New Roman"/>
          <w:noProof/>
        </w:rPr>
        <w:t xml:space="preserve">that Member States </w:t>
      </w:r>
      <w:r w:rsidR="2BF47B6F" w:rsidRPr="00A10386">
        <w:rPr>
          <w:rFonts w:eastAsia="Times New Roman"/>
          <w:noProof/>
        </w:rPr>
        <w:t>effective</w:t>
      </w:r>
      <w:r w:rsidR="00BB4E11" w:rsidRPr="00A10386">
        <w:rPr>
          <w:rFonts w:eastAsia="Times New Roman"/>
          <w:noProof/>
        </w:rPr>
        <w:t>ly counter migrant smuggling</w:t>
      </w:r>
      <w:r w:rsidR="2BF47B6F" w:rsidRPr="00A10386">
        <w:rPr>
          <w:rFonts w:eastAsia="Times New Roman"/>
          <w:noProof/>
        </w:rPr>
        <w:t xml:space="preserve">, the </w:t>
      </w:r>
      <w:r w:rsidR="00BB4E11" w:rsidRPr="00A10386">
        <w:rPr>
          <w:rFonts w:eastAsia="Times New Roman"/>
          <w:noProof/>
        </w:rPr>
        <w:t xml:space="preserve">proposed </w:t>
      </w:r>
      <w:r w:rsidR="2BF47B6F" w:rsidRPr="00A10386">
        <w:rPr>
          <w:rFonts w:eastAsia="Times New Roman"/>
          <w:noProof/>
        </w:rPr>
        <w:t xml:space="preserve">Directive </w:t>
      </w:r>
      <w:r w:rsidR="00BB4E11" w:rsidRPr="00A10386">
        <w:rPr>
          <w:rFonts w:eastAsia="Times New Roman"/>
          <w:noProof/>
        </w:rPr>
        <w:t>requires</w:t>
      </w:r>
      <w:r w:rsidR="2BF47B6F" w:rsidRPr="00A10386">
        <w:rPr>
          <w:rFonts w:eastAsia="Times New Roman"/>
          <w:noProof/>
        </w:rPr>
        <w:t xml:space="preserve"> Member States to </w:t>
      </w:r>
      <w:r w:rsidR="00947F62" w:rsidRPr="00A10386">
        <w:rPr>
          <w:rFonts w:eastAsia="Times New Roman"/>
          <w:noProof/>
        </w:rPr>
        <w:t xml:space="preserve">make sure </w:t>
      </w:r>
      <w:r w:rsidR="2BF47B6F" w:rsidRPr="00A10386">
        <w:rPr>
          <w:rFonts w:eastAsia="Times New Roman"/>
          <w:noProof/>
        </w:rPr>
        <w:t>that the relevant law enforcement and judicial authorities are adequately resourced</w:t>
      </w:r>
      <w:r w:rsidR="00E1423E" w:rsidRPr="00A10386">
        <w:rPr>
          <w:rFonts w:eastAsia="Times New Roman"/>
          <w:noProof/>
        </w:rPr>
        <w:t>,</w:t>
      </w:r>
      <w:r w:rsidR="2BF47B6F" w:rsidRPr="00A10386">
        <w:rPr>
          <w:rFonts w:eastAsia="Times New Roman"/>
          <w:noProof/>
        </w:rPr>
        <w:t xml:space="preserve"> sufficiently trained </w:t>
      </w:r>
      <w:r w:rsidR="7B8DD615" w:rsidRPr="00A10386">
        <w:rPr>
          <w:rFonts w:eastAsia="Times New Roman"/>
          <w:noProof/>
        </w:rPr>
        <w:t xml:space="preserve">and specialised </w:t>
      </w:r>
      <w:r w:rsidR="2BF47B6F" w:rsidRPr="00A10386">
        <w:rPr>
          <w:rFonts w:eastAsia="Times New Roman"/>
          <w:noProof/>
        </w:rPr>
        <w:t xml:space="preserve">to </w:t>
      </w:r>
      <w:r w:rsidR="55BD688C" w:rsidRPr="00A10386">
        <w:rPr>
          <w:rFonts w:eastAsia="Times New Roman"/>
          <w:noProof/>
        </w:rPr>
        <w:t xml:space="preserve">ensure effective prevention, investigation and prosecution of offenders. </w:t>
      </w:r>
      <w:r w:rsidR="2BF47B6F" w:rsidRPr="00A10386">
        <w:rPr>
          <w:rFonts w:eastAsia="Times New Roman"/>
          <w:noProof/>
        </w:rPr>
        <w:t xml:space="preserve">In addition, Member States should also </w:t>
      </w:r>
      <w:r w:rsidR="00E1423E" w:rsidRPr="00A10386">
        <w:rPr>
          <w:rFonts w:eastAsia="Times New Roman"/>
          <w:noProof/>
        </w:rPr>
        <w:t xml:space="preserve">work on the prevention of migrant smuggling, through </w:t>
      </w:r>
      <w:r w:rsidR="2BF47B6F" w:rsidRPr="00A10386">
        <w:rPr>
          <w:rFonts w:eastAsia="Times New Roman"/>
          <w:noProof/>
        </w:rPr>
        <w:t>information and awareness-raising campaigns, research and education programmes</w:t>
      </w:r>
      <w:r w:rsidR="33634F5D" w:rsidRPr="00A10386">
        <w:rPr>
          <w:rFonts w:eastAsia="Times New Roman"/>
          <w:noProof/>
        </w:rPr>
        <w:t>.</w:t>
      </w:r>
    </w:p>
    <w:p w14:paraId="334F02D2" w14:textId="77777777" w:rsidR="25FBB5A0" w:rsidRPr="00A10386" w:rsidRDefault="60CE7D5D" w:rsidP="09C515E4">
      <w:pPr>
        <w:pStyle w:val="Tiret0"/>
        <w:rPr>
          <w:i/>
          <w:noProof/>
        </w:rPr>
      </w:pPr>
      <w:r w:rsidRPr="00A10386">
        <w:rPr>
          <w:i/>
          <w:noProof/>
        </w:rPr>
        <w:t>Improv</w:t>
      </w:r>
      <w:r w:rsidR="1F06DE07" w:rsidRPr="00A10386">
        <w:rPr>
          <w:i/>
          <w:noProof/>
        </w:rPr>
        <w:t>ing</w:t>
      </w:r>
      <w:r w:rsidRPr="00A10386">
        <w:rPr>
          <w:i/>
          <w:noProof/>
        </w:rPr>
        <w:t xml:space="preserve"> data collection </w:t>
      </w:r>
      <w:r w:rsidR="0C96DB3F" w:rsidRPr="00A10386">
        <w:rPr>
          <w:i/>
          <w:noProof/>
        </w:rPr>
        <w:t xml:space="preserve">and reporting </w:t>
      </w:r>
    </w:p>
    <w:p w14:paraId="792C04C8" w14:textId="77777777" w:rsidR="477819BB" w:rsidRPr="00A10386" w:rsidRDefault="09A039A5" w:rsidP="09C515E4">
      <w:pPr>
        <w:rPr>
          <w:rFonts w:eastAsia="Times New Roman"/>
          <w:noProof/>
        </w:rPr>
      </w:pPr>
      <w:r w:rsidRPr="00A10386">
        <w:rPr>
          <w:rFonts w:eastAsia="Times New Roman"/>
          <w:noProof/>
        </w:rPr>
        <w:t>Lack of robust, comprehensive and comparable data</w:t>
      </w:r>
      <w:r w:rsidR="1E756845" w:rsidRPr="00A10386">
        <w:rPr>
          <w:rFonts w:eastAsia="Times New Roman"/>
          <w:b/>
          <w:bCs/>
          <w:noProof/>
        </w:rPr>
        <w:t xml:space="preserve"> </w:t>
      </w:r>
      <w:r w:rsidR="1E756845" w:rsidRPr="00A10386">
        <w:rPr>
          <w:rFonts w:eastAsia="Times New Roman"/>
          <w:noProof/>
        </w:rPr>
        <w:t xml:space="preserve">on migrant smuggling offences and criminal justice responses at national and European level </w:t>
      </w:r>
      <w:r w:rsidRPr="00A10386">
        <w:rPr>
          <w:rFonts w:eastAsia="Times New Roman"/>
          <w:noProof/>
        </w:rPr>
        <w:t xml:space="preserve">has been identified in the 2017 </w:t>
      </w:r>
      <w:r w:rsidRPr="00A10386">
        <w:rPr>
          <w:rFonts w:eastAsiaTheme="minorEastAsia"/>
          <w:noProof/>
        </w:rPr>
        <w:t>evaluation</w:t>
      </w:r>
      <w:r w:rsidR="00AD5702" w:rsidRPr="00A10386">
        <w:rPr>
          <w:rStyle w:val="FootnoteReference"/>
          <w:rFonts w:eastAsiaTheme="minorEastAsia"/>
          <w:noProof/>
        </w:rPr>
        <w:footnoteReference w:id="16"/>
      </w:r>
      <w:r w:rsidRPr="00A10386">
        <w:rPr>
          <w:rFonts w:eastAsiaTheme="minorEastAsia"/>
          <w:noProof/>
        </w:rPr>
        <w:t xml:space="preserve"> as a</w:t>
      </w:r>
      <w:r w:rsidR="00F02A8E" w:rsidRPr="00A10386">
        <w:rPr>
          <w:rFonts w:eastAsiaTheme="minorEastAsia"/>
          <w:noProof/>
        </w:rPr>
        <w:t xml:space="preserve"> key</w:t>
      </w:r>
      <w:r w:rsidRPr="00A10386">
        <w:rPr>
          <w:rFonts w:eastAsiaTheme="minorEastAsia"/>
          <w:noProof/>
        </w:rPr>
        <w:t xml:space="preserve"> element </w:t>
      </w:r>
      <w:r w:rsidR="00194B18" w:rsidRPr="00A10386">
        <w:rPr>
          <w:rFonts w:eastAsiaTheme="minorEastAsia"/>
          <w:noProof/>
        </w:rPr>
        <w:t xml:space="preserve">hindering </w:t>
      </w:r>
      <w:r w:rsidRPr="00A10386">
        <w:rPr>
          <w:rFonts w:eastAsiaTheme="minorEastAsia"/>
          <w:noProof/>
        </w:rPr>
        <w:t xml:space="preserve">the </w:t>
      </w:r>
      <w:r w:rsidR="00194B18" w:rsidRPr="00A10386">
        <w:rPr>
          <w:rFonts w:eastAsiaTheme="minorEastAsia"/>
          <w:noProof/>
        </w:rPr>
        <w:t xml:space="preserve">assessment of the </w:t>
      </w:r>
      <w:r w:rsidRPr="00A10386">
        <w:rPr>
          <w:rFonts w:eastAsiaTheme="minorEastAsia"/>
          <w:noProof/>
        </w:rPr>
        <w:t>effects of the Facilitators Package</w:t>
      </w:r>
      <w:r w:rsidR="00AD5702" w:rsidRPr="00A10386">
        <w:rPr>
          <w:rFonts w:eastAsiaTheme="minorEastAsia"/>
          <w:noProof/>
        </w:rPr>
        <w:t xml:space="preserve"> </w:t>
      </w:r>
      <w:r w:rsidR="68A813E3" w:rsidRPr="00A10386">
        <w:rPr>
          <w:rFonts w:eastAsiaTheme="minorEastAsia"/>
          <w:noProof/>
        </w:rPr>
        <w:t>in the Member States</w:t>
      </w:r>
      <w:r w:rsidR="00F44816" w:rsidRPr="00A10386">
        <w:rPr>
          <w:rFonts w:eastAsiaTheme="minorEastAsia"/>
          <w:noProof/>
        </w:rPr>
        <w:t>; furthermore, i</w:t>
      </w:r>
      <w:r w:rsidR="68A813E3" w:rsidRPr="00A10386">
        <w:rPr>
          <w:rFonts w:eastAsiaTheme="minorEastAsia"/>
          <w:noProof/>
        </w:rPr>
        <w:t>t prevents national policy</w:t>
      </w:r>
      <w:r w:rsidR="00F02A8E" w:rsidRPr="00A10386">
        <w:rPr>
          <w:rFonts w:eastAsiaTheme="minorEastAsia"/>
          <w:noProof/>
        </w:rPr>
        <w:t xml:space="preserve"> </w:t>
      </w:r>
      <w:r w:rsidR="68A813E3" w:rsidRPr="00A10386">
        <w:rPr>
          <w:rFonts w:eastAsiaTheme="minorEastAsia"/>
          <w:noProof/>
        </w:rPr>
        <w:t xml:space="preserve">makers and practitioners from monitoring </w:t>
      </w:r>
      <w:r w:rsidR="00A837FA" w:rsidRPr="00A10386">
        <w:rPr>
          <w:rFonts w:eastAsiaTheme="minorEastAsia"/>
          <w:noProof/>
        </w:rPr>
        <w:t xml:space="preserve">and measuring </w:t>
      </w:r>
      <w:r w:rsidR="68A813E3" w:rsidRPr="00A10386">
        <w:rPr>
          <w:rFonts w:eastAsiaTheme="minorEastAsia"/>
          <w:noProof/>
        </w:rPr>
        <w:t xml:space="preserve">the effectiveness of their measures. </w:t>
      </w:r>
      <w:r w:rsidR="00194B18" w:rsidRPr="00A10386">
        <w:rPr>
          <w:rFonts w:eastAsia="Times New Roman"/>
          <w:noProof/>
        </w:rPr>
        <w:t>T</w:t>
      </w:r>
      <w:r w:rsidR="461FACB2" w:rsidRPr="00A10386">
        <w:rPr>
          <w:rFonts w:eastAsia="Times New Roman"/>
          <w:noProof/>
        </w:rPr>
        <w:t>o address this shortcoming</w:t>
      </w:r>
      <w:r w:rsidR="623337C1" w:rsidRPr="00A10386">
        <w:rPr>
          <w:rFonts w:eastAsia="Times New Roman"/>
          <w:noProof/>
        </w:rPr>
        <w:t xml:space="preserve"> and ensure better monitoring,</w:t>
      </w:r>
      <w:r w:rsidR="461FACB2" w:rsidRPr="00A10386">
        <w:rPr>
          <w:rFonts w:eastAsia="Times New Roman"/>
          <w:noProof/>
        </w:rPr>
        <w:t xml:space="preserve"> the proposal </w:t>
      </w:r>
      <w:r w:rsidR="00194B18" w:rsidRPr="00A10386">
        <w:rPr>
          <w:rFonts w:eastAsia="Times New Roman"/>
          <w:noProof/>
        </w:rPr>
        <w:t xml:space="preserve">requires </w:t>
      </w:r>
      <w:r w:rsidR="461FACB2" w:rsidRPr="00A10386">
        <w:rPr>
          <w:rFonts w:eastAsia="Times New Roman"/>
          <w:noProof/>
        </w:rPr>
        <w:t xml:space="preserve">Member States to collect and report </w:t>
      </w:r>
      <w:r w:rsidR="00194B18" w:rsidRPr="00A10386">
        <w:rPr>
          <w:rFonts w:eastAsia="Times New Roman"/>
          <w:noProof/>
        </w:rPr>
        <w:t xml:space="preserve">statistical </w:t>
      </w:r>
      <w:r w:rsidR="461FACB2" w:rsidRPr="00A10386">
        <w:rPr>
          <w:rFonts w:eastAsia="Times New Roman"/>
          <w:noProof/>
        </w:rPr>
        <w:t xml:space="preserve">data </w:t>
      </w:r>
      <w:r w:rsidR="00BD152C" w:rsidRPr="00A10386">
        <w:rPr>
          <w:rFonts w:eastAsia="Times New Roman"/>
          <w:noProof/>
        </w:rPr>
        <w:t xml:space="preserve">on an </w:t>
      </w:r>
      <w:r w:rsidR="461FACB2" w:rsidRPr="00A10386">
        <w:rPr>
          <w:rFonts w:eastAsia="Times New Roman"/>
          <w:noProof/>
        </w:rPr>
        <w:t>annual</w:t>
      </w:r>
      <w:r w:rsidR="00BD152C" w:rsidRPr="00A10386">
        <w:rPr>
          <w:rFonts w:eastAsia="Times New Roman"/>
          <w:noProof/>
        </w:rPr>
        <w:t xml:space="preserve"> basis</w:t>
      </w:r>
      <w:r w:rsidR="6C721B8E" w:rsidRPr="00A10386">
        <w:rPr>
          <w:rFonts w:eastAsia="Times New Roman"/>
          <w:noProof/>
        </w:rPr>
        <w:t>.</w:t>
      </w:r>
      <w:r w:rsidR="461FACB2" w:rsidRPr="00A10386">
        <w:rPr>
          <w:rFonts w:eastAsia="Times New Roman"/>
          <w:noProof/>
        </w:rPr>
        <w:t xml:space="preserve"> </w:t>
      </w:r>
      <w:r w:rsidR="739EA166" w:rsidRPr="00A10386">
        <w:rPr>
          <w:rFonts w:eastAsia="Times New Roman"/>
          <w:noProof/>
        </w:rPr>
        <w:t xml:space="preserve">This </w:t>
      </w:r>
      <w:r w:rsidR="00BD152C" w:rsidRPr="00A10386">
        <w:rPr>
          <w:rFonts w:eastAsia="Times New Roman"/>
          <w:noProof/>
        </w:rPr>
        <w:t>w</w:t>
      </w:r>
      <w:r w:rsidR="739EA166" w:rsidRPr="00A10386">
        <w:rPr>
          <w:rFonts w:eastAsia="Times New Roman"/>
          <w:noProof/>
        </w:rPr>
        <w:t xml:space="preserve">ould contribute </w:t>
      </w:r>
      <w:r w:rsidR="6B971C51" w:rsidRPr="00A10386">
        <w:rPr>
          <w:rFonts w:eastAsia="Times New Roman"/>
          <w:noProof/>
        </w:rPr>
        <w:t xml:space="preserve">to </w:t>
      </w:r>
      <w:r w:rsidR="00BD152C" w:rsidRPr="00A10386">
        <w:rPr>
          <w:rFonts w:eastAsia="Times New Roman"/>
          <w:noProof/>
        </w:rPr>
        <w:t>a</w:t>
      </w:r>
      <w:r w:rsidR="3096C12B" w:rsidRPr="00A10386">
        <w:rPr>
          <w:rFonts w:eastAsia="Times New Roman"/>
          <w:noProof/>
        </w:rPr>
        <w:t xml:space="preserve"> </w:t>
      </w:r>
      <w:r w:rsidR="6B971C51" w:rsidRPr="00A10386">
        <w:rPr>
          <w:rFonts w:eastAsia="Times New Roman"/>
          <w:noProof/>
        </w:rPr>
        <w:t>better understanding o</w:t>
      </w:r>
      <w:r w:rsidR="5F57586B" w:rsidRPr="00A10386">
        <w:rPr>
          <w:rFonts w:eastAsia="Times New Roman"/>
          <w:noProof/>
        </w:rPr>
        <w:t>f</w:t>
      </w:r>
      <w:r w:rsidR="6B971C51" w:rsidRPr="00A10386">
        <w:rPr>
          <w:rFonts w:eastAsia="Times New Roman"/>
          <w:noProof/>
        </w:rPr>
        <w:t xml:space="preserve"> the </w:t>
      </w:r>
      <w:r w:rsidR="77BD2B57" w:rsidRPr="00A10386">
        <w:rPr>
          <w:rFonts w:eastAsia="Times New Roman"/>
          <w:noProof/>
        </w:rPr>
        <w:t xml:space="preserve">nature and </w:t>
      </w:r>
      <w:r w:rsidR="6B971C51" w:rsidRPr="00A10386">
        <w:rPr>
          <w:rFonts w:eastAsia="Times New Roman"/>
          <w:noProof/>
        </w:rPr>
        <w:t>scale of migrant smuggling</w:t>
      </w:r>
      <w:r w:rsidR="74F77411" w:rsidRPr="00A10386">
        <w:rPr>
          <w:rFonts w:eastAsia="Times New Roman"/>
          <w:noProof/>
        </w:rPr>
        <w:t xml:space="preserve">, </w:t>
      </w:r>
      <w:r w:rsidR="00BD152C" w:rsidRPr="00A10386">
        <w:rPr>
          <w:rFonts w:eastAsia="Times New Roman"/>
          <w:noProof/>
        </w:rPr>
        <w:t xml:space="preserve">the </w:t>
      </w:r>
      <w:r w:rsidR="6FBF57DD" w:rsidRPr="00A10386">
        <w:rPr>
          <w:rFonts w:eastAsia="Times New Roman"/>
          <w:noProof/>
        </w:rPr>
        <w:t xml:space="preserve">detection of cases and the </w:t>
      </w:r>
      <w:r w:rsidR="00BD152C" w:rsidRPr="00A10386">
        <w:rPr>
          <w:rFonts w:eastAsia="Times New Roman"/>
          <w:noProof/>
        </w:rPr>
        <w:t>response</w:t>
      </w:r>
      <w:r w:rsidR="00F13519" w:rsidRPr="00A10386">
        <w:rPr>
          <w:rFonts w:eastAsia="Times New Roman"/>
          <w:noProof/>
        </w:rPr>
        <w:t>s</w:t>
      </w:r>
      <w:r w:rsidR="00BD152C" w:rsidRPr="00A10386">
        <w:rPr>
          <w:rFonts w:eastAsia="Times New Roman"/>
          <w:noProof/>
        </w:rPr>
        <w:t xml:space="preserve"> of the </w:t>
      </w:r>
      <w:r w:rsidR="6FBF57DD" w:rsidRPr="00A10386">
        <w:rPr>
          <w:rFonts w:eastAsia="Times New Roman"/>
          <w:noProof/>
        </w:rPr>
        <w:t xml:space="preserve">criminal justice </w:t>
      </w:r>
      <w:r w:rsidR="00BD152C" w:rsidRPr="00A10386">
        <w:rPr>
          <w:rFonts w:eastAsia="Times New Roman"/>
          <w:noProof/>
        </w:rPr>
        <w:t xml:space="preserve">systems of </w:t>
      </w:r>
      <w:r w:rsidR="6B971C51" w:rsidRPr="00A10386">
        <w:rPr>
          <w:rFonts w:eastAsia="Times New Roman"/>
          <w:noProof/>
        </w:rPr>
        <w:t>the Member States</w:t>
      </w:r>
      <w:r w:rsidR="00151F12" w:rsidRPr="00A10386">
        <w:rPr>
          <w:rFonts w:eastAsia="Times New Roman"/>
          <w:noProof/>
        </w:rPr>
        <w:t xml:space="preserve">, supporting </w:t>
      </w:r>
      <w:r w:rsidR="006EDEF0" w:rsidRPr="00A10386">
        <w:rPr>
          <w:rFonts w:eastAsia="Times New Roman"/>
          <w:noProof/>
        </w:rPr>
        <w:t>evidence-based</w:t>
      </w:r>
      <w:r w:rsidR="0D82B0AC" w:rsidRPr="00A10386">
        <w:rPr>
          <w:rFonts w:eastAsia="Times New Roman"/>
          <w:noProof/>
        </w:rPr>
        <w:t xml:space="preserve"> policy making</w:t>
      </w:r>
      <w:r w:rsidRPr="00A10386">
        <w:rPr>
          <w:rFonts w:eastAsia="Times New Roman"/>
          <w:noProof/>
        </w:rPr>
        <w:t xml:space="preserve">. </w:t>
      </w:r>
    </w:p>
    <w:p w14:paraId="28C06C56" w14:textId="77777777" w:rsidR="0066307E" w:rsidRPr="00A10386" w:rsidRDefault="0066307E" w:rsidP="5DD71006">
      <w:pPr>
        <w:pStyle w:val="ManualHeading2"/>
        <w:rPr>
          <w:rFonts w:eastAsia="Arial Unicode MS"/>
          <w:noProof/>
          <w:color w:val="000000" w:themeColor="text1"/>
          <w:lang w:eastAsia="en-GB"/>
        </w:rPr>
      </w:pPr>
      <w:r w:rsidRPr="00A10386">
        <w:rPr>
          <w:rFonts w:eastAsia="Arial Unicode MS"/>
          <w:noProof/>
          <w:color w:val="000000"/>
          <w:bdr w:val="nil"/>
          <w:lang w:eastAsia="en-GB"/>
        </w:rPr>
        <w:t>•</w:t>
      </w:r>
      <w:r w:rsidRPr="00A10386">
        <w:rPr>
          <w:rFonts w:eastAsia="Arial Unicode MS"/>
          <w:noProof/>
          <w:color w:val="000000"/>
          <w:u w:color="000000"/>
          <w:bdr w:val="nil"/>
          <w:lang w:eastAsia="en-GB"/>
        </w:rPr>
        <w:tab/>
      </w:r>
      <w:r w:rsidRPr="00A10386">
        <w:rPr>
          <w:rFonts w:eastAsia="Arial Unicode MS"/>
          <w:noProof/>
        </w:rPr>
        <w:t>Consistency with existing policy provisions in the policy area</w:t>
      </w:r>
    </w:p>
    <w:p w14:paraId="7908E67F" w14:textId="77777777" w:rsidR="00B6055C" w:rsidRPr="00A10386" w:rsidRDefault="63A87C4D" w:rsidP="002D3FA5">
      <w:pPr>
        <w:rPr>
          <w:rFonts w:eastAsiaTheme="minorEastAsia"/>
          <w:noProof/>
          <w:szCs w:val="24"/>
        </w:rPr>
      </w:pPr>
      <w:r w:rsidRPr="00A10386">
        <w:rPr>
          <w:rFonts w:eastAsia="Times New Roman"/>
          <w:noProof/>
        </w:rPr>
        <w:t>This proposal</w:t>
      </w:r>
      <w:r w:rsidR="009411A9" w:rsidRPr="00A10386" w:rsidDel="63A87C4D">
        <w:rPr>
          <w:rFonts w:eastAsia="Times New Roman"/>
          <w:noProof/>
        </w:rPr>
        <w:t xml:space="preserve"> </w:t>
      </w:r>
      <w:r w:rsidR="6330D142" w:rsidRPr="00A10386">
        <w:rPr>
          <w:rFonts w:eastAsia="Times New Roman"/>
          <w:noProof/>
        </w:rPr>
        <w:t xml:space="preserve">is consistent with the New Pact on Migration and Asylum, </w:t>
      </w:r>
      <w:r w:rsidR="7BFE4239" w:rsidRPr="00A10386">
        <w:rPr>
          <w:rFonts w:eastAsia="Times New Roman"/>
          <w:noProof/>
        </w:rPr>
        <w:t xml:space="preserve">which provides </w:t>
      </w:r>
      <w:r w:rsidR="5F723534" w:rsidRPr="00A10386">
        <w:rPr>
          <w:rFonts w:eastAsia="Times New Roman"/>
          <w:noProof/>
        </w:rPr>
        <w:t xml:space="preserve">for </w:t>
      </w:r>
      <w:r w:rsidR="7BFE4239" w:rsidRPr="00A10386">
        <w:rPr>
          <w:noProof/>
        </w:rPr>
        <w:t xml:space="preserve">a strong European response to migrant smuggling inside and outside the EU </w:t>
      </w:r>
      <w:r w:rsidR="01427817" w:rsidRPr="00A10386">
        <w:rPr>
          <w:noProof/>
        </w:rPr>
        <w:t xml:space="preserve">as </w:t>
      </w:r>
      <w:r w:rsidR="7BFE4239" w:rsidRPr="00A10386">
        <w:rPr>
          <w:noProof/>
        </w:rPr>
        <w:t>an essential part of the comprehensive approach to migration</w:t>
      </w:r>
      <w:r w:rsidR="721507B6" w:rsidRPr="00A10386">
        <w:rPr>
          <w:noProof/>
        </w:rPr>
        <w:t>.</w:t>
      </w:r>
      <w:r w:rsidR="68E7C336" w:rsidRPr="00A10386">
        <w:rPr>
          <w:noProof/>
        </w:rPr>
        <w:t xml:space="preserve"> </w:t>
      </w:r>
      <w:r w:rsidR="68E7C336" w:rsidRPr="00A10386">
        <w:rPr>
          <w:rFonts w:eastAsia="Times New Roman"/>
          <w:noProof/>
        </w:rPr>
        <w:t xml:space="preserve">It </w:t>
      </w:r>
      <w:r w:rsidR="0ABD84CF" w:rsidRPr="00A10386">
        <w:rPr>
          <w:rFonts w:eastAsia="Times New Roman"/>
          <w:noProof/>
        </w:rPr>
        <w:t>implements</w:t>
      </w:r>
      <w:r w:rsidRPr="00A10386">
        <w:rPr>
          <w:rFonts w:eastAsia="Times New Roman"/>
          <w:noProof/>
        </w:rPr>
        <w:t xml:space="preserve"> the renewed EU action plan against smuggling (2021-2025)</w:t>
      </w:r>
      <w:r w:rsidR="009E0A6F" w:rsidRPr="00A10386">
        <w:rPr>
          <w:rStyle w:val="FootnoteReference"/>
          <w:rFonts w:eastAsia="Times New Roman"/>
          <w:noProof/>
        </w:rPr>
        <w:footnoteReference w:id="17"/>
      </w:r>
      <w:r w:rsidR="2E87B17C" w:rsidRPr="00A10386">
        <w:rPr>
          <w:rFonts w:eastAsia="Times New Roman"/>
          <w:noProof/>
        </w:rPr>
        <w:t xml:space="preserve">, </w:t>
      </w:r>
      <w:r w:rsidRPr="00A10386">
        <w:rPr>
          <w:rFonts w:eastAsia="Times New Roman"/>
          <w:noProof/>
        </w:rPr>
        <w:t xml:space="preserve">by updating </w:t>
      </w:r>
      <w:r w:rsidR="00F02A8E" w:rsidRPr="00A10386">
        <w:rPr>
          <w:rFonts w:eastAsia="Times New Roman"/>
          <w:noProof/>
        </w:rPr>
        <w:t xml:space="preserve">and modernising </w:t>
      </w:r>
      <w:r w:rsidRPr="00A10386">
        <w:rPr>
          <w:rFonts w:eastAsia="Times New Roman"/>
          <w:noProof/>
        </w:rPr>
        <w:t xml:space="preserve">the existing EU legal framework to </w:t>
      </w:r>
      <w:r w:rsidR="14BB932A" w:rsidRPr="00A10386">
        <w:rPr>
          <w:rFonts w:eastAsia="Times New Roman"/>
          <w:noProof/>
        </w:rPr>
        <w:t>s</w:t>
      </w:r>
      <w:r w:rsidR="14BB932A" w:rsidRPr="00A10386">
        <w:rPr>
          <w:noProof/>
        </w:rPr>
        <w:t xml:space="preserve">anction migrant smugglers acting on the migratory routes. </w:t>
      </w:r>
      <w:r w:rsidR="0B4471F1" w:rsidRPr="00A10386">
        <w:rPr>
          <w:noProof/>
        </w:rPr>
        <w:t xml:space="preserve">The </w:t>
      </w:r>
      <w:r w:rsidR="0EFE6977" w:rsidRPr="00A10386">
        <w:rPr>
          <w:noProof/>
        </w:rPr>
        <w:t xml:space="preserve">proposal is consistent and coherent </w:t>
      </w:r>
      <w:r w:rsidR="0EFE6977" w:rsidRPr="00A10386">
        <w:rPr>
          <w:rFonts w:eastAsiaTheme="minorEastAsia"/>
          <w:noProof/>
          <w:szCs w:val="24"/>
        </w:rPr>
        <w:t xml:space="preserve">with the </w:t>
      </w:r>
      <w:r w:rsidR="576F7F41" w:rsidRPr="00A10386">
        <w:rPr>
          <w:rFonts w:eastAsiaTheme="minorEastAsia"/>
          <w:noProof/>
          <w:szCs w:val="24"/>
        </w:rPr>
        <w:t>EU</w:t>
      </w:r>
      <w:r w:rsidR="0EFE6977" w:rsidRPr="00A10386">
        <w:rPr>
          <w:rFonts w:eastAsiaTheme="minorEastAsia"/>
          <w:noProof/>
          <w:szCs w:val="24"/>
        </w:rPr>
        <w:t xml:space="preserve"> Action Plans presented by the Commission </w:t>
      </w:r>
      <w:r w:rsidR="7498503B" w:rsidRPr="00A10386">
        <w:rPr>
          <w:rFonts w:eastAsiaTheme="minorEastAsia"/>
          <w:noProof/>
          <w:szCs w:val="24"/>
        </w:rPr>
        <w:t>on</w:t>
      </w:r>
      <w:r w:rsidR="0EFE6977" w:rsidRPr="00A10386">
        <w:rPr>
          <w:rFonts w:eastAsiaTheme="minorEastAsia"/>
          <w:noProof/>
          <w:szCs w:val="24"/>
        </w:rPr>
        <w:t xml:space="preserve"> the Central Mediterranean, </w:t>
      </w:r>
      <w:r w:rsidR="6039165D" w:rsidRPr="00A10386">
        <w:rPr>
          <w:rFonts w:eastAsiaTheme="minorEastAsia"/>
          <w:noProof/>
          <w:szCs w:val="24"/>
        </w:rPr>
        <w:t xml:space="preserve">the </w:t>
      </w:r>
      <w:r w:rsidR="0EFE6977" w:rsidRPr="00A10386">
        <w:rPr>
          <w:rFonts w:eastAsiaTheme="minorEastAsia"/>
          <w:noProof/>
          <w:szCs w:val="24"/>
        </w:rPr>
        <w:t>Eastern Mediterranean</w:t>
      </w:r>
      <w:r w:rsidR="6039165D" w:rsidRPr="00A10386">
        <w:rPr>
          <w:rFonts w:eastAsiaTheme="minorEastAsia"/>
          <w:noProof/>
          <w:szCs w:val="24"/>
        </w:rPr>
        <w:t>, the</w:t>
      </w:r>
      <w:r w:rsidR="0EFE6977" w:rsidRPr="00A10386">
        <w:rPr>
          <w:rFonts w:eastAsiaTheme="minorEastAsia"/>
          <w:noProof/>
          <w:szCs w:val="24"/>
        </w:rPr>
        <w:t xml:space="preserve"> Western Mediterranean</w:t>
      </w:r>
      <w:r w:rsidR="6D4568BF" w:rsidRPr="00A10386">
        <w:rPr>
          <w:rFonts w:eastAsiaTheme="minorEastAsia"/>
          <w:noProof/>
          <w:szCs w:val="24"/>
        </w:rPr>
        <w:t xml:space="preserve"> and </w:t>
      </w:r>
      <w:r w:rsidR="0EFE6977" w:rsidRPr="00A10386">
        <w:rPr>
          <w:rFonts w:eastAsiaTheme="minorEastAsia"/>
          <w:noProof/>
          <w:szCs w:val="24"/>
        </w:rPr>
        <w:t>Atlantic</w:t>
      </w:r>
      <w:r w:rsidR="6D4568BF" w:rsidRPr="00A10386">
        <w:rPr>
          <w:rFonts w:eastAsiaTheme="minorEastAsia"/>
          <w:noProof/>
          <w:szCs w:val="24"/>
        </w:rPr>
        <w:t>,</w:t>
      </w:r>
      <w:r w:rsidR="0EFE6977" w:rsidRPr="00A10386">
        <w:rPr>
          <w:rFonts w:eastAsiaTheme="minorEastAsia"/>
          <w:noProof/>
          <w:szCs w:val="24"/>
        </w:rPr>
        <w:t xml:space="preserve"> </w:t>
      </w:r>
      <w:r w:rsidR="6039165D" w:rsidRPr="00A10386">
        <w:rPr>
          <w:rFonts w:eastAsiaTheme="minorEastAsia"/>
          <w:noProof/>
          <w:szCs w:val="24"/>
        </w:rPr>
        <w:t>and the Western Balkans</w:t>
      </w:r>
      <w:r w:rsidR="6D4568BF" w:rsidRPr="00A10386">
        <w:rPr>
          <w:rFonts w:eastAsiaTheme="minorEastAsia"/>
          <w:noProof/>
          <w:szCs w:val="24"/>
        </w:rPr>
        <w:t xml:space="preserve"> routes</w:t>
      </w:r>
      <w:r w:rsidR="0EFE6977" w:rsidRPr="00A10386">
        <w:rPr>
          <w:rFonts w:eastAsiaTheme="minorEastAsia"/>
          <w:noProof/>
          <w:szCs w:val="24"/>
        </w:rPr>
        <w:t xml:space="preserve">, as well as with the Toolbox </w:t>
      </w:r>
      <w:r w:rsidR="6DC256EE" w:rsidRPr="00A10386">
        <w:rPr>
          <w:rFonts w:eastAsiaTheme="minorEastAsia"/>
          <w:noProof/>
          <w:szCs w:val="24"/>
        </w:rPr>
        <w:t xml:space="preserve">addressing the use of commercial means of </w:t>
      </w:r>
      <w:r w:rsidR="0EFE6977" w:rsidRPr="00A10386">
        <w:rPr>
          <w:rFonts w:eastAsiaTheme="minorEastAsia"/>
          <w:noProof/>
          <w:szCs w:val="24"/>
        </w:rPr>
        <w:t xml:space="preserve">transport </w:t>
      </w:r>
      <w:r w:rsidR="6DC256EE" w:rsidRPr="00A10386">
        <w:rPr>
          <w:rFonts w:eastAsiaTheme="minorEastAsia"/>
          <w:noProof/>
          <w:szCs w:val="24"/>
        </w:rPr>
        <w:t>to facilitate irregular migration to the EU</w:t>
      </w:r>
      <w:r w:rsidR="0060676C" w:rsidRPr="00A10386">
        <w:rPr>
          <w:rStyle w:val="FootnoteReference"/>
          <w:noProof/>
        </w:rPr>
        <w:footnoteReference w:id="18"/>
      </w:r>
      <w:r w:rsidR="7A052B6C" w:rsidRPr="00A10386">
        <w:rPr>
          <w:rFonts w:eastAsiaTheme="minorEastAsia"/>
          <w:noProof/>
          <w:szCs w:val="24"/>
        </w:rPr>
        <w:t xml:space="preserve"> and the proposal for a Regulation on measures against transport operators that facilitate or engage in trafficking in persons or smuggling of migrants in relation to illegal entry into the territory of the European Union</w:t>
      </w:r>
      <w:r w:rsidR="00D30E22" w:rsidRPr="00A10386">
        <w:rPr>
          <w:rStyle w:val="FootnoteReference"/>
          <w:noProof/>
        </w:rPr>
        <w:footnoteReference w:id="19"/>
      </w:r>
      <w:r w:rsidR="0EFE6977" w:rsidRPr="00A10386">
        <w:rPr>
          <w:rFonts w:eastAsiaTheme="minorEastAsia"/>
          <w:noProof/>
          <w:szCs w:val="24"/>
        </w:rPr>
        <w:t>.</w:t>
      </w:r>
      <w:r w:rsidR="751899B9" w:rsidRPr="00A10386">
        <w:rPr>
          <w:rFonts w:eastAsiaTheme="minorEastAsia"/>
          <w:noProof/>
          <w:szCs w:val="24"/>
        </w:rPr>
        <w:t xml:space="preserve"> </w:t>
      </w:r>
      <w:r w:rsidR="00E218B3" w:rsidRPr="00A10386">
        <w:rPr>
          <w:rFonts w:eastAsiaTheme="minorEastAsia"/>
          <w:noProof/>
          <w:szCs w:val="24"/>
        </w:rPr>
        <w:t>It</w:t>
      </w:r>
      <w:r w:rsidR="751899B9" w:rsidRPr="00A10386">
        <w:rPr>
          <w:rFonts w:eastAsiaTheme="minorEastAsia"/>
          <w:noProof/>
          <w:szCs w:val="24"/>
        </w:rPr>
        <w:t xml:space="preserve"> is also in line with </w:t>
      </w:r>
      <w:r w:rsidR="243545B8" w:rsidRPr="00A10386">
        <w:rPr>
          <w:rFonts w:eastAsiaTheme="minorEastAsia"/>
          <w:noProof/>
          <w:szCs w:val="24"/>
        </w:rPr>
        <w:t>commitments of comprehensive partnerships on migration undertaken at international level.</w:t>
      </w:r>
    </w:p>
    <w:p w14:paraId="657F8C5F" w14:textId="2166B611" w:rsidR="00B6055C" w:rsidRPr="00A10386" w:rsidRDefault="009411A9" w:rsidP="002D3FA5">
      <w:pPr>
        <w:rPr>
          <w:rFonts w:eastAsia="Times New Roman"/>
          <w:noProof/>
        </w:rPr>
      </w:pPr>
      <w:r w:rsidRPr="00A10386">
        <w:rPr>
          <w:rFonts w:eastAsia="Times New Roman"/>
          <w:noProof/>
        </w:rPr>
        <w:t xml:space="preserve">This proposal </w:t>
      </w:r>
      <w:r w:rsidR="00261303" w:rsidRPr="00A10386">
        <w:rPr>
          <w:rFonts w:eastAsia="Times New Roman"/>
          <w:noProof/>
        </w:rPr>
        <w:t xml:space="preserve">is </w:t>
      </w:r>
      <w:r w:rsidR="00CD4624" w:rsidRPr="00A10386">
        <w:rPr>
          <w:rFonts w:eastAsia="Times New Roman"/>
          <w:noProof/>
        </w:rPr>
        <w:t xml:space="preserve">also </w:t>
      </w:r>
      <w:r w:rsidR="00B6055C" w:rsidRPr="00A10386">
        <w:rPr>
          <w:rFonts w:eastAsia="Times New Roman"/>
          <w:noProof/>
        </w:rPr>
        <w:t>consistent</w:t>
      </w:r>
      <w:r w:rsidRPr="00A10386">
        <w:rPr>
          <w:rFonts w:eastAsia="Times New Roman"/>
          <w:noProof/>
        </w:rPr>
        <w:t xml:space="preserve"> with the UN Protocol </w:t>
      </w:r>
      <w:r w:rsidR="00E91874" w:rsidRPr="00A10386">
        <w:rPr>
          <w:rFonts w:eastAsia="Times New Roman"/>
          <w:noProof/>
        </w:rPr>
        <w:t>A</w:t>
      </w:r>
      <w:r w:rsidRPr="00A10386">
        <w:rPr>
          <w:rFonts w:eastAsia="Times New Roman"/>
          <w:noProof/>
        </w:rPr>
        <w:t xml:space="preserve">gainst the </w:t>
      </w:r>
      <w:r w:rsidR="00E91874" w:rsidRPr="00A10386">
        <w:rPr>
          <w:rFonts w:eastAsia="Times New Roman"/>
          <w:noProof/>
        </w:rPr>
        <w:t>S</w:t>
      </w:r>
      <w:r w:rsidRPr="00A10386">
        <w:rPr>
          <w:rFonts w:eastAsia="Times New Roman"/>
          <w:noProof/>
        </w:rPr>
        <w:t xml:space="preserve">muggling of </w:t>
      </w:r>
      <w:r w:rsidR="00E91874" w:rsidRPr="00A10386">
        <w:rPr>
          <w:rFonts w:eastAsia="Times New Roman"/>
          <w:noProof/>
        </w:rPr>
        <w:t>M</w:t>
      </w:r>
      <w:r w:rsidRPr="00A10386">
        <w:rPr>
          <w:rFonts w:eastAsia="Times New Roman"/>
          <w:noProof/>
        </w:rPr>
        <w:t xml:space="preserve">igrants by </w:t>
      </w:r>
      <w:r w:rsidR="00E91874" w:rsidRPr="00A10386">
        <w:rPr>
          <w:rFonts w:eastAsia="Times New Roman"/>
          <w:noProof/>
        </w:rPr>
        <w:t>L</w:t>
      </w:r>
      <w:r w:rsidRPr="00A10386">
        <w:rPr>
          <w:rFonts w:eastAsia="Times New Roman"/>
          <w:noProof/>
        </w:rPr>
        <w:t xml:space="preserve">and, </w:t>
      </w:r>
      <w:r w:rsidR="00E91874" w:rsidRPr="00A10386">
        <w:rPr>
          <w:rFonts w:eastAsia="Times New Roman"/>
          <w:noProof/>
        </w:rPr>
        <w:t>S</w:t>
      </w:r>
      <w:r w:rsidRPr="00A10386">
        <w:rPr>
          <w:rFonts w:eastAsia="Times New Roman"/>
          <w:noProof/>
        </w:rPr>
        <w:t xml:space="preserve">ea and </w:t>
      </w:r>
      <w:r w:rsidR="00E91874" w:rsidRPr="00A10386">
        <w:rPr>
          <w:rFonts w:eastAsia="Times New Roman"/>
          <w:noProof/>
        </w:rPr>
        <w:t>A</w:t>
      </w:r>
      <w:r w:rsidRPr="00A10386">
        <w:rPr>
          <w:rFonts w:eastAsia="Times New Roman"/>
          <w:noProof/>
        </w:rPr>
        <w:t>ir</w:t>
      </w:r>
      <w:r w:rsidR="00E218B3" w:rsidRPr="00A10386">
        <w:rPr>
          <w:rFonts w:eastAsia="Times New Roman"/>
          <w:noProof/>
        </w:rPr>
        <w:t>,</w:t>
      </w:r>
      <w:r w:rsidRPr="00A10386">
        <w:rPr>
          <w:rFonts w:eastAsia="Times New Roman"/>
          <w:noProof/>
        </w:rPr>
        <w:t xml:space="preserve"> supplementing the United Nations Convention against Transnational Organised Crime to which the European Union </w:t>
      </w:r>
      <w:r w:rsidR="00261303" w:rsidRPr="00A10386">
        <w:rPr>
          <w:rFonts w:eastAsia="Times New Roman"/>
          <w:noProof/>
        </w:rPr>
        <w:t>is</w:t>
      </w:r>
      <w:r w:rsidRPr="00A10386">
        <w:rPr>
          <w:rFonts w:eastAsia="Times New Roman"/>
          <w:noProof/>
        </w:rPr>
        <w:t xml:space="preserve"> part</w:t>
      </w:r>
      <w:r w:rsidR="00261303" w:rsidRPr="00A10386">
        <w:rPr>
          <w:rFonts w:eastAsia="Times New Roman"/>
          <w:noProof/>
        </w:rPr>
        <w:t>y</w:t>
      </w:r>
      <w:r w:rsidR="00E4609E" w:rsidRPr="00A10386">
        <w:rPr>
          <w:rFonts w:eastAsia="Times New Roman"/>
          <w:noProof/>
        </w:rPr>
        <w:t>. The UN Protocol</w:t>
      </w:r>
      <w:r w:rsidR="00347A56" w:rsidRPr="00A10386">
        <w:rPr>
          <w:rFonts w:eastAsia="Times New Roman"/>
          <w:noProof/>
        </w:rPr>
        <w:t xml:space="preserve"> </w:t>
      </w:r>
      <w:r w:rsidR="00DC6651" w:rsidRPr="00A10386">
        <w:rPr>
          <w:rFonts w:eastAsia="Times New Roman"/>
          <w:noProof/>
        </w:rPr>
        <w:t xml:space="preserve">includes financial </w:t>
      </w:r>
      <w:r w:rsidR="008C09B4" w:rsidRPr="00A10386">
        <w:rPr>
          <w:rFonts w:eastAsia="Times New Roman"/>
          <w:noProof/>
        </w:rPr>
        <w:t xml:space="preserve">or </w:t>
      </w:r>
      <w:r w:rsidR="00CC2EE2" w:rsidRPr="00A10386">
        <w:rPr>
          <w:rFonts w:eastAsia="Times New Roman"/>
          <w:noProof/>
        </w:rPr>
        <w:t xml:space="preserve">other </w:t>
      </w:r>
      <w:r w:rsidR="008C09B4" w:rsidRPr="00A10386">
        <w:rPr>
          <w:rFonts w:eastAsia="Times New Roman"/>
          <w:noProof/>
        </w:rPr>
        <w:t xml:space="preserve">material benefit as a </w:t>
      </w:r>
      <w:r w:rsidR="00944280" w:rsidRPr="00A10386">
        <w:rPr>
          <w:rFonts w:eastAsia="Times New Roman"/>
          <w:noProof/>
        </w:rPr>
        <w:t>cons</w:t>
      </w:r>
      <w:r w:rsidR="004960FB" w:rsidRPr="00A10386">
        <w:rPr>
          <w:rFonts w:eastAsia="Times New Roman"/>
          <w:noProof/>
        </w:rPr>
        <w:t>tituent</w:t>
      </w:r>
      <w:r w:rsidR="008C09B4" w:rsidRPr="00A10386">
        <w:rPr>
          <w:rFonts w:eastAsia="Times New Roman"/>
          <w:noProof/>
        </w:rPr>
        <w:t xml:space="preserve"> element of the crime and </w:t>
      </w:r>
      <w:r w:rsidR="00475D96" w:rsidRPr="00A10386">
        <w:rPr>
          <w:rFonts w:eastAsia="Times New Roman"/>
          <w:noProof/>
        </w:rPr>
        <w:t xml:space="preserve">provides that </w:t>
      </w:r>
      <w:r w:rsidR="00C976F9" w:rsidRPr="00A10386">
        <w:rPr>
          <w:rFonts w:eastAsia="Times New Roman"/>
          <w:noProof/>
        </w:rPr>
        <w:t>third-country nationals</w:t>
      </w:r>
      <w:r w:rsidR="00475D96" w:rsidRPr="00A10386">
        <w:rPr>
          <w:rFonts w:eastAsia="Times New Roman"/>
          <w:noProof/>
        </w:rPr>
        <w:t xml:space="preserve"> are not to </w:t>
      </w:r>
      <w:r w:rsidR="00475D96" w:rsidRPr="00A10386">
        <w:rPr>
          <w:rFonts w:eastAsiaTheme="minorEastAsia"/>
          <w:noProof/>
        </w:rPr>
        <w:t>become</w:t>
      </w:r>
      <w:r w:rsidR="00475D96" w:rsidRPr="00A10386">
        <w:rPr>
          <w:rFonts w:eastAsia="Times New Roman"/>
          <w:noProof/>
        </w:rPr>
        <w:t xml:space="preserve"> liable to criminal prosecution under the Protocol for having been </w:t>
      </w:r>
      <w:r w:rsidR="00CC2EE2" w:rsidRPr="00A10386">
        <w:rPr>
          <w:rFonts w:eastAsia="Times New Roman"/>
          <w:noProof/>
        </w:rPr>
        <w:t>subject to the offence</w:t>
      </w:r>
      <w:r w:rsidRPr="00A10386">
        <w:rPr>
          <w:rFonts w:eastAsia="Times New Roman"/>
          <w:noProof/>
        </w:rPr>
        <w:t>.</w:t>
      </w:r>
    </w:p>
    <w:p w14:paraId="69390AA0" w14:textId="3CE1239D" w:rsidR="0046014A" w:rsidRPr="00A10386" w:rsidRDefault="005E3FBD" w:rsidP="002D3FA5">
      <w:pPr>
        <w:rPr>
          <w:rFonts w:eastAsia="Times New Roman"/>
          <w:noProof/>
        </w:rPr>
      </w:pPr>
      <w:r w:rsidRPr="00A10386">
        <w:rPr>
          <w:rFonts w:eastAsia="Times New Roman"/>
          <w:noProof/>
        </w:rPr>
        <w:t>The proposal supports the objectives of the EU Security Union Strategy</w:t>
      </w:r>
      <w:r w:rsidR="002A73E0" w:rsidRPr="00A10386">
        <w:rPr>
          <w:rStyle w:val="FootnoteReference"/>
          <w:noProof/>
        </w:rPr>
        <w:footnoteReference w:id="20"/>
      </w:r>
      <w:r w:rsidR="001C2603" w:rsidRPr="00A10386">
        <w:rPr>
          <w:rFonts w:eastAsia="Times New Roman"/>
          <w:noProof/>
        </w:rPr>
        <w:t xml:space="preserve">, </w:t>
      </w:r>
      <w:r w:rsidRPr="00A10386">
        <w:rPr>
          <w:rFonts w:eastAsia="Times New Roman"/>
          <w:noProof/>
        </w:rPr>
        <w:t xml:space="preserve">the EU </w:t>
      </w:r>
      <w:r w:rsidR="0024101A" w:rsidRPr="00A10386">
        <w:rPr>
          <w:rFonts w:eastAsia="Times New Roman"/>
          <w:noProof/>
        </w:rPr>
        <w:t>s</w:t>
      </w:r>
      <w:r w:rsidRPr="00A10386">
        <w:rPr>
          <w:rFonts w:eastAsia="Times New Roman"/>
          <w:noProof/>
        </w:rPr>
        <w:t>trategies to tackle Organised Crime 2021-2025</w:t>
      </w:r>
      <w:r w:rsidR="002F14D7" w:rsidRPr="00A10386">
        <w:rPr>
          <w:rStyle w:val="FootnoteReference"/>
          <w:noProof/>
        </w:rPr>
        <w:footnoteReference w:id="21"/>
      </w:r>
      <w:r w:rsidRPr="00A10386">
        <w:rPr>
          <w:rFonts w:eastAsia="Times New Roman"/>
          <w:noProof/>
        </w:rPr>
        <w:t xml:space="preserve"> and on Combating Trafficking in Human Beings 2021-2025</w:t>
      </w:r>
      <w:r w:rsidR="0094223D" w:rsidRPr="00A10386">
        <w:rPr>
          <w:rStyle w:val="FootnoteReference"/>
          <w:noProof/>
        </w:rPr>
        <w:footnoteReference w:id="22"/>
      </w:r>
      <w:r w:rsidR="001C2603" w:rsidRPr="00A10386">
        <w:rPr>
          <w:rFonts w:eastAsia="Times New Roman"/>
          <w:noProof/>
        </w:rPr>
        <w:t xml:space="preserve">, as well as </w:t>
      </w:r>
      <w:r w:rsidR="001C2603" w:rsidRPr="00A10386">
        <w:rPr>
          <w:rFonts w:eastAsia="Times New Roman"/>
          <w:noProof/>
          <w:lang w:val="en-US"/>
        </w:rPr>
        <w:t>the revised EU Maritime Security Strategy</w:t>
      </w:r>
      <w:r w:rsidR="00436EB4">
        <w:rPr>
          <w:rStyle w:val="FootnoteReference"/>
          <w:rFonts w:eastAsia="Times New Roman"/>
          <w:noProof/>
          <w:lang w:val="en-US"/>
        </w:rPr>
        <w:footnoteReference w:id="23"/>
      </w:r>
      <w:r w:rsidR="0024101A" w:rsidRPr="00A10386">
        <w:rPr>
          <w:rFonts w:eastAsia="Times New Roman"/>
          <w:noProof/>
        </w:rPr>
        <w:t>.</w:t>
      </w:r>
    </w:p>
    <w:p w14:paraId="4C598E77" w14:textId="7A9D0527" w:rsidR="1F951F3C" w:rsidRPr="00A10386" w:rsidRDefault="25FEE45B" w:rsidP="002D3FA5">
      <w:pPr>
        <w:rPr>
          <w:rFonts w:eastAsia="Times New Roman"/>
          <w:noProof/>
        </w:rPr>
      </w:pPr>
      <w:r w:rsidRPr="00A10386">
        <w:rPr>
          <w:rFonts w:eastAsia="Times New Roman"/>
          <w:noProof/>
        </w:rPr>
        <w:t xml:space="preserve">The proposal is consistent with the Commission’s </w:t>
      </w:r>
      <w:r w:rsidR="0024101A" w:rsidRPr="00A10386">
        <w:rPr>
          <w:rFonts w:eastAsia="Times New Roman"/>
          <w:noProof/>
        </w:rPr>
        <w:t>2020</w:t>
      </w:r>
      <w:r w:rsidR="1F951F3C" w:rsidRPr="00A10386">
        <w:rPr>
          <w:rFonts w:eastAsia="Times New Roman"/>
          <w:noProof/>
        </w:rPr>
        <w:t xml:space="preserve"> Guidance on the implementation of </w:t>
      </w:r>
      <w:r w:rsidR="009835E7" w:rsidRPr="00A10386">
        <w:rPr>
          <w:rFonts w:eastAsia="Times New Roman"/>
          <w:noProof/>
        </w:rPr>
        <w:t>EU rules on definition and prevention of the facilitation of unauthorised entry, transit and residence</w:t>
      </w:r>
      <w:r w:rsidR="00485DBC" w:rsidRPr="00A10386">
        <w:rPr>
          <w:rStyle w:val="FootnoteReference"/>
          <w:rFonts w:eastAsia="Times New Roman"/>
          <w:noProof/>
        </w:rPr>
        <w:footnoteReference w:id="24"/>
      </w:r>
      <w:r w:rsidR="009835E7" w:rsidRPr="00A10386">
        <w:rPr>
          <w:rFonts w:eastAsia="Times New Roman"/>
          <w:noProof/>
        </w:rPr>
        <w:t>,</w:t>
      </w:r>
      <w:r w:rsidR="1F951F3C" w:rsidRPr="00A10386">
        <w:rPr>
          <w:rFonts w:eastAsia="Times New Roman"/>
          <w:noProof/>
        </w:rPr>
        <w:t xml:space="preserve"> </w:t>
      </w:r>
      <w:r w:rsidR="00E702FA" w:rsidRPr="00A10386">
        <w:rPr>
          <w:rFonts w:eastAsia="Times New Roman"/>
          <w:noProof/>
        </w:rPr>
        <w:t xml:space="preserve">which </w:t>
      </w:r>
      <w:r w:rsidR="00615985" w:rsidRPr="00A10386">
        <w:rPr>
          <w:rFonts w:eastAsia="Times New Roman"/>
          <w:noProof/>
        </w:rPr>
        <w:t>asserts</w:t>
      </w:r>
      <w:r w:rsidR="1F951F3C" w:rsidRPr="00A10386">
        <w:rPr>
          <w:rFonts w:eastAsia="Times New Roman"/>
          <w:noProof/>
        </w:rPr>
        <w:t xml:space="preserve"> that humanitarian assistance mandated by law (for example in the framework of search and rescue operations) </w:t>
      </w:r>
      <w:r w:rsidR="00615985" w:rsidRPr="00A10386">
        <w:rPr>
          <w:noProof/>
        </w:rPr>
        <w:t>cannot and must not be criminalised</w:t>
      </w:r>
      <w:r w:rsidR="4138D62A" w:rsidRPr="00A10386">
        <w:rPr>
          <w:noProof/>
        </w:rPr>
        <w:t>,</w:t>
      </w:r>
      <w:r w:rsidR="00A837FA" w:rsidRPr="00A10386">
        <w:rPr>
          <w:noProof/>
        </w:rPr>
        <w:t xml:space="preserve"> </w:t>
      </w:r>
      <w:r w:rsidR="00615985" w:rsidRPr="00A10386">
        <w:rPr>
          <w:noProof/>
        </w:rPr>
        <w:t>that</w:t>
      </w:r>
      <w:r w:rsidR="0024101A" w:rsidRPr="00A10386" w:rsidDel="00615985">
        <w:rPr>
          <w:noProof/>
        </w:rPr>
        <w:t xml:space="preserve"> </w:t>
      </w:r>
      <w:r w:rsidR="27A09E2E" w:rsidRPr="00A10386">
        <w:rPr>
          <w:rFonts w:eastAsiaTheme="minorEastAsia"/>
          <w:noProof/>
        </w:rPr>
        <w:t>criminalisation</w:t>
      </w:r>
      <w:r w:rsidR="27A09E2E" w:rsidRPr="00A10386">
        <w:rPr>
          <w:rFonts w:eastAsia="Times New Roman"/>
          <w:noProof/>
        </w:rPr>
        <w:t xml:space="preserve"> of any</w:t>
      </w:r>
      <w:r w:rsidR="27A09E2E" w:rsidRPr="00A10386" w:rsidDel="00A837FA">
        <w:rPr>
          <w:rFonts w:eastAsia="Times New Roman"/>
          <w:noProof/>
        </w:rPr>
        <w:t xml:space="preserve"> </w:t>
      </w:r>
      <w:r w:rsidR="27A09E2E" w:rsidRPr="00A10386">
        <w:rPr>
          <w:rFonts w:eastAsia="Times New Roman"/>
          <w:noProof/>
        </w:rPr>
        <w:t>non-state actors that carr</w:t>
      </w:r>
      <w:r w:rsidR="006753AC" w:rsidRPr="00A10386">
        <w:rPr>
          <w:rFonts w:eastAsia="Times New Roman"/>
          <w:noProof/>
        </w:rPr>
        <w:t>y</w:t>
      </w:r>
      <w:r w:rsidR="27A09E2E" w:rsidRPr="00A10386">
        <w:rPr>
          <w:rFonts w:eastAsia="Times New Roman"/>
          <w:noProof/>
        </w:rPr>
        <w:t xml:space="preserve"> out search and rescue operations at sea, complying with the relevant legal framework, amounts to a breach of international law and is therefore not permitted by EU law</w:t>
      </w:r>
      <w:r w:rsidR="7D35BED8" w:rsidRPr="00A10386">
        <w:rPr>
          <w:rFonts w:eastAsia="Times New Roman"/>
          <w:noProof/>
        </w:rPr>
        <w:t xml:space="preserve"> and that</w:t>
      </w:r>
      <w:r w:rsidR="00A837FA" w:rsidRPr="00A10386">
        <w:rPr>
          <w:rFonts w:eastAsia="Times New Roman"/>
          <w:noProof/>
        </w:rPr>
        <w:t>,</w:t>
      </w:r>
      <w:r w:rsidR="7D35BED8" w:rsidRPr="00A10386">
        <w:rPr>
          <w:rFonts w:eastAsia="Times New Roman"/>
          <w:noProof/>
        </w:rPr>
        <w:t xml:space="preserve"> </w:t>
      </w:r>
      <w:r w:rsidR="00615985" w:rsidRPr="00A10386">
        <w:rPr>
          <w:noProof/>
        </w:rPr>
        <w:t xml:space="preserve">where applicable, </w:t>
      </w:r>
      <w:r w:rsidR="008503CE" w:rsidRPr="00A10386">
        <w:rPr>
          <w:noProof/>
        </w:rPr>
        <w:t xml:space="preserve">an </w:t>
      </w:r>
      <w:r w:rsidR="00615985" w:rsidRPr="00A10386">
        <w:rPr>
          <w:noProof/>
        </w:rPr>
        <w:t>assessment of whether an act falls within the concept of ‘humanitarian assistance’ – a concept that cannot be construed in a manner that would allow an act mandated by law to be criminalised – should be carried out on a case-by-case basis, taking into account all the relevant circumstances.</w:t>
      </w:r>
      <w:r w:rsidR="1F951F3C" w:rsidRPr="00A10386">
        <w:rPr>
          <w:noProof/>
        </w:rPr>
        <w:t xml:space="preserve"> </w:t>
      </w:r>
    </w:p>
    <w:p w14:paraId="22BB4C1D" w14:textId="77777777" w:rsidR="0066307E" w:rsidRPr="00A10386" w:rsidRDefault="0066307E" w:rsidP="007F522A">
      <w:pPr>
        <w:pStyle w:val="ManualHeading2"/>
        <w:rPr>
          <w:rFonts w:eastAsia="Arial Unicode MS"/>
          <w:noProof/>
        </w:rPr>
      </w:pPr>
      <w:r w:rsidRPr="00A10386">
        <w:rPr>
          <w:rFonts w:eastAsia="Arial Unicode MS"/>
          <w:noProof/>
          <w:color w:val="000000"/>
          <w:u w:color="000000"/>
          <w:bdr w:val="nil"/>
          <w:lang w:eastAsia="en-GB"/>
        </w:rPr>
        <w:t>•</w:t>
      </w:r>
      <w:r w:rsidRPr="00A10386">
        <w:rPr>
          <w:rFonts w:eastAsia="Arial Unicode MS"/>
          <w:noProof/>
          <w:color w:val="000000"/>
          <w:u w:color="000000"/>
          <w:bdr w:val="nil"/>
          <w:lang w:eastAsia="en-GB"/>
        </w:rPr>
        <w:tab/>
      </w:r>
      <w:r w:rsidRPr="00A10386">
        <w:rPr>
          <w:rFonts w:eastAsia="Arial Unicode MS"/>
          <w:noProof/>
        </w:rPr>
        <w:t>Consistency with other Union policies</w:t>
      </w:r>
    </w:p>
    <w:p w14:paraId="0663C90F" w14:textId="77777777" w:rsidR="0066307E" w:rsidRPr="00A10386" w:rsidRDefault="00CA52A3" w:rsidP="002D3FA5">
      <w:pPr>
        <w:rPr>
          <w:rFonts w:eastAsia="Times New Roman"/>
          <w:noProof/>
        </w:rPr>
      </w:pPr>
      <w:r w:rsidRPr="00A10386">
        <w:rPr>
          <w:noProof/>
          <w:color w:val="333333"/>
          <w:shd w:val="clear" w:color="auto" w:fill="FFFFFF"/>
        </w:rPr>
        <w:t>The</w:t>
      </w:r>
      <w:r w:rsidR="73BB4190" w:rsidRPr="00A10386">
        <w:rPr>
          <w:noProof/>
          <w:color w:val="333333"/>
          <w:shd w:val="clear" w:color="auto" w:fill="FFFFFF"/>
        </w:rPr>
        <w:t xml:space="preserve"> </w:t>
      </w:r>
      <w:r w:rsidR="00FA06D2" w:rsidRPr="00A10386">
        <w:rPr>
          <w:noProof/>
          <w:color w:val="333333"/>
          <w:shd w:val="clear" w:color="auto" w:fill="FFFFFF"/>
        </w:rPr>
        <w:t>proposal for a</w:t>
      </w:r>
      <w:r w:rsidR="73BB4190" w:rsidRPr="00A10386">
        <w:rPr>
          <w:noProof/>
          <w:color w:val="333333"/>
          <w:shd w:val="clear" w:color="auto" w:fill="FFFFFF"/>
        </w:rPr>
        <w:t xml:space="preserve"> Directive </w:t>
      </w:r>
      <w:r w:rsidRPr="00A10386">
        <w:rPr>
          <w:noProof/>
          <w:color w:val="333333"/>
          <w:shd w:val="clear" w:color="auto" w:fill="FFFFFF"/>
        </w:rPr>
        <w:t>is</w:t>
      </w:r>
      <w:r w:rsidR="73BB4190" w:rsidRPr="00A10386">
        <w:rPr>
          <w:noProof/>
          <w:color w:val="333333"/>
          <w:shd w:val="clear" w:color="auto" w:fill="FFFFFF"/>
        </w:rPr>
        <w:t xml:space="preserve"> in line with the policy aims pursued by the Union, and in </w:t>
      </w:r>
      <w:r w:rsidR="73BB4190" w:rsidRPr="00A10386">
        <w:rPr>
          <w:noProof/>
        </w:rPr>
        <w:t>particular</w:t>
      </w:r>
      <w:r w:rsidR="73BB4190" w:rsidRPr="00A10386">
        <w:rPr>
          <w:noProof/>
          <w:color w:val="333333"/>
          <w:shd w:val="clear" w:color="auto" w:fill="FFFFFF"/>
        </w:rPr>
        <w:t xml:space="preserve"> with</w:t>
      </w:r>
      <w:r w:rsidR="73BB4190" w:rsidRPr="00A10386">
        <w:rPr>
          <w:rFonts w:eastAsia="Times New Roman"/>
          <w:noProof/>
        </w:rPr>
        <w:t>:</w:t>
      </w:r>
    </w:p>
    <w:p w14:paraId="3D24F3BB" w14:textId="77777777" w:rsidR="0013406B" w:rsidRPr="00A10386" w:rsidRDefault="0013406B" w:rsidP="00DD774F">
      <w:pPr>
        <w:pStyle w:val="Bullet0"/>
        <w:numPr>
          <w:ilvl w:val="0"/>
          <w:numId w:val="1"/>
        </w:numPr>
        <w:rPr>
          <w:noProof/>
        </w:rPr>
      </w:pPr>
      <w:r w:rsidRPr="00A10386">
        <w:rPr>
          <w:noProof/>
        </w:rPr>
        <w:t>Directive 2014/42/EU of the European Parliament and of the Council of 3 April 2014 on the freezing and confiscation of instrumentalities and proceeds of crime in the European Union</w:t>
      </w:r>
      <w:r w:rsidR="00A837FA" w:rsidRPr="00A10386">
        <w:rPr>
          <w:noProof/>
        </w:rPr>
        <w:t xml:space="preserve"> and the Proposal for a Directive on asset recovery and confiscation</w:t>
      </w:r>
      <w:r w:rsidR="00A837FA" w:rsidRPr="00A10386">
        <w:rPr>
          <w:rStyle w:val="FootnoteReference"/>
          <w:noProof/>
        </w:rPr>
        <w:footnoteReference w:id="25"/>
      </w:r>
      <w:r w:rsidRPr="00A10386">
        <w:rPr>
          <w:noProof/>
        </w:rPr>
        <w:t>;</w:t>
      </w:r>
    </w:p>
    <w:p w14:paraId="4DA71803" w14:textId="77777777" w:rsidR="4E0602F2" w:rsidRPr="00A10386" w:rsidRDefault="4E0602F2" w:rsidP="00DD774F">
      <w:pPr>
        <w:pStyle w:val="Bullet0"/>
        <w:numPr>
          <w:ilvl w:val="0"/>
          <w:numId w:val="1"/>
        </w:numPr>
        <w:rPr>
          <w:noProof/>
        </w:rPr>
      </w:pPr>
      <w:r w:rsidRPr="00A10386">
        <w:rPr>
          <w:noProof/>
        </w:rPr>
        <w:t>Convention on Mutual Assistance in Criminal Matters between the Member States of the European Union;</w:t>
      </w:r>
    </w:p>
    <w:p w14:paraId="1E510515" w14:textId="77777777" w:rsidR="4E0602F2" w:rsidRPr="00A10386" w:rsidRDefault="4E0602F2" w:rsidP="007E10BB">
      <w:pPr>
        <w:pStyle w:val="Bullet0"/>
        <w:rPr>
          <w:noProof/>
        </w:rPr>
      </w:pPr>
      <w:r w:rsidRPr="00A10386">
        <w:rPr>
          <w:noProof/>
        </w:rPr>
        <w:t>Directive 2014/41/EU regarding the European Investigation Order in criminal matters;</w:t>
      </w:r>
    </w:p>
    <w:p w14:paraId="253CAFE0" w14:textId="77777777" w:rsidR="4E0602F2" w:rsidRPr="00A10386" w:rsidRDefault="4E0602F2" w:rsidP="00DD774F">
      <w:pPr>
        <w:pStyle w:val="Bullet0"/>
        <w:numPr>
          <w:ilvl w:val="0"/>
          <w:numId w:val="1"/>
        </w:numPr>
        <w:rPr>
          <w:noProof/>
        </w:rPr>
      </w:pPr>
      <w:r w:rsidRPr="00A10386">
        <w:rPr>
          <w:noProof/>
        </w:rPr>
        <w:t>Directive 2012/29/EU of the European Parliament and of the Council of 25 October 2012 establishing minimum standards on the rights, support and protection of victims of crime, and replacing Council Framework Decision 2001/220/JHA</w:t>
      </w:r>
      <w:r w:rsidR="00A837FA" w:rsidRPr="00A10386">
        <w:rPr>
          <w:noProof/>
        </w:rPr>
        <w:t>;</w:t>
      </w:r>
    </w:p>
    <w:p w14:paraId="2433F586" w14:textId="77777777" w:rsidR="6785A5E9" w:rsidRPr="00A10386" w:rsidRDefault="6785A5E9" w:rsidP="00DD774F">
      <w:pPr>
        <w:pStyle w:val="Bullet0"/>
        <w:numPr>
          <w:ilvl w:val="0"/>
          <w:numId w:val="1"/>
        </w:numPr>
        <w:rPr>
          <w:noProof/>
        </w:rPr>
      </w:pPr>
      <w:r w:rsidRPr="00A10386">
        <w:rPr>
          <w:noProof/>
        </w:rPr>
        <w:t>Directive 2011/36/EU of the European Parliament and of the Council of 5 April 2011 on preventing and combating trafficking in human beings and protecting its victims, and replacing Council Framework Decision 2002/629/JHA;</w:t>
      </w:r>
    </w:p>
    <w:p w14:paraId="785EE4A7" w14:textId="77777777" w:rsidR="6785A5E9" w:rsidRPr="00A10386" w:rsidRDefault="70D5EAEC" w:rsidP="00DD774F">
      <w:pPr>
        <w:pStyle w:val="Bullet0"/>
        <w:numPr>
          <w:ilvl w:val="0"/>
          <w:numId w:val="1"/>
        </w:numPr>
        <w:rPr>
          <w:noProof/>
        </w:rPr>
      </w:pPr>
      <w:r w:rsidRPr="00A10386">
        <w:rPr>
          <w:noProof/>
        </w:rPr>
        <w:t>Council Directive 2004/81/EC of 29 April 2004 on the residence permit issued to third-country nationals who are victims of trafficking in human beings or who have been the subject of an action to facilitate illegal immigration, who cooperate with the competent authorities;</w:t>
      </w:r>
    </w:p>
    <w:p w14:paraId="6B76C5BD" w14:textId="77777777" w:rsidR="00B7343A" w:rsidRPr="00A10386" w:rsidRDefault="00B7343A" w:rsidP="00DD774F">
      <w:pPr>
        <w:pStyle w:val="Bullet0"/>
        <w:numPr>
          <w:ilvl w:val="0"/>
          <w:numId w:val="1"/>
        </w:numPr>
        <w:rPr>
          <w:noProof/>
        </w:rPr>
      </w:pPr>
      <w:r w:rsidRPr="00A10386">
        <w:rPr>
          <w:noProof/>
        </w:rPr>
        <w:t>Regulation (EU) 2016/794 of the European Parliament and of the Council of 11 May 2016 on the European Union Agency for Law Enforcement Cooperation (Europol);</w:t>
      </w:r>
    </w:p>
    <w:p w14:paraId="468CD33A" w14:textId="77777777" w:rsidR="59E8EB3E" w:rsidRPr="00A10386" w:rsidRDefault="65D4BF0E" w:rsidP="00DD774F">
      <w:pPr>
        <w:pStyle w:val="Bullet0"/>
        <w:numPr>
          <w:ilvl w:val="0"/>
          <w:numId w:val="1"/>
        </w:numPr>
        <w:rPr>
          <w:noProof/>
        </w:rPr>
      </w:pPr>
      <w:r w:rsidRPr="00A10386">
        <w:rPr>
          <w:noProof/>
        </w:rPr>
        <w:t>Regulation (EU) 2018/1727 of the European Parliament and of the Council of 14 November 2018 on the European Union Agency for Criminal Justice Cooperation (Eurojust), and replacing and repealing Council Decision 2002/187/JHA;</w:t>
      </w:r>
    </w:p>
    <w:p w14:paraId="239043BF" w14:textId="77777777" w:rsidR="004851B4" w:rsidRPr="00A10386" w:rsidRDefault="4868421F" w:rsidP="00DD774F">
      <w:pPr>
        <w:pStyle w:val="Bullet0"/>
        <w:numPr>
          <w:ilvl w:val="0"/>
          <w:numId w:val="1"/>
        </w:numPr>
        <w:rPr>
          <w:noProof/>
        </w:rPr>
      </w:pPr>
      <w:r w:rsidRPr="00A10386">
        <w:rPr>
          <w:noProof/>
        </w:rPr>
        <w:t xml:space="preserve">Regulation (EU) 2022/2065 of the European Parliament and of the Council of 19 October 2022 on a Single Market </w:t>
      </w:r>
      <w:r w:rsidR="0AFB602D" w:rsidRPr="00A10386">
        <w:rPr>
          <w:noProof/>
        </w:rPr>
        <w:t>f</w:t>
      </w:r>
      <w:r w:rsidRPr="00A10386">
        <w:rPr>
          <w:noProof/>
        </w:rPr>
        <w:t>or Digital Services and amending Directive 2000/31/EC (Digital Services Act)</w:t>
      </w:r>
      <w:r w:rsidR="3F373AB8" w:rsidRPr="00A10386">
        <w:rPr>
          <w:noProof/>
        </w:rPr>
        <w:t>;</w:t>
      </w:r>
    </w:p>
    <w:p w14:paraId="7083AA89" w14:textId="77777777" w:rsidR="002D3FA5" w:rsidRPr="00A10386" w:rsidRDefault="004851B4" w:rsidP="00DD774F">
      <w:pPr>
        <w:pStyle w:val="Bullet0"/>
        <w:numPr>
          <w:ilvl w:val="0"/>
          <w:numId w:val="1"/>
        </w:numPr>
        <w:rPr>
          <w:noProof/>
        </w:rPr>
      </w:pPr>
      <w:r w:rsidRPr="00A10386">
        <w:rPr>
          <w:noProof/>
        </w:rPr>
        <w:t>Directive 2009/52/EC of the European Parliament and of the Council of 18 June 2009 providing for minimum standards on sanctions and measures against employers of illegally staying third-country nationals</w:t>
      </w:r>
      <w:r w:rsidR="008A3204" w:rsidRPr="00A10386">
        <w:rPr>
          <w:noProof/>
        </w:rPr>
        <w:t>;</w:t>
      </w:r>
    </w:p>
    <w:p w14:paraId="063233CC" w14:textId="77777777" w:rsidR="5A1A4732" w:rsidRPr="00A10386" w:rsidRDefault="008A3204" w:rsidP="00DD774F">
      <w:pPr>
        <w:pStyle w:val="Bullet0"/>
        <w:numPr>
          <w:ilvl w:val="0"/>
          <w:numId w:val="1"/>
        </w:numPr>
        <w:rPr>
          <w:noProof/>
        </w:rPr>
      </w:pPr>
      <w:r w:rsidRPr="00A10386">
        <w:rPr>
          <w:noProof/>
        </w:rPr>
        <w:t>Council Framework Decision 2009/948/JHA on prevention and settlement of conflicts of exercise of jurisdiction in criminal proceedings and the proposal for a Regulation on the transfer of proceedings in criminal matters</w:t>
      </w:r>
      <w:r w:rsidRPr="00A10386">
        <w:rPr>
          <w:rStyle w:val="FootnoteReference"/>
          <w:noProof/>
        </w:rPr>
        <w:footnoteReference w:id="26"/>
      </w:r>
      <w:r w:rsidR="73BB4190" w:rsidRPr="00A10386">
        <w:rPr>
          <w:noProof/>
        </w:rPr>
        <w:t>.</w:t>
      </w:r>
    </w:p>
    <w:p w14:paraId="4EF9CD7C" w14:textId="3771CD58" w:rsidR="5A1A4732" w:rsidRPr="00A10386" w:rsidRDefault="311F0257" w:rsidP="008401E2">
      <w:pPr>
        <w:spacing w:after="240"/>
        <w:rPr>
          <w:noProof/>
        </w:rPr>
      </w:pPr>
      <w:r w:rsidRPr="00A10386">
        <w:rPr>
          <w:noProof/>
        </w:rPr>
        <w:t>This proposal is without prejudice to Directive 2004/38/EC</w:t>
      </w:r>
      <w:r w:rsidR="00A837FA" w:rsidRPr="00A10386">
        <w:rPr>
          <w:rStyle w:val="FootnoteReference"/>
          <w:noProof/>
        </w:rPr>
        <w:footnoteReference w:id="27"/>
      </w:r>
      <w:r w:rsidRPr="00A10386">
        <w:rPr>
          <w:noProof/>
        </w:rPr>
        <w:t xml:space="preserve"> and the EU-UK Withdrawal Agreement</w:t>
      </w:r>
      <w:r w:rsidR="00A837FA" w:rsidRPr="00A10386">
        <w:rPr>
          <w:rStyle w:val="FootnoteReference"/>
          <w:noProof/>
        </w:rPr>
        <w:footnoteReference w:id="28"/>
      </w:r>
      <w:r w:rsidRPr="00A10386">
        <w:rPr>
          <w:noProof/>
        </w:rPr>
        <w:t xml:space="preserve">. The proposal does not in any respect amend Directive 2004/38/EC or the EU-UK </w:t>
      </w:r>
      <w:r w:rsidRPr="00A10386">
        <w:rPr>
          <w:rFonts w:eastAsia="Times New Roman"/>
          <w:noProof/>
        </w:rPr>
        <w:t>Withdrawal</w:t>
      </w:r>
      <w:r w:rsidRPr="00A10386">
        <w:rPr>
          <w:noProof/>
        </w:rPr>
        <w:t xml:space="preserve"> Agreement.</w:t>
      </w:r>
    </w:p>
    <w:p w14:paraId="604CE69C" w14:textId="77777777" w:rsidR="0066307E" w:rsidRPr="00A10386" w:rsidRDefault="0066307E" w:rsidP="002D3FA5">
      <w:pPr>
        <w:pStyle w:val="ManualHeading1"/>
        <w:rPr>
          <w:rFonts w:eastAsia="Arial Unicode MS"/>
          <w:noProof/>
        </w:rPr>
      </w:pPr>
      <w:r w:rsidRPr="00A10386">
        <w:rPr>
          <w:noProof/>
        </w:rPr>
        <w:t>2.</w:t>
      </w:r>
      <w:r w:rsidRPr="00A10386">
        <w:rPr>
          <w:noProof/>
        </w:rPr>
        <w:tab/>
        <w:t>LEGAL BASIS, SUBSIDIARITY AND PROPORTIONALITY</w:t>
      </w:r>
    </w:p>
    <w:p w14:paraId="0137E357" w14:textId="77777777" w:rsidR="0066307E" w:rsidRPr="00A10386" w:rsidRDefault="0066307E" w:rsidP="5DD71006">
      <w:pPr>
        <w:pStyle w:val="ManualHeading2"/>
        <w:rPr>
          <w:rFonts w:eastAsia="Arial Unicode MS"/>
          <w:noProof/>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Legal basis</w:t>
      </w:r>
    </w:p>
    <w:p w14:paraId="58192CF6" w14:textId="12A80E20" w:rsidR="21B1675F" w:rsidRPr="00A10386" w:rsidRDefault="4EC4DB22" w:rsidP="002D3FA5">
      <w:pPr>
        <w:rPr>
          <w:rFonts w:eastAsia="Times New Roman"/>
          <w:noProof/>
        </w:rPr>
      </w:pPr>
      <w:r w:rsidRPr="00A10386">
        <w:rPr>
          <w:rFonts w:eastAsia="Times New Roman"/>
          <w:noProof/>
        </w:rPr>
        <w:t>The legal basis for this proposal is Article 83(2) of the Treaty on the Functioning of the European Union</w:t>
      </w:r>
      <w:r w:rsidR="00A20F65" w:rsidRPr="00A10386">
        <w:rPr>
          <w:rFonts w:eastAsia="Times New Roman"/>
          <w:noProof/>
        </w:rPr>
        <w:t xml:space="preserve"> (TFEU)</w:t>
      </w:r>
      <w:r w:rsidR="00AA6211" w:rsidRPr="00A10386">
        <w:rPr>
          <w:rFonts w:eastAsia="Times New Roman"/>
          <w:noProof/>
        </w:rPr>
        <w:t xml:space="preserve">, </w:t>
      </w:r>
      <w:r w:rsidR="00AA6211" w:rsidRPr="00A10386">
        <w:rPr>
          <w:noProof/>
        </w:rPr>
        <w:t>which</w:t>
      </w:r>
      <w:r w:rsidRPr="00A10386">
        <w:rPr>
          <w:rFonts w:eastAsia="Times New Roman"/>
          <w:noProof/>
        </w:rPr>
        <w:t xml:space="preserve"> sets out the EU’s competence to establish minimum rules </w:t>
      </w:r>
      <w:r w:rsidR="00A20F65" w:rsidRPr="00A10386">
        <w:rPr>
          <w:rFonts w:eastAsia="Times New Roman"/>
          <w:noProof/>
        </w:rPr>
        <w:t xml:space="preserve">if the approximation of criminal laws and regulations of the Member States proves essential to ensure the effective implementation of a Union policy in an area which has been subject to harmonisation measures. The area of common immigration policy, notably the conditions of entry and residence, illegal immigration and unauthorised residence, and the management of the external borders of the EU, has already been subject to harmonisation by virtue of the Union </w:t>
      </w:r>
      <w:r w:rsidR="00A20F65" w:rsidRPr="00A10386">
        <w:rPr>
          <w:rFonts w:eastAsia="Times New Roman"/>
          <w:i/>
          <w:iCs/>
          <w:noProof/>
        </w:rPr>
        <w:t>acquis</w:t>
      </w:r>
      <w:r w:rsidR="00A20F65" w:rsidRPr="00A10386">
        <w:rPr>
          <w:rFonts w:eastAsia="Times New Roman"/>
          <w:noProof/>
        </w:rPr>
        <w:t xml:space="preserve"> in the area of Title V TFEU on Freedom, Security and Justice, Chapter 2 policies on border checks, asylum and immigration</w:t>
      </w:r>
      <w:r w:rsidR="007F323B" w:rsidRPr="00A10386">
        <w:rPr>
          <w:rFonts w:eastAsia="Times New Roman"/>
          <w:noProof/>
        </w:rPr>
        <w:t xml:space="preserve">, and it is essential to ensure </w:t>
      </w:r>
      <w:r w:rsidR="00A10523" w:rsidRPr="00A10386">
        <w:rPr>
          <w:rFonts w:eastAsia="Times New Roman"/>
          <w:noProof/>
        </w:rPr>
        <w:t>its</w:t>
      </w:r>
      <w:r w:rsidR="007F323B" w:rsidRPr="00A10386">
        <w:rPr>
          <w:rFonts w:eastAsia="Times New Roman"/>
          <w:noProof/>
        </w:rPr>
        <w:t xml:space="preserve"> effective implementation through </w:t>
      </w:r>
      <w:r w:rsidR="00A10523" w:rsidRPr="00A10386">
        <w:rPr>
          <w:rFonts w:eastAsia="Times New Roman"/>
          <w:noProof/>
        </w:rPr>
        <w:t>the approximation of criminal laws and regulations of the Member States</w:t>
      </w:r>
      <w:r w:rsidR="00A20F65" w:rsidRPr="00A10386">
        <w:rPr>
          <w:rFonts w:eastAsia="Times New Roman"/>
          <w:noProof/>
        </w:rPr>
        <w:t>.</w:t>
      </w:r>
    </w:p>
    <w:p w14:paraId="58DEC796" w14:textId="77777777" w:rsidR="0066307E" w:rsidRPr="00A10386" w:rsidRDefault="0066307E" w:rsidP="5DD71006">
      <w:pPr>
        <w:pStyle w:val="ManualHeading2"/>
        <w:rPr>
          <w:rFonts w:eastAsia="Arial Unicode MS"/>
          <w:noProof/>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 xml:space="preserve">Subsidiarity </w:t>
      </w:r>
    </w:p>
    <w:p w14:paraId="759BB236" w14:textId="77777777" w:rsidR="00F356C7" w:rsidRPr="00A10386" w:rsidRDefault="2F1881A1" w:rsidP="002D3FA5">
      <w:pPr>
        <w:spacing w:before="0"/>
        <w:rPr>
          <w:rFonts w:eastAsia="Times New Roman"/>
          <w:noProof/>
        </w:rPr>
      </w:pPr>
      <w:r w:rsidRPr="00A10386">
        <w:rPr>
          <w:rFonts w:eastAsia="Times New Roman"/>
          <w:noProof/>
        </w:rPr>
        <w:t xml:space="preserve">Migrant smuggling is a </w:t>
      </w:r>
      <w:r w:rsidR="7E60E220" w:rsidRPr="00A10386">
        <w:rPr>
          <w:rFonts w:eastAsia="Times New Roman"/>
          <w:noProof/>
        </w:rPr>
        <w:t xml:space="preserve">cross-border crime directly affecting the </w:t>
      </w:r>
      <w:r w:rsidR="00FA2606" w:rsidRPr="00A10386">
        <w:rPr>
          <w:rFonts w:eastAsia="Times New Roman"/>
          <w:noProof/>
        </w:rPr>
        <w:t>Union</w:t>
      </w:r>
      <w:r w:rsidRPr="00A10386">
        <w:rPr>
          <w:rFonts w:eastAsia="Times New Roman"/>
          <w:noProof/>
        </w:rPr>
        <w:t xml:space="preserve">, </w:t>
      </w:r>
      <w:r w:rsidR="00FA2606" w:rsidRPr="00A10386">
        <w:rPr>
          <w:rFonts w:eastAsia="Times New Roman"/>
          <w:noProof/>
        </w:rPr>
        <w:t xml:space="preserve">its external borders and </w:t>
      </w:r>
      <w:r w:rsidRPr="00A10386">
        <w:rPr>
          <w:rFonts w:eastAsia="Times New Roman"/>
          <w:noProof/>
        </w:rPr>
        <w:t xml:space="preserve">often more than one Member State at the time. </w:t>
      </w:r>
      <w:r w:rsidR="000F7830" w:rsidRPr="00A10386">
        <w:rPr>
          <w:rFonts w:eastAsia="Times New Roman"/>
          <w:noProof/>
        </w:rPr>
        <w:t xml:space="preserve">Member States acting alone cannot successfully address </w:t>
      </w:r>
      <w:r w:rsidR="00860776" w:rsidRPr="00A10386">
        <w:rPr>
          <w:rFonts w:eastAsia="Times New Roman"/>
          <w:noProof/>
        </w:rPr>
        <w:t xml:space="preserve">this cross-border crime </w:t>
      </w:r>
      <w:r w:rsidR="7E60E220" w:rsidRPr="00A10386" w:rsidDel="0828B4EF">
        <w:rPr>
          <w:rFonts w:eastAsia="Times New Roman"/>
          <w:noProof/>
        </w:rPr>
        <w:t>successfully. F</w:t>
      </w:r>
      <w:r w:rsidR="7E60E220" w:rsidRPr="00A10386">
        <w:rPr>
          <w:rFonts w:eastAsia="Times New Roman"/>
          <w:noProof/>
        </w:rPr>
        <w:t>urther</w:t>
      </w:r>
      <w:r w:rsidRPr="00A10386">
        <w:rPr>
          <w:rFonts w:eastAsia="Times New Roman"/>
          <w:noProof/>
        </w:rPr>
        <w:t xml:space="preserve"> approximation in the definition</w:t>
      </w:r>
      <w:r w:rsidR="00480B73" w:rsidRPr="00A10386">
        <w:rPr>
          <w:rFonts w:eastAsia="Times New Roman"/>
          <w:noProof/>
        </w:rPr>
        <w:t xml:space="preserve"> of </w:t>
      </w:r>
      <w:r w:rsidRPr="00A10386">
        <w:rPr>
          <w:rFonts w:eastAsia="Times New Roman"/>
          <w:noProof/>
        </w:rPr>
        <w:t>the offence</w:t>
      </w:r>
      <w:r w:rsidR="00480B73" w:rsidRPr="00A10386">
        <w:rPr>
          <w:rFonts w:eastAsia="Times New Roman"/>
          <w:noProof/>
        </w:rPr>
        <w:t xml:space="preserve">, </w:t>
      </w:r>
      <w:r w:rsidRPr="00A10386">
        <w:rPr>
          <w:rFonts w:eastAsia="Times New Roman"/>
          <w:noProof/>
        </w:rPr>
        <w:t xml:space="preserve">the </w:t>
      </w:r>
      <w:r w:rsidR="00480B73" w:rsidRPr="00A10386">
        <w:rPr>
          <w:rFonts w:eastAsia="Times New Roman"/>
          <w:noProof/>
        </w:rPr>
        <w:t xml:space="preserve">levels of </w:t>
      </w:r>
      <w:r w:rsidR="7E60E220" w:rsidRPr="00A10386">
        <w:rPr>
          <w:rFonts w:eastAsia="Times New Roman"/>
          <w:noProof/>
        </w:rPr>
        <w:t xml:space="preserve">sanctions </w:t>
      </w:r>
      <w:r w:rsidR="00480B73" w:rsidRPr="00A10386">
        <w:rPr>
          <w:rFonts w:eastAsia="Times New Roman"/>
          <w:noProof/>
        </w:rPr>
        <w:t xml:space="preserve">and the applicable preventive measures </w:t>
      </w:r>
      <w:r w:rsidRPr="00A10386">
        <w:rPr>
          <w:rFonts w:eastAsia="Times New Roman"/>
          <w:noProof/>
        </w:rPr>
        <w:t xml:space="preserve">in </w:t>
      </w:r>
      <w:r w:rsidR="00480B73" w:rsidRPr="00A10386">
        <w:rPr>
          <w:rFonts w:eastAsia="Times New Roman"/>
          <w:noProof/>
        </w:rPr>
        <w:t xml:space="preserve">the </w:t>
      </w:r>
      <w:r w:rsidR="7E60E220" w:rsidRPr="00A10386" w:rsidDel="7E60E220">
        <w:rPr>
          <w:rFonts w:eastAsia="Times New Roman"/>
          <w:noProof/>
        </w:rPr>
        <w:t xml:space="preserve">Member States </w:t>
      </w:r>
      <w:r w:rsidR="00480B73" w:rsidRPr="00A10386">
        <w:rPr>
          <w:rFonts w:eastAsia="Times New Roman"/>
          <w:noProof/>
        </w:rPr>
        <w:t xml:space="preserve">can ensure </w:t>
      </w:r>
      <w:r w:rsidR="00996C21" w:rsidRPr="00A10386">
        <w:rPr>
          <w:rFonts w:eastAsia="Times New Roman"/>
          <w:noProof/>
        </w:rPr>
        <w:t xml:space="preserve">more effective action </w:t>
      </w:r>
      <w:r w:rsidRPr="00A10386">
        <w:rPr>
          <w:rFonts w:eastAsia="Times New Roman"/>
          <w:noProof/>
        </w:rPr>
        <w:t xml:space="preserve">in </w:t>
      </w:r>
      <w:r w:rsidR="00996C21" w:rsidRPr="00A10386">
        <w:rPr>
          <w:rFonts w:eastAsia="Times New Roman"/>
          <w:noProof/>
        </w:rPr>
        <w:t>detecting,</w:t>
      </w:r>
      <w:r w:rsidRPr="00A10386">
        <w:rPr>
          <w:rFonts w:eastAsia="Times New Roman"/>
          <w:noProof/>
        </w:rPr>
        <w:t xml:space="preserve"> </w:t>
      </w:r>
      <w:r w:rsidR="00FC511D" w:rsidRPr="00A10386">
        <w:rPr>
          <w:rFonts w:eastAsia="Times New Roman"/>
          <w:noProof/>
        </w:rPr>
        <w:t xml:space="preserve">investigating and </w:t>
      </w:r>
      <w:r w:rsidRPr="00A10386">
        <w:rPr>
          <w:rFonts w:eastAsia="Times New Roman"/>
          <w:noProof/>
        </w:rPr>
        <w:t xml:space="preserve">prosecuting </w:t>
      </w:r>
      <w:r w:rsidR="00FC511D" w:rsidRPr="00A10386">
        <w:rPr>
          <w:rFonts w:eastAsia="Times New Roman"/>
          <w:noProof/>
        </w:rPr>
        <w:t>migrant smuggling</w:t>
      </w:r>
      <w:r w:rsidRPr="00A10386">
        <w:rPr>
          <w:rFonts w:eastAsia="Times New Roman"/>
          <w:noProof/>
        </w:rPr>
        <w:t xml:space="preserve"> and preventing forms of </w:t>
      </w:r>
      <w:r w:rsidR="00FC511D" w:rsidRPr="00A10386">
        <w:rPr>
          <w:rFonts w:eastAsia="Times New Roman"/>
          <w:noProof/>
        </w:rPr>
        <w:t>“</w:t>
      </w:r>
      <w:r w:rsidRPr="00A10386">
        <w:rPr>
          <w:rFonts w:eastAsia="Times New Roman"/>
          <w:noProof/>
        </w:rPr>
        <w:t>forum shopping</w:t>
      </w:r>
      <w:r w:rsidR="00FC511D" w:rsidRPr="00A10386">
        <w:rPr>
          <w:rFonts w:eastAsia="Times New Roman"/>
          <w:noProof/>
        </w:rPr>
        <w:t>”</w:t>
      </w:r>
      <w:r w:rsidRPr="00A10386">
        <w:rPr>
          <w:rFonts w:eastAsia="Times New Roman"/>
          <w:noProof/>
        </w:rPr>
        <w:t xml:space="preserve"> by criminals taking advantage of systems where penalties are less severe. </w:t>
      </w:r>
    </w:p>
    <w:p w14:paraId="7110B0F5" w14:textId="77777777" w:rsidR="007D7260" w:rsidRPr="00A10386" w:rsidDel="00C647CD" w:rsidRDefault="4A1E5A7C" w:rsidP="3FC8CC58">
      <w:pPr>
        <w:spacing w:before="0"/>
        <w:rPr>
          <w:rFonts w:eastAsiaTheme="minorEastAsia"/>
          <w:noProof/>
        </w:rPr>
      </w:pPr>
      <w:r w:rsidRPr="00A10386">
        <w:rPr>
          <w:rFonts w:eastAsia="Times New Roman"/>
          <w:noProof/>
        </w:rPr>
        <w:t>T</w:t>
      </w:r>
      <w:r w:rsidR="4009F139" w:rsidRPr="00A10386">
        <w:rPr>
          <w:rFonts w:eastAsiaTheme="minorEastAsia"/>
          <w:noProof/>
        </w:rPr>
        <w:t>o</w:t>
      </w:r>
      <w:r w:rsidR="71485464" w:rsidRPr="00A10386">
        <w:rPr>
          <w:rFonts w:eastAsiaTheme="minorEastAsia"/>
          <w:noProof/>
        </w:rPr>
        <w:t xml:space="preserve"> increase the deterrent effect </w:t>
      </w:r>
      <w:r w:rsidR="4009F139" w:rsidRPr="00A10386">
        <w:rPr>
          <w:rFonts w:eastAsia="Times New Roman"/>
          <w:noProof/>
        </w:rPr>
        <w:t>of</w:t>
      </w:r>
      <w:r w:rsidR="7E60E220" w:rsidRPr="00A10386" w:rsidDel="4009F139">
        <w:rPr>
          <w:rFonts w:eastAsiaTheme="minorEastAsia"/>
          <w:noProof/>
        </w:rPr>
        <w:t xml:space="preserve"> the sanctions in the Union, t</w:t>
      </w:r>
      <w:r w:rsidR="7E60E220" w:rsidRPr="00A10386" w:rsidDel="00533453">
        <w:rPr>
          <w:rFonts w:eastAsiaTheme="minorEastAsia"/>
          <w:noProof/>
        </w:rPr>
        <w:t xml:space="preserve">he proposal </w:t>
      </w:r>
      <w:r w:rsidR="00AE7F95" w:rsidRPr="00A10386">
        <w:rPr>
          <w:rFonts w:eastAsiaTheme="minorEastAsia"/>
          <w:noProof/>
        </w:rPr>
        <w:t>introduces aggravated offences</w:t>
      </w:r>
      <w:r w:rsidR="002D3FA5" w:rsidRPr="00A10386">
        <w:rPr>
          <w:rFonts w:eastAsiaTheme="minorEastAsia"/>
          <w:noProof/>
        </w:rPr>
        <w:t>,</w:t>
      </w:r>
      <w:r w:rsidR="00AE7F95" w:rsidRPr="00A10386">
        <w:rPr>
          <w:rFonts w:eastAsiaTheme="minorEastAsia"/>
          <w:noProof/>
        </w:rPr>
        <w:t xml:space="preserve"> </w:t>
      </w:r>
      <w:r w:rsidR="000317AD" w:rsidRPr="00A10386">
        <w:rPr>
          <w:rFonts w:eastAsiaTheme="minorEastAsia"/>
          <w:noProof/>
        </w:rPr>
        <w:t>to which there are corresponding higher penalties</w:t>
      </w:r>
      <w:r w:rsidR="002D3FA5" w:rsidRPr="00A10386">
        <w:rPr>
          <w:rFonts w:eastAsiaTheme="minorEastAsia"/>
          <w:noProof/>
        </w:rPr>
        <w:t>,</w:t>
      </w:r>
      <w:r w:rsidR="00E629F2" w:rsidRPr="00A10386">
        <w:rPr>
          <w:rFonts w:eastAsiaTheme="minorEastAsia"/>
          <w:noProof/>
        </w:rPr>
        <w:t xml:space="preserve"> a</w:t>
      </w:r>
      <w:r w:rsidR="002D3FA5" w:rsidRPr="00A10386">
        <w:rPr>
          <w:rFonts w:eastAsiaTheme="minorEastAsia"/>
          <w:noProof/>
        </w:rPr>
        <w:t>s well as</w:t>
      </w:r>
      <w:r w:rsidR="000317AD" w:rsidRPr="00A10386">
        <w:rPr>
          <w:rFonts w:eastAsiaTheme="minorEastAsia"/>
          <w:noProof/>
        </w:rPr>
        <w:t xml:space="preserve"> agg</w:t>
      </w:r>
      <w:r w:rsidR="00E629F2" w:rsidRPr="00A10386">
        <w:rPr>
          <w:rFonts w:eastAsiaTheme="minorEastAsia"/>
          <w:noProof/>
        </w:rPr>
        <w:t>ravating circumstances</w:t>
      </w:r>
      <w:r w:rsidR="002D3FA5" w:rsidRPr="00A10386">
        <w:rPr>
          <w:rFonts w:eastAsiaTheme="minorEastAsia"/>
          <w:noProof/>
        </w:rPr>
        <w:t>,</w:t>
      </w:r>
      <w:r w:rsidR="00E2188C" w:rsidRPr="00A10386">
        <w:rPr>
          <w:rFonts w:eastAsiaTheme="minorEastAsia"/>
          <w:noProof/>
        </w:rPr>
        <w:t xml:space="preserve"> for </w:t>
      </w:r>
      <w:r w:rsidR="002D3FA5" w:rsidRPr="00A10386">
        <w:rPr>
          <w:rFonts w:eastAsiaTheme="minorEastAsia"/>
          <w:noProof/>
        </w:rPr>
        <w:t>instance</w:t>
      </w:r>
      <w:r w:rsidR="00E2188C" w:rsidRPr="00A10386">
        <w:rPr>
          <w:rFonts w:eastAsiaTheme="minorEastAsia"/>
          <w:noProof/>
        </w:rPr>
        <w:t xml:space="preserve"> in case of recidivism, if </w:t>
      </w:r>
      <w:r w:rsidR="002D3FA5" w:rsidRPr="00A10386">
        <w:rPr>
          <w:rFonts w:eastAsiaTheme="minorEastAsia"/>
          <w:noProof/>
        </w:rPr>
        <w:t xml:space="preserve">the offence is </w:t>
      </w:r>
      <w:r w:rsidR="00E2188C" w:rsidRPr="00A10386">
        <w:rPr>
          <w:rFonts w:eastAsiaTheme="minorEastAsia"/>
          <w:noProof/>
        </w:rPr>
        <w:t xml:space="preserve">committed by a public official or </w:t>
      </w:r>
      <w:r w:rsidR="002D3FA5" w:rsidRPr="00A10386">
        <w:rPr>
          <w:rFonts w:eastAsiaTheme="minorEastAsia"/>
          <w:noProof/>
        </w:rPr>
        <w:t xml:space="preserve">by a person </w:t>
      </w:r>
      <w:r w:rsidR="00E2188C" w:rsidRPr="00A10386">
        <w:rPr>
          <w:rFonts w:eastAsiaTheme="minorEastAsia"/>
          <w:noProof/>
        </w:rPr>
        <w:t>carrying a firearm.</w:t>
      </w:r>
      <w:r w:rsidR="4931EEBA" w:rsidRPr="00A10386">
        <w:rPr>
          <w:rFonts w:eastAsiaTheme="minorEastAsia"/>
          <w:noProof/>
        </w:rPr>
        <w:t xml:space="preserve"> At the moment, </w:t>
      </w:r>
      <w:r w:rsidR="00C647CD" w:rsidRPr="00A10386">
        <w:rPr>
          <w:rFonts w:eastAsiaTheme="minorEastAsia"/>
          <w:noProof/>
        </w:rPr>
        <w:t xml:space="preserve">according to the information at the Commission’s disposal, </w:t>
      </w:r>
      <w:r w:rsidR="0D433F26" w:rsidRPr="00A10386">
        <w:rPr>
          <w:rFonts w:eastAsiaTheme="minorEastAsia"/>
          <w:noProof/>
        </w:rPr>
        <w:t xml:space="preserve">maximum </w:t>
      </w:r>
      <w:r w:rsidR="4931EEBA" w:rsidRPr="00A10386">
        <w:rPr>
          <w:rFonts w:eastAsiaTheme="minorEastAsia"/>
          <w:noProof/>
        </w:rPr>
        <w:t xml:space="preserve">level of </w:t>
      </w:r>
      <w:r w:rsidR="45818DF3" w:rsidRPr="00A10386">
        <w:rPr>
          <w:rFonts w:eastAsiaTheme="minorEastAsia"/>
          <w:noProof/>
        </w:rPr>
        <w:t xml:space="preserve">criminal </w:t>
      </w:r>
      <w:r w:rsidR="00A10D1E" w:rsidRPr="00A10386">
        <w:rPr>
          <w:rFonts w:eastAsiaTheme="minorEastAsia"/>
          <w:noProof/>
        </w:rPr>
        <w:t xml:space="preserve">penalties </w:t>
      </w:r>
      <w:r w:rsidR="09C0F5D1" w:rsidRPr="00A10386">
        <w:rPr>
          <w:rFonts w:eastAsiaTheme="minorEastAsia"/>
          <w:noProof/>
        </w:rPr>
        <w:t>for</w:t>
      </w:r>
      <w:r w:rsidR="00C647CD" w:rsidRPr="00A10386">
        <w:rPr>
          <w:rFonts w:eastAsiaTheme="minorEastAsia"/>
          <w:noProof/>
        </w:rPr>
        <w:t xml:space="preserve"> </w:t>
      </w:r>
      <w:r w:rsidR="1A98F9F8" w:rsidRPr="00A10386">
        <w:rPr>
          <w:rFonts w:eastAsiaTheme="minorEastAsia"/>
          <w:noProof/>
        </w:rPr>
        <w:t xml:space="preserve">facilitation of </w:t>
      </w:r>
      <w:r w:rsidR="00603CB4" w:rsidRPr="00A10386">
        <w:rPr>
          <w:rFonts w:eastAsiaTheme="minorEastAsia"/>
          <w:noProof/>
        </w:rPr>
        <w:t xml:space="preserve">unauthorised </w:t>
      </w:r>
      <w:r w:rsidR="1A98F9F8" w:rsidRPr="00A10386">
        <w:rPr>
          <w:rFonts w:eastAsiaTheme="minorEastAsia"/>
          <w:noProof/>
        </w:rPr>
        <w:t xml:space="preserve">entry and </w:t>
      </w:r>
      <w:r w:rsidR="65E3397B" w:rsidRPr="00A10386">
        <w:rPr>
          <w:rFonts w:eastAsiaTheme="minorEastAsia"/>
          <w:noProof/>
        </w:rPr>
        <w:t>transit</w:t>
      </w:r>
      <w:r w:rsidR="1A98F9F8" w:rsidRPr="00A10386">
        <w:rPr>
          <w:rFonts w:eastAsiaTheme="minorEastAsia"/>
          <w:noProof/>
        </w:rPr>
        <w:t xml:space="preserve"> </w:t>
      </w:r>
      <w:r w:rsidR="4931EEBA" w:rsidRPr="00A10386">
        <w:rPr>
          <w:rFonts w:eastAsiaTheme="minorEastAsia"/>
          <w:noProof/>
        </w:rPr>
        <w:t>in the Member States rang</w:t>
      </w:r>
      <w:r w:rsidR="2AC4EFDB" w:rsidRPr="00A10386">
        <w:rPr>
          <w:rFonts w:eastAsiaTheme="minorEastAsia"/>
          <w:noProof/>
        </w:rPr>
        <w:t>e</w:t>
      </w:r>
      <w:r w:rsidR="32B172AC" w:rsidRPr="00A10386">
        <w:rPr>
          <w:rFonts w:eastAsia="Times New Roman"/>
          <w:noProof/>
        </w:rPr>
        <w:t xml:space="preserve"> from up to one year in Belgium and Spain to up to 10 years in Bulgaria, Cyprus, Ireland and Sloveni</w:t>
      </w:r>
      <w:r w:rsidR="32B172AC" w:rsidRPr="00A10386">
        <w:rPr>
          <w:rFonts w:eastAsiaTheme="minorEastAsia"/>
          <w:noProof/>
        </w:rPr>
        <w:t xml:space="preserve">a. </w:t>
      </w:r>
      <w:r w:rsidR="78F2F257" w:rsidRPr="00A10386">
        <w:rPr>
          <w:rFonts w:eastAsiaTheme="minorEastAsia"/>
          <w:noProof/>
        </w:rPr>
        <w:t>Criminal penalties for facilitation of residence in the Member States range from up to one year in Austria, Belgium, Czechia, Estonia</w:t>
      </w:r>
      <w:r w:rsidR="004A1A5C" w:rsidRPr="00A10386">
        <w:rPr>
          <w:rFonts w:eastAsiaTheme="minorEastAsia"/>
          <w:noProof/>
        </w:rPr>
        <w:t xml:space="preserve"> and Spain to up to 15 years in Cyprus for facilitation of residence</w:t>
      </w:r>
      <w:r w:rsidR="00F870E3" w:rsidRPr="00A10386">
        <w:rPr>
          <w:rFonts w:eastAsiaTheme="minorEastAsia"/>
          <w:noProof/>
        </w:rPr>
        <w:t>.</w:t>
      </w:r>
      <w:r w:rsidR="78F2F257" w:rsidRPr="00A10386">
        <w:rPr>
          <w:rFonts w:eastAsia="Times New Roman"/>
          <w:noProof/>
        </w:rPr>
        <w:t xml:space="preserve"> F</w:t>
      </w:r>
      <w:r w:rsidR="3FC9013F" w:rsidRPr="00A10386">
        <w:rPr>
          <w:rFonts w:eastAsiaTheme="minorEastAsia"/>
          <w:noProof/>
        </w:rPr>
        <w:t>ifteen Member States</w:t>
      </w:r>
      <w:r w:rsidR="009E1687" w:rsidRPr="00A10386">
        <w:rPr>
          <w:rStyle w:val="FootnoteReference"/>
          <w:rFonts w:eastAsiaTheme="minorEastAsia"/>
          <w:noProof/>
        </w:rPr>
        <w:footnoteReference w:id="29"/>
      </w:r>
      <w:r w:rsidR="700B4B8B" w:rsidRPr="00A10386">
        <w:rPr>
          <w:rFonts w:eastAsiaTheme="minorEastAsia"/>
          <w:noProof/>
        </w:rPr>
        <w:t xml:space="preserve"> </w:t>
      </w:r>
      <w:r w:rsidR="3FC9013F" w:rsidRPr="00A10386">
        <w:rPr>
          <w:rFonts w:eastAsiaTheme="minorEastAsia"/>
          <w:noProof/>
        </w:rPr>
        <w:t xml:space="preserve">since 2015 </w:t>
      </w:r>
      <w:r w:rsidR="255832AE" w:rsidRPr="00A10386">
        <w:rPr>
          <w:rFonts w:eastAsiaTheme="minorEastAsia"/>
          <w:noProof/>
        </w:rPr>
        <w:t>have found it relevant to amend their national legislation</w:t>
      </w:r>
      <w:r w:rsidR="5B5425EF" w:rsidRPr="00A10386">
        <w:rPr>
          <w:rFonts w:eastAsiaTheme="minorEastAsia"/>
          <w:noProof/>
        </w:rPr>
        <w:t xml:space="preserve"> </w:t>
      </w:r>
      <w:r w:rsidR="00603CB4" w:rsidRPr="00A10386">
        <w:rPr>
          <w:rFonts w:eastAsiaTheme="minorEastAsia"/>
          <w:noProof/>
        </w:rPr>
        <w:t>(</w:t>
      </w:r>
      <w:r w:rsidR="5B5425EF" w:rsidRPr="00A10386">
        <w:rPr>
          <w:rFonts w:eastAsiaTheme="minorEastAsia"/>
          <w:noProof/>
        </w:rPr>
        <w:t xml:space="preserve">amendments </w:t>
      </w:r>
      <w:r w:rsidR="00603CB4" w:rsidRPr="00A10386">
        <w:rPr>
          <w:rFonts w:eastAsiaTheme="minorEastAsia"/>
          <w:noProof/>
        </w:rPr>
        <w:t xml:space="preserve">are </w:t>
      </w:r>
      <w:r w:rsidR="5B5425EF" w:rsidRPr="00A10386">
        <w:rPr>
          <w:rFonts w:eastAsiaTheme="minorEastAsia"/>
          <w:noProof/>
        </w:rPr>
        <w:t>currently pending in three Member States</w:t>
      </w:r>
      <w:r w:rsidR="009B7217" w:rsidRPr="00A10386">
        <w:rPr>
          <w:rStyle w:val="FootnoteReference"/>
          <w:rFonts w:eastAsiaTheme="minorEastAsia"/>
          <w:noProof/>
        </w:rPr>
        <w:footnoteReference w:id="30"/>
      </w:r>
      <w:r w:rsidR="009B7217" w:rsidRPr="00A10386">
        <w:rPr>
          <w:rFonts w:eastAsiaTheme="minorEastAsia"/>
          <w:noProof/>
        </w:rPr>
        <w:t>)</w:t>
      </w:r>
      <w:r w:rsidR="255832AE" w:rsidRPr="00A10386">
        <w:rPr>
          <w:rFonts w:eastAsiaTheme="minorEastAsia"/>
          <w:noProof/>
        </w:rPr>
        <w:t xml:space="preserve"> </w:t>
      </w:r>
      <w:r w:rsidR="582A1641" w:rsidRPr="00A10386">
        <w:rPr>
          <w:rFonts w:eastAsiaTheme="minorEastAsia"/>
          <w:noProof/>
        </w:rPr>
        <w:t>with</w:t>
      </w:r>
      <w:r w:rsidR="3FC9013F" w:rsidRPr="00A10386">
        <w:rPr>
          <w:rFonts w:eastAsiaTheme="minorEastAsia"/>
          <w:noProof/>
        </w:rPr>
        <w:t xml:space="preserve"> </w:t>
      </w:r>
      <w:r w:rsidR="00001B52" w:rsidRPr="00A10386">
        <w:rPr>
          <w:rFonts w:eastAsiaTheme="minorEastAsia"/>
          <w:noProof/>
        </w:rPr>
        <w:t>t</w:t>
      </w:r>
      <w:r w:rsidR="6CA6EFC8" w:rsidRPr="00A10386">
        <w:rPr>
          <w:rFonts w:eastAsiaTheme="minorEastAsia"/>
          <w:noProof/>
        </w:rPr>
        <w:t>he</w:t>
      </w:r>
      <w:r w:rsidR="3FC9013F" w:rsidRPr="00A10386">
        <w:rPr>
          <w:rFonts w:eastAsiaTheme="minorEastAsia"/>
          <w:noProof/>
        </w:rPr>
        <w:t xml:space="preserve"> changes includ</w:t>
      </w:r>
      <w:r w:rsidR="2F785829" w:rsidRPr="00A10386">
        <w:rPr>
          <w:rFonts w:eastAsiaTheme="minorEastAsia"/>
          <w:noProof/>
        </w:rPr>
        <w:t>ing</w:t>
      </w:r>
      <w:r w:rsidR="3FC9013F" w:rsidRPr="00A10386">
        <w:rPr>
          <w:rFonts w:eastAsiaTheme="minorEastAsia"/>
          <w:noProof/>
        </w:rPr>
        <w:t xml:space="preserve"> stricter penalties</w:t>
      </w:r>
      <w:r w:rsidR="00F870E3" w:rsidRPr="00A10386">
        <w:rPr>
          <w:rStyle w:val="FootnoteReference"/>
          <w:rFonts w:eastAsiaTheme="minorEastAsia"/>
          <w:noProof/>
        </w:rPr>
        <w:footnoteReference w:id="31"/>
      </w:r>
      <w:r w:rsidR="2BF83DD9" w:rsidRPr="00A10386">
        <w:rPr>
          <w:rFonts w:eastAsiaTheme="minorEastAsia"/>
          <w:noProof/>
        </w:rPr>
        <w:t>,</w:t>
      </w:r>
      <w:r w:rsidR="1FD19F98" w:rsidRPr="00A10386">
        <w:rPr>
          <w:rFonts w:eastAsiaTheme="minorEastAsia"/>
          <w:noProof/>
        </w:rPr>
        <w:t xml:space="preserve"> </w:t>
      </w:r>
      <w:r w:rsidR="00266412" w:rsidRPr="00A10386">
        <w:rPr>
          <w:rFonts w:eastAsiaTheme="minorEastAsia"/>
          <w:noProof/>
        </w:rPr>
        <w:t xml:space="preserve">criminalisation of </w:t>
      </w:r>
      <w:r w:rsidR="002B61C5" w:rsidRPr="00A10386">
        <w:rPr>
          <w:rFonts w:eastAsiaTheme="minorEastAsia"/>
          <w:noProof/>
        </w:rPr>
        <w:t>smuggling</w:t>
      </w:r>
      <w:r w:rsidR="00266412" w:rsidRPr="00A10386">
        <w:rPr>
          <w:rStyle w:val="FootnoteReference"/>
          <w:rFonts w:eastAsiaTheme="minorEastAsia"/>
          <w:noProof/>
        </w:rPr>
        <w:footnoteReference w:id="32"/>
      </w:r>
      <w:r w:rsidR="002B61C5" w:rsidRPr="00A10386">
        <w:rPr>
          <w:rFonts w:eastAsiaTheme="minorEastAsia"/>
          <w:noProof/>
        </w:rPr>
        <w:t xml:space="preserve"> </w:t>
      </w:r>
      <w:r w:rsidR="3FC9013F" w:rsidRPr="00A10386">
        <w:rPr>
          <w:rFonts w:eastAsiaTheme="minorEastAsia"/>
          <w:noProof/>
        </w:rPr>
        <w:t>attempt</w:t>
      </w:r>
      <w:r w:rsidR="00C647CD" w:rsidRPr="00A10386">
        <w:rPr>
          <w:rFonts w:eastAsiaTheme="minorEastAsia"/>
          <w:noProof/>
        </w:rPr>
        <w:t xml:space="preserve"> and </w:t>
      </w:r>
      <w:r w:rsidR="002B61C5" w:rsidRPr="00A10386">
        <w:rPr>
          <w:rFonts w:eastAsiaTheme="minorEastAsia"/>
          <w:noProof/>
        </w:rPr>
        <w:t xml:space="preserve">the </w:t>
      </w:r>
      <w:r w:rsidR="2E80AB38" w:rsidRPr="00A10386">
        <w:rPr>
          <w:rFonts w:eastAsiaTheme="minorEastAsia"/>
          <w:noProof/>
        </w:rPr>
        <w:t xml:space="preserve">exemption of </w:t>
      </w:r>
      <w:r w:rsidR="3FC9013F" w:rsidRPr="00A10386">
        <w:rPr>
          <w:rFonts w:eastAsiaTheme="minorEastAsia"/>
          <w:noProof/>
        </w:rPr>
        <w:t xml:space="preserve">humanitarian </w:t>
      </w:r>
      <w:r w:rsidR="6CA6EFC8" w:rsidRPr="00A10386">
        <w:rPr>
          <w:rFonts w:eastAsia="Times New Roman"/>
          <w:noProof/>
        </w:rPr>
        <w:t>a</w:t>
      </w:r>
      <w:r w:rsidR="3C5D6FC6" w:rsidRPr="00A10386">
        <w:rPr>
          <w:rFonts w:eastAsia="Times New Roman"/>
          <w:noProof/>
        </w:rPr>
        <w:t>ssistance</w:t>
      </w:r>
      <w:r w:rsidR="2EAED7AA" w:rsidRPr="00A10386">
        <w:rPr>
          <w:rFonts w:eastAsia="Times New Roman"/>
          <w:noProof/>
        </w:rPr>
        <w:t xml:space="preserve"> of </w:t>
      </w:r>
      <w:r w:rsidR="3C5D6FC6" w:rsidRPr="00A10386">
        <w:rPr>
          <w:rFonts w:eastAsiaTheme="minorEastAsia"/>
          <w:noProof/>
        </w:rPr>
        <w:t>unauthorised</w:t>
      </w:r>
      <w:r w:rsidR="00C647CD" w:rsidRPr="00A10386">
        <w:rPr>
          <w:rFonts w:eastAsiaTheme="minorEastAsia"/>
          <w:noProof/>
        </w:rPr>
        <w:t xml:space="preserve"> </w:t>
      </w:r>
      <w:r w:rsidR="3FC9013F" w:rsidRPr="00A10386">
        <w:rPr>
          <w:rFonts w:eastAsiaTheme="minorEastAsia"/>
          <w:noProof/>
        </w:rPr>
        <w:t>transit</w:t>
      </w:r>
      <w:r w:rsidR="007D7260" w:rsidRPr="00A10386">
        <w:rPr>
          <w:rStyle w:val="FootnoteReference"/>
          <w:rFonts w:eastAsiaTheme="minorEastAsia"/>
          <w:noProof/>
        </w:rPr>
        <w:footnoteReference w:id="33"/>
      </w:r>
      <w:r w:rsidR="00266412" w:rsidRPr="00A10386">
        <w:rPr>
          <w:rFonts w:eastAsiaTheme="minorEastAsia"/>
          <w:noProof/>
        </w:rPr>
        <w:t>.</w:t>
      </w:r>
    </w:p>
    <w:p w14:paraId="2861A436" w14:textId="77777777" w:rsidR="21B1675F" w:rsidRPr="00A10386" w:rsidRDefault="00A27AD8" w:rsidP="002D3FA5">
      <w:pPr>
        <w:rPr>
          <w:rFonts w:eastAsia="Times New Roman"/>
          <w:noProof/>
        </w:rPr>
      </w:pPr>
      <w:r w:rsidRPr="00A10386">
        <w:rPr>
          <w:rFonts w:eastAsia="Times New Roman"/>
          <w:noProof/>
        </w:rPr>
        <w:t>I</w:t>
      </w:r>
      <w:r w:rsidR="00B545B2" w:rsidRPr="00A10386">
        <w:rPr>
          <w:rFonts w:eastAsia="Times New Roman"/>
          <w:noProof/>
        </w:rPr>
        <w:t>n accordance with the principles of subsidiarity and proportionality as set out in Article 5</w:t>
      </w:r>
      <w:r w:rsidR="006E59DC" w:rsidRPr="00A10386">
        <w:rPr>
          <w:rFonts w:eastAsia="Times New Roman"/>
          <w:noProof/>
        </w:rPr>
        <w:t>(3)</w:t>
      </w:r>
      <w:r w:rsidR="00B545B2" w:rsidRPr="00A10386">
        <w:rPr>
          <w:rFonts w:eastAsia="Times New Roman"/>
          <w:noProof/>
        </w:rPr>
        <w:t xml:space="preserve"> of the Treaty on European Union, the objectives of the proposal cannot be sufficiently achieved by Member States and can thus be better achieved at the Union level</w:t>
      </w:r>
      <w:r w:rsidR="2F1881A1" w:rsidRPr="00A10386">
        <w:rPr>
          <w:rFonts w:eastAsia="Times New Roman"/>
          <w:noProof/>
        </w:rPr>
        <w:t>.</w:t>
      </w:r>
      <w:r w:rsidR="6CC8DF60" w:rsidRPr="00A10386">
        <w:rPr>
          <w:rFonts w:eastAsia="Times New Roman"/>
          <w:noProof/>
        </w:rPr>
        <w:t xml:space="preserve"> Due to the transnational dimension of migrant smuggling, and </w:t>
      </w:r>
      <w:r w:rsidR="2BF83DD9" w:rsidRPr="00A10386">
        <w:rPr>
          <w:rFonts w:eastAsia="Times New Roman"/>
          <w:noProof/>
        </w:rPr>
        <w:t>considering</w:t>
      </w:r>
      <w:r w:rsidR="6CC8DF60" w:rsidRPr="00A10386">
        <w:rPr>
          <w:rFonts w:eastAsia="Times New Roman"/>
          <w:noProof/>
        </w:rPr>
        <w:t xml:space="preserve"> already existing EU legislation, action </w:t>
      </w:r>
      <w:r w:rsidR="002B61C5" w:rsidRPr="00A10386">
        <w:rPr>
          <w:rFonts w:eastAsia="Times New Roman"/>
          <w:noProof/>
        </w:rPr>
        <w:t xml:space="preserve">at EU level </w:t>
      </w:r>
      <w:r w:rsidR="6CC8DF60" w:rsidRPr="00A10386">
        <w:rPr>
          <w:rFonts w:eastAsia="Times New Roman"/>
          <w:noProof/>
        </w:rPr>
        <w:t>is expected to be more effective and efficient and to bring a tangible added value compared to action taken by Member States individually. EU intervention would create added value by further approximating criminal law of Member States and contributing to ensuring a common playing field between Member States.</w:t>
      </w:r>
    </w:p>
    <w:p w14:paraId="44E5732C" w14:textId="77777777" w:rsidR="0066307E" w:rsidRPr="00A10386" w:rsidRDefault="0066307E" w:rsidP="007F522A">
      <w:pPr>
        <w:pStyle w:val="ManualHeading2"/>
        <w:rPr>
          <w:rFonts w:eastAsia="Arial Unicode MS"/>
          <w:noProof/>
          <w:bdr w:val="nil"/>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Proportionality</w:t>
      </w:r>
    </w:p>
    <w:p w14:paraId="31804ABC" w14:textId="77777777" w:rsidR="642AA1C9" w:rsidRPr="00A10386" w:rsidRDefault="007C0C51" w:rsidP="002D3FA5">
      <w:pPr>
        <w:rPr>
          <w:rFonts w:eastAsia="Times New Roman"/>
          <w:noProof/>
        </w:rPr>
      </w:pPr>
      <w:r w:rsidRPr="00A10386">
        <w:rPr>
          <w:noProof/>
        </w:rPr>
        <w:t>In accordance with the principle of proportionality, as set out in Article 5(4) of the Treaty on European Union, t</w:t>
      </w:r>
      <w:r w:rsidR="642AA1C9" w:rsidRPr="00A10386">
        <w:rPr>
          <w:rFonts w:eastAsia="Times New Roman"/>
          <w:noProof/>
        </w:rPr>
        <w:t xml:space="preserve">he proposed </w:t>
      </w:r>
      <w:r w:rsidR="0011724F" w:rsidRPr="00A10386">
        <w:rPr>
          <w:rFonts w:eastAsia="Times New Roman"/>
          <w:noProof/>
        </w:rPr>
        <w:t>Directive</w:t>
      </w:r>
      <w:r w:rsidR="642AA1C9" w:rsidRPr="00A10386">
        <w:rPr>
          <w:rFonts w:eastAsia="Times New Roman"/>
          <w:noProof/>
        </w:rPr>
        <w:t xml:space="preserve"> </w:t>
      </w:r>
      <w:r w:rsidR="0011724F" w:rsidRPr="00A10386">
        <w:rPr>
          <w:rFonts w:eastAsia="Times New Roman"/>
          <w:noProof/>
        </w:rPr>
        <w:t>is</w:t>
      </w:r>
      <w:r w:rsidR="642AA1C9" w:rsidRPr="00A10386">
        <w:rPr>
          <w:rFonts w:eastAsia="Times New Roman"/>
          <w:noProof/>
        </w:rPr>
        <w:t xml:space="preserve"> limited to what is necessary </w:t>
      </w:r>
      <w:r w:rsidR="006E59DC" w:rsidRPr="00A10386">
        <w:rPr>
          <w:rFonts w:eastAsia="Times New Roman"/>
          <w:noProof/>
        </w:rPr>
        <w:t>to</w:t>
      </w:r>
      <w:r w:rsidR="642AA1C9" w:rsidRPr="00A10386">
        <w:rPr>
          <w:rFonts w:eastAsia="Times New Roman"/>
          <w:noProof/>
        </w:rPr>
        <w:t xml:space="preserve"> reinforc</w:t>
      </w:r>
      <w:r w:rsidR="006E59DC" w:rsidRPr="00A10386">
        <w:rPr>
          <w:rFonts w:eastAsia="Times New Roman"/>
          <w:noProof/>
        </w:rPr>
        <w:t>e</w:t>
      </w:r>
      <w:r w:rsidR="642AA1C9" w:rsidRPr="00A10386">
        <w:rPr>
          <w:rFonts w:eastAsia="Times New Roman"/>
          <w:noProof/>
        </w:rPr>
        <w:t xml:space="preserve"> the EU framework on preventing and </w:t>
      </w:r>
      <w:r w:rsidR="00047A70" w:rsidRPr="00A10386">
        <w:rPr>
          <w:rFonts w:eastAsia="Times New Roman"/>
          <w:noProof/>
        </w:rPr>
        <w:t xml:space="preserve">countering </w:t>
      </w:r>
      <w:r w:rsidR="642AA1C9" w:rsidRPr="00A10386">
        <w:rPr>
          <w:rFonts w:eastAsia="Times New Roman"/>
          <w:noProof/>
        </w:rPr>
        <w:t>migrant smuggling</w:t>
      </w:r>
      <w:r w:rsidR="004E3B64" w:rsidRPr="00A10386">
        <w:rPr>
          <w:rFonts w:eastAsia="Times New Roman"/>
          <w:noProof/>
        </w:rPr>
        <w:t xml:space="preserve"> and does</w:t>
      </w:r>
      <w:r w:rsidR="642AA1C9" w:rsidRPr="00A10386">
        <w:rPr>
          <w:rFonts w:eastAsia="Times New Roman"/>
          <w:noProof/>
        </w:rPr>
        <w:t xml:space="preserve"> not go beyond what is necessary to achieve the policy objectives at stake. </w:t>
      </w:r>
    </w:p>
    <w:p w14:paraId="21BFC96B" w14:textId="77777777" w:rsidR="642AA1C9" w:rsidRPr="00A10386" w:rsidRDefault="642AA1C9" w:rsidP="002D3FA5">
      <w:pPr>
        <w:rPr>
          <w:rFonts w:eastAsia="Times New Roman"/>
          <w:noProof/>
        </w:rPr>
      </w:pPr>
      <w:r w:rsidRPr="00A10386">
        <w:rPr>
          <w:rFonts w:eastAsia="Times New Roman"/>
          <w:noProof/>
        </w:rPr>
        <w:t xml:space="preserve">In order to </w:t>
      </w:r>
      <w:r w:rsidR="1B413B83" w:rsidRPr="00A10386">
        <w:rPr>
          <w:rFonts w:eastAsia="Times New Roman"/>
          <w:noProof/>
        </w:rPr>
        <w:t xml:space="preserve">specifically </w:t>
      </w:r>
      <w:r w:rsidRPr="00A10386">
        <w:rPr>
          <w:rFonts w:eastAsia="Times New Roman"/>
          <w:noProof/>
        </w:rPr>
        <w:t xml:space="preserve">address </w:t>
      </w:r>
      <w:r w:rsidR="004E3B64" w:rsidRPr="00A10386">
        <w:rPr>
          <w:rFonts w:eastAsia="Times New Roman"/>
          <w:noProof/>
        </w:rPr>
        <w:t xml:space="preserve">serious </w:t>
      </w:r>
      <w:r w:rsidRPr="00A10386">
        <w:rPr>
          <w:rFonts w:eastAsia="Times New Roman"/>
          <w:noProof/>
        </w:rPr>
        <w:t>forms of migrant smuggling</w:t>
      </w:r>
      <w:r w:rsidR="7D7ABF60" w:rsidRPr="00A10386">
        <w:rPr>
          <w:rFonts w:eastAsia="Times New Roman"/>
          <w:noProof/>
        </w:rPr>
        <w:t xml:space="preserve">, </w:t>
      </w:r>
      <w:r w:rsidR="00C647CD" w:rsidRPr="00A10386">
        <w:rPr>
          <w:rFonts w:eastAsia="Times New Roman"/>
          <w:noProof/>
        </w:rPr>
        <w:t xml:space="preserve">for instance </w:t>
      </w:r>
      <w:r w:rsidR="2C5C1BE9" w:rsidRPr="00A10386">
        <w:rPr>
          <w:rFonts w:eastAsia="Times New Roman"/>
          <w:noProof/>
        </w:rPr>
        <w:t xml:space="preserve">those </w:t>
      </w:r>
      <w:r w:rsidR="0FF974C3" w:rsidRPr="00A10386">
        <w:rPr>
          <w:rFonts w:eastAsia="Times New Roman"/>
          <w:noProof/>
        </w:rPr>
        <w:t>that result in serious harm or loss of life</w:t>
      </w:r>
      <w:r w:rsidR="004E3B64" w:rsidRPr="00A10386">
        <w:rPr>
          <w:rFonts w:eastAsia="Times New Roman"/>
          <w:noProof/>
        </w:rPr>
        <w:t>,</w:t>
      </w:r>
      <w:r w:rsidRPr="00A10386">
        <w:rPr>
          <w:rFonts w:eastAsia="Times New Roman"/>
          <w:noProof/>
        </w:rPr>
        <w:t xml:space="preserve"> which are currently not explicitly mentioned in the Facilitat</w:t>
      </w:r>
      <w:r w:rsidR="004E3B64" w:rsidRPr="00A10386">
        <w:rPr>
          <w:rFonts w:eastAsia="Times New Roman"/>
          <w:noProof/>
        </w:rPr>
        <w:t>ors Package</w:t>
      </w:r>
      <w:r w:rsidRPr="00A10386">
        <w:rPr>
          <w:rFonts w:eastAsia="Times New Roman"/>
          <w:noProof/>
        </w:rPr>
        <w:t xml:space="preserve">, </w:t>
      </w:r>
      <w:r w:rsidR="002C059F" w:rsidRPr="00A10386">
        <w:rPr>
          <w:rFonts w:eastAsia="Times New Roman"/>
          <w:noProof/>
        </w:rPr>
        <w:t>the proposal for a Directive</w:t>
      </w:r>
      <w:r w:rsidRPr="00A10386">
        <w:rPr>
          <w:rFonts w:eastAsia="Times New Roman"/>
          <w:noProof/>
        </w:rPr>
        <w:t xml:space="preserve"> is </w:t>
      </w:r>
      <w:r w:rsidR="002C059F" w:rsidRPr="00A10386">
        <w:rPr>
          <w:rFonts w:eastAsia="Times New Roman"/>
          <w:noProof/>
        </w:rPr>
        <w:t xml:space="preserve">introducing the definition of </w:t>
      </w:r>
      <w:r w:rsidRPr="00A10386">
        <w:rPr>
          <w:rFonts w:eastAsia="Times New Roman"/>
          <w:noProof/>
        </w:rPr>
        <w:t>aggravat</w:t>
      </w:r>
      <w:r w:rsidR="002C059F" w:rsidRPr="00A10386">
        <w:rPr>
          <w:rFonts w:eastAsia="Times New Roman"/>
          <w:noProof/>
        </w:rPr>
        <w:t>ed criminal offences</w:t>
      </w:r>
      <w:r w:rsidR="0005135A" w:rsidRPr="00A10386">
        <w:rPr>
          <w:rFonts w:eastAsia="Times New Roman"/>
          <w:noProof/>
        </w:rPr>
        <w:t xml:space="preserve">, as well as a set of </w:t>
      </w:r>
      <w:r w:rsidRPr="00A10386">
        <w:rPr>
          <w:rFonts w:eastAsia="Times New Roman"/>
          <w:noProof/>
        </w:rPr>
        <w:t xml:space="preserve">aggravating and mitigating </w:t>
      </w:r>
      <w:r w:rsidR="0005135A" w:rsidRPr="00A10386">
        <w:rPr>
          <w:rFonts w:eastAsia="Times New Roman"/>
          <w:noProof/>
        </w:rPr>
        <w:t>circumstance</w:t>
      </w:r>
      <w:r w:rsidR="3A8DC34E" w:rsidRPr="00A10386">
        <w:rPr>
          <w:rFonts w:eastAsia="Times New Roman"/>
          <w:noProof/>
        </w:rPr>
        <w:t>s</w:t>
      </w:r>
      <w:r w:rsidR="0005135A" w:rsidRPr="00A10386">
        <w:rPr>
          <w:rFonts w:eastAsia="Times New Roman"/>
          <w:noProof/>
        </w:rPr>
        <w:t xml:space="preserve">, </w:t>
      </w:r>
      <w:r w:rsidR="00895358" w:rsidRPr="00A10386">
        <w:rPr>
          <w:rFonts w:eastAsia="Times New Roman"/>
          <w:noProof/>
        </w:rPr>
        <w:t xml:space="preserve">which ensure the proportionality of </w:t>
      </w:r>
      <w:r w:rsidRPr="00A10386">
        <w:rPr>
          <w:rFonts w:eastAsia="Times New Roman"/>
          <w:noProof/>
        </w:rPr>
        <w:t xml:space="preserve">the criminal </w:t>
      </w:r>
      <w:r w:rsidR="3A8F1DDC" w:rsidRPr="00A10386">
        <w:rPr>
          <w:rFonts w:eastAsia="Times New Roman"/>
          <w:noProof/>
        </w:rPr>
        <w:t>penalties</w:t>
      </w:r>
      <w:r w:rsidR="00895358" w:rsidRPr="00A10386">
        <w:rPr>
          <w:rFonts w:eastAsia="Times New Roman"/>
          <w:noProof/>
        </w:rPr>
        <w:t>,</w:t>
      </w:r>
      <w:r w:rsidRPr="00A10386">
        <w:rPr>
          <w:rFonts w:eastAsia="Times New Roman"/>
          <w:noProof/>
        </w:rPr>
        <w:t xml:space="preserve"> in </w:t>
      </w:r>
      <w:r w:rsidR="00895358" w:rsidRPr="00A10386">
        <w:rPr>
          <w:rFonts w:eastAsia="Times New Roman"/>
          <w:noProof/>
        </w:rPr>
        <w:t>line</w:t>
      </w:r>
      <w:r w:rsidRPr="00A10386" w:rsidDel="00C647CD">
        <w:rPr>
          <w:rFonts w:eastAsia="Times New Roman"/>
          <w:noProof/>
        </w:rPr>
        <w:t xml:space="preserve"> </w:t>
      </w:r>
      <w:r w:rsidRPr="00A10386">
        <w:rPr>
          <w:rFonts w:eastAsia="Times New Roman"/>
          <w:noProof/>
        </w:rPr>
        <w:t xml:space="preserve">with the principle of proportionality of criminal penalties as enshrined in Article 49(3) of the Charter. </w:t>
      </w:r>
    </w:p>
    <w:p w14:paraId="559ECD69" w14:textId="77777777" w:rsidR="0066307E" w:rsidRPr="00A10386" w:rsidRDefault="0066307E" w:rsidP="002D3FA5">
      <w:pPr>
        <w:pStyle w:val="ManualHeading2"/>
        <w:rPr>
          <w:rFonts w:eastAsia="Times New Roman"/>
          <w:noProof/>
          <w:szCs w:val="24"/>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Choice of the instrument</w:t>
      </w:r>
    </w:p>
    <w:p w14:paraId="483B102F" w14:textId="77777777" w:rsidR="00D82CD1" w:rsidRPr="00A10386" w:rsidRDefault="00FA481E" w:rsidP="002D3FA5">
      <w:pPr>
        <w:rPr>
          <w:noProof/>
        </w:rPr>
      </w:pPr>
      <w:r w:rsidRPr="00A10386">
        <w:rPr>
          <w:noProof/>
        </w:rPr>
        <w:t xml:space="preserve">In accordance with Article 83(2) of the Treaty on the Functioning of the European Union, </w:t>
      </w:r>
      <w:r w:rsidR="0029719B" w:rsidRPr="00A10386">
        <w:rPr>
          <w:noProof/>
        </w:rPr>
        <w:t xml:space="preserve">the approximation of criminal laws and regulations of the Member States that is essential to ensure the </w:t>
      </w:r>
      <w:r w:rsidR="0029719B" w:rsidRPr="00A10386">
        <w:rPr>
          <w:rFonts w:eastAsia="Times New Roman"/>
          <w:noProof/>
        </w:rPr>
        <w:t>effective</w:t>
      </w:r>
      <w:r w:rsidR="0029719B" w:rsidRPr="00A10386">
        <w:rPr>
          <w:noProof/>
        </w:rPr>
        <w:t xml:space="preserve"> implementation of a Union policy in an area which has been subject to harmonisation measures, </w:t>
      </w:r>
      <w:r w:rsidR="00D82CD1" w:rsidRPr="00A10386">
        <w:rPr>
          <w:noProof/>
        </w:rPr>
        <w:t>can only be achieved by means of a Directive of the European Parliament and the Council adopted in accordance with the ordinary legislative procedure.</w:t>
      </w:r>
    </w:p>
    <w:p w14:paraId="1CE8A927" w14:textId="77777777" w:rsidR="0066307E" w:rsidRPr="00A10386" w:rsidRDefault="0066307E" w:rsidP="007F522A">
      <w:pPr>
        <w:pStyle w:val="ManualHeading1"/>
        <w:rPr>
          <w:noProof/>
        </w:rPr>
      </w:pPr>
      <w:r w:rsidRPr="00A10386">
        <w:rPr>
          <w:noProof/>
        </w:rPr>
        <w:t>3.</w:t>
      </w:r>
      <w:r w:rsidRPr="00A10386">
        <w:rPr>
          <w:noProof/>
        </w:rPr>
        <w:tab/>
        <w:t>RESULTS OF EX-POST EVALUATIONS, STAKEHOLDER CONSULTATIONS AND IMPACT ASSESSMENTS</w:t>
      </w:r>
    </w:p>
    <w:p w14:paraId="24ADFAFC" w14:textId="77777777" w:rsidR="0066307E" w:rsidRPr="00A10386" w:rsidRDefault="0066307E" w:rsidP="007F522A">
      <w:pPr>
        <w:pStyle w:val="ManualHeading2"/>
        <w:rPr>
          <w:rFonts w:eastAsia="Arial Unicode MS"/>
          <w:noProof/>
          <w:bdr w:val="nil"/>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noProof/>
        </w:rPr>
        <w:t>Ex-post evaluations/fitness checks of existing legislation</w:t>
      </w:r>
    </w:p>
    <w:p w14:paraId="418269C4" w14:textId="77777777" w:rsidR="0066307E" w:rsidRPr="00A10386" w:rsidRDefault="008467BE" w:rsidP="002D3FA5">
      <w:pPr>
        <w:rPr>
          <w:noProof/>
        </w:rPr>
      </w:pPr>
      <w:r w:rsidRPr="00A10386">
        <w:rPr>
          <w:rFonts w:eastAsia="Times New Roman"/>
          <w:noProof/>
        </w:rPr>
        <w:t>A</w:t>
      </w:r>
      <w:r w:rsidR="72289E26" w:rsidRPr="00A10386">
        <w:rPr>
          <w:rFonts w:eastAsia="Times New Roman"/>
          <w:noProof/>
        </w:rPr>
        <w:t xml:space="preserve">n evaluation </w:t>
      </w:r>
      <w:r w:rsidRPr="00A10386">
        <w:rPr>
          <w:rFonts w:eastAsia="Times New Roman"/>
          <w:noProof/>
        </w:rPr>
        <w:t xml:space="preserve">of the Facilitators Package </w:t>
      </w:r>
      <w:r w:rsidR="72289E26" w:rsidRPr="00A10386">
        <w:rPr>
          <w:rFonts w:eastAsia="Times New Roman"/>
          <w:noProof/>
        </w:rPr>
        <w:t>was carried out in the framework of the Commission’s Regulatory Fitness and Performance Programme (REFIT) in 2017. It aimed at</w:t>
      </w:r>
      <w:r w:rsidR="72289E26" w:rsidRPr="00A10386">
        <w:rPr>
          <w:rFonts w:eastAsia="Times New Roman"/>
          <w:noProof/>
          <w:color w:val="000000" w:themeColor="text1"/>
        </w:rPr>
        <w:t xml:space="preserve"> assessing whether the Facilitators Package was fit-for-purpose. To this effect, </w:t>
      </w:r>
      <w:r w:rsidR="006458C7" w:rsidRPr="00A10386">
        <w:rPr>
          <w:rFonts w:eastAsia="Times New Roman"/>
          <w:noProof/>
          <w:color w:val="000000" w:themeColor="text1"/>
        </w:rPr>
        <w:t xml:space="preserve">the </w:t>
      </w:r>
      <w:r w:rsidR="72289E26" w:rsidRPr="00A10386">
        <w:rPr>
          <w:rFonts w:eastAsia="Times New Roman"/>
          <w:noProof/>
          <w:color w:val="000000" w:themeColor="text1"/>
        </w:rPr>
        <w:t xml:space="preserve">effectiveness, </w:t>
      </w:r>
      <w:r w:rsidR="72289E26" w:rsidRPr="00A10386">
        <w:rPr>
          <w:noProof/>
        </w:rPr>
        <w:t>efficiency</w:t>
      </w:r>
      <w:r w:rsidR="72289E26" w:rsidRPr="00A10386">
        <w:rPr>
          <w:rFonts w:eastAsia="Times New Roman"/>
          <w:noProof/>
          <w:color w:val="000000" w:themeColor="text1"/>
        </w:rPr>
        <w:t>, relevance, coherence and EU added value of the existing provisions were evaluated.</w:t>
      </w:r>
      <w:r w:rsidR="7A8270F0" w:rsidRPr="00A10386">
        <w:rPr>
          <w:rFonts w:eastAsia="Times New Roman"/>
          <w:noProof/>
          <w:color w:val="000000" w:themeColor="text1"/>
        </w:rPr>
        <w:t xml:space="preserve"> The evaluation showed that a</w:t>
      </w:r>
      <w:r w:rsidR="7A8270F0" w:rsidRPr="00A10386">
        <w:rPr>
          <w:rFonts w:eastAsia="Times New Roman"/>
          <w:noProof/>
        </w:rPr>
        <w:t>ll Member States transposed the Facilitators Package and amended their legislation accordingly. The</w:t>
      </w:r>
      <w:r w:rsidR="3AA7C520" w:rsidRPr="00A10386">
        <w:rPr>
          <w:rFonts w:eastAsia="Times New Roman"/>
          <w:noProof/>
        </w:rPr>
        <w:t xml:space="preserve"> adoption of the Facilitators </w:t>
      </w:r>
      <w:r w:rsidR="00376AFD" w:rsidRPr="00A10386">
        <w:rPr>
          <w:rFonts w:eastAsia="Times New Roman"/>
          <w:noProof/>
        </w:rPr>
        <w:t>P</w:t>
      </w:r>
      <w:r w:rsidR="3AA7C520" w:rsidRPr="00A10386">
        <w:rPr>
          <w:rFonts w:eastAsia="Times New Roman"/>
          <w:noProof/>
        </w:rPr>
        <w:t xml:space="preserve">ackage clarified the distinction between </w:t>
      </w:r>
      <w:r w:rsidR="00376AFD" w:rsidRPr="00A10386">
        <w:rPr>
          <w:rFonts w:eastAsia="Times New Roman"/>
          <w:noProof/>
        </w:rPr>
        <w:t xml:space="preserve">the offences of </w:t>
      </w:r>
      <w:r w:rsidR="3AA7C520" w:rsidRPr="00A10386">
        <w:rPr>
          <w:rFonts w:eastAsia="Times New Roman"/>
          <w:noProof/>
        </w:rPr>
        <w:t xml:space="preserve">migrant smuggling and trafficking in human </w:t>
      </w:r>
      <w:r w:rsidR="6D894751" w:rsidRPr="00A10386">
        <w:rPr>
          <w:rFonts w:eastAsia="Times New Roman"/>
          <w:noProof/>
        </w:rPr>
        <w:t>beings and</w:t>
      </w:r>
      <w:r w:rsidR="3AA7C520" w:rsidRPr="00A10386">
        <w:rPr>
          <w:rFonts w:eastAsia="Times New Roman"/>
          <w:noProof/>
        </w:rPr>
        <w:t xml:space="preserve"> allowed for further </w:t>
      </w:r>
      <w:r w:rsidR="7A8270F0" w:rsidRPr="00A10386">
        <w:rPr>
          <w:rFonts w:eastAsia="Times New Roman"/>
          <w:noProof/>
        </w:rPr>
        <w:t>approximation of the definition of the offence</w:t>
      </w:r>
      <w:r w:rsidR="0F60D72F" w:rsidRPr="00A10386">
        <w:rPr>
          <w:rFonts w:eastAsia="Times New Roman"/>
          <w:noProof/>
        </w:rPr>
        <w:t xml:space="preserve"> </w:t>
      </w:r>
      <w:r w:rsidR="7A82C707" w:rsidRPr="00A10386">
        <w:rPr>
          <w:rFonts w:eastAsia="Times New Roman"/>
          <w:noProof/>
        </w:rPr>
        <w:t>with a</w:t>
      </w:r>
      <w:r w:rsidR="7A8270F0" w:rsidRPr="00A10386">
        <w:rPr>
          <w:rFonts w:eastAsia="Times New Roman"/>
          <w:noProof/>
        </w:rPr>
        <w:t>ll Member States introduc</w:t>
      </w:r>
      <w:r w:rsidR="44E3DEDB" w:rsidRPr="00A10386">
        <w:rPr>
          <w:rFonts w:eastAsia="Times New Roman"/>
          <w:noProof/>
        </w:rPr>
        <w:t>ing</w:t>
      </w:r>
      <w:r w:rsidR="7A8270F0" w:rsidRPr="00A10386">
        <w:rPr>
          <w:rFonts w:eastAsia="Times New Roman"/>
          <w:noProof/>
        </w:rPr>
        <w:t xml:space="preserve"> sanctions for the facilitation of</w:t>
      </w:r>
      <w:r w:rsidR="00376AFD" w:rsidRPr="00A10386">
        <w:rPr>
          <w:rFonts w:eastAsia="Times New Roman"/>
          <w:noProof/>
        </w:rPr>
        <w:t xml:space="preserve"> unauthorised</w:t>
      </w:r>
      <w:r w:rsidR="7A8270F0" w:rsidRPr="00A10386">
        <w:rPr>
          <w:rFonts w:eastAsia="Times New Roman"/>
          <w:noProof/>
        </w:rPr>
        <w:t xml:space="preserve"> entry</w:t>
      </w:r>
      <w:r w:rsidR="77013B47" w:rsidRPr="00A10386">
        <w:rPr>
          <w:rFonts w:eastAsia="Times New Roman"/>
          <w:noProof/>
        </w:rPr>
        <w:t>,</w:t>
      </w:r>
      <w:r w:rsidR="7A8270F0" w:rsidRPr="00A10386">
        <w:rPr>
          <w:rFonts w:eastAsia="Times New Roman"/>
          <w:noProof/>
        </w:rPr>
        <w:t xml:space="preserve"> transit </w:t>
      </w:r>
      <w:r w:rsidR="41C99550" w:rsidRPr="00A10386">
        <w:rPr>
          <w:rFonts w:eastAsia="Times New Roman"/>
          <w:noProof/>
        </w:rPr>
        <w:t>and residence</w:t>
      </w:r>
      <w:r w:rsidR="477BBF07" w:rsidRPr="00A10386">
        <w:rPr>
          <w:rFonts w:eastAsia="Times New Roman"/>
          <w:noProof/>
        </w:rPr>
        <w:t>.</w:t>
      </w:r>
    </w:p>
    <w:p w14:paraId="43206456" w14:textId="77777777" w:rsidR="72289E26" w:rsidRPr="00A10386" w:rsidRDefault="17D87EC3" w:rsidP="002D3FA5">
      <w:pPr>
        <w:rPr>
          <w:rFonts w:eastAsia="Times New Roman"/>
          <w:noProof/>
        </w:rPr>
      </w:pPr>
      <w:r w:rsidRPr="00A10386">
        <w:rPr>
          <w:rFonts w:eastAsia="Times New Roman"/>
          <w:noProof/>
        </w:rPr>
        <w:t xml:space="preserve">The evaluation findings </w:t>
      </w:r>
      <w:r w:rsidR="691008FC" w:rsidRPr="00A10386">
        <w:rPr>
          <w:rFonts w:eastAsia="Times New Roman"/>
          <w:noProof/>
        </w:rPr>
        <w:t>pointed to a</w:t>
      </w:r>
      <w:r w:rsidRPr="00A10386">
        <w:rPr>
          <w:rFonts w:eastAsia="Times New Roman"/>
          <w:noProof/>
        </w:rPr>
        <w:t xml:space="preserve"> serious lack of reliable and comparable data on migrant smuggling offences and criminal justice responses at national and European level, affecting almost all evaluation criteria.</w:t>
      </w:r>
      <w:r w:rsidR="00376AFD" w:rsidRPr="00A10386">
        <w:rPr>
          <w:rFonts w:eastAsia="Times New Roman"/>
          <w:noProof/>
        </w:rPr>
        <w:t xml:space="preserve"> </w:t>
      </w:r>
      <w:r w:rsidR="1DC455BA" w:rsidRPr="00A10386">
        <w:rPr>
          <w:rFonts w:eastAsia="Times New Roman"/>
          <w:noProof/>
        </w:rPr>
        <w:t>Due to the limited</w:t>
      </w:r>
      <w:r w:rsidR="1DC455BA" w:rsidRPr="00A10386" w:rsidDel="00376AFD">
        <w:rPr>
          <w:rFonts w:eastAsia="Times New Roman"/>
          <w:noProof/>
        </w:rPr>
        <w:t xml:space="preserve"> </w:t>
      </w:r>
      <w:r w:rsidR="1DC455BA" w:rsidRPr="00A10386">
        <w:rPr>
          <w:rFonts w:eastAsia="Times New Roman"/>
          <w:noProof/>
        </w:rPr>
        <w:t>availability</w:t>
      </w:r>
      <w:r w:rsidR="00376AFD" w:rsidRPr="00A10386">
        <w:rPr>
          <w:rFonts w:eastAsia="Times New Roman"/>
          <w:noProof/>
        </w:rPr>
        <w:t xml:space="preserve"> of data</w:t>
      </w:r>
      <w:r w:rsidR="1DC455BA" w:rsidRPr="00A10386">
        <w:rPr>
          <w:rFonts w:eastAsia="Times New Roman"/>
          <w:noProof/>
        </w:rPr>
        <w:t xml:space="preserve">, it is </w:t>
      </w:r>
      <w:r w:rsidR="00376AFD" w:rsidRPr="00A10386">
        <w:rPr>
          <w:rFonts w:eastAsia="Times New Roman"/>
          <w:noProof/>
        </w:rPr>
        <w:t xml:space="preserve">not possible </w:t>
      </w:r>
      <w:r w:rsidR="1DC455BA" w:rsidRPr="00A10386">
        <w:rPr>
          <w:rFonts w:eastAsia="Times New Roman"/>
          <w:noProof/>
        </w:rPr>
        <w:t>to assess how and to what extent increases in detection and prosecution of facilitators</w:t>
      </w:r>
      <w:r w:rsidR="00376AFD" w:rsidRPr="00A10386">
        <w:rPr>
          <w:rFonts w:eastAsia="Times New Roman"/>
          <w:noProof/>
        </w:rPr>
        <w:t>,</w:t>
      </w:r>
      <w:r w:rsidR="1DC455BA" w:rsidRPr="00A10386">
        <w:rPr>
          <w:rFonts w:eastAsia="Times New Roman"/>
          <w:noProof/>
        </w:rPr>
        <w:t xml:space="preserve"> or </w:t>
      </w:r>
      <w:r w:rsidR="00376AFD" w:rsidRPr="00A10386">
        <w:rPr>
          <w:rFonts w:eastAsia="Times New Roman"/>
          <w:noProof/>
        </w:rPr>
        <w:t xml:space="preserve">the </w:t>
      </w:r>
      <w:r w:rsidR="1DC455BA" w:rsidRPr="00A10386">
        <w:rPr>
          <w:rFonts w:eastAsia="Times New Roman"/>
          <w:noProof/>
        </w:rPr>
        <w:t>enhanced cooperation between Member States</w:t>
      </w:r>
      <w:r w:rsidR="00376AFD" w:rsidRPr="00A10386">
        <w:rPr>
          <w:rFonts w:eastAsia="Times New Roman"/>
          <w:noProof/>
        </w:rPr>
        <w:t>,</w:t>
      </w:r>
      <w:r w:rsidR="1DC455BA" w:rsidRPr="00A10386">
        <w:rPr>
          <w:rFonts w:eastAsia="Times New Roman"/>
          <w:noProof/>
        </w:rPr>
        <w:t xml:space="preserve"> are directly </w:t>
      </w:r>
      <w:r w:rsidR="00376AFD" w:rsidRPr="00A10386">
        <w:rPr>
          <w:rFonts w:eastAsia="Times New Roman"/>
          <w:noProof/>
        </w:rPr>
        <w:t xml:space="preserve">linked </w:t>
      </w:r>
      <w:r w:rsidR="1DC455BA" w:rsidRPr="00A10386">
        <w:rPr>
          <w:rFonts w:eastAsia="Times New Roman"/>
          <w:noProof/>
        </w:rPr>
        <w:t xml:space="preserve">to the </w:t>
      </w:r>
      <w:r w:rsidR="00376AFD" w:rsidRPr="00A10386">
        <w:rPr>
          <w:rFonts w:eastAsia="Times New Roman"/>
          <w:noProof/>
        </w:rPr>
        <w:t xml:space="preserve">implementation of the </w:t>
      </w:r>
      <w:r w:rsidR="1DC455BA" w:rsidRPr="00A10386">
        <w:rPr>
          <w:rFonts w:eastAsia="Times New Roman"/>
          <w:noProof/>
        </w:rPr>
        <w:t>Facilitators Packag</w:t>
      </w:r>
      <w:r w:rsidR="341EC33D" w:rsidRPr="00A10386">
        <w:rPr>
          <w:rFonts w:eastAsia="Times New Roman"/>
          <w:noProof/>
        </w:rPr>
        <w:t xml:space="preserve">e. </w:t>
      </w:r>
      <w:r w:rsidR="00376AFD" w:rsidRPr="00A10386">
        <w:rPr>
          <w:rFonts w:eastAsia="Times New Roman"/>
          <w:noProof/>
        </w:rPr>
        <w:t>Collecting and analysing reliable and timely submitted s</w:t>
      </w:r>
      <w:r w:rsidR="65D5A13D" w:rsidRPr="00A10386">
        <w:rPr>
          <w:rFonts w:eastAsia="Times New Roman"/>
          <w:noProof/>
        </w:rPr>
        <w:t>tatistic</w:t>
      </w:r>
      <w:r w:rsidR="00376AFD" w:rsidRPr="00A10386">
        <w:rPr>
          <w:rFonts w:eastAsia="Times New Roman"/>
          <w:noProof/>
        </w:rPr>
        <w:t>al data</w:t>
      </w:r>
      <w:r w:rsidR="65D5A13D" w:rsidRPr="00A10386">
        <w:rPr>
          <w:rFonts w:eastAsia="Times New Roman"/>
          <w:noProof/>
        </w:rPr>
        <w:t xml:space="preserve"> on crime and criminal justice </w:t>
      </w:r>
      <w:r w:rsidR="00376AFD" w:rsidRPr="00A10386">
        <w:rPr>
          <w:rFonts w:eastAsia="Times New Roman"/>
          <w:noProof/>
        </w:rPr>
        <w:t xml:space="preserve">is </w:t>
      </w:r>
      <w:r w:rsidR="65D5A13D" w:rsidRPr="00A10386">
        <w:rPr>
          <w:rFonts w:eastAsia="Times New Roman"/>
          <w:noProof/>
        </w:rPr>
        <w:t>indispensable for developing evidence-based policy at EU level.</w:t>
      </w:r>
    </w:p>
    <w:p w14:paraId="4CB612CE" w14:textId="77777777" w:rsidR="72289E26" w:rsidRPr="00A10386" w:rsidRDefault="60E371F5" w:rsidP="002D3FA5">
      <w:pPr>
        <w:rPr>
          <w:rFonts w:eastAsia="Times New Roman"/>
          <w:noProof/>
        </w:rPr>
      </w:pPr>
      <w:r w:rsidRPr="00A10386">
        <w:rPr>
          <w:rFonts w:eastAsia="Times New Roman"/>
          <w:noProof/>
        </w:rPr>
        <w:t>A</w:t>
      </w:r>
      <w:r w:rsidR="72289E26" w:rsidRPr="00A10386">
        <w:rPr>
          <w:rFonts w:eastAsia="Times New Roman"/>
          <w:noProof/>
        </w:rPr>
        <w:t xml:space="preserve">vailable data and stakeholders' views highlighted both critical and satisfactory elements in relation to the effectiveness of the </w:t>
      </w:r>
      <w:r w:rsidR="005A48C5" w:rsidRPr="00A10386">
        <w:rPr>
          <w:rFonts w:eastAsia="Times New Roman"/>
          <w:noProof/>
        </w:rPr>
        <w:t xml:space="preserve">Facilitators </w:t>
      </w:r>
      <w:r w:rsidR="72289E26" w:rsidRPr="00A10386">
        <w:rPr>
          <w:rFonts w:eastAsia="Times New Roman"/>
          <w:noProof/>
        </w:rPr>
        <w:t xml:space="preserve">Package in reaching its objectives. For example, while the deterrent effect of this legislation was questioned against the background of increasing migrant smuggling to the EU, the approximation of the penal framework was </w:t>
      </w:r>
      <w:r w:rsidR="450B94EB" w:rsidRPr="00A10386">
        <w:rPr>
          <w:rFonts w:eastAsia="Times New Roman"/>
          <w:noProof/>
        </w:rPr>
        <w:t xml:space="preserve">assessed </w:t>
      </w:r>
      <w:r w:rsidR="72289E26" w:rsidRPr="00A10386">
        <w:rPr>
          <w:rFonts w:eastAsia="Times New Roman"/>
          <w:noProof/>
        </w:rPr>
        <w:t xml:space="preserve">more positively. </w:t>
      </w:r>
    </w:p>
    <w:p w14:paraId="7FFC4153" w14:textId="77777777" w:rsidR="72289E26" w:rsidRPr="00A10386" w:rsidRDefault="72289E26" w:rsidP="002D3FA5">
      <w:pPr>
        <w:rPr>
          <w:rFonts w:eastAsia="Times New Roman"/>
          <w:noProof/>
        </w:rPr>
      </w:pPr>
      <w:r w:rsidRPr="00A10386">
        <w:rPr>
          <w:rFonts w:eastAsia="Times New Roman"/>
          <w:noProof/>
        </w:rPr>
        <w:t xml:space="preserve">Differences were noted also across the different categories of stakeholders, who expressed diverse and sometimes contradicting views on different aspects of the </w:t>
      </w:r>
      <w:r w:rsidR="005A48C5" w:rsidRPr="00A10386">
        <w:rPr>
          <w:rFonts w:eastAsia="Times New Roman"/>
          <w:noProof/>
        </w:rPr>
        <w:t xml:space="preserve">Facilitators </w:t>
      </w:r>
      <w:r w:rsidRPr="00A10386">
        <w:rPr>
          <w:rFonts w:eastAsia="Times New Roman"/>
          <w:noProof/>
        </w:rPr>
        <w:t xml:space="preserve">Package. Most of the individuals and organisations </w:t>
      </w:r>
      <w:r w:rsidR="5BE83781" w:rsidRPr="00A10386">
        <w:rPr>
          <w:rFonts w:eastAsia="Times New Roman"/>
          <w:noProof/>
        </w:rPr>
        <w:t xml:space="preserve">consulted </w:t>
      </w:r>
      <w:r w:rsidRPr="00A10386">
        <w:rPr>
          <w:rFonts w:eastAsia="Times New Roman"/>
          <w:noProof/>
        </w:rPr>
        <w:t xml:space="preserve">were strongly in favour of a modification of the existing definition of the offence. Despite the fact that the current Article 1(2) of the Facilitation Directive leaves the choice to the Member States to exempt from criminal sanctions the facilitation of </w:t>
      </w:r>
      <w:r w:rsidR="003867D3" w:rsidRPr="00A10386">
        <w:rPr>
          <w:rFonts w:eastAsia="Times New Roman"/>
          <w:noProof/>
        </w:rPr>
        <w:t xml:space="preserve">unauthorised </w:t>
      </w:r>
      <w:r w:rsidRPr="00A10386">
        <w:rPr>
          <w:rFonts w:eastAsia="Times New Roman"/>
          <w:noProof/>
        </w:rPr>
        <w:t xml:space="preserve">entry </w:t>
      </w:r>
      <w:r w:rsidR="1655D6BF" w:rsidRPr="00A10386">
        <w:rPr>
          <w:rFonts w:eastAsia="Times New Roman"/>
          <w:noProof/>
        </w:rPr>
        <w:t xml:space="preserve">and transit </w:t>
      </w:r>
      <w:r w:rsidRPr="00A10386">
        <w:rPr>
          <w:rFonts w:eastAsia="Times New Roman"/>
          <w:noProof/>
        </w:rPr>
        <w:t xml:space="preserve">when it is conducted on humanitarian grounds, this provision was criticised for its optional character, entailing a lack of clarity and legal certainty. </w:t>
      </w:r>
      <w:r w:rsidR="327385C1" w:rsidRPr="00A10386">
        <w:rPr>
          <w:rFonts w:eastAsia="Times New Roman"/>
          <w:noProof/>
        </w:rPr>
        <w:t xml:space="preserve">Concerns were raised </w:t>
      </w:r>
      <w:r w:rsidR="04501BBD" w:rsidRPr="00A10386">
        <w:rPr>
          <w:rFonts w:eastAsia="Times New Roman"/>
          <w:noProof/>
        </w:rPr>
        <w:t xml:space="preserve">by the representatives of civil society </w:t>
      </w:r>
      <w:r w:rsidR="327385C1" w:rsidRPr="00A10386">
        <w:rPr>
          <w:rFonts w:eastAsia="Times New Roman"/>
          <w:noProof/>
        </w:rPr>
        <w:t>about</w:t>
      </w:r>
      <w:r w:rsidR="005D763A" w:rsidRPr="00A10386">
        <w:rPr>
          <w:rFonts w:eastAsia="Times New Roman"/>
          <w:noProof/>
        </w:rPr>
        <w:t xml:space="preserve"> the</w:t>
      </w:r>
      <w:r w:rsidR="327385C1" w:rsidRPr="00A10386">
        <w:rPr>
          <w:rFonts w:eastAsia="Times New Roman"/>
          <w:noProof/>
        </w:rPr>
        <w:t xml:space="preserve"> </w:t>
      </w:r>
      <w:r w:rsidR="005D763A" w:rsidRPr="00A10386">
        <w:rPr>
          <w:rFonts w:eastAsia="Times New Roman"/>
          <w:noProof/>
        </w:rPr>
        <w:t>p</w:t>
      </w:r>
      <w:r w:rsidRPr="00A10386">
        <w:rPr>
          <w:rFonts w:eastAsia="Times New Roman"/>
          <w:noProof/>
        </w:rPr>
        <w:t>erceived risks of criminalisation of a</w:t>
      </w:r>
      <w:r w:rsidR="2C91217F" w:rsidRPr="00A10386">
        <w:rPr>
          <w:rFonts w:eastAsia="Times New Roman"/>
          <w:noProof/>
        </w:rPr>
        <w:t xml:space="preserve">ssistance provided </w:t>
      </w:r>
      <w:r w:rsidRPr="00A10386">
        <w:rPr>
          <w:rFonts w:eastAsia="Times New Roman"/>
          <w:noProof/>
        </w:rPr>
        <w:t>by civil society organisations or individuals assisting and/or working with irregular migrants</w:t>
      </w:r>
      <w:r w:rsidR="2E0D4B78" w:rsidRPr="00A10386" w:rsidDel="005D763A">
        <w:rPr>
          <w:rFonts w:eastAsia="Times New Roman"/>
          <w:noProof/>
        </w:rPr>
        <w:t>.</w:t>
      </w:r>
    </w:p>
    <w:p w14:paraId="0B62FADA" w14:textId="5432A7AF" w:rsidR="72289E26" w:rsidRPr="00A10386" w:rsidRDefault="72289E26" w:rsidP="002D3FA5">
      <w:pPr>
        <w:rPr>
          <w:rFonts w:eastAsia="Times New Roman"/>
          <w:noProof/>
        </w:rPr>
      </w:pPr>
      <w:r w:rsidRPr="00A10386">
        <w:rPr>
          <w:rFonts w:eastAsia="Times New Roman"/>
          <w:noProof/>
        </w:rPr>
        <w:t>These perceptions and criticisms concern</w:t>
      </w:r>
      <w:r w:rsidR="009F6D74" w:rsidRPr="00A10386">
        <w:rPr>
          <w:rFonts w:eastAsia="Times New Roman"/>
          <w:noProof/>
        </w:rPr>
        <w:t>ed</w:t>
      </w:r>
      <w:r w:rsidRPr="00A10386">
        <w:rPr>
          <w:rFonts w:eastAsia="Times New Roman"/>
          <w:noProof/>
        </w:rPr>
        <w:t xml:space="preserve"> both humanitarian assistance </w:t>
      </w:r>
      <w:r w:rsidR="0072663F" w:rsidRPr="00A10386">
        <w:rPr>
          <w:rFonts w:eastAsia="Times New Roman"/>
          <w:noProof/>
        </w:rPr>
        <w:t xml:space="preserve">provided </w:t>
      </w:r>
      <w:r w:rsidRPr="00A10386">
        <w:rPr>
          <w:rFonts w:eastAsia="Times New Roman"/>
          <w:noProof/>
        </w:rPr>
        <w:t xml:space="preserve">within </w:t>
      </w:r>
      <w:r w:rsidR="0072663F" w:rsidRPr="00A10386">
        <w:rPr>
          <w:rFonts w:eastAsia="Times New Roman"/>
          <w:noProof/>
        </w:rPr>
        <w:t xml:space="preserve">the territory of </w:t>
      </w:r>
      <w:r w:rsidRPr="00A10386">
        <w:rPr>
          <w:rFonts w:eastAsia="Times New Roman"/>
          <w:noProof/>
        </w:rPr>
        <w:t xml:space="preserve">a Member State as well as at </w:t>
      </w:r>
      <w:r w:rsidR="0072663F" w:rsidRPr="00A10386">
        <w:rPr>
          <w:rFonts w:eastAsia="Times New Roman"/>
          <w:noProof/>
        </w:rPr>
        <w:t xml:space="preserve">the </w:t>
      </w:r>
      <w:r w:rsidRPr="00A10386">
        <w:rPr>
          <w:rFonts w:eastAsia="Times New Roman"/>
          <w:noProof/>
        </w:rPr>
        <w:t xml:space="preserve">borders or on the high seas, despite the different legal frameworks that apply to such conducts. </w:t>
      </w:r>
      <w:r w:rsidR="00993256" w:rsidRPr="00A10386">
        <w:rPr>
          <w:rFonts w:eastAsia="Times New Roman"/>
          <w:noProof/>
        </w:rPr>
        <w:t>T</w:t>
      </w:r>
      <w:r w:rsidR="00044D3C" w:rsidRPr="00A10386">
        <w:rPr>
          <w:noProof/>
          <w:szCs w:val="24"/>
        </w:rPr>
        <w:t xml:space="preserve">he analysis of the implementation of the Facilitators Package revealed </w:t>
      </w:r>
      <w:r w:rsidR="00D85816" w:rsidRPr="00A10386">
        <w:rPr>
          <w:noProof/>
          <w:szCs w:val="24"/>
        </w:rPr>
        <w:t>the existence of</w:t>
      </w:r>
      <w:r w:rsidR="00190577" w:rsidRPr="00A10386">
        <w:rPr>
          <w:noProof/>
          <w:szCs w:val="24"/>
        </w:rPr>
        <w:t xml:space="preserve"> varied approach</w:t>
      </w:r>
      <w:r w:rsidR="008A01E6" w:rsidRPr="00A10386">
        <w:rPr>
          <w:noProof/>
          <w:szCs w:val="24"/>
        </w:rPr>
        <w:t>es</w:t>
      </w:r>
      <w:r w:rsidR="00190577" w:rsidRPr="00A10386">
        <w:rPr>
          <w:noProof/>
          <w:szCs w:val="24"/>
        </w:rPr>
        <w:t xml:space="preserve"> to what constitutes </w:t>
      </w:r>
      <w:r w:rsidR="00D85816" w:rsidRPr="00A10386">
        <w:rPr>
          <w:noProof/>
          <w:szCs w:val="24"/>
        </w:rPr>
        <w:t xml:space="preserve">a </w:t>
      </w:r>
      <w:r w:rsidR="00190577" w:rsidRPr="00A10386">
        <w:rPr>
          <w:noProof/>
          <w:szCs w:val="24"/>
        </w:rPr>
        <w:t xml:space="preserve">crime </w:t>
      </w:r>
      <w:r w:rsidR="00D85816" w:rsidRPr="00A10386">
        <w:rPr>
          <w:noProof/>
          <w:szCs w:val="24"/>
        </w:rPr>
        <w:t>across Member States</w:t>
      </w:r>
      <w:r w:rsidR="00584638" w:rsidRPr="00A10386">
        <w:rPr>
          <w:noProof/>
          <w:szCs w:val="24"/>
        </w:rPr>
        <w:t xml:space="preserve">: </w:t>
      </w:r>
      <w:r w:rsidR="00854A4D" w:rsidRPr="00A10386">
        <w:rPr>
          <w:noProof/>
          <w:szCs w:val="24"/>
        </w:rPr>
        <w:t xml:space="preserve">whereas in certain Member States the practice of the authorities </w:t>
      </w:r>
      <w:r w:rsidR="0075748F" w:rsidRPr="00A10386">
        <w:rPr>
          <w:noProof/>
          <w:szCs w:val="24"/>
        </w:rPr>
        <w:t>is</w:t>
      </w:r>
      <w:r w:rsidR="00854A4D" w:rsidRPr="00A10386">
        <w:rPr>
          <w:noProof/>
          <w:szCs w:val="24"/>
        </w:rPr>
        <w:t xml:space="preserve"> to focus on cases of facilitation when committed with a lucrative intent or by organised criminal groups, in others</w:t>
      </w:r>
      <w:r w:rsidR="00D85816" w:rsidRPr="00A10386">
        <w:rPr>
          <w:noProof/>
          <w:szCs w:val="24"/>
        </w:rPr>
        <w:t>,</w:t>
      </w:r>
      <w:r w:rsidR="00854A4D" w:rsidRPr="00A10386">
        <w:rPr>
          <w:noProof/>
          <w:szCs w:val="24"/>
        </w:rPr>
        <w:t xml:space="preserve"> </w:t>
      </w:r>
      <w:r w:rsidR="006F20DD" w:rsidRPr="00A10386">
        <w:rPr>
          <w:noProof/>
          <w:szCs w:val="24"/>
        </w:rPr>
        <w:t xml:space="preserve">due to the broad definition of the offence, </w:t>
      </w:r>
      <w:r w:rsidR="00854A4D" w:rsidRPr="00A10386">
        <w:rPr>
          <w:noProof/>
          <w:szCs w:val="24"/>
        </w:rPr>
        <w:t xml:space="preserve">people providing services to irregular migrants in the context of their professional activities </w:t>
      </w:r>
      <w:r w:rsidR="003C3484" w:rsidRPr="00A10386">
        <w:rPr>
          <w:noProof/>
          <w:szCs w:val="24"/>
        </w:rPr>
        <w:t>or</w:t>
      </w:r>
      <w:r w:rsidR="00854A4D" w:rsidRPr="00A10386">
        <w:rPr>
          <w:noProof/>
          <w:szCs w:val="24"/>
        </w:rPr>
        <w:t xml:space="preserve"> providing assistance for selfless reasons</w:t>
      </w:r>
      <w:r w:rsidR="003C3484" w:rsidRPr="00A10386">
        <w:rPr>
          <w:noProof/>
          <w:szCs w:val="24"/>
        </w:rPr>
        <w:t xml:space="preserve"> </w:t>
      </w:r>
      <w:r w:rsidR="008A01E6" w:rsidRPr="00A10386">
        <w:rPr>
          <w:noProof/>
          <w:szCs w:val="24"/>
        </w:rPr>
        <w:t>have</w:t>
      </w:r>
      <w:r w:rsidR="003C3484" w:rsidRPr="00A10386">
        <w:rPr>
          <w:noProof/>
          <w:szCs w:val="24"/>
        </w:rPr>
        <w:t xml:space="preserve"> also </w:t>
      </w:r>
      <w:r w:rsidR="008A01E6" w:rsidRPr="00A10386">
        <w:rPr>
          <w:noProof/>
          <w:szCs w:val="24"/>
        </w:rPr>
        <w:t>been prosecuted</w:t>
      </w:r>
      <w:r w:rsidRPr="00A10386">
        <w:rPr>
          <w:rFonts w:eastAsia="Times New Roman"/>
          <w:noProof/>
          <w:szCs w:val="24"/>
        </w:rPr>
        <w:t>.</w:t>
      </w:r>
      <w:r w:rsidRPr="00A10386">
        <w:rPr>
          <w:rFonts w:eastAsia="Times New Roman"/>
          <w:noProof/>
        </w:rPr>
        <w:t xml:space="preserve"> </w:t>
      </w:r>
    </w:p>
    <w:p w14:paraId="6F3E2DAC" w14:textId="77777777" w:rsidR="0066307E" w:rsidRPr="00A10386" w:rsidRDefault="0066307E" w:rsidP="007F522A">
      <w:pPr>
        <w:pStyle w:val="ManualHeading2"/>
        <w:rPr>
          <w:rFonts w:eastAsia="Arial Unicode MS"/>
          <w:noProof/>
          <w:bdr w:val="nil"/>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Stakeholder consultations</w:t>
      </w:r>
    </w:p>
    <w:p w14:paraId="3F6B0D54" w14:textId="77777777" w:rsidR="29709771" w:rsidRPr="00A10386" w:rsidRDefault="3CC8646B" w:rsidP="002D3FA5">
      <w:pPr>
        <w:rPr>
          <w:rFonts w:eastAsia="Times New Roman"/>
          <w:noProof/>
        </w:rPr>
      </w:pPr>
      <w:r w:rsidRPr="00A10386">
        <w:rPr>
          <w:rFonts w:eastAsia="Times New Roman"/>
          <w:noProof/>
        </w:rPr>
        <w:t xml:space="preserve">The Commission had a series of targeted consultations with a wide range of stakeholders on the implementation of the Facilitators </w:t>
      </w:r>
      <w:r w:rsidR="006160AB" w:rsidRPr="00A10386">
        <w:rPr>
          <w:rFonts w:eastAsia="Times New Roman"/>
          <w:noProof/>
        </w:rPr>
        <w:t>P</w:t>
      </w:r>
      <w:r w:rsidRPr="00A10386">
        <w:rPr>
          <w:rFonts w:eastAsia="Times New Roman"/>
          <w:noProof/>
        </w:rPr>
        <w:t xml:space="preserve">ackage. </w:t>
      </w:r>
      <w:r w:rsidR="006160AB" w:rsidRPr="00A10386">
        <w:rPr>
          <w:rFonts w:eastAsia="Times New Roman"/>
          <w:noProof/>
        </w:rPr>
        <w:t>These c</w:t>
      </w:r>
      <w:r w:rsidRPr="00A10386">
        <w:rPr>
          <w:rFonts w:eastAsia="Times New Roman"/>
          <w:noProof/>
        </w:rPr>
        <w:t xml:space="preserve">onsultations included Member States law enforcement and judicial authorities, relevant EU Agencies (Eurojust, Europol, the European Border and Coast Guard Agency, </w:t>
      </w:r>
      <w:r w:rsidR="6120A148" w:rsidRPr="00A10386">
        <w:rPr>
          <w:rFonts w:eastAsia="Times New Roman"/>
          <w:noProof/>
        </w:rPr>
        <w:t xml:space="preserve">the </w:t>
      </w:r>
      <w:r w:rsidRPr="00A10386">
        <w:rPr>
          <w:rFonts w:eastAsia="Times New Roman"/>
          <w:noProof/>
        </w:rPr>
        <w:t xml:space="preserve">Fundamental Rights Agency) and civil society representatives who were consulted in the framework of the preparation of the evaluation of the Facilitators </w:t>
      </w:r>
      <w:r w:rsidR="006160AB" w:rsidRPr="00A10386">
        <w:rPr>
          <w:rFonts w:eastAsia="Times New Roman"/>
          <w:noProof/>
        </w:rPr>
        <w:t>P</w:t>
      </w:r>
      <w:r w:rsidRPr="00A10386">
        <w:rPr>
          <w:rFonts w:eastAsia="Times New Roman"/>
          <w:noProof/>
        </w:rPr>
        <w:t>ackage in 2017, in the preparation of the Commission Guidance on the implementation of EU rules on definition and prevention of the facilitation of unauthorised entry, transit and residence in 2020</w:t>
      </w:r>
      <w:r w:rsidR="75BF5473" w:rsidRPr="00A10386">
        <w:rPr>
          <w:rFonts w:eastAsia="Times New Roman"/>
          <w:noProof/>
        </w:rPr>
        <w:t>, in the preparation of the renewed EU action plan against smuggling (2021-2025)</w:t>
      </w:r>
      <w:r w:rsidRPr="00A10386">
        <w:rPr>
          <w:rFonts w:eastAsia="Times New Roman"/>
          <w:noProof/>
        </w:rPr>
        <w:t xml:space="preserve"> and in the course of 2023 as part of the monitoring and mapping of the implementation of the Facilitators Package in the Member States.</w:t>
      </w:r>
    </w:p>
    <w:p w14:paraId="08EB3473" w14:textId="6D0AC415" w:rsidR="29709771" w:rsidRPr="00A10386" w:rsidRDefault="3CC8646B" w:rsidP="2FBE17D2">
      <w:pPr>
        <w:rPr>
          <w:rFonts w:eastAsia="Times New Roman"/>
          <w:noProof/>
        </w:rPr>
      </w:pPr>
      <w:r w:rsidRPr="00A10386">
        <w:rPr>
          <w:rFonts w:eastAsia="Times New Roman"/>
          <w:noProof/>
          <w:color w:val="000000" w:themeColor="text1"/>
        </w:rPr>
        <w:t xml:space="preserve">In general, stakeholders positively assessed the approximation of the </w:t>
      </w:r>
      <w:r w:rsidR="614E3C1F" w:rsidRPr="00A10386">
        <w:rPr>
          <w:rFonts w:eastAsia="Times New Roman"/>
          <w:noProof/>
          <w:color w:val="000000" w:themeColor="text1"/>
        </w:rPr>
        <w:t>criminal</w:t>
      </w:r>
      <w:r w:rsidRPr="00A10386">
        <w:rPr>
          <w:rFonts w:eastAsia="Times New Roman"/>
          <w:noProof/>
          <w:color w:val="000000" w:themeColor="text1"/>
        </w:rPr>
        <w:t xml:space="preserve"> framework in the Member States. Divergent views were expressed by</w:t>
      </w:r>
      <w:r w:rsidRPr="00A10386">
        <w:rPr>
          <w:rFonts w:eastAsia="Times New Roman"/>
          <w:noProof/>
        </w:rPr>
        <w:t xml:space="preserve"> different categories of stakeholders on the definition of the offence and the optional character of exempting actions conducted on humanitarian grounds. Representatives of civil society organisations highlighted that a wide definition of the offence leads to a lack of clarity and legal certainty as well as </w:t>
      </w:r>
      <w:r w:rsidR="2E917D9A" w:rsidRPr="00A10386">
        <w:rPr>
          <w:rFonts w:eastAsia="Times New Roman"/>
          <w:noProof/>
        </w:rPr>
        <w:t xml:space="preserve">to </w:t>
      </w:r>
      <w:r w:rsidRPr="00A10386">
        <w:rPr>
          <w:rFonts w:eastAsia="Times New Roman"/>
          <w:noProof/>
        </w:rPr>
        <w:t xml:space="preserve">risks of criminalisation of </w:t>
      </w:r>
      <w:r w:rsidR="6DCD6AEB" w:rsidRPr="00A10386">
        <w:rPr>
          <w:rFonts w:eastAsia="Times New Roman"/>
          <w:noProof/>
        </w:rPr>
        <w:t xml:space="preserve">humanitarian assistance </w:t>
      </w:r>
      <w:r w:rsidRPr="00A10386">
        <w:rPr>
          <w:rFonts w:eastAsia="Times New Roman"/>
          <w:noProof/>
        </w:rPr>
        <w:t>by civil society organisations or individuals assisting and/or working with irregular migrants</w:t>
      </w:r>
      <w:r w:rsidR="001939EF" w:rsidRPr="00A10386">
        <w:rPr>
          <w:rFonts w:eastAsia="Times New Roman"/>
          <w:noProof/>
        </w:rPr>
        <w:t>,</w:t>
      </w:r>
      <w:r w:rsidR="0199E620" w:rsidRPr="00A10386">
        <w:rPr>
          <w:rFonts w:eastAsia="Times New Roman"/>
          <w:noProof/>
        </w:rPr>
        <w:t xml:space="preserve"> </w:t>
      </w:r>
      <w:r w:rsidR="4F6E7257" w:rsidRPr="00A10386">
        <w:rPr>
          <w:rFonts w:eastAsia="Times New Roman"/>
          <w:noProof/>
        </w:rPr>
        <w:t>whereas</w:t>
      </w:r>
      <w:r w:rsidR="005D763A" w:rsidRPr="00A10386">
        <w:rPr>
          <w:rFonts w:eastAsia="Times New Roman"/>
          <w:noProof/>
        </w:rPr>
        <w:t xml:space="preserve"> </w:t>
      </w:r>
      <w:r w:rsidRPr="00A10386">
        <w:rPr>
          <w:rFonts w:eastAsia="Times New Roman"/>
          <w:noProof/>
        </w:rPr>
        <w:t>Member States did not refer to a need to narrow the definition of the offence</w:t>
      </w:r>
      <w:r w:rsidR="005D763A" w:rsidRPr="00A10386">
        <w:rPr>
          <w:rFonts w:eastAsia="Times New Roman"/>
          <w:noProof/>
        </w:rPr>
        <w:t xml:space="preserve"> </w:t>
      </w:r>
      <w:r w:rsidRPr="00A10386">
        <w:rPr>
          <w:rFonts w:eastAsia="Times New Roman"/>
          <w:noProof/>
        </w:rPr>
        <w:t xml:space="preserve">or to introduce a mandatory exemption from criminalisation. </w:t>
      </w:r>
      <w:r w:rsidR="00C3107E" w:rsidRPr="00A10386">
        <w:rPr>
          <w:rFonts w:eastAsia="Times New Roman"/>
          <w:noProof/>
        </w:rPr>
        <w:t xml:space="preserve">However, due to the varied </w:t>
      </w:r>
      <w:r w:rsidR="0003682A" w:rsidRPr="00A10386">
        <w:rPr>
          <w:rFonts w:eastAsia="Times New Roman"/>
          <w:noProof/>
        </w:rPr>
        <w:t xml:space="preserve">national </w:t>
      </w:r>
      <w:r w:rsidR="00C3107E" w:rsidRPr="00A10386">
        <w:rPr>
          <w:rFonts w:eastAsia="Times New Roman"/>
          <w:noProof/>
        </w:rPr>
        <w:t>approach</w:t>
      </w:r>
      <w:r w:rsidR="008A01E6" w:rsidRPr="00A10386">
        <w:rPr>
          <w:rFonts w:eastAsia="Times New Roman"/>
          <w:noProof/>
        </w:rPr>
        <w:t>es</w:t>
      </w:r>
      <w:r w:rsidR="00C3107E" w:rsidRPr="00A10386">
        <w:rPr>
          <w:rFonts w:eastAsia="Times New Roman"/>
          <w:noProof/>
        </w:rPr>
        <w:t xml:space="preserve"> </w:t>
      </w:r>
      <w:r w:rsidR="001B4800" w:rsidRPr="00A10386">
        <w:rPr>
          <w:noProof/>
          <w:szCs w:val="24"/>
        </w:rPr>
        <w:t>to</w:t>
      </w:r>
      <w:r w:rsidR="00C3107E" w:rsidRPr="00A10386">
        <w:rPr>
          <w:noProof/>
          <w:szCs w:val="24"/>
        </w:rPr>
        <w:t xml:space="preserve"> the crime of facilitation</w:t>
      </w:r>
      <w:r w:rsidR="008A01E6" w:rsidRPr="00A10386">
        <w:rPr>
          <w:noProof/>
          <w:szCs w:val="24"/>
        </w:rPr>
        <w:t xml:space="preserve"> that the effectiveness of common EU action</w:t>
      </w:r>
      <w:r w:rsidR="0003682A" w:rsidRPr="00A10386">
        <w:rPr>
          <w:noProof/>
          <w:szCs w:val="24"/>
        </w:rPr>
        <w:t>,</w:t>
      </w:r>
      <w:r w:rsidR="006B6AAA" w:rsidRPr="00A10386">
        <w:rPr>
          <w:noProof/>
          <w:szCs w:val="24"/>
        </w:rPr>
        <w:t xml:space="preserve"> </w:t>
      </w:r>
      <w:r w:rsidR="00342F22" w:rsidRPr="00A10386">
        <w:rPr>
          <w:noProof/>
          <w:szCs w:val="24"/>
        </w:rPr>
        <w:t xml:space="preserve">and in order to focus </w:t>
      </w:r>
      <w:r w:rsidR="00263ACB" w:rsidRPr="00A10386">
        <w:rPr>
          <w:noProof/>
          <w:szCs w:val="24"/>
        </w:rPr>
        <w:t xml:space="preserve">on </w:t>
      </w:r>
      <w:r w:rsidR="00BA2870" w:rsidRPr="00A10386">
        <w:rPr>
          <w:noProof/>
          <w:szCs w:val="24"/>
        </w:rPr>
        <w:t xml:space="preserve">offences </w:t>
      </w:r>
      <w:r w:rsidR="00C3107E" w:rsidRPr="00A10386">
        <w:rPr>
          <w:noProof/>
          <w:szCs w:val="24"/>
        </w:rPr>
        <w:t xml:space="preserve">committed with a lucrative intent </w:t>
      </w:r>
      <w:r w:rsidR="0003682A" w:rsidRPr="00A10386">
        <w:rPr>
          <w:noProof/>
          <w:szCs w:val="24"/>
        </w:rPr>
        <w:t>in particular</w:t>
      </w:r>
      <w:r w:rsidR="00C3107E" w:rsidRPr="00A10386">
        <w:rPr>
          <w:noProof/>
          <w:szCs w:val="24"/>
        </w:rPr>
        <w:t xml:space="preserve"> by organised criminal groups,</w:t>
      </w:r>
      <w:r w:rsidR="000E2E59" w:rsidRPr="00A10386">
        <w:rPr>
          <w:noProof/>
          <w:szCs w:val="24"/>
        </w:rPr>
        <w:t xml:space="preserve"> </w:t>
      </w:r>
      <w:r w:rsidR="008A01E6" w:rsidRPr="00A10386">
        <w:rPr>
          <w:noProof/>
          <w:szCs w:val="24"/>
        </w:rPr>
        <w:t xml:space="preserve">it is necessary to </w:t>
      </w:r>
      <w:r w:rsidR="00CB0455" w:rsidRPr="00A10386">
        <w:rPr>
          <w:noProof/>
          <w:szCs w:val="24"/>
        </w:rPr>
        <w:t>clear</w:t>
      </w:r>
      <w:r w:rsidR="008A01E6" w:rsidRPr="00A10386">
        <w:rPr>
          <w:noProof/>
          <w:szCs w:val="24"/>
        </w:rPr>
        <w:t>ly</w:t>
      </w:r>
      <w:r w:rsidR="00CB0455" w:rsidRPr="00A10386">
        <w:rPr>
          <w:noProof/>
          <w:szCs w:val="24"/>
        </w:rPr>
        <w:t xml:space="preserve"> defin</w:t>
      </w:r>
      <w:r w:rsidR="008A01E6" w:rsidRPr="00A10386">
        <w:rPr>
          <w:noProof/>
          <w:szCs w:val="24"/>
        </w:rPr>
        <w:t>e</w:t>
      </w:r>
      <w:r w:rsidR="00CB0455" w:rsidRPr="00A10386">
        <w:rPr>
          <w:noProof/>
          <w:szCs w:val="24"/>
        </w:rPr>
        <w:t xml:space="preserve"> the offence of facilitation.</w:t>
      </w:r>
      <w:r w:rsidR="00D27F1C" w:rsidRPr="00A10386">
        <w:rPr>
          <w:noProof/>
          <w:szCs w:val="24"/>
        </w:rPr>
        <w:t xml:space="preserve"> </w:t>
      </w:r>
      <w:r w:rsidR="007C04D4" w:rsidRPr="00A10386">
        <w:rPr>
          <w:noProof/>
          <w:szCs w:val="24"/>
        </w:rPr>
        <w:t>Consultation of Europol and Eurojust also pointed to the same approach</w:t>
      </w:r>
      <w:r w:rsidR="008A01E6" w:rsidRPr="00A10386">
        <w:rPr>
          <w:noProof/>
          <w:szCs w:val="24"/>
        </w:rPr>
        <w:t xml:space="preserve"> because it would facilitate operational cooperation and response</w:t>
      </w:r>
      <w:r w:rsidR="007C04D4" w:rsidRPr="00A10386">
        <w:rPr>
          <w:noProof/>
          <w:szCs w:val="24"/>
        </w:rPr>
        <w:t>.</w:t>
      </w:r>
      <w:r w:rsidR="00BA2870" w:rsidRPr="00A10386">
        <w:rPr>
          <w:rFonts w:eastAsia="Times New Roman"/>
          <w:noProof/>
        </w:rPr>
        <w:t xml:space="preserve"> </w:t>
      </w:r>
    </w:p>
    <w:p w14:paraId="4247C697" w14:textId="77777777" w:rsidR="0066307E" w:rsidRPr="00A10386" w:rsidRDefault="3CC8646B" w:rsidP="009E688B">
      <w:pPr>
        <w:rPr>
          <w:noProof/>
        </w:rPr>
      </w:pPr>
      <w:r w:rsidRPr="00A10386">
        <w:rPr>
          <w:rFonts w:eastAsia="Times New Roman"/>
          <w:noProof/>
        </w:rPr>
        <w:t xml:space="preserve">In the preparation of this proposal, the Commission </w:t>
      </w:r>
      <w:r w:rsidR="001939EF" w:rsidRPr="00A10386">
        <w:rPr>
          <w:rFonts w:eastAsia="Times New Roman"/>
          <w:noProof/>
        </w:rPr>
        <w:t>consulted the Member States a</w:t>
      </w:r>
      <w:r w:rsidR="00D34B97" w:rsidRPr="00A10386">
        <w:rPr>
          <w:rFonts w:eastAsia="Times New Roman"/>
          <w:noProof/>
        </w:rPr>
        <w:t xml:space="preserve">s well as </w:t>
      </w:r>
      <w:r w:rsidRPr="00A10386">
        <w:rPr>
          <w:rFonts w:eastAsia="Times New Roman"/>
          <w:noProof/>
        </w:rPr>
        <w:t>Eurojust, Europol</w:t>
      </w:r>
      <w:r w:rsidR="00D34B97" w:rsidRPr="00A10386">
        <w:rPr>
          <w:rFonts w:eastAsia="Times New Roman"/>
          <w:noProof/>
        </w:rPr>
        <w:t xml:space="preserve"> and</w:t>
      </w:r>
      <w:r w:rsidRPr="00A10386" w:rsidDel="001939EF">
        <w:rPr>
          <w:rFonts w:eastAsia="Times New Roman"/>
          <w:noProof/>
        </w:rPr>
        <w:t xml:space="preserve"> </w:t>
      </w:r>
      <w:r w:rsidRPr="00A10386">
        <w:rPr>
          <w:rFonts w:eastAsia="Times New Roman"/>
          <w:noProof/>
        </w:rPr>
        <w:t>the European Border and Coast Guard Agency</w:t>
      </w:r>
      <w:r w:rsidR="00D34B97" w:rsidRPr="00A10386">
        <w:rPr>
          <w:rFonts w:eastAsia="Times New Roman"/>
          <w:noProof/>
        </w:rPr>
        <w:t xml:space="preserve"> on the main</w:t>
      </w:r>
      <w:r w:rsidR="00D929B0" w:rsidRPr="00A10386">
        <w:rPr>
          <w:rFonts w:eastAsia="Times New Roman"/>
          <w:noProof/>
        </w:rPr>
        <w:t xml:space="preserve"> gaps in the EU legal and operational framework and on the possible response to those</w:t>
      </w:r>
      <w:r w:rsidRPr="00A10386">
        <w:rPr>
          <w:rFonts w:eastAsia="Times New Roman"/>
          <w:noProof/>
        </w:rPr>
        <w:t>.</w:t>
      </w:r>
    </w:p>
    <w:p w14:paraId="569A6C24" w14:textId="77777777" w:rsidR="0066307E" w:rsidRPr="00A10386" w:rsidRDefault="0066307E" w:rsidP="5DD71006">
      <w:pPr>
        <w:pStyle w:val="ManualHeading2"/>
        <w:rPr>
          <w:rFonts w:eastAsia="Arial Unicode MS"/>
          <w:noProof/>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Impact assessment</w:t>
      </w:r>
    </w:p>
    <w:p w14:paraId="7D338062" w14:textId="77777777" w:rsidR="21B1675F" w:rsidRPr="00A10386" w:rsidRDefault="699C00DE" w:rsidP="002D3FA5">
      <w:pPr>
        <w:rPr>
          <w:rFonts w:eastAsia="Times New Roman"/>
          <w:noProof/>
        </w:rPr>
      </w:pPr>
      <w:r w:rsidRPr="00A10386">
        <w:rPr>
          <w:rFonts w:eastAsia="Times New Roman"/>
          <w:noProof/>
        </w:rPr>
        <w:t xml:space="preserve">The proposal is exceptionally </w:t>
      </w:r>
      <w:r w:rsidR="003706FF" w:rsidRPr="00A10386">
        <w:rPr>
          <w:rFonts w:eastAsia="Times New Roman"/>
          <w:noProof/>
        </w:rPr>
        <w:t>presented</w:t>
      </w:r>
      <w:r w:rsidR="21F7C855" w:rsidRPr="00A10386">
        <w:rPr>
          <w:rFonts w:eastAsia="Times New Roman"/>
          <w:noProof/>
        </w:rPr>
        <w:t xml:space="preserve"> without an </w:t>
      </w:r>
      <w:r w:rsidR="003706FF" w:rsidRPr="00A10386">
        <w:rPr>
          <w:rFonts w:eastAsia="Times New Roman"/>
          <w:noProof/>
        </w:rPr>
        <w:t xml:space="preserve">accompanying </w:t>
      </w:r>
      <w:r w:rsidR="21F7C855" w:rsidRPr="00A10386">
        <w:rPr>
          <w:rFonts w:eastAsia="Times New Roman"/>
          <w:noProof/>
        </w:rPr>
        <w:t xml:space="preserve">impact assessment. </w:t>
      </w:r>
      <w:r w:rsidR="137584A8" w:rsidRPr="00A10386">
        <w:rPr>
          <w:rFonts w:eastAsia="Times New Roman"/>
          <w:noProof/>
        </w:rPr>
        <w:t xml:space="preserve">This proposal nevertheless builds on the evidence gathered through </w:t>
      </w:r>
      <w:r w:rsidR="60DB3289" w:rsidRPr="00A10386">
        <w:rPr>
          <w:rFonts w:eastAsia="Times New Roman"/>
          <w:noProof/>
        </w:rPr>
        <w:t xml:space="preserve">the </w:t>
      </w:r>
      <w:r w:rsidR="21F7C855" w:rsidRPr="00A10386">
        <w:rPr>
          <w:rFonts w:eastAsia="Times New Roman"/>
          <w:noProof/>
        </w:rPr>
        <w:t>REFIT evaluation of the Facilitat</w:t>
      </w:r>
      <w:r w:rsidR="0829C2E9" w:rsidRPr="00A10386">
        <w:rPr>
          <w:rFonts w:eastAsia="Times New Roman"/>
          <w:noProof/>
        </w:rPr>
        <w:t>ors</w:t>
      </w:r>
      <w:r w:rsidR="21F7C855" w:rsidRPr="00A10386">
        <w:rPr>
          <w:rFonts w:eastAsia="Times New Roman"/>
          <w:noProof/>
        </w:rPr>
        <w:t xml:space="preserve"> Package conducted in 2017</w:t>
      </w:r>
      <w:r w:rsidR="005D763A" w:rsidRPr="00A10386">
        <w:rPr>
          <w:rFonts w:eastAsia="Times New Roman"/>
          <w:noProof/>
        </w:rPr>
        <w:t>,</w:t>
      </w:r>
      <w:r w:rsidR="00F95E51" w:rsidRPr="00A10386">
        <w:rPr>
          <w:rFonts w:eastAsia="Times New Roman"/>
          <w:noProof/>
        </w:rPr>
        <w:t xml:space="preserve"> </w:t>
      </w:r>
      <w:r w:rsidR="7BEF015C" w:rsidRPr="00A10386">
        <w:rPr>
          <w:rFonts w:eastAsia="Times New Roman"/>
          <w:noProof/>
        </w:rPr>
        <w:t xml:space="preserve">the </w:t>
      </w:r>
      <w:r w:rsidR="72D2355B" w:rsidRPr="00A10386">
        <w:rPr>
          <w:rFonts w:eastAsia="Times New Roman"/>
          <w:noProof/>
        </w:rPr>
        <w:t>public consultation</w:t>
      </w:r>
      <w:r w:rsidR="72D2355B" w:rsidRPr="00A10386">
        <w:rPr>
          <w:rFonts w:eastAsia="Times New Roman"/>
          <w:noProof/>
          <w:color w:val="333333"/>
        </w:rPr>
        <w:t xml:space="preserve"> on the </w:t>
      </w:r>
      <w:r w:rsidR="005D763A" w:rsidRPr="00A10386">
        <w:rPr>
          <w:rFonts w:eastAsia="Times New Roman"/>
          <w:noProof/>
          <w:color w:val="333333"/>
        </w:rPr>
        <w:t xml:space="preserve">renewed </w:t>
      </w:r>
      <w:r w:rsidR="72D2355B" w:rsidRPr="00A10386">
        <w:rPr>
          <w:rFonts w:eastAsia="Times New Roman"/>
          <w:noProof/>
          <w:color w:val="333333"/>
        </w:rPr>
        <w:t>EU action plan against migrant smuggling (2021-2025)</w:t>
      </w:r>
      <w:r w:rsidR="005D763A" w:rsidRPr="00A10386">
        <w:rPr>
          <w:rFonts w:eastAsia="Times New Roman"/>
          <w:noProof/>
          <w:color w:val="333333"/>
        </w:rPr>
        <w:t>, the information and evidence provided by Europol, Eurojust and Frontex,</w:t>
      </w:r>
      <w:r w:rsidR="693F7052" w:rsidRPr="00A10386">
        <w:rPr>
          <w:rFonts w:eastAsia="Times New Roman"/>
          <w:noProof/>
          <w:color w:val="333333"/>
        </w:rPr>
        <w:t xml:space="preserve"> as well </w:t>
      </w:r>
      <w:r w:rsidR="437A0F0B" w:rsidRPr="00A10386">
        <w:rPr>
          <w:rFonts w:eastAsia="Times New Roman"/>
          <w:noProof/>
          <w:color w:val="333333"/>
        </w:rPr>
        <w:t xml:space="preserve">as on </w:t>
      </w:r>
      <w:r w:rsidR="693F7052" w:rsidRPr="00A10386">
        <w:rPr>
          <w:rFonts w:eastAsia="Times New Roman"/>
          <w:noProof/>
          <w:color w:val="333333"/>
        </w:rPr>
        <w:t>t</w:t>
      </w:r>
      <w:r w:rsidR="6BAF9F6A" w:rsidRPr="00A10386">
        <w:rPr>
          <w:rFonts w:eastAsia="Times New Roman"/>
          <w:noProof/>
          <w:color w:val="333333"/>
        </w:rPr>
        <w:t>he</w:t>
      </w:r>
      <w:r w:rsidR="693F7052" w:rsidRPr="00A10386">
        <w:rPr>
          <w:rFonts w:eastAsia="Times New Roman"/>
          <w:noProof/>
          <w:color w:val="333333"/>
        </w:rPr>
        <w:t xml:space="preserve"> engagement with the Member States and civil society stakeholders in the framework of monitoring the implementation of </w:t>
      </w:r>
      <w:r w:rsidR="1635F860" w:rsidRPr="00A10386">
        <w:rPr>
          <w:rFonts w:eastAsia="Times New Roman"/>
          <w:noProof/>
          <w:color w:val="333333"/>
        </w:rPr>
        <w:t xml:space="preserve">the current </w:t>
      </w:r>
      <w:r w:rsidR="5BEC9BED" w:rsidRPr="00A10386">
        <w:rPr>
          <w:rFonts w:eastAsia="Times New Roman"/>
          <w:noProof/>
        </w:rPr>
        <w:t>leg</w:t>
      </w:r>
      <w:r w:rsidR="005D763A" w:rsidRPr="00A10386">
        <w:rPr>
          <w:rFonts w:eastAsia="Times New Roman"/>
          <w:noProof/>
        </w:rPr>
        <w:t>al framework</w:t>
      </w:r>
      <w:r w:rsidR="5BEC9BED" w:rsidRPr="00A10386">
        <w:rPr>
          <w:rFonts w:eastAsia="Times New Roman"/>
          <w:noProof/>
        </w:rPr>
        <w:t>.</w:t>
      </w:r>
      <w:r w:rsidR="21F7C855" w:rsidRPr="00A10386">
        <w:rPr>
          <w:rFonts w:eastAsia="Times New Roman"/>
          <w:noProof/>
        </w:rPr>
        <w:t xml:space="preserve"> Th</w:t>
      </w:r>
      <w:r w:rsidR="058EF069" w:rsidRPr="00A10386">
        <w:rPr>
          <w:rFonts w:eastAsia="Times New Roman"/>
          <w:noProof/>
        </w:rPr>
        <w:t xml:space="preserve">e </w:t>
      </w:r>
      <w:r w:rsidR="005D763A" w:rsidRPr="00A10386">
        <w:rPr>
          <w:rFonts w:eastAsia="Times New Roman"/>
          <w:noProof/>
        </w:rPr>
        <w:t xml:space="preserve">information and </w:t>
      </w:r>
      <w:r w:rsidR="058EF069" w:rsidRPr="00A10386">
        <w:rPr>
          <w:rFonts w:eastAsia="Times New Roman"/>
          <w:noProof/>
        </w:rPr>
        <w:t>evidence gathered from these consultations</w:t>
      </w:r>
      <w:r w:rsidR="21F7C855" w:rsidRPr="00A10386">
        <w:rPr>
          <w:rFonts w:eastAsia="Times New Roman"/>
          <w:noProof/>
        </w:rPr>
        <w:t xml:space="preserve"> pointed to shortcomings concerning a serious lack of reliable and comparable data on migrant smuggling offences and criminal justice responses at national and European level, the need to </w:t>
      </w:r>
      <w:r w:rsidR="005D763A" w:rsidRPr="00A10386">
        <w:rPr>
          <w:rFonts w:eastAsia="Times New Roman"/>
          <w:noProof/>
        </w:rPr>
        <w:t xml:space="preserve">further align the definition of the offence and to </w:t>
      </w:r>
      <w:r w:rsidR="37EE2EAB" w:rsidRPr="00A10386">
        <w:rPr>
          <w:rFonts w:eastAsia="Times New Roman"/>
          <w:noProof/>
        </w:rPr>
        <w:t xml:space="preserve">more clearly </w:t>
      </w:r>
      <w:r w:rsidR="21F7C855" w:rsidRPr="00A10386">
        <w:rPr>
          <w:rFonts w:eastAsia="Times New Roman"/>
          <w:noProof/>
        </w:rPr>
        <w:t>define</w:t>
      </w:r>
      <w:r w:rsidR="21F7C855" w:rsidRPr="00A10386" w:rsidDel="005D763A">
        <w:rPr>
          <w:rFonts w:eastAsia="Times New Roman"/>
          <w:noProof/>
        </w:rPr>
        <w:t xml:space="preserve"> </w:t>
      </w:r>
      <w:r w:rsidR="21F7C855" w:rsidRPr="00A10386">
        <w:rPr>
          <w:rFonts w:eastAsia="Times New Roman"/>
          <w:noProof/>
        </w:rPr>
        <w:t>the criminal offence under EU legislation, in particular with regard to the element of financial gain, the optional character of the exemption from criminal sanctions of conduct aimed at providing humanitarian assistance</w:t>
      </w:r>
      <w:r w:rsidR="00E71E50" w:rsidRPr="00A10386">
        <w:rPr>
          <w:rFonts w:eastAsia="Times New Roman"/>
          <w:noProof/>
        </w:rPr>
        <w:t>,</w:t>
      </w:r>
      <w:r w:rsidR="21F7C855" w:rsidRPr="00A10386">
        <w:rPr>
          <w:rFonts w:eastAsia="Times New Roman"/>
          <w:noProof/>
        </w:rPr>
        <w:t xml:space="preserve"> </w:t>
      </w:r>
      <w:r w:rsidR="21F7C855" w:rsidRPr="00A10386" w:rsidDel="005D763A">
        <w:rPr>
          <w:rFonts w:eastAsia="Times New Roman"/>
          <w:noProof/>
        </w:rPr>
        <w:t xml:space="preserve">the </w:t>
      </w:r>
      <w:r w:rsidR="21F7C855" w:rsidRPr="00A10386">
        <w:rPr>
          <w:rFonts w:eastAsia="Times New Roman"/>
          <w:noProof/>
        </w:rPr>
        <w:t>perceived risks of criminalisation and the deterrent effect of th</w:t>
      </w:r>
      <w:r w:rsidR="005D763A" w:rsidRPr="00A10386">
        <w:rPr>
          <w:rFonts w:eastAsia="Times New Roman"/>
          <w:noProof/>
        </w:rPr>
        <w:t>e</w:t>
      </w:r>
      <w:r w:rsidR="21F7C855" w:rsidRPr="00A10386">
        <w:rPr>
          <w:rFonts w:eastAsia="Times New Roman"/>
          <w:noProof/>
        </w:rPr>
        <w:t xml:space="preserve"> </w:t>
      </w:r>
      <w:r w:rsidR="005D763A" w:rsidRPr="00A10386">
        <w:rPr>
          <w:rFonts w:eastAsia="Times New Roman"/>
          <w:noProof/>
        </w:rPr>
        <w:t xml:space="preserve">existing </w:t>
      </w:r>
      <w:r w:rsidR="21F7C855" w:rsidRPr="00A10386">
        <w:rPr>
          <w:rFonts w:eastAsia="Times New Roman"/>
          <w:noProof/>
        </w:rPr>
        <w:t>legislation.</w:t>
      </w:r>
    </w:p>
    <w:p w14:paraId="3BD1319A" w14:textId="77777777" w:rsidR="0066307E" w:rsidRPr="00A10386" w:rsidRDefault="0066307E" w:rsidP="5DD71006">
      <w:pPr>
        <w:pStyle w:val="ManualHeading2"/>
        <w:rPr>
          <w:rFonts w:eastAsia="Arial Unicode MS"/>
          <w:noProof/>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Regulatory fitness and simplification</w:t>
      </w:r>
    </w:p>
    <w:p w14:paraId="6368C07A" w14:textId="77777777" w:rsidR="006869DC" w:rsidRPr="00A10386" w:rsidRDefault="2B6820DA" w:rsidP="002D3FA5">
      <w:pPr>
        <w:rPr>
          <w:rFonts w:eastAsia="Times New Roman"/>
          <w:noProof/>
        </w:rPr>
      </w:pPr>
      <w:r w:rsidRPr="00A10386">
        <w:rPr>
          <w:rFonts w:eastAsia="Times New Roman"/>
          <w:noProof/>
        </w:rPr>
        <w:t>In compliance with the Commission’s Regulatory Fitness and Performance Programme (REFIT), all initiatives aimed at revising existing EU legislation should seek to simplify and deliver stated policy objectives more efficiently</w:t>
      </w:r>
      <w:r w:rsidR="00423C01" w:rsidRPr="00A10386">
        <w:rPr>
          <w:rFonts w:eastAsia="Times New Roman"/>
          <w:noProof/>
        </w:rPr>
        <w:t xml:space="preserve">, </w:t>
      </w:r>
      <w:r w:rsidRPr="00A10386">
        <w:rPr>
          <w:rFonts w:eastAsia="Times New Roman"/>
          <w:noProof/>
        </w:rPr>
        <w:t>i.e. by reducing unnecessary regulatory costs and the administrative burden on Member States. The proposed Directive aim</w:t>
      </w:r>
      <w:r w:rsidR="006869DC" w:rsidRPr="00A10386">
        <w:rPr>
          <w:rFonts w:eastAsia="Times New Roman"/>
          <w:noProof/>
        </w:rPr>
        <w:t>s</w:t>
      </w:r>
      <w:r w:rsidRPr="00A10386">
        <w:rPr>
          <w:rFonts w:eastAsia="Times New Roman"/>
          <w:noProof/>
        </w:rPr>
        <w:t xml:space="preserve"> at improving the Member States’ capability to </w:t>
      </w:r>
      <w:r w:rsidR="006869DC" w:rsidRPr="00A10386">
        <w:rPr>
          <w:rFonts w:eastAsia="Times New Roman"/>
          <w:noProof/>
        </w:rPr>
        <w:t>counter</w:t>
      </w:r>
      <w:r w:rsidRPr="00A10386">
        <w:rPr>
          <w:rFonts w:eastAsia="Times New Roman"/>
          <w:noProof/>
        </w:rPr>
        <w:t xml:space="preserve"> migrant smuggling efficiently, notably in relation to threats and trends that have emerged and evolved over the past two decades since the </w:t>
      </w:r>
      <w:r w:rsidR="006869DC" w:rsidRPr="00A10386">
        <w:rPr>
          <w:rFonts w:eastAsia="Times New Roman"/>
          <w:noProof/>
        </w:rPr>
        <w:t>entry into force</w:t>
      </w:r>
      <w:r w:rsidRPr="00A10386">
        <w:rPr>
          <w:rFonts w:eastAsia="Times New Roman"/>
          <w:noProof/>
        </w:rPr>
        <w:t xml:space="preserve"> of the </w:t>
      </w:r>
      <w:r w:rsidR="006869DC" w:rsidRPr="00A10386">
        <w:rPr>
          <w:rFonts w:eastAsia="Times New Roman"/>
          <w:noProof/>
        </w:rPr>
        <w:t>Facilitators Package</w:t>
      </w:r>
      <w:r w:rsidRPr="00A10386">
        <w:rPr>
          <w:rFonts w:eastAsia="Times New Roman"/>
          <w:noProof/>
        </w:rPr>
        <w:t xml:space="preserve">. </w:t>
      </w:r>
    </w:p>
    <w:p w14:paraId="44ACF8DD" w14:textId="77777777" w:rsidR="21B1675F" w:rsidRPr="00A10386" w:rsidRDefault="2B6820DA" w:rsidP="002D3FA5">
      <w:pPr>
        <w:rPr>
          <w:rFonts w:eastAsia="Times New Roman"/>
          <w:noProof/>
        </w:rPr>
      </w:pPr>
      <w:r w:rsidRPr="00A10386">
        <w:rPr>
          <w:rFonts w:eastAsia="Times New Roman"/>
          <w:noProof/>
        </w:rPr>
        <w:t xml:space="preserve">The </w:t>
      </w:r>
      <w:r w:rsidR="006869DC" w:rsidRPr="00A10386">
        <w:rPr>
          <w:rFonts w:eastAsia="Times New Roman"/>
          <w:noProof/>
        </w:rPr>
        <w:t>proposal</w:t>
      </w:r>
      <w:r w:rsidRPr="00A10386">
        <w:rPr>
          <w:rFonts w:eastAsia="Times New Roman"/>
          <w:noProof/>
        </w:rPr>
        <w:t xml:space="preserve"> will </w:t>
      </w:r>
      <w:r w:rsidR="001D0804" w:rsidRPr="00A10386">
        <w:rPr>
          <w:rFonts w:eastAsia="Times New Roman"/>
          <w:noProof/>
        </w:rPr>
        <w:t>approximate</w:t>
      </w:r>
      <w:r w:rsidRPr="00A10386">
        <w:rPr>
          <w:rFonts w:eastAsia="Times New Roman"/>
          <w:noProof/>
        </w:rPr>
        <w:t xml:space="preserve"> the legal landscape addressing </w:t>
      </w:r>
      <w:r w:rsidR="307CEF63" w:rsidRPr="00A10386">
        <w:rPr>
          <w:rFonts w:eastAsia="Times New Roman"/>
          <w:noProof/>
        </w:rPr>
        <w:t xml:space="preserve">the criminalisation and sanctioning of </w:t>
      </w:r>
      <w:r w:rsidRPr="00A10386">
        <w:rPr>
          <w:rFonts w:eastAsia="Times New Roman"/>
          <w:noProof/>
        </w:rPr>
        <w:t xml:space="preserve">migrant smuggling across the Member States. The new rules are expected to establish more legal certainty </w:t>
      </w:r>
      <w:r w:rsidR="2CCF7647" w:rsidRPr="00A10386">
        <w:rPr>
          <w:rFonts w:eastAsia="Times New Roman"/>
          <w:noProof/>
        </w:rPr>
        <w:t>regarding</w:t>
      </w:r>
      <w:r w:rsidRPr="00A10386">
        <w:rPr>
          <w:rFonts w:eastAsia="Times New Roman"/>
          <w:noProof/>
        </w:rPr>
        <w:t xml:space="preserve"> criminalised conduct</w:t>
      </w:r>
      <w:r w:rsidR="009B1A1A" w:rsidRPr="00A10386">
        <w:rPr>
          <w:rFonts w:eastAsia="Times New Roman"/>
          <w:noProof/>
        </w:rPr>
        <w:t>s</w:t>
      </w:r>
      <w:r w:rsidRPr="00A10386">
        <w:rPr>
          <w:rFonts w:eastAsia="Times New Roman"/>
          <w:noProof/>
        </w:rPr>
        <w:t xml:space="preserve"> and </w:t>
      </w:r>
      <w:r w:rsidR="207D9872" w:rsidRPr="00A10386">
        <w:rPr>
          <w:rFonts w:eastAsia="Times New Roman"/>
          <w:noProof/>
        </w:rPr>
        <w:t xml:space="preserve">to </w:t>
      </w:r>
      <w:r w:rsidRPr="00A10386">
        <w:rPr>
          <w:rFonts w:eastAsia="Times New Roman"/>
          <w:noProof/>
        </w:rPr>
        <w:t>adapt criminal penalties to the seriousness of the offence</w:t>
      </w:r>
      <w:r w:rsidR="009B1A1A" w:rsidRPr="00A10386">
        <w:rPr>
          <w:rFonts w:eastAsia="Times New Roman"/>
          <w:noProof/>
        </w:rPr>
        <w:t>s</w:t>
      </w:r>
      <w:r w:rsidRPr="00A10386">
        <w:rPr>
          <w:rFonts w:eastAsia="Times New Roman"/>
          <w:noProof/>
        </w:rPr>
        <w:t>.</w:t>
      </w:r>
    </w:p>
    <w:p w14:paraId="3AD40962" w14:textId="77777777" w:rsidR="0066307E" w:rsidRPr="00A10386" w:rsidRDefault="0066307E" w:rsidP="5DD71006">
      <w:pPr>
        <w:pStyle w:val="ManualHeading2"/>
        <w:rPr>
          <w:rFonts w:eastAsia="Arial Unicode MS"/>
          <w:noProof/>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Fundamental rights</w:t>
      </w:r>
    </w:p>
    <w:p w14:paraId="7378B8EF" w14:textId="77777777" w:rsidR="00D77D44" w:rsidRPr="00A10386" w:rsidRDefault="00D77D44" w:rsidP="002D3FA5">
      <w:pPr>
        <w:rPr>
          <w:noProof/>
        </w:rPr>
      </w:pPr>
      <w:r w:rsidRPr="00A10386">
        <w:rPr>
          <w:noProof/>
        </w:rPr>
        <w:t xml:space="preserve">This proposal respects the fundamental rights and observes the principles recognised by Articles 2 and 6 of the Treaty on European Union and </w:t>
      </w:r>
      <w:r w:rsidR="228CF294" w:rsidRPr="00A10386">
        <w:rPr>
          <w:noProof/>
        </w:rPr>
        <w:t>enshrined</w:t>
      </w:r>
      <w:r w:rsidRPr="00A10386">
        <w:rPr>
          <w:noProof/>
        </w:rPr>
        <w:t xml:space="preserve"> in the Charter of Fundamental </w:t>
      </w:r>
      <w:r w:rsidRPr="00A10386">
        <w:rPr>
          <w:rFonts w:eastAsia="Times New Roman"/>
          <w:noProof/>
        </w:rPr>
        <w:t>Rights</w:t>
      </w:r>
      <w:r w:rsidRPr="00A10386">
        <w:rPr>
          <w:noProof/>
        </w:rPr>
        <w:t xml:space="preserve"> of the European Union</w:t>
      </w:r>
      <w:r w:rsidR="009657FF" w:rsidRPr="00A10386">
        <w:rPr>
          <w:noProof/>
        </w:rPr>
        <w:t xml:space="preserve"> </w:t>
      </w:r>
      <w:r w:rsidR="009657FF" w:rsidRPr="00A10386">
        <w:rPr>
          <w:rFonts w:eastAsia="Times New Roman"/>
          <w:noProof/>
        </w:rPr>
        <w:t>(‘Charter’)</w:t>
      </w:r>
      <w:r w:rsidRPr="00A10386">
        <w:rPr>
          <w:noProof/>
        </w:rPr>
        <w:t xml:space="preserve">. </w:t>
      </w:r>
    </w:p>
    <w:p w14:paraId="795B9BD6" w14:textId="77777777" w:rsidR="0AA016CB" w:rsidRPr="00A10386" w:rsidRDefault="004C19E4" w:rsidP="002D3FA5">
      <w:pPr>
        <w:rPr>
          <w:rFonts w:eastAsia="Times New Roman"/>
          <w:noProof/>
        </w:rPr>
      </w:pPr>
      <w:r w:rsidRPr="00A10386">
        <w:rPr>
          <w:rFonts w:eastAsia="Times New Roman"/>
          <w:noProof/>
        </w:rPr>
        <w:t>Several</w:t>
      </w:r>
      <w:r w:rsidR="0AA016CB" w:rsidRPr="00A10386">
        <w:rPr>
          <w:rFonts w:eastAsia="Times New Roman"/>
          <w:noProof/>
        </w:rPr>
        <w:t xml:space="preserve"> fundamental rights and freedoms enshrined in the Charter </w:t>
      </w:r>
      <w:r w:rsidR="00513627" w:rsidRPr="00A10386">
        <w:rPr>
          <w:rFonts w:eastAsia="Times New Roman"/>
          <w:noProof/>
        </w:rPr>
        <w:t>are relevant</w:t>
      </w:r>
      <w:r w:rsidR="0AA016CB" w:rsidRPr="00A10386">
        <w:rPr>
          <w:rFonts w:eastAsia="Times New Roman"/>
          <w:noProof/>
        </w:rPr>
        <w:t xml:space="preserve"> in the context of </w:t>
      </w:r>
      <w:r w:rsidR="009657FF" w:rsidRPr="00A10386">
        <w:rPr>
          <w:rFonts w:eastAsia="Times New Roman"/>
          <w:noProof/>
        </w:rPr>
        <w:t xml:space="preserve">countering </w:t>
      </w:r>
      <w:r w:rsidR="0AA016CB" w:rsidRPr="00A10386">
        <w:rPr>
          <w:rFonts w:eastAsia="Times New Roman"/>
          <w:noProof/>
        </w:rPr>
        <w:t xml:space="preserve">migrant smuggling. These include </w:t>
      </w:r>
      <w:r w:rsidR="00F6502D" w:rsidRPr="00A10386">
        <w:rPr>
          <w:rFonts w:eastAsia="Times New Roman"/>
          <w:noProof/>
        </w:rPr>
        <w:t xml:space="preserve">the rights to </w:t>
      </w:r>
      <w:r w:rsidR="37D8E83F" w:rsidRPr="00A10386">
        <w:rPr>
          <w:rFonts w:eastAsia="Times New Roman"/>
          <w:noProof/>
        </w:rPr>
        <w:t>respect for human dignity (Article 1), the</w:t>
      </w:r>
      <w:r w:rsidR="00774453" w:rsidRPr="00A10386">
        <w:rPr>
          <w:rFonts w:eastAsia="Times New Roman"/>
          <w:noProof/>
        </w:rPr>
        <w:t xml:space="preserve"> right to</w:t>
      </w:r>
      <w:r w:rsidR="37D8E83F" w:rsidRPr="00A10386">
        <w:rPr>
          <w:rFonts w:eastAsia="Times New Roman"/>
          <w:noProof/>
        </w:rPr>
        <w:t xml:space="preserve"> </w:t>
      </w:r>
      <w:r w:rsidR="00F6502D" w:rsidRPr="00A10386">
        <w:rPr>
          <w:rFonts w:eastAsia="Times New Roman"/>
          <w:noProof/>
        </w:rPr>
        <w:t>life and physical integrity (Articles 2 and 3),</w:t>
      </w:r>
      <w:r w:rsidR="2817CF7C" w:rsidRPr="00A10386">
        <w:rPr>
          <w:rFonts w:eastAsia="Times New Roman"/>
          <w:noProof/>
        </w:rPr>
        <w:t xml:space="preserve"> the prohibition of torture and inhuman or degrading treatment or punishment (Article 4),</w:t>
      </w:r>
      <w:r w:rsidR="00F6502D" w:rsidRPr="00A10386">
        <w:rPr>
          <w:rFonts w:eastAsia="Times New Roman"/>
          <w:noProof/>
        </w:rPr>
        <w:t xml:space="preserve"> </w:t>
      </w:r>
      <w:r w:rsidR="0AA016CB" w:rsidRPr="00A10386">
        <w:rPr>
          <w:rFonts w:eastAsia="Times New Roman"/>
          <w:noProof/>
        </w:rPr>
        <w:t xml:space="preserve">the right to personal liberty </w:t>
      </w:r>
      <w:r w:rsidR="00F03F1C" w:rsidRPr="00A10386">
        <w:rPr>
          <w:rFonts w:eastAsia="Times New Roman"/>
          <w:noProof/>
        </w:rPr>
        <w:t>(</w:t>
      </w:r>
      <w:r w:rsidR="0AA016CB" w:rsidRPr="00A10386">
        <w:rPr>
          <w:rFonts w:eastAsia="Times New Roman"/>
          <w:noProof/>
        </w:rPr>
        <w:t>Article 6</w:t>
      </w:r>
      <w:r w:rsidR="00F03F1C" w:rsidRPr="00A10386">
        <w:rPr>
          <w:rFonts w:eastAsia="Times New Roman"/>
          <w:noProof/>
        </w:rPr>
        <w:t xml:space="preserve"> of)</w:t>
      </w:r>
      <w:r w:rsidR="0AA016CB" w:rsidRPr="00A10386">
        <w:rPr>
          <w:rFonts w:eastAsia="Times New Roman"/>
          <w:noProof/>
        </w:rPr>
        <w:t xml:space="preserve">, </w:t>
      </w:r>
      <w:r w:rsidR="00F6502D" w:rsidRPr="00A10386">
        <w:rPr>
          <w:rFonts w:eastAsia="Times New Roman"/>
          <w:noProof/>
        </w:rPr>
        <w:t xml:space="preserve">the respect for </w:t>
      </w:r>
      <w:r w:rsidR="7F1AB832" w:rsidRPr="00A10386">
        <w:rPr>
          <w:rFonts w:eastAsia="Times New Roman"/>
          <w:noProof/>
        </w:rPr>
        <w:t xml:space="preserve">private and </w:t>
      </w:r>
      <w:r w:rsidR="00F6502D" w:rsidRPr="00A10386">
        <w:rPr>
          <w:rFonts w:eastAsia="Times New Roman"/>
          <w:noProof/>
        </w:rPr>
        <w:t xml:space="preserve">family life (Article 7), </w:t>
      </w:r>
      <w:r w:rsidR="2374557E" w:rsidRPr="00A10386">
        <w:rPr>
          <w:rFonts w:eastAsia="Times New Roman"/>
          <w:noProof/>
        </w:rPr>
        <w:t xml:space="preserve">the right to protection of personal data (Article 8), </w:t>
      </w:r>
      <w:r w:rsidR="00F6502D" w:rsidRPr="00A10386">
        <w:rPr>
          <w:rFonts w:eastAsia="Times New Roman"/>
          <w:noProof/>
        </w:rPr>
        <w:t xml:space="preserve">the right to property (Article 17), </w:t>
      </w:r>
      <w:r w:rsidR="0AA016CB" w:rsidRPr="00A10386">
        <w:rPr>
          <w:rFonts w:eastAsia="Times New Roman"/>
          <w:noProof/>
        </w:rPr>
        <w:t xml:space="preserve">the right to asylum </w:t>
      </w:r>
      <w:r w:rsidR="009C394C" w:rsidRPr="00A10386">
        <w:rPr>
          <w:rFonts w:eastAsia="Times New Roman"/>
          <w:noProof/>
        </w:rPr>
        <w:t>(</w:t>
      </w:r>
      <w:r w:rsidR="0AA016CB" w:rsidRPr="00A10386">
        <w:rPr>
          <w:rFonts w:eastAsia="Times New Roman"/>
          <w:noProof/>
        </w:rPr>
        <w:t>Article 18</w:t>
      </w:r>
      <w:r w:rsidR="009C394C" w:rsidRPr="00A10386">
        <w:rPr>
          <w:rFonts w:eastAsia="Times New Roman"/>
          <w:noProof/>
        </w:rPr>
        <w:t>)</w:t>
      </w:r>
      <w:r w:rsidR="004E4519" w:rsidRPr="00A10386">
        <w:rPr>
          <w:rFonts w:eastAsia="Times New Roman"/>
          <w:noProof/>
        </w:rPr>
        <w:t>,</w:t>
      </w:r>
      <w:r w:rsidR="0AA016CB" w:rsidRPr="00A10386">
        <w:rPr>
          <w:rFonts w:eastAsia="Times New Roman"/>
          <w:noProof/>
        </w:rPr>
        <w:t xml:space="preserve"> </w:t>
      </w:r>
      <w:r w:rsidR="4030482A" w:rsidRPr="00A10386">
        <w:rPr>
          <w:rFonts w:eastAsia="Times New Roman"/>
          <w:noProof/>
        </w:rPr>
        <w:t xml:space="preserve">the rights of the child (Article 24), </w:t>
      </w:r>
      <w:r w:rsidR="0AA016CB" w:rsidRPr="00A10386">
        <w:rPr>
          <w:rFonts w:eastAsia="Times New Roman"/>
          <w:noProof/>
        </w:rPr>
        <w:t xml:space="preserve">the </w:t>
      </w:r>
      <w:r w:rsidR="00EE71D5" w:rsidRPr="00A10386">
        <w:rPr>
          <w:rFonts w:eastAsia="Times New Roman"/>
          <w:noProof/>
        </w:rPr>
        <w:t xml:space="preserve">right to an effective remedy and to a fair trial (Article 47), </w:t>
      </w:r>
      <w:r w:rsidR="0AA016CB" w:rsidRPr="00A10386">
        <w:rPr>
          <w:rFonts w:eastAsia="Times New Roman"/>
          <w:noProof/>
        </w:rPr>
        <w:t xml:space="preserve">the </w:t>
      </w:r>
      <w:r w:rsidR="00F03F1C" w:rsidRPr="00A10386">
        <w:rPr>
          <w:noProof/>
        </w:rPr>
        <w:t xml:space="preserve">presumption of innocence and right of defence (Article 48), the principles of legality and </w:t>
      </w:r>
      <w:r w:rsidR="0AA016CB" w:rsidRPr="00A10386">
        <w:rPr>
          <w:rFonts w:eastAsia="Times New Roman"/>
          <w:noProof/>
        </w:rPr>
        <w:t xml:space="preserve">proportionality </w:t>
      </w:r>
      <w:r w:rsidR="00F03F1C" w:rsidRPr="00A10386">
        <w:rPr>
          <w:noProof/>
        </w:rPr>
        <w:t xml:space="preserve">of criminal offences and penalties (Article 49), and the right not to be tried or punished twice in criminal proceedings for the same offence (Article 50). </w:t>
      </w:r>
    </w:p>
    <w:p w14:paraId="4A765A0D" w14:textId="77777777" w:rsidR="0AA016CB" w:rsidRPr="00A10386" w:rsidRDefault="0AA016CB" w:rsidP="002D3FA5">
      <w:pPr>
        <w:rPr>
          <w:rFonts w:eastAsia="Times New Roman"/>
          <w:noProof/>
        </w:rPr>
      </w:pPr>
      <w:r w:rsidRPr="00A10386">
        <w:rPr>
          <w:rFonts w:eastAsia="Times New Roman"/>
          <w:noProof/>
        </w:rPr>
        <w:t>Th</w:t>
      </w:r>
      <w:r w:rsidR="00E7267B" w:rsidRPr="00A10386">
        <w:rPr>
          <w:rFonts w:eastAsia="Times New Roman"/>
          <w:noProof/>
        </w:rPr>
        <w:t>is proposal for a Directive</w:t>
      </w:r>
      <w:r w:rsidR="001D2BAE" w:rsidRPr="00A10386">
        <w:rPr>
          <w:rFonts w:eastAsia="Times New Roman"/>
          <w:noProof/>
        </w:rPr>
        <w:t xml:space="preserve">, through the </w:t>
      </w:r>
      <w:r w:rsidRPr="00A10386">
        <w:rPr>
          <w:rFonts w:eastAsia="Times New Roman"/>
          <w:noProof/>
        </w:rPr>
        <w:t xml:space="preserve">inclusion of aggravated </w:t>
      </w:r>
      <w:r w:rsidR="00774453" w:rsidRPr="00A10386">
        <w:rPr>
          <w:rFonts w:eastAsia="Times New Roman"/>
          <w:noProof/>
        </w:rPr>
        <w:t xml:space="preserve">criminal </w:t>
      </w:r>
      <w:r w:rsidRPr="00A10386">
        <w:rPr>
          <w:rFonts w:eastAsia="Times New Roman"/>
          <w:noProof/>
        </w:rPr>
        <w:t>offence</w:t>
      </w:r>
      <w:r w:rsidR="001D2BAE" w:rsidRPr="00A10386">
        <w:rPr>
          <w:rFonts w:eastAsia="Times New Roman"/>
          <w:noProof/>
        </w:rPr>
        <w:t>s</w:t>
      </w:r>
      <w:r w:rsidRPr="00A10386">
        <w:rPr>
          <w:rFonts w:eastAsia="Times New Roman"/>
          <w:noProof/>
        </w:rPr>
        <w:t>, aggravating and mitigating circumstances, the regime of sanctions on legal persons and the requirement of preventive measures</w:t>
      </w:r>
      <w:r w:rsidR="001D2BAE" w:rsidRPr="00A10386">
        <w:rPr>
          <w:rFonts w:eastAsia="Times New Roman"/>
          <w:noProof/>
        </w:rPr>
        <w:t>,</w:t>
      </w:r>
      <w:r w:rsidRPr="00A10386" w:rsidDel="00774453">
        <w:rPr>
          <w:rFonts w:eastAsia="Times New Roman"/>
          <w:noProof/>
        </w:rPr>
        <w:t xml:space="preserve"> </w:t>
      </w:r>
      <w:r w:rsidR="00DD1AD1" w:rsidRPr="00A10386">
        <w:rPr>
          <w:rFonts w:eastAsia="Times New Roman"/>
          <w:noProof/>
        </w:rPr>
        <w:t>would</w:t>
      </w:r>
      <w:r w:rsidRPr="00A10386">
        <w:rPr>
          <w:rFonts w:eastAsia="Times New Roman"/>
          <w:noProof/>
        </w:rPr>
        <w:t xml:space="preserve"> increas</w:t>
      </w:r>
      <w:r w:rsidR="00DD1AD1" w:rsidRPr="00A10386">
        <w:rPr>
          <w:rFonts w:eastAsia="Times New Roman"/>
          <w:noProof/>
        </w:rPr>
        <w:t>e</w:t>
      </w:r>
      <w:r w:rsidRPr="00A10386">
        <w:rPr>
          <w:rFonts w:eastAsia="Times New Roman"/>
          <w:noProof/>
        </w:rPr>
        <w:t xml:space="preserve"> the effectiveness of tackling the crime of migrant smuggling and ensuring </w:t>
      </w:r>
      <w:r w:rsidR="00DD1AD1" w:rsidRPr="00A10386">
        <w:rPr>
          <w:rFonts w:eastAsia="Times New Roman"/>
          <w:noProof/>
        </w:rPr>
        <w:t xml:space="preserve">a </w:t>
      </w:r>
      <w:r w:rsidRPr="00A10386">
        <w:rPr>
          <w:rFonts w:eastAsia="Times New Roman"/>
          <w:noProof/>
        </w:rPr>
        <w:t xml:space="preserve">proportionate response. This </w:t>
      </w:r>
      <w:r w:rsidR="00886F71" w:rsidRPr="00A10386">
        <w:rPr>
          <w:rFonts w:eastAsia="Times New Roman"/>
          <w:noProof/>
        </w:rPr>
        <w:t>also</w:t>
      </w:r>
      <w:r w:rsidRPr="00A10386">
        <w:rPr>
          <w:rFonts w:eastAsia="Times New Roman"/>
          <w:noProof/>
        </w:rPr>
        <w:t xml:space="preserve"> increases the protection of </w:t>
      </w:r>
      <w:r w:rsidR="40C1BCDD" w:rsidRPr="00A10386">
        <w:rPr>
          <w:rFonts w:eastAsia="Times New Roman"/>
          <w:noProof/>
        </w:rPr>
        <w:t xml:space="preserve">all relevant </w:t>
      </w:r>
      <w:r w:rsidRPr="00A10386">
        <w:rPr>
          <w:rFonts w:eastAsia="Times New Roman"/>
          <w:noProof/>
        </w:rPr>
        <w:t xml:space="preserve">fundamental rights of </w:t>
      </w:r>
      <w:r w:rsidR="001D2BAE" w:rsidRPr="00A10386">
        <w:rPr>
          <w:rFonts w:eastAsia="Times New Roman"/>
          <w:noProof/>
        </w:rPr>
        <w:t xml:space="preserve">the </w:t>
      </w:r>
      <w:r w:rsidRPr="00A10386">
        <w:rPr>
          <w:rFonts w:eastAsia="Times New Roman"/>
          <w:noProof/>
        </w:rPr>
        <w:t>third</w:t>
      </w:r>
      <w:r w:rsidR="00513627" w:rsidRPr="00A10386">
        <w:rPr>
          <w:rFonts w:eastAsia="Times New Roman"/>
          <w:noProof/>
        </w:rPr>
        <w:t>-</w:t>
      </w:r>
      <w:r w:rsidRPr="00A10386">
        <w:rPr>
          <w:rFonts w:eastAsia="Times New Roman"/>
          <w:noProof/>
        </w:rPr>
        <w:t xml:space="preserve">country nationals </w:t>
      </w:r>
      <w:r w:rsidR="001D2BAE" w:rsidRPr="00A10386">
        <w:rPr>
          <w:rFonts w:eastAsia="Times New Roman"/>
          <w:noProof/>
        </w:rPr>
        <w:t>concerned</w:t>
      </w:r>
      <w:r w:rsidRPr="00A10386">
        <w:rPr>
          <w:rFonts w:eastAsia="Times New Roman"/>
          <w:noProof/>
        </w:rPr>
        <w:t xml:space="preserve">. </w:t>
      </w:r>
    </w:p>
    <w:p w14:paraId="3969818F" w14:textId="2F509645" w:rsidR="21B1675F" w:rsidRPr="00A10386" w:rsidRDefault="0AA016CB" w:rsidP="002D3FA5">
      <w:pPr>
        <w:rPr>
          <w:rFonts w:eastAsia="Times New Roman"/>
          <w:noProof/>
        </w:rPr>
      </w:pPr>
      <w:r w:rsidRPr="00A10386">
        <w:rPr>
          <w:rFonts w:eastAsia="Times New Roman"/>
          <w:noProof/>
        </w:rPr>
        <w:t>The provisions introducing new offences or sanctions or amending the definition of the crime were thoroughly analysed in the light of the right to an effective remedy and to a fair trial, the presumption of innocence and the right of defence, the principles of legality and proportionality of criminal offences and penalties, and the right not to be tried or punished twice in criminal proceedings for the same criminal offence.</w:t>
      </w:r>
      <w:r w:rsidR="00A0629C" w:rsidRPr="00A10386">
        <w:rPr>
          <w:rFonts w:eastAsia="Times New Roman"/>
          <w:noProof/>
        </w:rPr>
        <w:t xml:space="preserve"> They were also analysed from the perspective of </w:t>
      </w:r>
      <w:r w:rsidR="005E125E">
        <w:rPr>
          <w:rFonts w:eastAsia="Times New Roman"/>
          <w:noProof/>
        </w:rPr>
        <w:t xml:space="preserve">the </w:t>
      </w:r>
      <w:r w:rsidR="00A0629C" w:rsidRPr="00A10386">
        <w:rPr>
          <w:rFonts w:eastAsia="Times New Roman"/>
          <w:noProof/>
        </w:rPr>
        <w:t>respect of the freedom of assembly and of association and the right to family life.</w:t>
      </w:r>
    </w:p>
    <w:p w14:paraId="1F9C26D0" w14:textId="77777777" w:rsidR="3EA49CC5" w:rsidRPr="00A10386" w:rsidRDefault="1F772DDA" w:rsidP="77C63CE9">
      <w:pPr>
        <w:rPr>
          <w:rFonts w:eastAsia="Times New Roman"/>
          <w:noProof/>
        </w:rPr>
      </w:pPr>
      <w:r w:rsidRPr="00A10386">
        <w:rPr>
          <w:rFonts w:eastAsia="Times New Roman"/>
          <w:noProof/>
        </w:rPr>
        <w:t>This Directive will have to be transposed into national law respecting fundamental rights. In particular, Member States should ensure that the imposition of penalties respects the principles of the Charter, including the privilege against self-incrimination, the right to remain silent and the prohibition of being tried or punished twice in criminal proceedings for the same offence. Member States should also ensure that the procedural rights of suspected or accused persons in criminal proceedings are respected, as enshrined in the six EU Procedural Rights Directives, i.e. Directives 2010/64/EU</w:t>
      </w:r>
      <w:r w:rsidR="005D763A" w:rsidRPr="00A10386">
        <w:rPr>
          <w:rStyle w:val="FootnoteReference"/>
          <w:rFonts w:eastAsia="Times New Roman"/>
          <w:noProof/>
          <w:szCs w:val="24"/>
        </w:rPr>
        <w:footnoteReference w:id="34"/>
      </w:r>
      <w:r w:rsidRPr="00A10386">
        <w:rPr>
          <w:rFonts w:eastAsia="Times New Roman"/>
          <w:noProof/>
        </w:rPr>
        <w:t>, 2012/13/EU</w:t>
      </w:r>
      <w:r w:rsidR="005D763A" w:rsidRPr="00A10386">
        <w:rPr>
          <w:rStyle w:val="FootnoteReference"/>
          <w:rFonts w:eastAsia="Times New Roman"/>
          <w:noProof/>
          <w:szCs w:val="24"/>
        </w:rPr>
        <w:footnoteReference w:id="35"/>
      </w:r>
      <w:r w:rsidRPr="00A10386">
        <w:rPr>
          <w:rFonts w:eastAsia="Times New Roman"/>
          <w:noProof/>
        </w:rPr>
        <w:t>, 2013/48/EU</w:t>
      </w:r>
      <w:r w:rsidR="005D763A" w:rsidRPr="00A10386">
        <w:rPr>
          <w:rStyle w:val="FootnoteReference"/>
          <w:rFonts w:eastAsia="Times New Roman"/>
          <w:noProof/>
          <w:szCs w:val="24"/>
        </w:rPr>
        <w:footnoteReference w:id="36"/>
      </w:r>
      <w:r w:rsidRPr="00A10386">
        <w:rPr>
          <w:rFonts w:eastAsia="Times New Roman"/>
          <w:noProof/>
        </w:rPr>
        <w:t>, (EU) 2016/343</w:t>
      </w:r>
      <w:r w:rsidR="005D763A" w:rsidRPr="00A10386">
        <w:rPr>
          <w:rStyle w:val="FootnoteReference"/>
          <w:rFonts w:eastAsia="Times New Roman"/>
          <w:noProof/>
          <w:szCs w:val="24"/>
        </w:rPr>
        <w:footnoteReference w:id="37"/>
      </w:r>
      <w:r w:rsidRPr="00A10386">
        <w:rPr>
          <w:rFonts w:eastAsia="Times New Roman"/>
          <w:noProof/>
        </w:rPr>
        <w:t>, (EU) 2016/800</w:t>
      </w:r>
      <w:r w:rsidR="005D763A" w:rsidRPr="00A10386">
        <w:rPr>
          <w:rStyle w:val="FootnoteReference"/>
          <w:rFonts w:eastAsia="Times New Roman"/>
          <w:noProof/>
          <w:szCs w:val="24"/>
        </w:rPr>
        <w:footnoteReference w:id="38"/>
      </w:r>
      <w:r w:rsidRPr="00A10386">
        <w:rPr>
          <w:rFonts w:eastAsia="Times New Roman"/>
          <w:noProof/>
        </w:rPr>
        <w:t xml:space="preserve"> and (EU) 2016/1919</w:t>
      </w:r>
      <w:r w:rsidR="005D763A" w:rsidRPr="00A10386">
        <w:rPr>
          <w:rStyle w:val="FootnoteReference"/>
          <w:rFonts w:eastAsia="Times New Roman"/>
          <w:noProof/>
          <w:szCs w:val="24"/>
        </w:rPr>
        <w:footnoteReference w:id="39"/>
      </w:r>
      <w:r w:rsidRPr="00A10386">
        <w:rPr>
          <w:rFonts w:eastAsia="Times New Roman"/>
          <w:noProof/>
        </w:rPr>
        <w:t xml:space="preserve"> of the European Parliament and of the Council.</w:t>
      </w:r>
    </w:p>
    <w:p w14:paraId="4489C790" w14:textId="77777777" w:rsidR="0066307E" w:rsidRPr="00A10386" w:rsidRDefault="0066307E" w:rsidP="007F522A">
      <w:pPr>
        <w:pStyle w:val="ManualHeading1"/>
        <w:rPr>
          <w:noProof/>
        </w:rPr>
      </w:pPr>
      <w:r w:rsidRPr="00A10386">
        <w:rPr>
          <w:noProof/>
        </w:rPr>
        <w:t>4.</w:t>
      </w:r>
      <w:r w:rsidRPr="00A10386">
        <w:rPr>
          <w:noProof/>
        </w:rPr>
        <w:tab/>
        <w:t>BUDGETARY IMPLICATIONS</w:t>
      </w:r>
    </w:p>
    <w:p w14:paraId="74B9BC85" w14:textId="5614D457" w:rsidR="00661BF3" w:rsidRPr="00A10386" w:rsidRDefault="00F12CD7" w:rsidP="00DE1084">
      <w:pPr>
        <w:rPr>
          <w:rFonts w:eastAsia="Times New Roman"/>
          <w:noProof/>
        </w:rPr>
      </w:pPr>
      <w:r w:rsidRPr="00A10386">
        <w:rPr>
          <w:rFonts w:eastAsia="Times New Roman"/>
          <w:noProof/>
        </w:rPr>
        <w:t>This proposal has budgetary implications for the Union</w:t>
      </w:r>
      <w:r w:rsidR="009D0D7C" w:rsidRPr="00A10386">
        <w:rPr>
          <w:rFonts w:eastAsia="Times New Roman"/>
          <w:noProof/>
        </w:rPr>
        <w:t>, notably</w:t>
      </w:r>
      <w:r w:rsidRPr="00A10386">
        <w:rPr>
          <w:rFonts w:eastAsia="Times New Roman"/>
          <w:noProof/>
        </w:rPr>
        <w:t xml:space="preserve"> additional human resources needed </w:t>
      </w:r>
      <w:r w:rsidR="5F99029D" w:rsidRPr="00A10386">
        <w:rPr>
          <w:rFonts w:eastAsia="Times New Roman"/>
          <w:noProof/>
        </w:rPr>
        <w:t>for</w:t>
      </w:r>
      <w:r w:rsidR="002F61A9" w:rsidRPr="00A10386">
        <w:rPr>
          <w:rFonts w:eastAsia="Times New Roman"/>
          <w:noProof/>
        </w:rPr>
        <w:t xml:space="preserve"> the European Commission </w:t>
      </w:r>
      <w:r w:rsidR="0016544C" w:rsidRPr="00A10386">
        <w:rPr>
          <w:rFonts w:eastAsia="Times New Roman"/>
          <w:noProof/>
        </w:rPr>
        <w:t xml:space="preserve">(4 FTEs) </w:t>
      </w:r>
      <w:r w:rsidR="002F61A9" w:rsidRPr="00A10386">
        <w:rPr>
          <w:rFonts w:eastAsia="Times New Roman"/>
          <w:noProof/>
        </w:rPr>
        <w:t xml:space="preserve">to ensure </w:t>
      </w:r>
      <w:r w:rsidR="65FE608B" w:rsidRPr="00A10386">
        <w:rPr>
          <w:rFonts w:eastAsia="Times New Roman"/>
          <w:noProof/>
        </w:rPr>
        <w:t xml:space="preserve">support to the </w:t>
      </w:r>
      <w:r w:rsidR="60466F0E" w:rsidRPr="00A10386">
        <w:rPr>
          <w:rFonts w:eastAsia="Times New Roman"/>
          <w:noProof/>
        </w:rPr>
        <w:t>M</w:t>
      </w:r>
      <w:r w:rsidR="65FE608B" w:rsidRPr="00A10386">
        <w:rPr>
          <w:rFonts w:eastAsia="Times New Roman"/>
          <w:noProof/>
        </w:rPr>
        <w:t xml:space="preserve">ember States in the transposition and correct implementation of the legislative package </w:t>
      </w:r>
      <w:r w:rsidR="00506DBB" w:rsidRPr="00A10386">
        <w:rPr>
          <w:rFonts w:eastAsia="Times New Roman"/>
          <w:noProof/>
        </w:rPr>
        <w:t xml:space="preserve">that includes </w:t>
      </w:r>
      <w:r w:rsidR="1D27C456" w:rsidRPr="00A10386">
        <w:rPr>
          <w:rFonts w:eastAsia="Times New Roman"/>
          <w:noProof/>
        </w:rPr>
        <w:t>this</w:t>
      </w:r>
      <w:r w:rsidR="00661BF3" w:rsidRPr="00A10386">
        <w:rPr>
          <w:rFonts w:eastAsia="Times New Roman"/>
          <w:noProof/>
        </w:rPr>
        <w:t xml:space="preserve"> Directive and the proposal for a Regulation on </w:t>
      </w:r>
      <w:r w:rsidR="00DE1084" w:rsidRPr="00A10386">
        <w:rPr>
          <w:rStyle w:val="normaltextrun"/>
          <w:noProof/>
          <w:color w:val="000000"/>
          <w:shd w:val="clear" w:color="auto" w:fill="FFFFFF"/>
        </w:rPr>
        <w:t>enhancing police cooperation in relation to the prevention, detection and investigation of migrant smuggling and trafficking in human beings, and on enhancing Europol’s support to preventing and combating such crimes</w:t>
      </w:r>
      <w:r w:rsidRPr="00A10386">
        <w:rPr>
          <w:rFonts w:eastAsia="Times New Roman"/>
          <w:noProof/>
        </w:rPr>
        <w:t>.</w:t>
      </w:r>
      <w:r w:rsidR="009D0D7C" w:rsidRPr="00A10386">
        <w:rPr>
          <w:rFonts w:eastAsia="Times New Roman"/>
          <w:noProof/>
        </w:rPr>
        <w:t xml:space="preserve"> </w:t>
      </w:r>
    </w:p>
    <w:p w14:paraId="14823906" w14:textId="77777777" w:rsidR="0066307E" w:rsidRPr="00A10386" w:rsidRDefault="006D2C3D" w:rsidP="00532A79">
      <w:pPr>
        <w:rPr>
          <w:rFonts w:eastAsia="Arial Unicode MS"/>
          <w:noProof/>
        </w:rPr>
      </w:pPr>
      <w:r w:rsidRPr="00A10386">
        <w:rPr>
          <w:rFonts w:eastAsiaTheme="minorEastAsia"/>
          <w:noProof/>
        </w:rPr>
        <w:t>T</w:t>
      </w:r>
      <w:r w:rsidR="002E4C16" w:rsidRPr="00A10386">
        <w:rPr>
          <w:rFonts w:eastAsiaTheme="minorEastAsia"/>
          <w:noProof/>
        </w:rPr>
        <w:t xml:space="preserve">he </w:t>
      </w:r>
      <w:r w:rsidR="00775404" w:rsidRPr="00A10386">
        <w:rPr>
          <w:rFonts w:eastAsiaTheme="minorEastAsia"/>
          <w:noProof/>
        </w:rPr>
        <w:t xml:space="preserve">annex to the </w:t>
      </w:r>
      <w:r w:rsidR="002E4C16" w:rsidRPr="00A10386">
        <w:rPr>
          <w:rFonts w:eastAsiaTheme="minorEastAsia"/>
          <w:noProof/>
        </w:rPr>
        <w:t xml:space="preserve">Legislative Financial Statement accompanying this proposal and the proposal for a Regulation </w:t>
      </w:r>
      <w:r w:rsidR="00B7245C" w:rsidRPr="00A10386">
        <w:rPr>
          <w:rFonts w:eastAsiaTheme="minorEastAsia"/>
          <w:noProof/>
        </w:rPr>
        <w:t xml:space="preserve">further </w:t>
      </w:r>
      <w:r w:rsidR="00E559FB" w:rsidRPr="00A10386">
        <w:rPr>
          <w:rFonts w:eastAsiaTheme="minorEastAsia"/>
          <w:noProof/>
        </w:rPr>
        <w:t xml:space="preserve">details and </w:t>
      </w:r>
      <w:r w:rsidR="00B7245C" w:rsidRPr="00A10386">
        <w:rPr>
          <w:rFonts w:eastAsiaTheme="minorEastAsia"/>
          <w:noProof/>
        </w:rPr>
        <w:t>justifies these needs</w:t>
      </w:r>
      <w:r w:rsidR="00550851" w:rsidRPr="00A10386">
        <w:rPr>
          <w:rFonts w:eastAsiaTheme="minorEastAsia"/>
          <w:noProof/>
        </w:rPr>
        <w:t>.</w:t>
      </w:r>
    </w:p>
    <w:p w14:paraId="62D254A6" w14:textId="77777777" w:rsidR="0066307E" w:rsidRPr="00A10386" w:rsidRDefault="0066307E" w:rsidP="007F522A">
      <w:pPr>
        <w:pStyle w:val="ManualHeading1"/>
        <w:rPr>
          <w:noProof/>
        </w:rPr>
      </w:pPr>
      <w:r w:rsidRPr="00A10386">
        <w:rPr>
          <w:noProof/>
        </w:rPr>
        <w:t>5.</w:t>
      </w:r>
      <w:r w:rsidRPr="00A10386">
        <w:rPr>
          <w:noProof/>
        </w:rPr>
        <w:tab/>
        <w:t>OTHER ELEMENTS</w:t>
      </w:r>
    </w:p>
    <w:p w14:paraId="3A064A5C" w14:textId="77777777" w:rsidR="0066307E" w:rsidRPr="00A10386" w:rsidRDefault="0066307E" w:rsidP="5DD71006">
      <w:pPr>
        <w:pStyle w:val="ManualHeading2"/>
        <w:rPr>
          <w:rFonts w:eastAsia="Arial Unicode MS"/>
          <w:noProof/>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Implementation plans and monitoring, evaluation and reporting arrangements</w:t>
      </w:r>
    </w:p>
    <w:p w14:paraId="1E5F6E09" w14:textId="77777777" w:rsidR="00190EB7" w:rsidRPr="00A10386" w:rsidRDefault="3FCCB39B" w:rsidP="002D3FA5">
      <w:pPr>
        <w:rPr>
          <w:rFonts w:eastAsia="Times New Roman"/>
          <w:noProof/>
        </w:rPr>
      </w:pPr>
      <w:r w:rsidRPr="00A10386">
        <w:rPr>
          <w:rFonts w:eastAsia="Times New Roman"/>
          <w:noProof/>
        </w:rPr>
        <w:t>In accordance with this proposal</w:t>
      </w:r>
      <w:r w:rsidR="003A0B9B" w:rsidRPr="00A10386">
        <w:rPr>
          <w:rFonts w:eastAsia="Times New Roman"/>
          <w:noProof/>
        </w:rPr>
        <w:t xml:space="preserve"> for a Directive</w:t>
      </w:r>
      <w:r w:rsidRPr="00A10386">
        <w:rPr>
          <w:rFonts w:eastAsia="Times New Roman"/>
          <w:noProof/>
        </w:rPr>
        <w:t xml:space="preserve">, Member States are required to bring into force the laws, regulations and administrative provisions necessary to comply with it by one year after </w:t>
      </w:r>
      <w:r w:rsidR="003A0B9B" w:rsidRPr="00A10386">
        <w:rPr>
          <w:rFonts w:eastAsia="Times New Roman"/>
          <w:noProof/>
        </w:rPr>
        <w:t>its</w:t>
      </w:r>
      <w:r w:rsidRPr="00A10386">
        <w:rPr>
          <w:rFonts w:eastAsia="Times New Roman"/>
          <w:noProof/>
        </w:rPr>
        <w:t xml:space="preserve"> entry into force at the latest and to communicate to the Commission the text of those provisions. The </w:t>
      </w:r>
      <w:r w:rsidR="6029AD0D" w:rsidRPr="00A10386">
        <w:rPr>
          <w:rFonts w:eastAsia="Times New Roman"/>
          <w:noProof/>
        </w:rPr>
        <w:t>corresponding</w:t>
      </w:r>
      <w:r w:rsidRPr="00A10386">
        <w:rPr>
          <w:rFonts w:eastAsia="Times New Roman"/>
          <w:noProof/>
        </w:rPr>
        <w:t xml:space="preserve"> national provisions need to explicitly refer to this Directive.</w:t>
      </w:r>
    </w:p>
    <w:p w14:paraId="4E0D151A" w14:textId="77777777" w:rsidR="0066307E" w:rsidRPr="00A10386" w:rsidRDefault="0066307E" w:rsidP="007F522A">
      <w:pPr>
        <w:pStyle w:val="ManualHeading2"/>
        <w:rPr>
          <w:rFonts w:eastAsia="Arial Unicode MS"/>
          <w:noProof/>
          <w:bdr w:val="nil"/>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Explanatory documents (for directives)</w:t>
      </w:r>
    </w:p>
    <w:p w14:paraId="66EF6B5F" w14:textId="77777777" w:rsidR="21B1675F" w:rsidRPr="00A10386" w:rsidRDefault="00481209" w:rsidP="00BC2B85">
      <w:pPr>
        <w:rPr>
          <w:rFonts w:eastAsia="Times New Roman"/>
          <w:noProof/>
        </w:rPr>
      </w:pPr>
      <w:r w:rsidRPr="00A10386">
        <w:rPr>
          <w:rFonts w:eastAsia="Times New Roman"/>
          <w:noProof/>
        </w:rPr>
        <w:t>No explanatory documents on the transposition are considered necessary.</w:t>
      </w:r>
    </w:p>
    <w:p w14:paraId="09F70F0E" w14:textId="696C923B" w:rsidR="0066307E" w:rsidRPr="00A10386" w:rsidRDefault="0066307E" w:rsidP="007F522A">
      <w:pPr>
        <w:pStyle w:val="ManualHeading2"/>
        <w:rPr>
          <w:rFonts w:eastAsia="Arial Unicode MS"/>
          <w:noProof/>
          <w:bdr w:val="nil"/>
          <w:lang w:eastAsia="en-GB"/>
        </w:rPr>
      </w:pPr>
      <w:r w:rsidRPr="00A10386">
        <w:rPr>
          <w:rFonts w:eastAsia="Arial Unicode MS"/>
          <w:noProof/>
          <w:bdr w:val="nil"/>
          <w:lang w:eastAsia="en-GB"/>
        </w:rPr>
        <w:t>•</w:t>
      </w:r>
      <w:r w:rsidRPr="00A10386">
        <w:rPr>
          <w:rFonts w:eastAsia="Arial Unicode MS"/>
          <w:noProof/>
          <w:u w:color="000000"/>
          <w:bdr w:val="nil"/>
          <w:lang w:eastAsia="en-GB"/>
        </w:rPr>
        <w:tab/>
      </w:r>
      <w:r w:rsidRPr="00A10386">
        <w:rPr>
          <w:rFonts w:eastAsia="Arial Unicode MS"/>
          <w:noProof/>
          <w:bdr w:val="nil"/>
          <w:lang w:eastAsia="en-GB"/>
        </w:rPr>
        <w:t>Detailed explanation of the specific provisions of the proposal</w:t>
      </w:r>
    </w:p>
    <w:p w14:paraId="66094302" w14:textId="3657B80C" w:rsidR="00AF0E4F" w:rsidRPr="00A10386" w:rsidRDefault="00AF0E4F" w:rsidP="00BC2B85">
      <w:pPr>
        <w:rPr>
          <w:noProof/>
        </w:rPr>
      </w:pPr>
      <w:r w:rsidRPr="00A10386">
        <w:rPr>
          <w:i/>
          <w:iCs/>
          <w:noProof/>
        </w:rPr>
        <w:t>Article 1</w:t>
      </w:r>
      <w:r w:rsidR="00663CEF" w:rsidRPr="00A10386">
        <w:rPr>
          <w:i/>
          <w:iCs/>
          <w:noProof/>
        </w:rPr>
        <w:t xml:space="preserve"> </w:t>
      </w:r>
      <w:r w:rsidR="005E125E">
        <w:rPr>
          <w:i/>
          <w:iCs/>
          <w:noProof/>
        </w:rPr>
        <w:t>–</w:t>
      </w:r>
      <w:r w:rsidRPr="00A10386">
        <w:rPr>
          <w:i/>
          <w:iCs/>
          <w:noProof/>
        </w:rPr>
        <w:t xml:space="preserve"> Subject matter</w:t>
      </w:r>
      <w:r w:rsidRPr="00A10386">
        <w:rPr>
          <w:noProof/>
        </w:rPr>
        <w:t xml:space="preserve">: </w:t>
      </w:r>
      <w:r w:rsidR="00677DD2" w:rsidRPr="00A10386">
        <w:rPr>
          <w:noProof/>
        </w:rPr>
        <w:t>this provision</w:t>
      </w:r>
      <w:r w:rsidRPr="00A10386">
        <w:rPr>
          <w:noProof/>
        </w:rPr>
        <w:t xml:space="preserve"> sets out the scope of the proposed Directive, notably that it establishes minimum rules concerning the definition of criminal offences and sanctions </w:t>
      </w:r>
      <w:r w:rsidR="005809EF" w:rsidRPr="00A10386">
        <w:rPr>
          <w:noProof/>
        </w:rPr>
        <w:t xml:space="preserve">on the </w:t>
      </w:r>
      <w:r w:rsidR="005809EF" w:rsidRPr="00A10386">
        <w:rPr>
          <w:rFonts w:eastAsia="Times New Roman"/>
          <w:noProof/>
        </w:rPr>
        <w:t>facilitation</w:t>
      </w:r>
      <w:r w:rsidR="005809EF" w:rsidRPr="00A10386">
        <w:rPr>
          <w:noProof/>
        </w:rPr>
        <w:t xml:space="preserve"> of unauthorised entry, transit and stay of third</w:t>
      </w:r>
      <w:r w:rsidR="007B2862" w:rsidRPr="00A10386">
        <w:rPr>
          <w:noProof/>
        </w:rPr>
        <w:t>-</w:t>
      </w:r>
      <w:r w:rsidR="005809EF" w:rsidRPr="00A10386">
        <w:rPr>
          <w:noProof/>
        </w:rPr>
        <w:t>country nationals in the U</w:t>
      </w:r>
      <w:r w:rsidR="007E30F3" w:rsidRPr="00A10386">
        <w:rPr>
          <w:noProof/>
        </w:rPr>
        <w:t>nion</w:t>
      </w:r>
      <w:r w:rsidR="00580230" w:rsidRPr="00A10386">
        <w:rPr>
          <w:noProof/>
        </w:rPr>
        <w:t xml:space="preserve">, </w:t>
      </w:r>
      <w:r w:rsidRPr="00A10386">
        <w:rPr>
          <w:noProof/>
        </w:rPr>
        <w:t xml:space="preserve">as well as measures to better prevent and </w:t>
      </w:r>
      <w:r w:rsidR="00F102F2" w:rsidRPr="00A10386">
        <w:rPr>
          <w:noProof/>
        </w:rPr>
        <w:t>counter it.</w:t>
      </w:r>
    </w:p>
    <w:p w14:paraId="0C5C830A" w14:textId="77777777" w:rsidR="00663CEF" w:rsidRPr="00A10386" w:rsidRDefault="674482DA" w:rsidP="00532A79">
      <w:pPr>
        <w:rPr>
          <w:noProof/>
        </w:rPr>
      </w:pPr>
      <w:r w:rsidRPr="00A10386">
        <w:rPr>
          <w:i/>
          <w:iCs/>
          <w:noProof/>
        </w:rPr>
        <w:t xml:space="preserve">Article 2 – </w:t>
      </w:r>
      <w:r w:rsidR="4D2AA430" w:rsidRPr="00A10386">
        <w:rPr>
          <w:i/>
          <w:iCs/>
          <w:noProof/>
        </w:rPr>
        <w:t>Definitions</w:t>
      </w:r>
      <w:r w:rsidR="4D2AA430" w:rsidRPr="00A10386">
        <w:rPr>
          <w:noProof/>
        </w:rPr>
        <w:t xml:space="preserve">: </w:t>
      </w:r>
      <w:r w:rsidR="708A5357" w:rsidRPr="00A10386">
        <w:rPr>
          <w:rFonts w:eastAsia="Times New Roman"/>
          <w:noProof/>
        </w:rPr>
        <w:t>this</w:t>
      </w:r>
      <w:r w:rsidR="708A5357" w:rsidRPr="00A10386">
        <w:rPr>
          <w:noProof/>
        </w:rPr>
        <w:t xml:space="preserve"> provision contains definitions of the main terms used in the Directive</w:t>
      </w:r>
      <w:r w:rsidR="1780ABD4" w:rsidRPr="00A10386">
        <w:rPr>
          <w:noProof/>
        </w:rPr>
        <w:t>, namely ‘third</w:t>
      </w:r>
      <w:r w:rsidR="007B2862" w:rsidRPr="00A10386">
        <w:rPr>
          <w:noProof/>
        </w:rPr>
        <w:t>-</w:t>
      </w:r>
      <w:r w:rsidR="1780ABD4" w:rsidRPr="00A10386">
        <w:rPr>
          <w:noProof/>
        </w:rPr>
        <w:t>country national’, ‘unaccompanied minor’ and ‘legal person’.</w:t>
      </w:r>
    </w:p>
    <w:p w14:paraId="7642117B" w14:textId="5E3C652C" w:rsidR="00A90377" w:rsidRPr="00A10386" w:rsidRDefault="4D2AA430" w:rsidP="00B77604">
      <w:pPr>
        <w:rPr>
          <w:noProof/>
        </w:rPr>
      </w:pPr>
      <w:r w:rsidRPr="00A10386">
        <w:rPr>
          <w:i/>
          <w:iCs/>
          <w:noProof/>
        </w:rPr>
        <w:t xml:space="preserve">Article 3 – </w:t>
      </w:r>
      <w:r w:rsidR="674482DA" w:rsidRPr="00A10386">
        <w:rPr>
          <w:i/>
          <w:iCs/>
          <w:noProof/>
        </w:rPr>
        <w:t>Criminal offences</w:t>
      </w:r>
      <w:r w:rsidR="674482DA" w:rsidRPr="00A10386">
        <w:rPr>
          <w:noProof/>
        </w:rPr>
        <w:t xml:space="preserve">: </w:t>
      </w:r>
      <w:r w:rsidR="1EDF10A2" w:rsidRPr="00A10386">
        <w:rPr>
          <w:noProof/>
        </w:rPr>
        <w:t>this provision defines th</w:t>
      </w:r>
      <w:r w:rsidR="00024DFC" w:rsidRPr="00A10386">
        <w:rPr>
          <w:noProof/>
        </w:rPr>
        <w:t xml:space="preserve">at </w:t>
      </w:r>
      <w:r w:rsidR="2CADDC8D" w:rsidRPr="00A10386">
        <w:rPr>
          <w:noProof/>
        </w:rPr>
        <w:t>intentionally assist</w:t>
      </w:r>
      <w:r w:rsidR="003B60FA" w:rsidRPr="00A10386">
        <w:rPr>
          <w:noProof/>
        </w:rPr>
        <w:t>ing</w:t>
      </w:r>
      <w:r w:rsidR="2CADDC8D" w:rsidRPr="00A10386">
        <w:rPr>
          <w:noProof/>
        </w:rPr>
        <w:t xml:space="preserve"> a third-country national to enter, transit across or stay within the territory of any Member State </w:t>
      </w:r>
      <w:r w:rsidR="003B60FA" w:rsidRPr="00A10386">
        <w:rPr>
          <w:noProof/>
        </w:rPr>
        <w:t>constitutes a criminal offence</w:t>
      </w:r>
      <w:r w:rsidR="00514703" w:rsidRPr="00A10386">
        <w:rPr>
          <w:noProof/>
        </w:rPr>
        <w:t xml:space="preserve"> whe</w:t>
      </w:r>
      <w:r w:rsidR="002157A3" w:rsidRPr="00A10386">
        <w:rPr>
          <w:noProof/>
        </w:rPr>
        <w:t>n</w:t>
      </w:r>
      <w:r w:rsidR="00957F59" w:rsidRPr="00A10386">
        <w:rPr>
          <w:noProof/>
        </w:rPr>
        <w:t xml:space="preserve"> </w:t>
      </w:r>
      <w:r w:rsidR="00AB77F8" w:rsidRPr="00A10386">
        <w:rPr>
          <w:noProof/>
        </w:rPr>
        <w:t>there is a</w:t>
      </w:r>
      <w:r w:rsidR="00C55577" w:rsidRPr="00A10386">
        <w:rPr>
          <w:noProof/>
        </w:rPr>
        <w:t>n actual or promised</w:t>
      </w:r>
      <w:r w:rsidR="00AB77F8" w:rsidRPr="00A10386">
        <w:rPr>
          <w:noProof/>
        </w:rPr>
        <w:t xml:space="preserve"> financial or material benefit</w:t>
      </w:r>
      <w:r w:rsidR="00993256" w:rsidRPr="00A10386">
        <w:rPr>
          <w:noProof/>
        </w:rPr>
        <w:t>, or</w:t>
      </w:r>
      <w:r w:rsidR="00C55577" w:rsidRPr="00A10386">
        <w:rPr>
          <w:noProof/>
        </w:rPr>
        <w:t xml:space="preserve"> </w:t>
      </w:r>
      <w:r w:rsidR="1A8B81E5" w:rsidRPr="00A10386">
        <w:rPr>
          <w:noProof/>
        </w:rPr>
        <w:t xml:space="preserve">where </w:t>
      </w:r>
      <w:r w:rsidR="00355604" w:rsidRPr="00A10386">
        <w:rPr>
          <w:noProof/>
        </w:rPr>
        <w:t>the</w:t>
      </w:r>
      <w:r w:rsidR="1A8B81E5" w:rsidRPr="00A10386">
        <w:rPr>
          <w:noProof/>
        </w:rPr>
        <w:t xml:space="preserve"> offence is </w:t>
      </w:r>
      <w:r w:rsidR="00C55577" w:rsidRPr="00A10386">
        <w:rPr>
          <w:noProof/>
        </w:rPr>
        <w:t xml:space="preserve">highly </w:t>
      </w:r>
      <w:r w:rsidR="1A8B81E5" w:rsidRPr="00A10386">
        <w:rPr>
          <w:noProof/>
        </w:rPr>
        <w:t>likely to cause serious harm to a person</w:t>
      </w:r>
      <w:r w:rsidR="00D20220" w:rsidRPr="00A10386">
        <w:rPr>
          <w:noProof/>
        </w:rPr>
        <w:t xml:space="preserve">. </w:t>
      </w:r>
      <w:r w:rsidR="00C55577" w:rsidRPr="00A10386">
        <w:rPr>
          <w:noProof/>
        </w:rPr>
        <w:t>Publicly i</w:t>
      </w:r>
      <w:r w:rsidR="00D20220" w:rsidRPr="00A10386">
        <w:rPr>
          <w:noProof/>
        </w:rPr>
        <w:t>nstigat</w:t>
      </w:r>
      <w:r w:rsidR="002E173C" w:rsidRPr="00A10386">
        <w:rPr>
          <w:noProof/>
        </w:rPr>
        <w:t>ing</w:t>
      </w:r>
      <w:r w:rsidR="00D20220" w:rsidRPr="00A10386">
        <w:rPr>
          <w:noProof/>
        </w:rPr>
        <w:t xml:space="preserve"> third-country nationals</w:t>
      </w:r>
      <w:r w:rsidR="00C55577" w:rsidRPr="00A10386">
        <w:rPr>
          <w:noProof/>
        </w:rPr>
        <w:t>, for instance through the internet,</w:t>
      </w:r>
      <w:r w:rsidR="00D20220" w:rsidRPr="00A10386">
        <w:rPr>
          <w:noProof/>
        </w:rPr>
        <w:t xml:space="preserve"> to ent</w:t>
      </w:r>
      <w:r w:rsidR="00946BD3" w:rsidRPr="00A10386">
        <w:rPr>
          <w:noProof/>
        </w:rPr>
        <w:t>er</w:t>
      </w:r>
      <w:r w:rsidR="00D20220" w:rsidRPr="00A10386">
        <w:rPr>
          <w:noProof/>
        </w:rPr>
        <w:t xml:space="preserve">, transit or stay in the Union </w:t>
      </w:r>
      <w:r w:rsidR="002E173C" w:rsidRPr="00A10386">
        <w:rPr>
          <w:noProof/>
        </w:rPr>
        <w:t>irregularly is also</w:t>
      </w:r>
      <w:r w:rsidR="00993256" w:rsidRPr="00A10386">
        <w:rPr>
          <w:noProof/>
        </w:rPr>
        <w:t xml:space="preserve"> considered to be</w:t>
      </w:r>
      <w:r w:rsidR="002E173C" w:rsidRPr="00A10386">
        <w:rPr>
          <w:noProof/>
        </w:rPr>
        <w:t xml:space="preserve"> </w:t>
      </w:r>
      <w:r w:rsidR="00644E80" w:rsidRPr="00A10386">
        <w:rPr>
          <w:noProof/>
        </w:rPr>
        <w:t xml:space="preserve">an </w:t>
      </w:r>
      <w:r w:rsidR="00547EFB" w:rsidRPr="00A10386">
        <w:rPr>
          <w:noProof/>
        </w:rPr>
        <w:t>offence.</w:t>
      </w:r>
      <w:r w:rsidR="00A90377" w:rsidRPr="00A10386">
        <w:rPr>
          <w:noProof/>
        </w:rPr>
        <w:t xml:space="preserve"> The proposal also highlights in recitals that the purpose of the Directive is not to criminalise third</w:t>
      </w:r>
      <w:r w:rsidR="005E125E">
        <w:rPr>
          <w:noProof/>
        </w:rPr>
        <w:t>-</w:t>
      </w:r>
      <w:r w:rsidR="00A90377" w:rsidRPr="00A10386">
        <w:rPr>
          <w:noProof/>
        </w:rPr>
        <w:t>country nationals for the fact of being smuggled. Moreover, the recitals also clarify that it is not the purpose of this Directive to criminalise, on the one hand, assistance provided to family members and, on the other hand, humanitarian assistance or the support of basic human needs provided to third-country nationals in compliance with legal obligations.</w:t>
      </w:r>
    </w:p>
    <w:p w14:paraId="496A62BD" w14:textId="38FAEDFE" w:rsidR="00B62433" w:rsidRPr="00A10386" w:rsidRDefault="3A310BB1" w:rsidP="00B62433">
      <w:pPr>
        <w:rPr>
          <w:rFonts w:eastAsia="Times New Roman"/>
          <w:noProof/>
        </w:rPr>
      </w:pPr>
      <w:r w:rsidRPr="00A10386">
        <w:rPr>
          <w:i/>
          <w:iCs/>
          <w:noProof/>
        </w:rPr>
        <w:t xml:space="preserve">Article </w:t>
      </w:r>
      <w:r w:rsidR="6F98EE2A" w:rsidRPr="00A10386">
        <w:rPr>
          <w:i/>
          <w:iCs/>
          <w:noProof/>
        </w:rPr>
        <w:t>4</w:t>
      </w:r>
      <w:r w:rsidRPr="00A10386">
        <w:rPr>
          <w:i/>
          <w:iCs/>
          <w:noProof/>
        </w:rPr>
        <w:t xml:space="preserve"> – Aggravated criminal offences</w:t>
      </w:r>
      <w:r w:rsidR="0E8585BA" w:rsidRPr="00A10386">
        <w:rPr>
          <w:noProof/>
        </w:rPr>
        <w:t xml:space="preserve">: this provision defines the </w:t>
      </w:r>
      <w:r w:rsidR="3A2E2005" w:rsidRPr="00A10386">
        <w:rPr>
          <w:noProof/>
        </w:rPr>
        <w:t xml:space="preserve">criminal offences related to more serious </w:t>
      </w:r>
      <w:r w:rsidR="3A2E2005" w:rsidRPr="00A10386">
        <w:rPr>
          <w:rFonts w:eastAsia="Times New Roman"/>
          <w:noProof/>
        </w:rPr>
        <w:t>conducts</w:t>
      </w:r>
      <w:r w:rsidR="3A2E2005" w:rsidRPr="00A10386">
        <w:rPr>
          <w:noProof/>
        </w:rPr>
        <w:t xml:space="preserve"> </w:t>
      </w:r>
      <w:r w:rsidR="12928F1A" w:rsidRPr="00A10386">
        <w:rPr>
          <w:noProof/>
        </w:rPr>
        <w:t>concerning</w:t>
      </w:r>
      <w:r w:rsidR="3A2E2005" w:rsidRPr="00A10386">
        <w:rPr>
          <w:noProof/>
        </w:rPr>
        <w:t xml:space="preserve"> the facilitation of unauthorised entry, transit and stay</w:t>
      </w:r>
      <w:r w:rsidR="007E30F3" w:rsidRPr="00A10386">
        <w:rPr>
          <w:noProof/>
        </w:rPr>
        <w:t xml:space="preserve"> in the Union</w:t>
      </w:r>
      <w:r w:rsidR="297780C3" w:rsidRPr="00A10386">
        <w:rPr>
          <w:noProof/>
        </w:rPr>
        <w:t>, e.</w:t>
      </w:r>
      <w:r w:rsidR="0049396A" w:rsidRPr="00A10386">
        <w:rPr>
          <w:noProof/>
        </w:rPr>
        <w:t>g.</w:t>
      </w:r>
      <w:r w:rsidR="3A2E2005" w:rsidRPr="00A10386">
        <w:rPr>
          <w:noProof/>
        </w:rPr>
        <w:t xml:space="preserve"> </w:t>
      </w:r>
      <w:r w:rsidR="148D05BC" w:rsidRPr="00A10386">
        <w:rPr>
          <w:rFonts w:eastAsia="Times New Roman"/>
          <w:noProof/>
        </w:rPr>
        <w:t xml:space="preserve">where the offence </w:t>
      </w:r>
      <w:r w:rsidR="7EFD6AB9" w:rsidRPr="00A10386">
        <w:rPr>
          <w:rFonts w:eastAsia="Times New Roman"/>
          <w:noProof/>
        </w:rPr>
        <w:t xml:space="preserve">is committed within the framework of a criminal organisation, </w:t>
      </w:r>
      <w:r w:rsidR="148D05BC" w:rsidRPr="00A10386">
        <w:rPr>
          <w:rFonts w:eastAsia="Times New Roman"/>
          <w:noProof/>
        </w:rPr>
        <w:t>cause</w:t>
      </w:r>
      <w:r w:rsidR="7EFD6AB9" w:rsidRPr="00A10386">
        <w:rPr>
          <w:rFonts w:eastAsia="Times New Roman"/>
          <w:noProof/>
        </w:rPr>
        <w:t>s</w:t>
      </w:r>
      <w:r w:rsidR="148D05BC" w:rsidRPr="00A10386">
        <w:rPr>
          <w:rFonts w:eastAsia="Times New Roman"/>
          <w:noProof/>
        </w:rPr>
        <w:t xml:space="preserve"> serious harm to, or endanger</w:t>
      </w:r>
      <w:r w:rsidR="7EFD6AB9" w:rsidRPr="00A10386">
        <w:rPr>
          <w:rFonts w:eastAsia="Times New Roman"/>
          <w:noProof/>
        </w:rPr>
        <w:t>s</w:t>
      </w:r>
      <w:r w:rsidR="148D05BC" w:rsidRPr="00A10386">
        <w:rPr>
          <w:rFonts w:eastAsia="Times New Roman"/>
          <w:noProof/>
        </w:rPr>
        <w:t xml:space="preserve"> the life of </w:t>
      </w:r>
      <w:r w:rsidR="1C63204A" w:rsidRPr="00A10386">
        <w:rPr>
          <w:rFonts w:eastAsia="Times New Roman"/>
          <w:noProof/>
        </w:rPr>
        <w:t xml:space="preserve">the </w:t>
      </w:r>
      <w:r w:rsidR="3A9B0D51" w:rsidRPr="00A10386">
        <w:rPr>
          <w:rFonts w:eastAsia="Times New Roman"/>
          <w:noProof/>
        </w:rPr>
        <w:t>third-country nationals concerned</w:t>
      </w:r>
      <w:r w:rsidR="148D05BC" w:rsidRPr="00A10386">
        <w:rPr>
          <w:rFonts w:eastAsia="Times New Roman"/>
          <w:noProof/>
        </w:rPr>
        <w:t xml:space="preserve">, </w:t>
      </w:r>
      <w:r w:rsidR="69977D29" w:rsidRPr="00A10386">
        <w:rPr>
          <w:rFonts w:eastAsia="Times New Roman"/>
          <w:noProof/>
        </w:rPr>
        <w:t xml:space="preserve">is committed using serious violence, </w:t>
      </w:r>
      <w:r w:rsidR="320335F1" w:rsidRPr="00A10386">
        <w:rPr>
          <w:rFonts w:eastAsia="Times New Roman"/>
          <w:noProof/>
        </w:rPr>
        <w:t>or the smuggled migrants are particularly vulnerable</w:t>
      </w:r>
      <w:r w:rsidR="005669A9">
        <w:rPr>
          <w:rFonts w:eastAsia="Times New Roman"/>
          <w:noProof/>
        </w:rPr>
        <w:t>,</w:t>
      </w:r>
      <w:r w:rsidR="3DDF5265" w:rsidRPr="00A10386">
        <w:rPr>
          <w:rFonts w:eastAsia="Times New Roman"/>
          <w:noProof/>
        </w:rPr>
        <w:t xml:space="preserve"> </w:t>
      </w:r>
      <w:r w:rsidR="7EB18D5D" w:rsidRPr="00A10386">
        <w:rPr>
          <w:rFonts w:eastAsia="Times New Roman"/>
          <w:noProof/>
        </w:rPr>
        <w:t xml:space="preserve">including </w:t>
      </w:r>
      <w:r w:rsidR="320335F1" w:rsidRPr="00A10386">
        <w:rPr>
          <w:rFonts w:eastAsia="Times New Roman"/>
          <w:noProof/>
        </w:rPr>
        <w:t>unaccompanied minors</w:t>
      </w:r>
      <w:r w:rsidR="3DDF5265" w:rsidRPr="00A10386">
        <w:rPr>
          <w:rFonts w:eastAsia="Times New Roman"/>
          <w:noProof/>
        </w:rPr>
        <w:t xml:space="preserve">. </w:t>
      </w:r>
      <w:r w:rsidR="2D66B2C5" w:rsidRPr="00A10386">
        <w:rPr>
          <w:rFonts w:eastAsia="Times New Roman"/>
          <w:noProof/>
        </w:rPr>
        <w:t>F</w:t>
      </w:r>
      <w:r w:rsidR="7C412DBC" w:rsidRPr="00A10386">
        <w:rPr>
          <w:rFonts w:eastAsia="Times New Roman"/>
          <w:noProof/>
        </w:rPr>
        <w:t>acilitation that</w:t>
      </w:r>
      <w:r w:rsidR="148D05BC" w:rsidRPr="00A10386">
        <w:rPr>
          <w:rFonts w:eastAsia="Times New Roman"/>
          <w:noProof/>
        </w:rPr>
        <w:t xml:space="preserve"> causes the death of </w:t>
      </w:r>
      <w:r w:rsidR="70E75594" w:rsidRPr="00A10386">
        <w:rPr>
          <w:rFonts w:eastAsia="Times New Roman"/>
          <w:noProof/>
        </w:rPr>
        <w:t>one or more third-country nationals</w:t>
      </w:r>
      <w:r w:rsidR="2D66B2C5" w:rsidRPr="00A10386">
        <w:rPr>
          <w:rFonts w:eastAsia="Times New Roman"/>
          <w:noProof/>
        </w:rPr>
        <w:t xml:space="preserve"> is also an aggravated criminal offence</w:t>
      </w:r>
      <w:r w:rsidR="148D05BC" w:rsidRPr="00A10386">
        <w:rPr>
          <w:rFonts w:eastAsia="Times New Roman"/>
          <w:noProof/>
        </w:rPr>
        <w:t xml:space="preserve">. </w:t>
      </w:r>
    </w:p>
    <w:p w14:paraId="115AD63D" w14:textId="43131387" w:rsidR="00E6760C" w:rsidRPr="00A10386" w:rsidRDefault="70E75594" w:rsidP="00BC2B85">
      <w:pPr>
        <w:rPr>
          <w:noProof/>
        </w:rPr>
      </w:pPr>
      <w:r w:rsidRPr="00A10386">
        <w:rPr>
          <w:i/>
          <w:iCs/>
          <w:noProof/>
        </w:rPr>
        <w:t xml:space="preserve">Article </w:t>
      </w:r>
      <w:r w:rsidR="332F67FE" w:rsidRPr="00A10386">
        <w:rPr>
          <w:i/>
          <w:iCs/>
          <w:noProof/>
        </w:rPr>
        <w:t>5</w:t>
      </w:r>
      <w:r w:rsidRPr="00A10386">
        <w:rPr>
          <w:i/>
          <w:iCs/>
          <w:noProof/>
        </w:rPr>
        <w:t xml:space="preserve"> -</w:t>
      </w:r>
      <w:r w:rsidR="05BEE5A4" w:rsidRPr="00A10386">
        <w:rPr>
          <w:i/>
          <w:iCs/>
          <w:noProof/>
        </w:rPr>
        <w:t xml:space="preserve"> Incitement, aiding and abetting, and attempt</w:t>
      </w:r>
      <w:r w:rsidR="05BEE5A4" w:rsidRPr="00A10386">
        <w:rPr>
          <w:noProof/>
        </w:rPr>
        <w:t xml:space="preserve">: this provision </w:t>
      </w:r>
      <w:r w:rsidR="14899317" w:rsidRPr="00A10386">
        <w:rPr>
          <w:noProof/>
        </w:rPr>
        <w:t xml:space="preserve">requires Member States to criminalise forms of aiding and abetting, inciting and attempting </w:t>
      </w:r>
      <w:r w:rsidR="1DF491DC" w:rsidRPr="00A10386">
        <w:rPr>
          <w:noProof/>
        </w:rPr>
        <w:t>the offences referred to in this Directive</w:t>
      </w:r>
      <w:r w:rsidR="5AA12248" w:rsidRPr="00A10386">
        <w:rPr>
          <w:noProof/>
        </w:rPr>
        <w:t>.</w:t>
      </w:r>
      <w:r w:rsidR="6A73F6A8" w:rsidRPr="00A10386">
        <w:rPr>
          <w:noProof/>
        </w:rPr>
        <w:t xml:space="preserve"> </w:t>
      </w:r>
      <w:r w:rsidR="014A5E0C" w:rsidRPr="00A10386">
        <w:rPr>
          <w:noProof/>
        </w:rPr>
        <w:t xml:space="preserve"> </w:t>
      </w:r>
    </w:p>
    <w:p w14:paraId="64D99303" w14:textId="1A21FAD3" w:rsidR="005D5262" w:rsidRPr="00A10386" w:rsidRDefault="6612CA81" w:rsidP="002D3FA5">
      <w:pPr>
        <w:rPr>
          <w:noProof/>
        </w:rPr>
      </w:pPr>
      <w:r w:rsidRPr="00A10386">
        <w:rPr>
          <w:i/>
          <w:iCs/>
          <w:noProof/>
        </w:rPr>
        <w:t>Article 6 – Penalties for natural persons</w:t>
      </w:r>
      <w:r w:rsidRPr="00A10386">
        <w:rPr>
          <w:noProof/>
        </w:rPr>
        <w:t xml:space="preserve">: </w:t>
      </w:r>
      <w:r w:rsidR="5AB2D9A5" w:rsidRPr="00A10386">
        <w:rPr>
          <w:noProof/>
        </w:rPr>
        <w:t xml:space="preserve">this provision establishes </w:t>
      </w:r>
      <w:r w:rsidR="444AD62B" w:rsidRPr="00A10386">
        <w:rPr>
          <w:noProof/>
        </w:rPr>
        <w:t xml:space="preserve">minimum </w:t>
      </w:r>
      <w:r w:rsidR="003068DB" w:rsidRPr="00A10386">
        <w:rPr>
          <w:noProof/>
        </w:rPr>
        <w:t xml:space="preserve">rules </w:t>
      </w:r>
      <w:r w:rsidR="54CD5DC5" w:rsidRPr="00A10386">
        <w:rPr>
          <w:noProof/>
        </w:rPr>
        <w:t xml:space="preserve">on the penalties </w:t>
      </w:r>
      <w:r w:rsidR="657825B0" w:rsidRPr="00A10386">
        <w:rPr>
          <w:noProof/>
        </w:rPr>
        <w:t xml:space="preserve">for </w:t>
      </w:r>
      <w:r w:rsidR="444AD62B" w:rsidRPr="00A10386">
        <w:rPr>
          <w:noProof/>
        </w:rPr>
        <w:t>the offences and the aggravated offences defined in this Directive</w:t>
      </w:r>
      <w:r w:rsidR="657825B0" w:rsidRPr="00A10386">
        <w:rPr>
          <w:noProof/>
        </w:rPr>
        <w:t>. Member States should ensure that these</w:t>
      </w:r>
      <w:r w:rsidR="444AD62B" w:rsidRPr="00A10386">
        <w:rPr>
          <w:noProof/>
        </w:rPr>
        <w:t xml:space="preserve"> are punishable by effective, proportionate and dissuasive criminal penalties. </w:t>
      </w:r>
      <w:r w:rsidR="5AB2D9A5" w:rsidRPr="00A10386">
        <w:rPr>
          <w:noProof/>
        </w:rPr>
        <w:t xml:space="preserve">The </w:t>
      </w:r>
      <w:r w:rsidR="761B2EFF" w:rsidRPr="00A10386">
        <w:rPr>
          <w:noProof/>
        </w:rPr>
        <w:t>proposed level of penalties</w:t>
      </w:r>
      <w:r w:rsidR="5AB2D9A5" w:rsidRPr="00A10386">
        <w:rPr>
          <w:noProof/>
        </w:rPr>
        <w:t xml:space="preserve"> reflects the seriousness of the offences</w:t>
      </w:r>
      <w:r w:rsidR="58C8A479" w:rsidRPr="00A10386">
        <w:rPr>
          <w:noProof/>
        </w:rPr>
        <w:t xml:space="preserve">: the </w:t>
      </w:r>
      <w:r w:rsidR="761B2EFF" w:rsidRPr="00A10386">
        <w:rPr>
          <w:noProof/>
        </w:rPr>
        <w:t xml:space="preserve">main </w:t>
      </w:r>
      <w:r w:rsidR="007E10BB" w:rsidRPr="00A10386">
        <w:rPr>
          <w:noProof/>
        </w:rPr>
        <w:t xml:space="preserve">criminal </w:t>
      </w:r>
      <w:r w:rsidR="6CA439BA" w:rsidRPr="00A10386">
        <w:rPr>
          <w:noProof/>
        </w:rPr>
        <w:t>offence of facilitation</w:t>
      </w:r>
      <w:r w:rsidR="5AB2D9A5" w:rsidRPr="00A10386">
        <w:rPr>
          <w:noProof/>
        </w:rPr>
        <w:t xml:space="preserve"> should be punishable by a maximum term of imprisonment of at least </w:t>
      </w:r>
      <w:r w:rsidR="3E21CD48" w:rsidRPr="00A10386">
        <w:rPr>
          <w:noProof/>
        </w:rPr>
        <w:t>three</w:t>
      </w:r>
      <w:r w:rsidR="5AB2D9A5" w:rsidRPr="00A10386">
        <w:rPr>
          <w:noProof/>
        </w:rPr>
        <w:t xml:space="preserve"> </w:t>
      </w:r>
      <w:r w:rsidR="5AB2D9A5" w:rsidRPr="00A10386">
        <w:rPr>
          <w:rFonts w:eastAsia="Times New Roman"/>
          <w:noProof/>
        </w:rPr>
        <w:t>years</w:t>
      </w:r>
      <w:r w:rsidR="77CD5D79" w:rsidRPr="00A10386">
        <w:rPr>
          <w:noProof/>
        </w:rPr>
        <w:t xml:space="preserve">; </w:t>
      </w:r>
      <w:r w:rsidR="5A6683C1" w:rsidRPr="00A10386">
        <w:rPr>
          <w:noProof/>
        </w:rPr>
        <w:t xml:space="preserve">aggravated offences should be punishable by a maximum term of imprisonment of at least ten years; the most serious aggravated offences, notably those that </w:t>
      </w:r>
      <w:r w:rsidR="5AB2D9A5" w:rsidRPr="00A10386">
        <w:rPr>
          <w:noProof/>
        </w:rPr>
        <w:t>cause death o</w:t>
      </w:r>
      <w:r w:rsidR="5A6683C1" w:rsidRPr="00A10386">
        <w:rPr>
          <w:noProof/>
        </w:rPr>
        <w:t>f third</w:t>
      </w:r>
      <w:r w:rsidR="00A91464" w:rsidRPr="00A10386">
        <w:rPr>
          <w:noProof/>
        </w:rPr>
        <w:t>-</w:t>
      </w:r>
      <w:r w:rsidR="5A6683C1" w:rsidRPr="00A10386">
        <w:rPr>
          <w:noProof/>
        </w:rPr>
        <w:t xml:space="preserve">country nationals, should be punishable by a maximum term of imprisonment of at least fifteen years. </w:t>
      </w:r>
      <w:r w:rsidR="28A73996" w:rsidRPr="00A10386">
        <w:rPr>
          <w:noProof/>
        </w:rPr>
        <w:t xml:space="preserve">The proposed article also establishes the additional </w:t>
      </w:r>
      <w:r w:rsidR="62DCCC31" w:rsidRPr="00A10386">
        <w:rPr>
          <w:noProof/>
        </w:rPr>
        <w:t xml:space="preserve">sanctions or measures that could be imposed to </w:t>
      </w:r>
      <w:r w:rsidR="39DDD015" w:rsidRPr="00A10386">
        <w:rPr>
          <w:noProof/>
        </w:rPr>
        <w:t>convicted natural persons.</w:t>
      </w:r>
    </w:p>
    <w:p w14:paraId="09E9C46B" w14:textId="77777777" w:rsidR="00290DBB" w:rsidRPr="00A10386" w:rsidRDefault="39DDD015" w:rsidP="002D3FA5">
      <w:pPr>
        <w:rPr>
          <w:noProof/>
        </w:rPr>
      </w:pPr>
      <w:r w:rsidRPr="00A10386">
        <w:rPr>
          <w:i/>
          <w:iCs/>
          <w:noProof/>
        </w:rPr>
        <w:t>Article 7 – Liability of legal persons</w:t>
      </w:r>
      <w:r w:rsidRPr="00A10386">
        <w:rPr>
          <w:noProof/>
        </w:rPr>
        <w:t xml:space="preserve">: </w:t>
      </w:r>
      <w:r w:rsidR="2DF7BB0D" w:rsidRPr="00A10386">
        <w:rPr>
          <w:noProof/>
        </w:rPr>
        <w:t xml:space="preserve">this provision </w:t>
      </w:r>
      <w:r w:rsidR="7A006383" w:rsidRPr="00A10386">
        <w:rPr>
          <w:noProof/>
        </w:rPr>
        <w:t xml:space="preserve">contains obligations </w:t>
      </w:r>
      <w:r w:rsidR="26EEF6E9" w:rsidRPr="00A10386">
        <w:rPr>
          <w:noProof/>
        </w:rPr>
        <w:t xml:space="preserve">to ensure the liability of legal persons for offences referred to in this Directive where such offences have been committed for their benefit. </w:t>
      </w:r>
      <w:r w:rsidR="464BDCDD" w:rsidRPr="00A10386">
        <w:rPr>
          <w:noProof/>
        </w:rPr>
        <w:t xml:space="preserve">The provision also provides that </w:t>
      </w:r>
      <w:r w:rsidR="1C3C79D5" w:rsidRPr="00A10386">
        <w:rPr>
          <w:noProof/>
        </w:rPr>
        <w:t xml:space="preserve">Member States </w:t>
      </w:r>
      <w:r w:rsidR="14F7CBE2" w:rsidRPr="00A10386">
        <w:rPr>
          <w:noProof/>
        </w:rPr>
        <w:t>ensure that legal persons can be held accountable for lack of supervision and control that has made possible the commission of a</w:t>
      </w:r>
      <w:r w:rsidR="007E10BB" w:rsidRPr="00A10386">
        <w:rPr>
          <w:noProof/>
        </w:rPr>
        <w:t xml:space="preserve"> criminal</w:t>
      </w:r>
      <w:r w:rsidR="14F7CBE2" w:rsidRPr="00A10386">
        <w:rPr>
          <w:noProof/>
        </w:rPr>
        <w:t xml:space="preserve"> offence for the benefit of the legal person. Moreover, </w:t>
      </w:r>
      <w:r w:rsidR="24118F11" w:rsidRPr="00A10386">
        <w:rPr>
          <w:noProof/>
        </w:rPr>
        <w:t>the liability of the legal person should not exclude criminal proceedings against natural persons</w:t>
      </w:r>
      <w:r w:rsidR="2DF7BB0D" w:rsidRPr="00A10386">
        <w:rPr>
          <w:noProof/>
        </w:rPr>
        <w:t xml:space="preserve">. </w:t>
      </w:r>
    </w:p>
    <w:p w14:paraId="6820E6AE" w14:textId="78FA43DF" w:rsidR="00E157E1" w:rsidRPr="00A10386" w:rsidRDefault="1F94B86F" w:rsidP="002D3FA5">
      <w:pPr>
        <w:rPr>
          <w:noProof/>
        </w:rPr>
      </w:pPr>
      <w:r w:rsidRPr="00A10386">
        <w:rPr>
          <w:i/>
          <w:iCs/>
          <w:noProof/>
        </w:rPr>
        <w:t xml:space="preserve">Article 8 – Sanctions </w:t>
      </w:r>
      <w:r w:rsidR="00E64D8F" w:rsidRPr="00A10386">
        <w:rPr>
          <w:i/>
          <w:iCs/>
          <w:noProof/>
        </w:rPr>
        <w:t xml:space="preserve">for </w:t>
      </w:r>
      <w:r w:rsidRPr="00A10386">
        <w:rPr>
          <w:i/>
          <w:iCs/>
          <w:noProof/>
        </w:rPr>
        <w:t>legal persons</w:t>
      </w:r>
      <w:r w:rsidRPr="00A10386">
        <w:rPr>
          <w:noProof/>
        </w:rPr>
        <w:t xml:space="preserve">: this provision sets out the sanctions applicable to legal persons involved in the criminal offences covered by this proposal. </w:t>
      </w:r>
      <w:r w:rsidR="0EBB94A8" w:rsidRPr="00A10386">
        <w:rPr>
          <w:noProof/>
        </w:rPr>
        <w:t xml:space="preserve">Such sanctions </w:t>
      </w:r>
      <w:r w:rsidR="1342A7B0" w:rsidRPr="00A10386">
        <w:rPr>
          <w:noProof/>
        </w:rPr>
        <w:t xml:space="preserve">must be </w:t>
      </w:r>
      <w:r w:rsidR="1342A7B0" w:rsidRPr="00A10386">
        <w:rPr>
          <w:rFonts w:eastAsia="Times New Roman"/>
          <w:noProof/>
        </w:rPr>
        <w:t>proportionate</w:t>
      </w:r>
      <w:r w:rsidR="1342A7B0" w:rsidRPr="00A10386">
        <w:rPr>
          <w:noProof/>
        </w:rPr>
        <w:t xml:space="preserve"> to the seriousness of the offence</w:t>
      </w:r>
      <w:r w:rsidR="00C20893" w:rsidRPr="00A10386">
        <w:rPr>
          <w:noProof/>
        </w:rPr>
        <w:t>. Imposed fines</w:t>
      </w:r>
      <w:r w:rsidR="00C55577" w:rsidRPr="00A10386">
        <w:rPr>
          <w:noProof/>
        </w:rPr>
        <w:t xml:space="preserve"> </w:t>
      </w:r>
      <w:r w:rsidR="00C20893" w:rsidRPr="00A10386">
        <w:rPr>
          <w:noProof/>
        </w:rPr>
        <w:t xml:space="preserve">should </w:t>
      </w:r>
      <w:r w:rsidR="00C55577" w:rsidRPr="00A10386">
        <w:rPr>
          <w:noProof/>
        </w:rPr>
        <w:t>rang</w:t>
      </w:r>
      <w:r w:rsidR="00C20893" w:rsidRPr="00A10386">
        <w:rPr>
          <w:noProof/>
        </w:rPr>
        <w:t>e</w:t>
      </w:r>
      <w:r w:rsidR="00C55577" w:rsidRPr="00A10386">
        <w:rPr>
          <w:noProof/>
        </w:rPr>
        <w:t xml:space="preserve"> from 3% </w:t>
      </w:r>
      <w:r w:rsidR="00C20893" w:rsidRPr="00A10386">
        <w:rPr>
          <w:noProof/>
        </w:rPr>
        <w:t xml:space="preserve">of the total worldwide turnover </w:t>
      </w:r>
      <w:r w:rsidR="00C55577" w:rsidRPr="00A10386">
        <w:rPr>
          <w:noProof/>
        </w:rPr>
        <w:t xml:space="preserve">for the basic criminal offence, </w:t>
      </w:r>
      <w:r w:rsidR="00C20893" w:rsidRPr="00A10386">
        <w:rPr>
          <w:noProof/>
        </w:rPr>
        <w:t xml:space="preserve">to 5% for aggravated offences, </w:t>
      </w:r>
      <w:r w:rsidR="00C55577" w:rsidRPr="00A10386">
        <w:rPr>
          <w:noProof/>
        </w:rPr>
        <w:t>to 6% for the aggravated criminal offence causing death</w:t>
      </w:r>
      <w:r w:rsidR="7D5A2A5D" w:rsidRPr="00A10386">
        <w:rPr>
          <w:noProof/>
        </w:rPr>
        <w:t>.</w:t>
      </w:r>
    </w:p>
    <w:p w14:paraId="513E88B0" w14:textId="77777777" w:rsidR="0095183D" w:rsidRPr="00A10386" w:rsidRDefault="7D5A2A5D" w:rsidP="002D3FA5">
      <w:pPr>
        <w:rPr>
          <w:noProof/>
        </w:rPr>
      </w:pPr>
      <w:r w:rsidRPr="00A10386">
        <w:rPr>
          <w:i/>
          <w:iCs/>
          <w:noProof/>
        </w:rPr>
        <w:t>Article 9 – Aggravating circumstances</w:t>
      </w:r>
      <w:r w:rsidRPr="00A10386">
        <w:rPr>
          <w:noProof/>
        </w:rPr>
        <w:t xml:space="preserve">: </w:t>
      </w:r>
      <w:r w:rsidR="6EFA81CA" w:rsidRPr="00A10386">
        <w:rPr>
          <w:noProof/>
        </w:rPr>
        <w:t xml:space="preserve">this provision </w:t>
      </w:r>
      <w:r w:rsidR="39432757" w:rsidRPr="00A10386">
        <w:rPr>
          <w:noProof/>
        </w:rPr>
        <w:t>sets out</w:t>
      </w:r>
      <w:r w:rsidR="6EFA81CA" w:rsidRPr="00A10386">
        <w:rPr>
          <w:noProof/>
        </w:rPr>
        <w:t xml:space="preserve"> </w:t>
      </w:r>
      <w:r w:rsidR="39432757" w:rsidRPr="00A10386">
        <w:rPr>
          <w:noProof/>
        </w:rPr>
        <w:t>the</w:t>
      </w:r>
      <w:r w:rsidR="0189C68D" w:rsidRPr="00A10386">
        <w:rPr>
          <w:noProof/>
        </w:rPr>
        <w:t xml:space="preserve"> aggravating</w:t>
      </w:r>
      <w:r w:rsidR="019433F5" w:rsidRPr="00A10386">
        <w:rPr>
          <w:noProof/>
        </w:rPr>
        <w:t xml:space="preserve"> </w:t>
      </w:r>
      <w:r w:rsidR="6EFA81CA" w:rsidRPr="00A10386">
        <w:rPr>
          <w:noProof/>
        </w:rPr>
        <w:t xml:space="preserve">circumstances </w:t>
      </w:r>
      <w:r w:rsidR="6911F49F" w:rsidRPr="00A10386">
        <w:rPr>
          <w:noProof/>
        </w:rPr>
        <w:t>to</w:t>
      </w:r>
      <w:r w:rsidR="6EFA81CA" w:rsidRPr="00A10386">
        <w:rPr>
          <w:noProof/>
        </w:rPr>
        <w:t xml:space="preserve"> be </w:t>
      </w:r>
      <w:r w:rsidR="26174C62" w:rsidRPr="00A10386">
        <w:rPr>
          <w:noProof/>
        </w:rPr>
        <w:t>considered</w:t>
      </w:r>
      <w:r w:rsidR="6EFA81CA" w:rsidRPr="00A10386">
        <w:rPr>
          <w:noProof/>
        </w:rPr>
        <w:t xml:space="preserve"> </w:t>
      </w:r>
      <w:r w:rsidR="00C55577" w:rsidRPr="00A10386">
        <w:rPr>
          <w:noProof/>
        </w:rPr>
        <w:t xml:space="preserve">by the judicial authorities </w:t>
      </w:r>
      <w:r w:rsidR="4753E843" w:rsidRPr="00A10386">
        <w:rPr>
          <w:rFonts w:eastAsia="Times New Roman"/>
          <w:noProof/>
        </w:rPr>
        <w:t>when</w:t>
      </w:r>
      <w:r w:rsidR="4753E843" w:rsidRPr="00A10386">
        <w:rPr>
          <w:noProof/>
        </w:rPr>
        <w:t xml:space="preserve"> </w:t>
      </w:r>
      <w:r w:rsidR="00C55577" w:rsidRPr="00A10386">
        <w:rPr>
          <w:noProof/>
        </w:rPr>
        <w:t xml:space="preserve">imposing </w:t>
      </w:r>
      <w:r w:rsidR="4753E843" w:rsidRPr="00A10386">
        <w:rPr>
          <w:noProof/>
        </w:rPr>
        <w:t xml:space="preserve">sanctions in relation to the offences defined in this Directive. </w:t>
      </w:r>
    </w:p>
    <w:p w14:paraId="670E9BDB" w14:textId="22A42C95" w:rsidR="00165E6A" w:rsidRPr="00A10386" w:rsidRDefault="39432757" w:rsidP="002D3FA5">
      <w:pPr>
        <w:rPr>
          <w:noProof/>
        </w:rPr>
      </w:pPr>
      <w:r w:rsidRPr="00A10386">
        <w:rPr>
          <w:i/>
          <w:iCs/>
          <w:noProof/>
        </w:rPr>
        <w:t>Article 10 – Mitigating circumstances</w:t>
      </w:r>
      <w:r w:rsidRPr="00A10386">
        <w:rPr>
          <w:noProof/>
        </w:rPr>
        <w:t>:</w:t>
      </w:r>
      <w:r w:rsidR="6EFA81CA" w:rsidRPr="00A10386">
        <w:rPr>
          <w:noProof/>
        </w:rPr>
        <w:t xml:space="preserve"> </w:t>
      </w:r>
      <w:r w:rsidRPr="00A10386">
        <w:rPr>
          <w:noProof/>
        </w:rPr>
        <w:t xml:space="preserve">this provision sets out </w:t>
      </w:r>
      <w:r w:rsidR="16347BEF" w:rsidRPr="00A10386">
        <w:rPr>
          <w:noProof/>
        </w:rPr>
        <w:t xml:space="preserve">the mitigating </w:t>
      </w:r>
      <w:r w:rsidRPr="00A10386">
        <w:rPr>
          <w:noProof/>
        </w:rPr>
        <w:t xml:space="preserve">circumstances to be </w:t>
      </w:r>
      <w:r w:rsidR="6EE491D2" w:rsidRPr="00A10386">
        <w:rPr>
          <w:noProof/>
        </w:rPr>
        <w:t>considered</w:t>
      </w:r>
      <w:r w:rsidRPr="00A10386">
        <w:rPr>
          <w:noProof/>
        </w:rPr>
        <w:t xml:space="preserve"> </w:t>
      </w:r>
      <w:r w:rsidR="00C55577" w:rsidRPr="00A10386">
        <w:rPr>
          <w:noProof/>
        </w:rPr>
        <w:t xml:space="preserve">by the judicial authorities </w:t>
      </w:r>
      <w:r w:rsidRPr="00A10386">
        <w:rPr>
          <w:noProof/>
        </w:rPr>
        <w:t xml:space="preserve">when </w:t>
      </w:r>
      <w:r w:rsidR="00C55577" w:rsidRPr="00A10386">
        <w:rPr>
          <w:noProof/>
        </w:rPr>
        <w:t xml:space="preserve">imposing </w:t>
      </w:r>
      <w:r w:rsidRPr="00A10386">
        <w:rPr>
          <w:rFonts w:eastAsia="Times New Roman"/>
          <w:noProof/>
        </w:rPr>
        <w:t>sanctions</w:t>
      </w:r>
      <w:r w:rsidRPr="00A10386">
        <w:rPr>
          <w:noProof/>
        </w:rPr>
        <w:t xml:space="preserve"> in relation to the offences defined in this Directive. </w:t>
      </w:r>
    </w:p>
    <w:p w14:paraId="367E0B2F" w14:textId="1A942C36" w:rsidR="00DE2E48" w:rsidRPr="00A10386" w:rsidRDefault="39432757" w:rsidP="002D3FA5">
      <w:pPr>
        <w:rPr>
          <w:noProof/>
        </w:rPr>
      </w:pPr>
      <w:r w:rsidRPr="00A10386">
        <w:rPr>
          <w:i/>
          <w:iCs/>
          <w:noProof/>
        </w:rPr>
        <w:t>Article 11 – Limitation periods for criminal offences</w:t>
      </w:r>
      <w:r w:rsidRPr="00A10386">
        <w:rPr>
          <w:noProof/>
        </w:rPr>
        <w:t xml:space="preserve">: </w:t>
      </w:r>
      <w:r w:rsidR="1E6E6417" w:rsidRPr="00A10386">
        <w:rPr>
          <w:noProof/>
        </w:rPr>
        <w:t xml:space="preserve">this provision lays down the limitation periods </w:t>
      </w:r>
      <w:r w:rsidR="452BED62" w:rsidRPr="00A10386">
        <w:rPr>
          <w:noProof/>
        </w:rPr>
        <w:t>to</w:t>
      </w:r>
      <w:r w:rsidR="1E6E6417" w:rsidRPr="00A10386">
        <w:rPr>
          <w:noProof/>
        </w:rPr>
        <w:t xml:space="preserve"> allow the competent authorities to investigate, prosecute and adjudicate the criminal offences </w:t>
      </w:r>
      <w:r w:rsidR="1E6E6417" w:rsidRPr="00A10386">
        <w:rPr>
          <w:rFonts w:eastAsia="Times New Roman"/>
          <w:noProof/>
        </w:rPr>
        <w:t>covered</w:t>
      </w:r>
      <w:r w:rsidR="1E6E6417" w:rsidRPr="00A10386">
        <w:rPr>
          <w:noProof/>
        </w:rPr>
        <w:t xml:space="preserve"> by this proposal, as well as the execution of relevant sanctions, for a sufficient time. This proposal sets the minimum length of the limitation periods between </w:t>
      </w:r>
      <w:r w:rsidR="4EECDB7E" w:rsidRPr="00A10386">
        <w:rPr>
          <w:noProof/>
        </w:rPr>
        <w:t xml:space="preserve">seven </w:t>
      </w:r>
      <w:r w:rsidR="2C522960" w:rsidRPr="00A10386">
        <w:rPr>
          <w:noProof/>
        </w:rPr>
        <w:t xml:space="preserve">(with a derogation to </w:t>
      </w:r>
      <w:r w:rsidR="2314D57C" w:rsidRPr="00A10386">
        <w:rPr>
          <w:noProof/>
        </w:rPr>
        <w:t>five</w:t>
      </w:r>
      <w:r w:rsidR="2C522960" w:rsidRPr="00A10386">
        <w:rPr>
          <w:noProof/>
        </w:rPr>
        <w:t>)</w:t>
      </w:r>
      <w:r w:rsidR="1E6E6417" w:rsidRPr="00A10386">
        <w:rPr>
          <w:noProof/>
        </w:rPr>
        <w:t xml:space="preserve"> to fifteen years, depending on the seriousness of the offence. </w:t>
      </w:r>
    </w:p>
    <w:p w14:paraId="1C7FCFC3" w14:textId="77777777" w:rsidR="00212B05" w:rsidRPr="00A10386" w:rsidRDefault="22CC0A1C" w:rsidP="002D3FA5">
      <w:pPr>
        <w:rPr>
          <w:noProof/>
        </w:rPr>
      </w:pPr>
      <w:r w:rsidRPr="00A10386">
        <w:rPr>
          <w:i/>
          <w:iCs/>
          <w:noProof/>
        </w:rPr>
        <w:t>Article 12 – Jurisdiction</w:t>
      </w:r>
      <w:r w:rsidRPr="00A10386">
        <w:rPr>
          <w:noProof/>
        </w:rPr>
        <w:t xml:space="preserve">: </w:t>
      </w:r>
      <w:r w:rsidR="7214B284" w:rsidRPr="00A10386">
        <w:rPr>
          <w:noProof/>
        </w:rPr>
        <w:t xml:space="preserve">this provision </w:t>
      </w:r>
      <w:r w:rsidR="1E6D91DA" w:rsidRPr="00A10386">
        <w:rPr>
          <w:noProof/>
        </w:rPr>
        <w:t xml:space="preserve">requires Member States to establish jurisdiction </w:t>
      </w:r>
      <w:r w:rsidR="47C57046" w:rsidRPr="00A10386">
        <w:rPr>
          <w:noProof/>
        </w:rPr>
        <w:t>for</w:t>
      </w:r>
      <w:r w:rsidR="1E6D91DA" w:rsidRPr="00A10386">
        <w:rPr>
          <w:noProof/>
        </w:rPr>
        <w:t xml:space="preserve"> the criminal offences defined in this </w:t>
      </w:r>
      <w:r w:rsidR="00A9348B" w:rsidRPr="00A10386">
        <w:rPr>
          <w:noProof/>
        </w:rPr>
        <w:t>proposal</w:t>
      </w:r>
      <w:r w:rsidR="1E6D91DA" w:rsidRPr="00A10386">
        <w:rPr>
          <w:noProof/>
        </w:rPr>
        <w:t xml:space="preserve">. </w:t>
      </w:r>
      <w:r w:rsidR="6CA96A2A" w:rsidRPr="00A10386">
        <w:rPr>
          <w:noProof/>
        </w:rPr>
        <w:t xml:space="preserve">Each </w:t>
      </w:r>
      <w:r w:rsidR="7F70E371" w:rsidRPr="00A10386">
        <w:rPr>
          <w:noProof/>
        </w:rPr>
        <w:t xml:space="preserve">Member State should establish </w:t>
      </w:r>
      <w:r w:rsidR="6CA96A2A" w:rsidRPr="00A10386">
        <w:rPr>
          <w:noProof/>
        </w:rPr>
        <w:t>its</w:t>
      </w:r>
      <w:r w:rsidR="7F70E371" w:rsidRPr="00A10386">
        <w:rPr>
          <w:noProof/>
        </w:rPr>
        <w:t xml:space="preserve"> jurisdiction </w:t>
      </w:r>
      <w:r w:rsidR="6CA96A2A" w:rsidRPr="00A10386">
        <w:rPr>
          <w:noProof/>
        </w:rPr>
        <w:t>over</w:t>
      </w:r>
      <w:r w:rsidR="07578276" w:rsidRPr="00A10386">
        <w:rPr>
          <w:noProof/>
        </w:rPr>
        <w:t xml:space="preserve"> offences committed </w:t>
      </w:r>
      <w:r w:rsidR="411EBFB3" w:rsidRPr="00A10386">
        <w:rPr>
          <w:noProof/>
        </w:rPr>
        <w:t xml:space="preserve">partially or entirely in </w:t>
      </w:r>
      <w:r w:rsidR="6CA96A2A" w:rsidRPr="00A10386">
        <w:rPr>
          <w:noProof/>
        </w:rPr>
        <w:t>its</w:t>
      </w:r>
      <w:r w:rsidR="411EBFB3" w:rsidRPr="00A10386">
        <w:rPr>
          <w:noProof/>
        </w:rPr>
        <w:t xml:space="preserve"> territory, </w:t>
      </w:r>
      <w:r w:rsidR="6A23251E" w:rsidRPr="00A10386">
        <w:rPr>
          <w:noProof/>
        </w:rPr>
        <w:t xml:space="preserve">or </w:t>
      </w:r>
      <w:r w:rsidR="6CA96A2A" w:rsidRPr="00A10386">
        <w:rPr>
          <w:noProof/>
        </w:rPr>
        <w:t xml:space="preserve">committed </w:t>
      </w:r>
      <w:r w:rsidR="3890E3F0" w:rsidRPr="00A10386">
        <w:rPr>
          <w:noProof/>
        </w:rPr>
        <w:t>by a nationa</w:t>
      </w:r>
      <w:r w:rsidR="52DEC534" w:rsidRPr="00A10386">
        <w:rPr>
          <w:noProof/>
        </w:rPr>
        <w:t xml:space="preserve">l or habitual resident, </w:t>
      </w:r>
      <w:r w:rsidR="6A23251E" w:rsidRPr="00A10386">
        <w:rPr>
          <w:noProof/>
        </w:rPr>
        <w:t xml:space="preserve">or </w:t>
      </w:r>
      <w:r w:rsidR="6CA96A2A" w:rsidRPr="00A10386">
        <w:rPr>
          <w:noProof/>
        </w:rPr>
        <w:t xml:space="preserve">committed </w:t>
      </w:r>
      <w:r w:rsidR="6A23251E" w:rsidRPr="00A10386">
        <w:rPr>
          <w:noProof/>
        </w:rPr>
        <w:t xml:space="preserve">on a </w:t>
      </w:r>
      <w:r w:rsidR="42013B70" w:rsidRPr="00A10386">
        <w:rPr>
          <w:noProof/>
        </w:rPr>
        <w:t xml:space="preserve">ship or aircraft registered in </w:t>
      </w:r>
      <w:r w:rsidR="6CA96A2A" w:rsidRPr="00A10386">
        <w:rPr>
          <w:noProof/>
        </w:rPr>
        <w:t xml:space="preserve">its </w:t>
      </w:r>
      <w:r w:rsidR="06763DE9" w:rsidRPr="00A10386">
        <w:rPr>
          <w:noProof/>
        </w:rPr>
        <w:t>territory</w:t>
      </w:r>
      <w:r w:rsidR="42013B70" w:rsidRPr="00A10386">
        <w:rPr>
          <w:noProof/>
        </w:rPr>
        <w:t xml:space="preserve">, </w:t>
      </w:r>
      <w:r w:rsidR="1B28C60D" w:rsidRPr="00A10386">
        <w:rPr>
          <w:noProof/>
        </w:rPr>
        <w:t>or for the benefit o</w:t>
      </w:r>
      <w:r w:rsidR="06763DE9" w:rsidRPr="00A10386">
        <w:rPr>
          <w:noProof/>
        </w:rPr>
        <w:t>f</w:t>
      </w:r>
      <w:r w:rsidR="1B28C60D" w:rsidRPr="00A10386">
        <w:rPr>
          <w:noProof/>
        </w:rPr>
        <w:t xml:space="preserve"> a </w:t>
      </w:r>
      <w:r w:rsidR="1B28C60D" w:rsidRPr="00A10386">
        <w:rPr>
          <w:rFonts w:eastAsia="Times New Roman"/>
          <w:noProof/>
        </w:rPr>
        <w:t>legal</w:t>
      </w:r>
      <w:r w:rsidR="1B28C60D" w:rsidRPr="00A10386">
        <w:rPr>
          <w:noProof/>
        </w:rPr>
        <w:t xml:space="preserve"> person established </w:t>
      </w:r>
      <w:r w:rsidR="358F4183" w:rsidRPr="00A10386">
        <w:rPr>
          <w:noProof/>
        </w:rPr>
        <w:t xml:space="preserve">or operating </w:t>
      </w:r>
      <w:r w:rsidR="06763DE9" w:rsidRPr="00A10386">
        <w:rPr>
          <w:noProof/>
        </w:rPr>
        <w:t>o</w:t>
      </w:r>
      <w:r w:rsidR="1B28C60D" w:rsidRPr="00A10386">
        <w:rPr>
          <w:noProof/>
        </w:rPr>
        <w:t xml:space="preserve">n </w:t>
      </w:r>
      <w:r w:rsidR="06763DE9" w:rsidRPr="00A10386">
        <w:rPr>
          <w:noProof/>
        </w:rPr>
        <w:t>its territory</w:t>
      </w:r>
      <w:r w:rsidR="5890C86C" w:rsidRPr="00A10386">
        <w:rPr>
          <w:noProof/>
        </w:rPr>
        <w:t>.</w:t>
      </w:r>
      <w:r w:rsidR="52357E00" w:rsidRPr="00A10386">
        <w:rPr>
          <w:noProof/>
        </w:rPr>
        <w:t xml:space="preserve"> The provision also establishes that Member States should establish jurisdiction</w:t>
      </w:r>
      <w:r w:rsidR="78C104A1" w:rsidRPr="00A10386">
        <w:rPr>
          <w:noProof/>
        </w:rPr>
        <w:t xml:space="preserve"> </w:t>
      </w:r>
      <w:r w:rsidR="06763DE9" w:rsidRPr="00A10386">
        <w:rPr>
          <w:noProof/>
        </w:rPr>
        <w:t xml:space="preserve">over </w:t>
      </w:r>
      <w:r w:rsidR="4AEEE3D9" w:rsidRPr="00A10386">
        <w:rPr>
          <w:noProof/>
        </w:rPr>
        <w:t>attempts</w:t>
      </w:r>
      <w:r w:rsidR="00202021" w:rsidRPr="00A10386">
        <w:rPr>
          <w:noProof/>
        </w:rPr>
        <w:t xml:space="preserve"> when it</w:t>
      </w:r>
      <w:r w:rsidR="4AEEE3D9" w:rsidRPr="00A10386">
        <w:rPr>
          <w:noProof/>
        </w:rPr>
        <w:t xml:space="preserve"> resulted in the death of the third</w:t>
      </w:r>
      <w:r w:rsidR="007B2862" w:rsidRPr="00A10386">
        <w:rPr>
          <w:noProof/>
        </w:rPr>
        <w:t>-</w:t>
      </w:r>
      <w:r w:rsidR="4AEEE3D9" w:rsidRPr="00A10386">
        <w:rPr>
          <w:noProof/>
        </w:rPr>
        <w:t>country nationals concerned.</w:t>
      </w:r>
    </w:p>
    <w:p w14:paraId="6E521C77" w14:textId="77777777" w:rsidR="001B4A86" w:rsidRPr="00A10386" w:rsidRDefault="7DA9B7EF" w:rsidP="002D3FA5">
      <w:pPr>
        <w:rPr>
          <w:noProof/>
        </w:rPr>
      </w:pPr>
      <w:r w:rsidRPr="00A10386">
        <w:rPr>
          <w:i/>
          <w:iCs/>
          <w:noProof/>
        </w:rPr>
        <w:t>Article 13 – Prevention</w:t>
      </w:r>
      <w:r w:rsidRPr="00A10386">
        <w:rPr>
          <w:noProof/>
        </w:rPr>
        <w:t xml:space="preserve">: </w:t>
      </w:r>
      <w:r w:rsidR="764396EC" w:rsidRPr="00A10386">
        <w:rPr>
          <w:noProof/>
        </w:rPr>
        <w:t xml:space="preserve">this provision requires Member States to take preventive actions to reduce </w:t>
      </w:r>
      <w:r w:rsidR="58D24FCC" w:rsidRPr="00A10386">
        <w:rPr>
          <w:noProof/>
        </w:rPr>
        <w:t xml:space="preserve">the commission of the offences defined in this Directive, </w:t>
      </w:r>
      <w:r w:rsidR="3F9544F6" w:rsidRPr="00A10386">
        <w:rPr>
          <w:noProof/>
        </w:rPr>
        <w:t>for instance</w:t>
      </w:r>
      <w:r w:rsidR="58D24FCC" w:rsidRPr="00A10386">
        <w:rPr>
          <w:noProof/>
        </w:rPr>
        <w:t xml:space="preserve"> through </w:t>
      </w:r>
      <w:r w:rsidR="3F9544F6" w:rsidRPr="00A10386">
        <w:rPr>
          <w:noProof/>
        </w:rPr>
        <w:t xml:space="preserve">information </w:t>
      </w:r>
      <w:r w:rsidR="1B313A81" w:rsidRPr="00A10386">
        <w:rPr>
          <w:noProof/>
        </w:rPr>
        <w:t xml:space="preserve">and awareness raising </w:t>
      </w:r>
      <w:r w:rsidR="3F9544F6" w:rsidRPr="00A10386">
        <w:rPr>
          <w:noProof/>
        </w:rPr>
        <w:t>campaigns and education programmes.</w:t>
      </w:r>
    </w:p>
    <w:p w14:paraId="5F1AFD03" w14:textId="77777777" w:rsidR="00AD655A" w:rsidRPr="00A10386" w:rsidRDefault="27DD78C6" w:rsidP="002D3FA5">
      <w:pPr>
        <w:rPr>
          <w:noProof/>
        </w:rPr>
      </w:pPr>
      <w:r w:rsidRPr="00A10386">
        <w:rPr>
          <w:i/>
          <w:iCs/>
          <w:noProof/>
        </w:rPr>
        <w:t>Article 1</w:t>
      </w:r>
      <w:r w:rsidR="03B8FEAB" w:rsidRPr="00A10386">
        <w:rPr>
          <w:i/>
          <w:iCs/>
          <w:noProof/>
        </w:rPr>
        <w:t>4</w:t>
      </w:r>
      <w:r w:rsidRPr="00A10386">
        <w:rPr>
          <w:i/>
          <w:iCs/>
          <w:noProof/>
        </w:rPr>
        <w:t xml:space="preserve"> – Resources</w:t>
      </w:r>
      <w:r w:rsidRPr="00A10386">
        <w:rPr>
          <w:noProof/>
        </w:rPr>
        <w:t xml:space="preserve">: </w:t>
      </w:r>
      <w:r w:rsidR="679A3FF5" w:rsidRPr="00A10386">
        <w:rPr>
          <w:noProof/>
        </w:rPr>
        <w:t xml:space="preserve">this provision aims at ensuring that national authorities which detect, investigate, prosecute </w:t>
      </w:r>
      <w:r w:rsidR="707035FD" w:rsidRPr="00A10386">
        <w:rPr>
          <w:noProof/>
        </w:rPr>
        <w:t>and</w:t>
      </w:r>
      <w:r w:rsidR="679A3FF5" w:rsidRPr="00A10386">
        <w:rPr>
          <w:noProof/>
        </w:rPr>
        <w:t xml:space="preserve"> adjudicate </w:t>
      </w:r>
      <w:r w:rsidR="707035FD" w:rsidRPr="00A10386">
        <w:rPr>
          <w:noProof/>
        </w:rPr>
        <w:t xml:space="preserve">on facilitation </w:t>
      </w:r>
      <w:r w:rsidR="007E10BB" w:rsidRPr="00A10386">
        <w:rPr>
          <w:noProof/>
        </w:rPr>
        <w:t xml:space="preserve">criminal </w:t>
      </w:r>
      <w:r w:rsidR="707035FD" w:rsidRPr="00A10386">
        <w:rPr>
          <w:noProof/>
        </w:rPr>
        <w:t xml:space="preserve">offences </w:t>
      </w:r>
      <w:r w:rsidR="679A3FF5" w:rsidRPr="00A10386">
        <w:rPr>
          <w:noProof/>
        </w:rPr>
        <w:t>have a</w:t>
      </w:r>
      <w:r w:rsidR="33CF2AE1" w:rsidRPr="00A10386">
        <w:rPr>
          <w:noProof/>
        </w:rPr>
        <w:t xml:space="preserve">n adequate </w:t>
      </w:r>
      <w:r w:rsidR="679A3FF5" w:rsidRPr="00A10386">
        <w:rPr>
          <w:noProof/>
        </w:rPr>
        <w:t xml:space="preserve">number of qualified staff and </w:t>
      </w:r>
      <w:r w:rsidR="679A3FF5" w:rsidRPr="00A10386">
        <w:rPr>
          <w:rFonts w:eastAsia="Times New Roman"/>
          <w:noProof/>
        </w:rPr>
        <w:t>sufficient</w:t>
      </w:r>
      <w:r w:rsidR="33CF2AE1" w:rsidRPr="00A10386">
        <w:rPr>
          <w:noProof/>
        </w:rPr>
        <w:t xml:space="preserve"> </w:t>
      </w:r>
      <w:r w:rsidR="679A3FF5" w:rsidRPr="00A10386">
        <w:rPr>
          <w:noProof/>
        </w:rPr>
        <w:t xml:space="preserve">financial, technical and technological resources necessary to perform their </w:t>
      </w:r>
      <w:r w:rsidR="3544A803" w:rsidRPr="00A10386">
        <w:rPr>
          <w:noProof/>
        </w:rPr>
        <w:t>tasks</w:t>
      </w:r>
      <w:r w:rsidR="679A3FF5" w:rsidRPr="00A10386">
        <w:rPr>
          <w:noProof/>
        </w:rPr>
        <w:t xml:space="preserve"> effectively.</w:t>
      </w:r>
    </w:p>
    <w:p w14:paraId="296938A1" w14:textId="77777777" w:rsidR="00060339" w:rsidRPr="00A10386" w:rsidRDefault="3544A803" w:rsidP="002D3FA5">
      <w:pPr>
        <w:rPr>
          <w:noProof/>
        </w:rPr>
      </w:pPr>
      <w:r w:rsidRPr="00A10386">
        <w:rPr>
          <w:i/>
          <w:iCs/>
          <w:noProof/>
        </w:rPr>
        <w:t>Article 1</w:t>
      </w:r>
      <w:r w:rsidR="30B1301C" w:rsidRPr="00A10386">
        <w:rPr>
          <w:i/>
          <w:iCs/>
          <w:noProof/>
        </w:rPr>
        <w:t>5</w:t>
      </w:r>
      <w:r w:rsidRPr="00A10386">
        <w:rPr>
          <w:i/>
          <w:iCs/>
          <w:noProof/>
        </w:rPr>
        <w:t xml:space="preserve"> </w:t>
      </w:r>
      <w:r w:rsidR="5CAEDAB6" w:rsidRPr="00A10386">
        <w:rPr>
          <w:i/>
          <w:iCs/>
          <w:noProof/>
        </w:rPr>
        <w:t>–</w:t>
      </w:r>
      <w:r w:rsidRPr="00A10386">
        <w:rPr>
          <w:i/>
          <w:iCs/>
          <w:noProof/>
        </w:rPr>
        <w:t xml:space="preserve"> </w:t>
      </w:r>
      <w:r w:rsidR="5CAEDAB6" w:rsidRPr="00A10386">
        <w:rPr>
          <w:i/>
          <w:iCs/>
          <w:noProof/>
        </w:rPr>
        <w:t>Training</w:t>
      </w:r>
      <w:r w:rsidR="5CAEDAB6" w:rsidRPr="00A10386">
        <w:rPr>
          <w:noProof/>
        </w:rPr>
        <w:t xml:space="preserve">: </w:t>
      </w:r>
      <w:r w:rsidR="2040A66B" w:rsidRPr="00A10386">
        <w:rPr>
          <w:noProof/>
        </w:rPr>
        <w:t xml:space="preserve">this provision requires Member States to provide specialised </w:t>
      </w:r>
      <w:r w:rsidR="15CC6301" w:rsidRPr="00A10386">
        <w:rPr>
          <w:noProof/>
        </w:rPr>
        <w:t>t</w:t>
      </w:r>
      <w:r w:rsidR="2040A66B" w:rsidRPr="00A10386">
        <w:rPr>
          <w:noProof/>
        </w:rPr>
        <w:t xml:space="preserve">raining for competent authorities and </w:t>
      </w:r>
      <w:r w:rsidR="2040A66B" w:rsidRPr="00A10386">
        <w:rPr>
          <w:rFonts w:eastAsia="Times New Roman"/>
          <w:noProof/>
        </w:rPr>
        <w:t>their</w:t>
      </w:r>
      <w:r w:rsidR="2040A66B" w:rsidRPr="00A10386">
        <w:rPr>
          <w:noProof/>
        </w:rPr>
        <w:t xml:space="preserve"> staff and to ensure that there are adequate resources for this.</w:t>
      </w:r>
    </w:p>
    <w:p w14:paraId="44AE387A" w14:textId="77777777" w:rsidR="00AC44A0" w:rsidRPr="00A10386" w:rsidRDefault="28DC6342" w:rsidP="002D3FA5">
      <w:pPr>
        <w:rPr>
          <w:noProof/>
        </w:rPr>
      </w:pPr>
      <w:r w:rsidRPr="00A10386">
        <w:rPr>
          <w:i/>
          <w:iCs/>
          <w:noProof/>
        </w:rPr>
        <w:t>Article 1</w:t>
      </w:r>
      <w:r w:rsidR="21F9E667" w:rsidRPr="00A10386">
        <w:rPr>
          <w:i/>
          <w:iCs/>
          <w:noProof/>
        </w:rPr>
        <w:t>6</w:t>
      </w:r>
      <w:r w:rsidRPr="00A10386">
        <w:rPr>
          <w:i/>
          <w:iCs/>
          <w:noProof/>
        </w:rPr>
        <w:t xml:space="preserve"> – Investigative tools</w:t>
      </w:r>
      <w:r w:rsidRPr="00A10386">
        <w:rPr>
          <w:noProof/>
        </w:rPr>
        <w:t xml:space="preserve">: </w:t>
      </w:r>
      <w:r w:rsidR="675ABBCF" w:rsidRPr="00A10386">
        <w:rPr>
          <w:noProof/>
        </w:rPr>
        <w:t xml:space="preserve">this provision aims at ensuring that investigative tools which are provided for in </w:t>
      </w:r>
      <w:r w:rsidR="675ABBCF" w:rsidRPr="00A10386">
        <w:rPr>
          <w:rFonts w:eastAsia="Times New Roman"/>
          <w:noProof/>
        </w:rPr>
        <w:t>national</w:t>
      </w:r>
      <w:r w:rsidR="675ABBCF" w:rsidRPr="00A10386">
        <w:rPr>
          <w:noProof/>
        </w:rPr>
        <w:t xml:space="preserve"> law for organised crime or other serious crime cases can also be used in cases of </w:t>
      </w:r>
      <w:r w:rsidR="18826DCD" w:rsidRPr="00A10386">
        <w:rPr>
          <w:noProof/>
        </w:rPr>
        <w:t>facilitation of irregular migration</w:t>
      </w:r>
      <w:r w:rsidR="675ABBCF" w:rsidRPr="00A10386">
        <w:rPr>
          <w:noProof/>
        </w:rPr>
        <w:t>.</w:t>
      </w:r>
    </w:p>
    <w:p w14:paraId="6AB97ECD" w14:textId="77777777" w:rsidR="0060090E" w:rsidRPr="00A10386" w:rsidRDefault="18826DCD" w:rsidP="002D3FA5">
      <w:pPr>
        <w:rPr>
          <w:noProof/>
        </w:rPr>
      </w:pPr>
      <w:r w:rsidRPr="00A10386">
        <w:rPr>
          <w:i/>
          <w:iCs/>
          <w:noProof/>
        </w:rPr>
        <w:t>Article 1</w:t>
      </w:r>
      <w:r w:rsidR="3D9DB4CB" w:rsidRPr="00A10386">
        <w:rPr>
          <w:i/>
          <w:iCs/>
          <w:noProof/>
        </w:rPr>
        <w:t>7</w:t>
      </w:r>
      <w:r w:rsidRPr="00A10386">
        <w:rPr>
          <w:i/>
          <w:iCs/>
          <w:noProof/>
        </w:rPr>
        <w:t>: Data collection and statistics</w:t>
      </w:r>
      <w:r w:rsidRPr="00A10386">
        <w:rPr>
          <w:noProof/>
        </w:rPr>
        <w:t xml:space="preserve">: </w:t>
      </w:r>
      <w:r w:rsidR="60A7D5F6" w:rsidRPr="00A10386">
        <w:rPr>
          <w:noProof/>
        </w:rPr>
        <w:t xml:space="preserve">this provision addresses the need to systematically collect information on efforts to </w:t>
      </w:r>
      <w:r w:rsidR="2EC6F612" w:rsidRPr="00A10386">
        <w:rPr>
          <w:noProof/>
        </w:rPr>
        <w:t xml:space="preserve">counter the facilitation of irregular migration </w:t>
      </w:r>
      <w:r w:rsidR="60A7D5F6" w:rsidRPr="00A10386">
        <w:rPr>
          <w:noProof/>
        </w:rPr>
        <w:t xml:space="preserve">and to provide statistical data on </w:t>
      </w:r>
      <w:r w:rsidR="2EC6F612" w:rsidRPr="00A10386">
        <w:rPr>
          <w:noProof/>
        </w:rPr>
        <w:t>this crime</w:t>
      </w:r>
      <w:r w:rsidR="247A866F" w:rsidRPr="00A10386">
        <w:rPr>
          <w:noProof/>
        </w:rPr>
        <w:t xml:space="preserve"> </w:t>
      </w:r>
      <w:r w:rsidR="247A866F" w:rsidRPr="00A10386">
        <w:rPr>
          <w:rFonts w:eastAsia="Times New Roman"/>
          <w:noProof/>
        </w:rPr>
        <w:t>for developing evidence-based policy at EU level.</w:t>
      </w:r>
      <w:r w:rsidR="60A7D5F6" w:rsidRPr="00A10386">
        <w:rPr>
          <w:noProof/>
        </w:rPr>
        <w:t xml:space="preserve"> It requires Member States to </w:t>
      </w:r>
      <w:r w:rsidR="557A325E" w:rsidRPr="00A10386">
        <w:rPr>
          <w:noProof/>
        </w:rPr>
        <w:t>c</w:t>
      </w:r>
      <w:r w:rsidR="60A7D5F6" w:rsidRPr="00A10386">
        <w:rPr>
          <w:noProof/>
        </w:rPr>
        <w:t xml:space="preserve">ollect, publish and send </w:t>
      </w:r>
      <w:r w:rsidR="557A325E" w:rsidRPr="00A10386">
        <w:rPr>
          <w:noProof/>
        </w:rPr>
        <w:t xml:space="preserve">every year the </w:t>
      </w:r>
      <w:r w:rsidR="60A7D5F6" w:rsidRPr="00A10386">
        <w:rPr>
          <w:noProof/>
        </w:rPr>
        <w:t>relevant statistical data to the Commission.</w:t>
      </w:r>
    </w:p>
    <w:p w14:paraId="6942808C" w14:textId="0C9BD457" w:rsidR="007506E0" w:rsidRPr="00A10386" w:rsidRDefault="043D3383" w:rsidP="002D3FA5">
      <w:pPr>
        <w:rPr>
          <w:noProof/>
        </w:rPr>
      </w:pPr>
      <w:r w:rsidRPr="00A10386">
        <w:rPr>
          <w:i/>
          <w:iCs/>
          <w:noProof/>
        </w:rPr>
        <w:t>Article 1</w:t>
      </w:r>
      <w:r w:rsidR="1A982489" w:rsidRPr="00A10386">
        <w:rPr>
          <w:i/>
          <w:iCs/>
          <w:noProof/>
        </w:rPr>
        <w:t>8</w:t>
      </w:r>
      <w:r w:rsidRPr="00A10386">
        <w:rPr>
          <w:i/>
          <w:iCs/>
          <w:noProof/>
        </w:rPr>
        <w:t xml:space="preserve">: </w:t>
      </w:r>
      <w:r w:rsidR="62BC25AF" w:rsidRPr="00A10386">
        <w:rPr>
          <w:i/>
          <w:iCs/>
          <w:noProof/>
        </w:rPr>
        <w:t>Replacement of Council Directive 2002/90/EC and Council Framework Decision 2002/946/JHA</w:t>
      </w:r>
      <w:r w:rsidR="62BC25AF" w:rsidRPr="00A10386">
        <w:rPr>
          <w:noProof/>
        </w:rPr>
        <w:t>:</w:t>
      </w:r>
      <w:r w:rsidR="420A0822" w:rsidRPr="00A10386">
        <w:rPr>
          <w:noProof/>
        </w:rPr>
        <w:t xml:space="preserve"> this provision replaces the current provisions in the area of the criminalisation of facilitation of </w:t>
      </w:r>
      <w:r w:rsidR="420A0822" w:rsidRPr="00A10386">
        <w:rPr>
          <w:rFonts w:eastAsia="Times New Roman"/>
          <w:noProof/>
        </w:rPr>
        <w:t>unauthorised</w:t>
      </w:r>
      <w:r w:rsidR="420A0822" w:rsidRPr="00A10386">
        <w:rPr>
          <w:noProof/>
        </w:rPr>
        <w:t xml:space="preserve"> </w:t>
      </w:r>
      <w:r w:rsidR="5760AF55" w:rsidRPr="00A10386">
        <w:rPr>
          <w:noProof/>
        </w:rPr>
        <w:t xml:space="preserve">entry, transit and stay </w:t>
      </w:r>
      <w:r w:rsidR="420A0822" w:rsidRPr="00A10386">
        <w:rPr>
          <w:noProof/>
        </w:rPr>
        <w:t xml:space="preserve">in relation to Member States </w:t>
      </w:r>
      <w:r w:rsidR="5760AF55" w:rsidRPr="00A10386">
        <w:rPr>
          <w:noProof/>
        </w:rPr>
        <w:t>bound by</w:t>
      </w:r>
      <w:r w:rsidR="420A0822" w:rsidRPr="00A10386">
        <w:rPr>
          <w:noProof/>
        </w:rPr>
        <w:t xml:space="preserve"> this Directive</w:t>
      </w:r>
      <w:r w:rsidR="5760AF55" w:rsidRPr="00A10386">
        <w:rPr>
          <w:noProof/>
        </w:rPr>
        <w:t>.</w:t>
      </w:r>
      <w:r w:rsidR="60A7D5F6" w:rsidRPr="00A10386">
        <w:rPr>
          <w:noProof/>
        </w:rPr>
        <w:t xml:space="preserve"> </w:t>
      </w:r>
    </w:p>
    <w:p w14:paraId="374A614A" w14:textId="77777777" w:rsidR="007A1ECE" w:rsidRPr="00A10386" w:rsidRDefault="5760AF55" w:rsidP="002D3FA5">
      <w:pPr>
        <w:rPr>
          <w:noProof/>
        </w:rPr>
      </w:pPr>
      <w:r w:rsidRPr="00A10386">
        <w:rPr>
          <w:i/>
          <w:iCs/>
          <w:noProof/>
        </w:rPr>
        <w:t xml:space="preserve">Article </w:t>
      </w:r>
      <w:r w:rsidR="7C34C62F" w:rsidRPr="00A10386">
        <w:rPr>
          <w:i/>
          <w:iCs/>
          <w:noProof/>
        </w:rPr>
        <w:t>19</w:t>
      </w:r>
      <w:r w:rsidRPr="00A10386">
        <w:rPr>
          <w:i/>
          <w:iCs/>
          <w:noProof/>
        </w:rPr>
        <w:t xml:space="preserve"> – Transposition</w:t>
      </w:r>
      <w:r w:rsidRPr="00A10386">
        <w:rPr>
          <w:noProof/>
        </w:rPr>
        <w:t xml:space="preserve">: </w:t>
      </w:r>
      <w:r w:rsidR="274D9906" w:rsidRPr="00A10386">
        <w:rPr>
          <w:noProof/>
        </w:rPr>
        <w:t xml:space="preserve">this provision </w:t>
      </w:r>
      <w:r w:rsidR="2356D49B" w:rsidRPr="00A10386">
        <w:rPr>
          <w:noProof/>
        </w:rPr>
        <w:t>sets out</w:t>
      </w:r>
      <w:r w:rsidR="58C8D8DC" w:rsidRPr="00A10386">
        <w:rPr>
          <w:noProof/>
        </w:rPr>
        <w:t xml:space="preserve"> the conditions of transposition, notably</w:t>
      </w:r>
      <w:r w:rsidR="2356D49B" w:rsidRPr="00A10386">
        <w:rPr>
          <w:noProof/>
        </w:rPr>
        <w:t xml:space="preserve"> that Member States have to transpose the Directive into the national legal order</w:t>
      </w:r>
      <w:r w:rsidR="2BFC4B15" w:rsidRPr="00A10386">
        <w:rPr>
          <w:noProof/>
        </w:rPr>
        <w:t xml:space="preserve"> within one year </w:t>
      </w:r>
      <w:r w:rsidR="2356D49B" w:rsidRPr="00A10386">
        <w:rPr>
          <w:noProof/>
        </w:rPr>
        <w:t>after the entry into force</w:t>
      </w:r>
      <w:r w:rsidR="58C8D8DC" w:rsidRPr="00A10386">
        <w:rPr>
          <w:noProof/>
        </w:rPr>
        <w:t>.</w:t>
      </w:r>
    </w:p>
    <w:p w14:paraId="3B8312F9" w14:textId="77777777" w:rsidR="0066307E" w:rsidRPr="00A10386" w:rsidRDefault="00FE46D7" w:rsidP="00E10766">
      <w:pPr>
        <w:rPr>
          <w:noProof/>
        </w:rPr>
        <w:sectPr w:rsidR="0066307E" w:rsidRPr="00A10386" w:rsidSect="00297CFA">
          <w:footerReference w:type="default" r:id="rId10"/>
          <w:footerReference w:type="first" r:id="rId11"/>
          <w:pgSz w:w="11907" w:h="16839"/>
          <w:pgMar w:top="1134" w:right="1417" w:bottom="1134" w:left="1417" w:header="709" w:footer="709" w:gutter="0"/>
          <w:cols w:space="708"/>
          <w:docGrid w:linePitch="360"/>
        </w:sectPr>
      </w:pPr>
      <w:r w:rsidRPr="00A10386">
        <w:rPr>
          <w:i/>
          <w:iCs/>
          <w:noProof/>
        </w:rPr>
        <w:t xml:space="preserve"> </w:t>
      </w:r>
      <w:r w:rsidR="187DB92A" w:rsidRPr="00A10386">
        <w:rPr>
          <w:rFonts w:eastAsia="Times New Roman"/>
          <w:noProof/>
        </w:rPr>
        <w:t xml:space="preserve"> </w:t>
      </w:r>
      <w:r w:rsidR="187DB92A" w:rsidRPr="00A10386">
        <w:rPr>
          <w:noProof/>
        </w:rPr>
        <w:br/>
      </w:r>
    </w:p>
    <w:p w14:paraId="6A2384F7" w14:textId="5FC5F301" w:rsidR="00352ABF" w:rsidRPr="00A10386" w:rsidRDefault="00C52A85" w:rsidP="00C52A85">
      <w:pPr>
        <w:pStyle w:val="Rfrenceinterinstitutionnelle"/>
        <w:rPr>
          <w:noProof/>
        </w:rPr>
      </w:pPr>
      <w:r w:rsidRPr="00C52A85">
        <w:t>2023/0439 (COD)</w:t>
      </w:r>
    </w:p>
    <w:p w14:paraId="2E7BB20D" w14:textId="500CB698" w:rsidR="0066307E" w:rsidRPr="00A10386" w:rsidRDefault="00514421" w:rsidP="00514421">
      <w:pPr>
        <w:pStyle w:val="Statut"/>
        <w:rPr>
          <w:noProof/>
        </w:rPr>
      </w:pPr>
      <w:r w:rsidRPr="00514421">
        <w:rPr>
          <w:noProof/>
        </w:rPr>
        <w:t>Proposal for a</w:t>
      </w:r>
    </w:p>
    <w:p w14:paraId="5A6A5D29" w14:textId="48B8032E" w:rsidR="0066307E" w:rsidRPr="00A10386" w:rsidRDefault="00514421" w:rsidP="00514421">
      <w:pPr>
        <w:pStyle w:val="Typedudocument"/>
        <w:rPr>
          <w:noProof/>
        </w:rPr>
      </w:pPr>
      <w:r w:rsidRPr="00514421">
        <w:rPr>
          <w:noProof/>
        </w:rPr>
        <w:t>DIRECTIVE OF THE EUROPEAN PARLIAMENT AND OF THE COUNCIL</w:t>
      </w:r>
    </w:p>
    <w:p w14:paraId="3D84CFD4" w14:textId="0EB7B975" w:rsidR="0066307E" w:rsidRPr="00A10386" w:rsidRDefault="00514421" w:rsidP="00514421">
      <w:pPr>
        <w:pStyle w:val="Titreobjet"/>
        <w:rPr>
          <w:noProof/>
        </w:rPr>
      </w:pPr>
      <w:bookmarkStart w:id="1" w:name="_Hlk151402268"/>
      <w:r w:rsidRPr="00514421">
        <w:rPr>
          <w:noProof/>
        </w:rPr>
        <w:t>laying down minimum rules to prevent and counter the facilitation of unauthorised entry, transit and stay in the Union, and replacing Council Directive 2002/90/EC and Council Framework Decision 2002/946 JHA</w:t>
      </w:r>
    </w:p>
    <w:bookmarkEnd w:id="1"/>
    <w:p w14:paraId="2B25BB01" w14:textId="77777777" w:rsidR="0066307E" w:rsidRPr="00A10386" w:rsidRDefault="0066307E" w:rsidP="007F522A">
      <w:pPr>
        <w:pStyle w:val="Institutionquiagit"/>
        <w:rPr>
          <w:noProof/>
        </w:rPr>
      </w:pPr>
      <w:r w:rsidRPr="00A10386">
        <w:rPr>
          <w:noProof/>
        </w:rPr>
        <w:t>THE EUROPEAN PARLIAMENT AND THE COUNCIL OF THE EUROPEAN UNION,</w:t>
      </w:r>
    </w:p>
    <w:p w14:paraId="6183D7AC" w14:textId="77777777" w:rsidR="0066307E" w:rsidRPr="00A10386" w:rsidRDefault="0066307E" w:rsidP="007F522A">
      <w:pPr>
        <w:rPr>
          <w:noProof/>
        </w:rPr>
      </w:pPr>
      <w:r w:rsidRPr="00A10386">
        <w:rPr>
          <w:noProof/>
        </w:rPr>
        <w:t>Having regard to the Treaty on the Functioning of the European Union, and in particular Article </w:t>
      </w:r>
      <w:r w:rsidR="00753AFC" w:rsidRPr="00A10386">
        <w:rPr>
          <w:noProof/>
        </w:rPr>
        <w:t>83(2)</w:t>
      </w:r>
      <w:r w:rsidRPr="00A10386">
        <w:rPr>
          <w:noProof/>
        </w:rPr>
        <w:t xml:space="preserve"> thereof,</w:t>
      </w:r>
    </w:p>
    <w:p w14:paraId="19F5D82C" w14:textId="77777777" w:rsidR="0066307E" w:rsidRPr="00A10386" w:rsidRDefault="0066307E" w:rsidP="007F522A">
      <w:pPr>
        <w:rPr>
          <w:noProof/>
        </w:rPr>
      </w:pPr>
      <w:r w:rsidRPr="00A10386">
        <w:rPr>
          <w:noProof/>
        </w:rPr>
        <w:t>Having regard to the proposal from the European Commission,</w:t>
      </w:r>
    </w:p>
    <w:p w14:paraId="0772DF0A" w14:textId="77777777" w:rsidR="0066307E" w:rsidRPr="00A10386" w:rsidRDefault="0066307E" w:rsidP="007F522A">
      <w:pPr>
        <w:rPr>
          <w:noProof/>
        </w:rPr>
      </w:pPr>
      <w:r w:rsidRPr="00A10386">
        <w:rPr>
          <w:noProof/>
        </w:rPr>
        <w:t>After transmission of the draft legislative act to the national parliaments,</w:t>
      </w:r>
    </w:p>
    <w:p w14:paraId="5CE327F2" w14:textId="69C183C9" w:rsidR="0066307E" w:rsidRPr="00A10386" w:rsidRDefault="0066307E" w:rsidP="007F522A">
      <w:pPr>
        <w:rPr>
          <w:noProof/>
        </w:rPr>
      </w:pPr>
      <w:r w:rsidRPr="00A10386">
        <w:rPr>
          <w:noProof/>
        </w:rPr>
        <w:t>Having regard to the opinion of the European Economic and Social Committee</w:t>
      </w:r>
      <w:r w:rsidRPr="00A10386">
        <w:rPr>
          <w:rStyle w:val="FootnoteReference"/>
          <w:noProof/>
        </w:rPr>
        <w:footnoteReference w:id="40"/>
      </w:r>
      <w:r w:rsidRPr="00A10386">
        <w:rPr>
          <w:noProof/>
        </w:rPr>
        <w:t>,</w:t>
      </w:r>
    </w:p>
    <w:p w14:paraId="11805A4A" w14:textId="77777777" w:rsidR="0066307E" w:rsidRPr="00A10386" w:rsidRDefault="0066307E" w:rsidP="007F522A">
      <w:pPr>
        <w:rPr>
          <w:noProof/>
        </w:rPr>
      </w:pPr>
      <w:r w:rsidRPr="00A10386">
        <w:rPr>
          <w:noProof/>
        </w:rPr>
        <w:t>Having regard to the opinion of the Committee of the Regions</w:t>
      </w:r>
      <w:r w:rsidR="00F72E97" w:rsidRPr="00A10386">
        <w:rPr>
          <w:rStyle w:val="FootnoteReference"/>
          <w:noProof/>
        </w:rPr>
        <w:footnoteReference w:id="41"/>
      </w:r>
      <w:r w:rsidRPr="00A10386">
        <w:rPr>
          <w:noProof/>
        </w:rPr>
        <w:t xml:space="preserve">, </w:t>
      </w:r>
    </w:p>
    <w:p w14:paraId="04148787" w14:textId="77777777" w:rsidR="0066307E" w:rsidRPr="00A10386" w:rsidRDefault="0066307E" w:rsidP="007F522A">
      <w:pPr>
        <w:rPr>
          <w:noProof/>
        </w:rPr>
      </w:pPr>
      <w:r w:rsidRPr="00A10386">
        <w:rPr>
          <w:noProof/>
        </w:rPr>
        <w:t>Acting in accordance with the ordinary legislative procedure,</w:t>
      </w:r>
    </w:p>
    <w:p w14:paraId="229FF3D4" w14:textId="77777777" w:rsidR="0066307E" w:rsidRPr="00A10386" w:rsidRDefault="0066307E" w:rsidP="007F522A">
      <w:pPr>
        <w:rPr>
          <w:noProof/>
        </w:rPr>
      </w:pPr>
      <w:r w:rsidRPr="00A10386">
        <w:rPr>
          <w:noProof/>
        </w:rPr>
        <w:t>Whereas:</w:t>
      </w:r>
    </w:p>
    <w:p w14:paraId="6D59BED1" w14:textId="44CF298C" w:rsidR="00635963" w:rsidRPr="00A10386" w:rsidRDefault="00812BEC" w:rsidP="00812BEC">
      <w:pPr>
        <w:pStyle w:val="ManualConsidrant"/>
        <w:rPr>
          <w:noProof/>
        </w:rPr>
      </w:pPr>
      <w:r w:rsidRPr="00A10386">
        <w:rPr>
          <w:noProof/>
        </w:rPr>
        <w:t>(1)</w:t>
      </w:r>
      <w:r w:rsidRPr="00A10386">
        <w:rPr>
          <w:noProof/>
        </w:rPr>
        <w:tab/>
      </w:r>
      <w:r w:rsidR="005F2F61" w:rsidRPr="00A10386">
        <w:rPr>
          <w:noProof/>
        </w:rPr>
        <w:t xml:space="preserve">The facilitation of unauthorised entry, transit and stay </w:t>
      </w:r>
      <w:r w:rsidR="005201AE" w:rsidRPr="00A10386">
        <w:rPr>
          <w:noProof/>
        </w:rPr>
        <w:t xml:space="preserve">in the </w:t>
      </w:r>
      <w:r w:rsidR="00EC7878" w:rsidRPr="00A10386">
        <w:rPr>
          <w:noProof/>
        </w:rPr>
        <w:t>Union</w:t>
      </w:r>
      <w:r w:rsidR="005201AE" w:rsidRPr="00A10386">
        <w:rPr>
          <w:noProof/>
        </w:rPr>
        <w:t xml:space="preserve"> </w:t>
      </w:r>
      <w:r w:rsidR="005F2F61" w:rsidRPr="00A10386">
        <w:rPr>
          <w:noProof/>
        </w:rPr>
        <w:t xml:space="preserve">are </w:t>
      </w:r>
      <w:r w:rsidR="00E833E7" w:rsidRPr="00A10386">
        <w:rPr>
          <w:noProof/>
        </w:rPr>
        <w:t xml:space="preserve">criminal activities that </w:t>
      </w:r>
      <w:r w:rsidR="009A0A88" w:rsidRPr="00A10386">
        <w:rPr>
          <w:noProof/>
        </w:rPr>
        <w:t xml:space="preserve">put human life in danger and </w:t>
      </w:r>
      <w:r w:rsidR="00DA1C19" w:rsidRPr="00A10386">
        <w:rPr>
          <w:noProof/>
        </w:rPr>
        <w:t>disrespect the dignity of people for the purpose of obtaining high profits</w:t>
      </w:r>
      <w:r w:rsidR="1BB7C902" w:rsidRPr="00A10386">
        <w:rPr>
          <w:noProof/>
        </w:rPr>
        <w:t>, undermining fundamental rights</w:t>
      </w:r>
      <w:r w:rsidR="00F77B05" w:rsidRPr="00A10386">
        <w:rPr>
          <w:noProof/>
        </w:rPr>
        <w:t xml:space="preserve">. </w:t>
      </w:r>
      <w:r w:rsidR="006C4412" w:rsidRPr="00A10386">
        <w:rPr>
          <w:noProof/>
        </w:rPr>
        <w:t>T</w:t>
      </w:r>
      <w:r w:rsidR="005F2F61" w:rsidRPr="00A10386">
        <w:rPr>
          <w:noProof/>
        </w:rPr>
        <w:t xml:space="preserve">hese criminal activities </w:t>
      </w:r>
      <w:r w:rsidR="642FBDE2" w:rsidRPr="00A10386">
        <w:rPr>
          <w:noProof/>
        </w:rPr>
        <w:t>contribute to</w:t>
      </w:r>
      <w:r w:rsidR="642FBDE2" w:rsidRPr="00A10386">
        <w:rPr>
          <w:rFonts w:eastAsia="Times New Roman"/>
          <w:noProof/>
        </w:rPr>
        <w:t xml:space="preserve"> irregular migration, </w:t>
      </w:r>
      <w:r w:rsidR="00BE613D" w:rsidRPr="00A10386">
        <w:rPr>
          <w:noProof/>
        </w:rPr>
        <w:t>undermin</w:t>
      </w:r>
      <w:r w:rsidR="07336F10" w:rsidRPr="00A10386">
        <w:rPr>
          <w:noProof/>
        </w:rPr>
        <w:t>ing</w:t>
      </w:r>
      <w:r w:rsidR="00BE613D" w:rsidRPr="00A10386">
        <w:rPr>
          <w:noProof/>
        </w:rPr>
        <w:t xml:space="preserve"> the </w:t>
      </w:r>
      <w:r w:rsidR="00BE613D" w:rsidRPr="00A10386">
        <w:rPr>
          <w:rFonts w:eastAsia="Times New Roman"/>
          <w:noProof/>
        </w:rPr>
        <w:t xml:space="preserve">migration management objectives </w:t>
      </w:r>
      <w:r w:rsidR="00BE613D" w:rsidRPr="00A10386">
        <w:rPr>
          <w:noProof/>
        </w:rPr>
        <w:t>of the Union.</w:t>
      </w:r>
      <w:r w:rsidR="006C4412" w:rsidRPr="00A10386">
        <w:rPr>
          <w:noProof/>
        </w:rPr>
        <w:t xml:space="preserve"> </w:t>
      </w:r>
      <w:r w:rsidR="00635963" w:rsidRPr="00A10386">
        <w:rPr>
          <w:noProof/>
        </w:rPr>
        <w:t>The commission</w:t>
      </w:r>
      <w:r w:rsidR="00903972" w:rsidRPr="00A10386">
        <w:rPr>
          <w:noProof/>
        </w:rPr>
        <w:t xml:space="preserve"> of</w:t>
      </w:r>
      <w:r w:rsidR="00635963" w:rsidRPr="00A10386">
        <w:rPr>
          <w:noProof/>
        </w:rPr>
        <w:t xml:space="preserve"> </w:t>
      </w:r>
      <w:r w:rsidR="00B76181" w:rsidRPr="00A10386">
        <w:rPr>
          <w:noProof/>
        </w:rPr>
        <w:t>such criminal activities</w:t>
      </w:r>
      <w:r w:rsidR="00635963" w:rsidRPr="00A10386">
        <w:rPr>
          <w:noProof/>
        </w:rPr>
        <w:t xml:space="preserve"> is driven by increasing </w:t>
      </w:r>
      <w:r w:rsidR="007C11A8" w:rsidRPr="00A10386">
        <w:rPr>
          <w:noProof/>
        </w:rPr>
        <w:t xml:space="preserve">demand </w:t>
      </w:r>
      <w:r w:rsidR="00E54EA0" w:rsidRPr="00A10386">
        <w:rPr>
          <w:noProof/>
        </w:rPr>
        <w:t xml:space="preserve">and the high profits obtained by </w:t>
      </w:r>
      <w:r w:rsidR="00BE613D" w:rsidRPr="00A10386">
        <w:rPr>
          <w:noProof/>
        </w:rPr>
        <w:t>criminal organisations</w:t>
      </w:r>
      <w:r w:rsidR="00E54EA0" w:rsidRPr="00A10386">
        <w:rPr>
          <w:noProof/>
        </w:rPr>
        <w:t>.</w:t>
      </w:r>
      <w:r w:rsidR="007C11A8" w:rsidRPr="00A10386">
        <w:rPr>
          <w:noProof/>
        </w:rPr>
        <w:t xml:space="preserve"> </w:t>
      </w:r>
      <w:r w:rsidR="00F77B05" w:rsidRPr="00A10386">
        <w:rPr>
          <w:noProof/>
        </w:rPr>
        <w:t>Preventing and countering th</w:t>
      </w:r>
      <w:r w:rsidR="00B76181" w:rsidRPr="00A10386">
        <w:rPr>
          <w:noProof/>
        </w:rPr>
        <w:t>o</w:t>
      </w:r>
      <w:r w:rsidR="00F77B05" w:rsidRPr="00A10386">
        <w:rPr>
          <w:noProof/>
        </w:rPr>
        <w:t xml:space="preserve">se </w:t>
      </w:r>
      <w:r w:rsidR="005F2F61" w:rsidRPr="00A10386" w:rsidDel="00F77B05">
        <w:rPr>
          <w:noProof/>
        </w:rPr>
        <w:t xml:space="preserve">offences </w:t>
      </w:r>
      <w:r w:rsidR="00F77B05" w:rsidRPr="00A10386">
        <w:rPr>
          <w:noProof/>
        </w:rPr>
        <w:t>remains a priority for the Union.</w:t>
      </w:r>
      <w:r w:rsidR="005F2F61" w:rsidRPr="00A10386">
        <w:rPr>
          <w:noProof/>
        </w:rPr>
        <w:t xml:space="preserve"> </w:t>
      </w:r>
    </w:p>
    <w:p w14:paraId="26FA379C" w14:textId="037BF0BD" w:rsidR="0066307E" w:rsidRPr="00A10386" w:rsidRDefault="00812BEC" w:rsidP="00812BEC">
      <w:pPr>
        <w:pStyle w:val="ManualConsidrant"/>
        <w:rPr>
          <w:noProof/>
        </w:rPr>
      </w:pPr>
      <w:r w:rsidRPr="00A10386">
        <w:rPr>
          <w:noProof/>
        </w:rPr>
        <w:t>(2)</w:t>
      </w:r>
      <w:r w:rsidRPr="00A10386">
        <w:rPr>
          <w:noProof/>
        </w:rPr>
        <w:tab/>
      </w:r>
      <w:r w:rsidR="00D34FF9" w:rsidRPr="00A10386">
        <w:rPr>
          <w:noProof/>
        </w:rPr>
        <w:t>Directive 2002/90/EC</w:t>
      </w:r>
      <w:r w:rsidR="008859A1" w:rsidRPr="00A10386">
        <w:rPr>
          <w:rStyle w:val="FootnoteReference"/>
          <w:noProof/>
        </w:rPr>
        <w:footnoteReference w:id="42"/>
      </w:r>
      <w:r w:rsidR="00D34FF9" w:rsidRPr="00A10386">
        <w:rPr>
          <w:noProof/>
        </w:rPr>
        <w:t xml:space="preserve"> and</w:t>
      </w:r>
      <w:r w:rsidR="008859A1" w:rsidRPr="00A10386">
        <w:rPr>
          <w:noProof/>
        </w:rPr>
        <w:t xml:space="preserve"> Council</w:t>
      </w:r>
      <w:r w:rsidR="00D34FF9" w:rsidRPr="00A10386">
        <w:rPr>
          <w:noProof/>
        </w:rPr>
        <w:t xml:space="preserve"> </w:t>
      </w:r>
      <w:r w:rsidR="00EF7F7A" w:rsidRPr="00A10386">
        <w:rPr>
          <w:noProof/>
        </w:rPr>
        <w:t>Framework Decision 2002/946/JHA</w:t>
      </w:r>
      <w:r w:rsidR="008859A1" w:rsidRPr="00A10386">
        <w:rPr>
          <w:rStyle w:val="FootnoteReference"/>
          <w:noProof/>
        </w:rPr>
        <w:footnoteReference w:id="43"/>
      </w:r>
      <w:r w:rsidR="00671E23" w:rsidRPr="00A10386">
        <w:rPr>
          <w:noProof/>
        </w:rPr>
        <w:t xml:space="preserve"> (t</w:t>
      </w:r>
      <w:r w:rsidR="00671E23" w:rsidRPr="00A10386" w:rsidDel="00381758">
        <w:rPr>
          <w:noProof/>
        </w:rPr>
        <w:t>he ‘Facilitators’ Package’</w:t>
      </w:r>
      <w:r w:rsidR="00DF4BB2" w:rsidRPr="00A10386">
        <w:rPr>
          <w:noProof/>
        </w:rPr>
        <w:t>)</w:t>
      </w:r>
      <w:r w:rsidR="00EF7F7A" w:rsidRPr="00A10386">
        <w:rPr>
          <w:noProof/>
        </w:rPr>
        <w:t xml:space="preserve"> </w:t>
      </w:r>
      <w:r w:rsidR="00BE7258" w:rsidRPr="00A10386">
        <w:rPr>
          <w:noProof/>
        </w:rPr>
        <w:t xml:space="preserve">constitute </w:t>
      </w:r>
      <w:r w:rsidR="00E7387F" w:rsidRPr="00A10386">
        <w:rPr>
          <w:noProof/>
        </w:rPr>
        <w:t xml:space="preserve">the Union legal </w:t>
      </w:r>
      <w:r w:rsidR="008859A1" w:rsidRPr="00A10386">
        <w:rPr>
          <w:noProof/>
        </w:rPr>
        <w:t xml:space="preserve">framework </w:t>
      </w:r>
      <w:r w:rsidR="00E7387F" w:rsidRPr="00A10386">
        <w:rPr>
          <w:noProof/>
        </w:rPr>
        <w:t xml:space="preserve">to counter </w:t>
      </w:r>
      <w:r w:rsidR="00990CF2" w:rsidRPr="00A10386">
        <w:rPr>
          <w:noProof/>
        </w:rPr>
        <w:t>the facilitation of unauthorised entry, transit and stay</w:t>
      </w:r>
      <w:r w:rsidR="00B76181" w:rsidRPr="00A10386">
        <w:rPr>
          <w:noProof/>
        </w:rPr>
        <w:t xml:space="preserve"> of third</w:t>
      </w:r>
      <w:r w:rsidR="007B2862" w:rsidRPr="00A10386">
        <w:rPr>
          <w:noProof/>
        </w:rPr>
        <w:t>-</w:t>
      </w:r>
      <w:r w:rsidR="00B76181" w:rsidRPr="00A10386">
        <w:rPr>
          <w:noProof/>
        </w:rPr>
        <w:t>country nationals</w:t>
      </w:r>
      <w:r w:rsidR="00990CF2" w:rsidRPr="00A10386">
        <w:rPr>
          <w:noProof/>
        </w:rPr>
        <w:t xml:space="preserve">. </w:t>
      </w:r>
      <w:r w:rsidR="00381758" w:rsidRPr="00A10386" w:rsidDel="00381758">
        <w:rPr>
          <w:noProof/>
        </w:rPr>
        <w:t>It</w:t>
      </w:r>
      <w:r w:rsidR="00633177" w:rsidRPr="00A10386">
        <w:rPr>
          <w:noProof/>
        </w:rPr>
        <w:t xml:space="preserve"> establish</w:t>
      </w:r>
      <w:r w:rsidR="00381758" w:rsidRPr="00A10386" w:rsidDel="00381758">
        <w:rPr>
          <w:noProof/>
        </w:rPr>
        <w:t>es</w:t>
      </w:r>
      <w:r w:rsidR="00FB7933" w:rsidRPr="00A10386">
        <w:rPr>
          <w:noProof/>
        </w:rPr>
        <w:t xml:space="preserve"> a common definition of the offences</w:t>
      </w:r>
      <w:r w:rsidR="00990CF2" w:rsidRPr="00A10386">
        <w:rPr>
          <w:noProof/>
        </w:rPr>
        <w:t xml:space="preserve"> </w:t>
      </w:r>
      <w:r w:rsidR="00DC0964" w:rsidRPr="00A10386">
        <w:rPr>
          <w:noProof/>
        </w:rPr>
        <w:t xml:space="preserve">of </w:t>
      </w:r>
      <w:r w:rsidR="00CA6584" w:rsidRPr="00A10386">
        <w:rPr>
          <w:noProof/>
        </w:rPr>
        <w:t>facilitation of unauthorised entry, transit and residence</w:t>
      </w:r>
      <w:r w:rsidR="00C81779" w:rsidRPr="00A10386">
        <w:rPr>
          <w:noProof/>
        </w:rPr>
        <w:t xml:space="preserve">, and </w:t>
      </w:r>
      <w:r w:rsidR="0023078C" w:rsidRPr="00A10386">
        <w:rPr>
          <w:noProof/>
        </w:rPr>
        <w:t>set</w:t>
      </w:r>
      <w:r w:rsidR="656D0AF6" w:rsidRPr="00A10386">
        <w:rPr>
          <w:noProof/>
        </w:rPr>
        <w:t>s</w:t>
      </w:r>
      <w:r w:rsidR="0023078C" w:rsidRPr="00A10386">
        <w:rPr>
          <w:noProof/>
        </w:rPr>
        <w:t xml:space="preserve"> up </w:t>
      </w:r>
      <w:r w:rsidR="00C81779" w:rsidRPr="00A10386">
        <w:rPr>
          <w:noProof/>
        </w:rPr>
        <w:t>the penal</w:t>
      </w:r>
      <w:r w:rsidR="005F2F61" w:rsidRPr="00A10386">
        <w:rPr>
          <w:noProof/>
        </w:rPr>
        <w:t xml:space="preserve"> framework for </w:t>
      </w:r>
      <w:r w:rsidR="00C81779" w:rsidRPr="00A10386">
        <w:rPr>
          <w:noProof/>
        </w:rPr>
        <w:t xml:space="preserve">the </w:t>
      </w:r>
      <w:r w:rsidR="0023078C" w:rsidRPr="00A10386">
        <w:rPr>
          <w:noProof/>
        </w:rPr>
        <w:t xml:space="preserve">sanctioning </w:t>
      </w:r>
      <w:r w:rsidR="00C81779" w:rsidRPr="00A10386">
        <w:rPr>
          <w:noProof/>
        </w:rPr>
        <w:t>of such offences.</w:t>
      </w:r>
      <w:r w:rsidR="00990CF2" w:rsidRPr="00A10386">
        <w:rPr>
          <w:noProof/>
        </w:rPr>
        <w:t xml:space="preserve"> </w:t>
      </w:r>
      <w:r w:rsidR="5ADDC599" w:rsidRPr="00A10386">
        <w:rPr>
          <w:noProof/>
        </w:rPr>
        <w:t>To</w:t>
      </w:r>
      <w:r w:rsidR="002207FC" w:rsidRPr="00A10386">
        <w:rPr>
          <w:noProof/>
        </w:rPr>
        <w:t xml:space="preserve"> address </w:t>
      </w:r>
      <w:r w:rsidR="00EC2A21" w:rsidRPr="00A10386">
        <w:rPr>
          <w:noProof/>
        </w:rPr>
        <w:t>evolving trends</w:t>
      </w:r>
      <w:r w:rsidR="0009503B" w:rsidRPr="00A10386">
        <w:rPr>
          <w:noProof/>
        </w:rPr>
        <w:t xml:space="preserve">, </w:t>
      </w:r>
      <w:r w:rsidR="00577F7E" w:rsidRPr="00A10386">
        <w:rPr>
          <w:noProof/>
        </w:rPr>
        <w:t xml:space="preserve">and to further </w:t>
      </w:r>
      <w:r w:rsidR="00BE613D" w:rsidRPr="00A10386">
        <w:rPr>
          <w:noProof/>
        </w:rPr>
        <w:t>enhance</w:t>
      </w:r>
      <w:r w:rsidR="00577F7E" w:rsidRPr="00A10386">
        <w:rPr>
          <w:noProof/>
        </w:rPr>
        <w:t xml:space="preserve"> </w:t>
      </w:r>
      <w:r w:rsidR="00BE613D" w:rsidRPr="00A10386">
        <w:rPr>
          <w:noProof/>
        </w:rPr>
        <w:t xml:space="preserve">the effectiveness of the Union framework </w:t>
      </w:r>
      <w:r w:rsidR="000421C2" w:rsidRPr="00A10386">
        <w:rPr>
          <w:noProof/>
        </w:rPr>
        <w:t xml:space="preserve">to </w:t>
      </w:r>
      <w:r w:rsidR="00D26D11" w:rsidRPr="00A10386">
        <w:rPr>
          <w:noProof/>
        </w:rPr>
        <w:t>prevent and counter these offences</w:t>
      </w:r>
      <w:r w:rsidR="00A051B7" w:rsidRPr="00A10386">
        <w:rPr>
          <w:noProof/>
        </w:rPr>
        <w:t xml:space="preserve">, it is necessary to update the </w:t>
      </w:r>
      <w:r w:rsidR="00890668" w:rsidRPr="00A10386">
        <w:rPr>
          <w:noProof/>
        </w:rPr>
        <w:t xml:space="preserve">existing </w:t>
      </w:r>
      <w:r w:rsidR="00A051B7" w:rsidRPr="00A10386">
        <w:rPr>
          <w:noProof/>
        </w:rPr>
        <w:t>legal framework</w:t>
      </w:r>
      <w:r w:rsidR="00600ABA" w:rsidRPr="00A10386">
        <w:rPr>
          <w:noProof/>
        </w:rPr>
        <w:t>.</w:t>
      </w:r>
    </w:p>
    <w:p w14:paraId="683433DC" w14:textId="4E022765" w:rsidR="00233F1D" w:rsidRPr="00A10386" w:rsidRDefault="00812BEC" w:rsidP="00812BEC">
      <w:pPr>
        <w:pStyle w:val="ManualConsidrant"/>
        <w:rPr>
          <w:noProof/>
        </w:rPr>
      </w:pPr>
      <w:r w:rsidRPr="00A10386">
        <w:rPr>
          <w:noProof/>
        </w:rPr>
        <w:t>(3)</w:t>
      </w:r>
      <w:r w:rsidRPr="00A10386">
        <w:rPr>
          <w:noProof/>
        </w:rPr>
        <w:tab/>
      </w:r>
      <w:r w:rsidR="004315BF" w:rsidRPr="00A10386" w:rsidDel="004315BF">
        <w:rPr>
          <w:noProof/>
        </w:rPr>
        <w:t xml:space="preserve">The European Council Conclusions of 9 February 2023 affirmed the need to reinforce Union action to prevent irregular </w:t>
      </w:r>
      <w:r w:rsidR="00ED52CC" w:rsidRPr="00A10386">
        <w:rPr>
          <w:noProof/>
        </w:rPr>
        <w:t>migration</w:t>
      </w:r>
      <w:r w:rsidR="00ED52CC" w:rsidRPr="00A10386" w:rsidDel="004315BF">
        <w:rPr>
          <w:noProof/>
        </w:rPr>
        <w:t xml:space="preserve"> </w:t>
      </w:r>
      <w:r w:rsidR="004315BF" w:rsidRPr="00A10386" w:rsidDel="004315BF">
        <w:rPr>
          <w:noProof/>
        </w:rPr>
        <w:t xml:space="preserve">and loss of life, notably by intensifying cooperation with countries of origin and transit, and by ensuring </w:t>
      </w:r>
      <w:r w:rsidR="004315BF" w:rsidRPr="00A10386" w:rsidDel="005D3004">
        <w:rPr>
          <w:noProof/>
        </w:rPr>
        <w:t>strong</w:t>
      </w:r>
      <w:r w:rsidR="004315BF" w:rsidRPr="00A10386" w:rsidDel="00B76304">
        <w:rPr>
          <w:noProof/>
        </w:rPr>
        <w:t>er</w:t>
      </w:r>
      <w:r w:rsidR="004315BF" w:rsidRPr="00A10386" w:rsidDel="005D3004">
        <w:rPr>
          <w:noProof/>
        </w:rPr>
        <w:t xml:space="preserve"> cooperation between Member States and with Europol, Frontex and Eurojust</w:t>
      </w:r>
      <w:r w:rsidR="004315BF" w:rsidRPr="00A10386" w:rsidDel="00B76304">
        <w:rPr>
          <w:noProof/>
        </w:rPr>
        <w:t>.</w:t>
      </w:r>
      <w:r w:rsidR="78A883ED" w:rsidRPr="00A10386">
        <w:rPr>
          <w:noProof/>
        </w:rPr>
        <w:t xml:space="preserve"> </w:t>
      </w:r>
      <w:r w:rsidR="00E57807" w:rsidRPr="00A10386">
        <w:rPr>
          <w:noProof/>
        </w:rPr>
        <w:t>T</w:t>
      </w:r>
      <w:r w:rsidR="00E57807" w:rsidRPr="00A10386" w:rsidDel="57108C72">
        <w:rPr>
          <w:noProof/>
        </w:rPr>
        <w:t>he renewed Action Plan against migrant smuggling (2021-2025) sets out the policy response to migrant smuggling, as an essential part of the comprehensive approach to migration set out in the New Pact on Migration and Asylum. It sets out actions in four priority areas: reinforcing cooperation with partner countries and international organisations; sanctioning migrant smugglers and preventing the exploitation of migrants; reinforcing cooperation and supporting the work of law enforcement and judicial authorities; and increasing the knowledge base.</w:t>
      </w:r>
    </w:p>
    <w:p w14:paraId="35B6771C" w14:textId="41266390" w:rsidR="00884A48" w:rsidRPr="00A10386" w:rsidRDefault="00812BEC" w:rsidP="00812BEC">
      <w:pPr>
        <w:pStyle w:val="ManualConsidrant"/>
        <w:rPr>
          <w:noProof/>
        </w:rPr>
      </w:pPr>
      <w:r w:rsidRPr="00A10386">
        <w:rPr>
          <w:noProof/>
        </w:rPr>
        <w:t>(4)</w:t>
      </w:r>
      <w:r w:rsidRPr="00A10386">
        <w:rPr>
          <w:noProof/>
        </w:rPr>
        <w:tab/>
      </w:r>
      <w:r w:rsidR="00B628B5" w:rsidRPr="00A10386">
        <w:rPr>
          <w:noProof/>
        </w:rPr>
        <w:t>The facilitation of unauthorised entry, transit and stay is a transnational phenomenon</w:t>
      </w:r>
      <w:r w:rsidR="000F1EA9" w:rsidRPr="00A10386">
        <w:rPr>
          <w:noProof/>
        </w:rPr>
        <w:t xml:space="preserve">, and measures adopted at </w:t>
      </w:r>
      <w:r w:rsidR="006B68A2" w:rsidRPr="00A10386">
        <w:rPr>
          <w:noProof/>
        </w:rPr>
        <w:t xml:space="preserve">Union and </w:t>
      </w:r>
      <w:r w:rsidR="000F1EA9" w:rsidRPr="00A10386">
        <w:rPr>
          <w:noProof/>
        </w:rPr>
        <w:t>national level</w:t>
      </w:r>
      <w:r w:rsidR="006B68A2" w:rsidRPr="00A10386">
        <w:rPr>
          <w:noProof/>
        </w:rPr>
        <w:t>s</w:t>
      </w:r>
      <w:r w:rsidR="000F1EA9" w:rsidRPr="00A10386">
        <w:rPr>
          <w:noProof/>
        </w:rPr>
        <w:t xml:space="preserve"> should recognise </w:t>
      </w:r>
      <w:r w:rsidR="00DB6041" w:rsidRPr="00A10386">
        <w:rPr>
          <w:noProof/>
        </w:rPr>
        <w:t xml:space="preserve">its </w:t>
      </w:r>
      <w:r w:rsidR="000F1EA9" w:rsidRPr="00A10386">
        <w:rPr>
          <w:noProof/>
        </w:rPr>
        <w:t>international dimension. Union</w:t>
      </w:r>
      <w:r w:rsidR="00766C47" w:rsidRPr="00A10386">
        <w:rPr>
          <w:noProof/>
        </w:rPr>
        <w:t xml:space="preserve"> and national</w:t>
      </w:r>
      <w:r w:rsidR="000F1EA9" w:rsidRPr="00A10386">
        <w:rPr>
          <w:noProof/>
        </w:rPr>
        <w:t xml:space="preserve"> action</w:t>
      </w:r>
      <w:r w:rsidR="006B68A2" w:rsidRPr="00A10386">
        <w:rPr>
          <w:noProof/>
        </w:rPr>
        <w:t>s</w:t>
      </w:r>
      <w:r w:rsidR="000F1EA9" w:rsidRPr="00A10386">
        <w:rPr>
          <w:noProof/>
        </w:rPr>
        <w:t xml:space="preserve"> should therefore take into account </w:t>
      </w:r>
      <w:r w:rsidR="00D5690F" w:rsidRPr="00A10386">
        <w:rPr>
          <w:noProof/>
        </w:rPr>
        <w:t xml:space="preserve">the international commitments </w:t>
      </w:r>
      <w:r w:rsidR="008F48D2" w:rsidRPr="00A10386">
        <w:rPr>
          <w:noProof/>
        </w:rPr>
        <w:t xml:space="preserve">of the Union and its Member States, including in relation to the Protocol </w:t>
      </w:r>
      <w:r w:rsidR="001075BE" w:rsidRPr="00A10386">
        <w:rPr>
          <w:noProof/>
        </w:rPr>
        <w:t>A</w:t>
      </w:r>
      <w:r w:rsidR="00766C47" w:rsidRPr="00A10386">
        <w:rPr>
          <w:noProof/>
        </w:rPr>
        <w:t xml:space="preserve">gainst the </w:t>
      </w:r>
      <w:r w:rsidR="001075BE" w:rsidRPr="00A10386">
        <w:rPr>
          <w:noProof/>
        </w:rPr>
        <w:t>S</w:t>
      </w:r>
      <w:r w:rsidR="00766C47" w:rsidRPr="00A10386">
        <w:rPr>
          <w:noProof/>
        </w:rPr>
        <w:t xml:space="preserve">muggling of </w:t>
      </w:r>
      <w:r w:rsidR="001075BE" w:rsidRPr="00A10386">
        <w:rPr>
          <w:noProof/>
        </w:rPr>
        <w:t>M</w:t>
      </w:r>
      <w:r w:rsidR="00766C47" w:rsidRPr="00A10386">
        <w:rPr>
          <w:noProof/>
        </w:rPr>
        <w:t xml:space="preserve">igrants by </w:t>
      </w:r>
      <w:r w:rsidR="001075BE" w:rsidRPr="00A10386">
        <w:rPr>
          <w:noProof/>
        </w:rPr>
        <w:t>L</w:t>
      </w:r>
      <w:r w:rsidR="00766C47" w:rsidRPr="00A10386">
        <w:rPr>
          <w:noProof/>
        </w:rPr>
        <w:t xml:space="preserve">and, </w:t>
      </w:r>
      <w:r w:rsidR="001075BE" w:rsidRPr="00A10386">
        <w:rPr>
          <w:noProof/>
        </w:rPr>
        <w:t>S</w:t>
      </w:r>
      <w:r w:rsidR="00766C47" w:rsidRPr="00A10386">
        <w:rPr>
          <w:noProof/>
        </w:rPr>
        <w:t xml:space="preserve">ea and </w:t>
      </w:r>
      <w:r w:rsidR="001075BE" w:rsidRPr="00A10386">
        <w:rPr>
          <w:noProof/>
        </w:rPr>
        <w:t>A</w:t>
      </w:r>
      <w:r w:rsidR="00766C47" w:rsidRPr="00A10386">
        <w:rPr>
          <w:noProof/>
        </w:rPr>
        <w:t xml:space="preserve">ir, supplementing the United Nations Convention against Transnational Organized Crime, </w:t>
      </w:r>
      <w:r w:rsidR="00207E70" w:rsidRPr="00A10386">
        <w:rPr>
          <w:noProof/>
        </w:rPr>
        <w:t xml:space="preserve">the United Nations Convention on the Law of the Sea, the International Convention for the Safety of Life at Sea, the International Convention on maritime Search and Rescue, the United Nations Convention on the Rights of the Child, </w:t>
      </w:r>
      <w:r w:rsidR="00766C47" w:rsidRPr="00A10386">
        <w:rPr>
          <w:noProof/>
        </w:rPr>
        <w:t>as well as t</w:t>
      </w:r>
      <w:r w:rsidR="000F1EA9" w:rsidRPr="00A10386">
        <w:rPr>
          <w:noProof/>
        </w:rPr>
        <w:t xml:space="preserve">he work of </w:t>
      </w:r>
      <w:r w:rsidR="001E6756" w:rsidRPr="00A10386">
        <w:rPr>
          <w:noProof/>
        </w:rPr>
        <w:t>the United Nations Office against Drugs and Crime</w:t>
      </w:r>
      <w:r w:rsidR="00766C47" w:rsidRPr="00A10386">
        <w:rPr>
          <w:noProof/>
        </w:rPr>
        <w:t>.</w:t>
      </w:r>
    </w:p>
    <w:p w14:paraId="34042E23" w14:textId="683C6A1A" w:rsidR="001146E8" w:rsidRPr="00A10386" w:rsidRDefault="00812BEC" w:rsidP="00812BEC">
      <w:pPr>
        <w:pStyle w:val="ManualConsidrant"/>
        <w:rPr>
          <w:rFonts w:eastAsia="Times New Roman"/>
          <w:noProof/>
        </w:rPr>
      </w:pPr>
      <w:r w:rsidRPr="00A10386">
        <w:rPr>
          <w:noProof/>
        </w:rPr>
        <w:t>(5)</w:t>
      </w:r>
      <w:r w:rsidRPr="00A10386">
        <w:rPr>
          <w:noProof/>
        </w:rPr>
        <w:tab/>
      </w:r>
      <w:r w:rsidR="1CA6E223" w:rsidRPr="00A10386">
        <w:rPr>
          <w:noProof/>
        </w:rPr>
        <w:t xml:space="preserve">Taking account of the evolution </w:t>
      </w:r>
      <w:r w:rsidR="74D515D5" w:rsidRPr="00A10386">
        <w:rPr>
          <w:noProof/>
        </w:rPr>
        <w:t xml:space="preserve">of the </w:t>
      </w:r>
      <w:r w:rsidR="1CA6E223" w:rsidRPr="00A10386">
        <w:rPr>
          <w:noProof/>
        </w:rPr>
        <w:t xml:space="preserve">activities aimed </w:t>
      </w:r>
      <w:r w:rsidR="3594BA17" w:rsidRPr="00A10386">
        <w:rPr>
          <w:noProof/>
        </w:rPr>
        <w:t xml:space="preserve">to </w:t>
      </w:r>
      <w:r w:rsidR="1CA6E223" w:rsidRPr="00A10386">
        <w:rPr>
          <w:noProof/>
        </w:rPr>
        <w:t xml:space="preserve">facilitate unauthorised entry, transit and stay in the Union, as well as the legal obligations </w:t>
      </w:r>
      <w:r w:rsidR="7CC8AE52" w:rsidRPr="00A10386">
        <w:rPr>
          <w:noProof/>
        </w:rPr>
        <w:t xml:space="preserve">of </w:t>
      </w:r>
      <w:r w:rsidR="1CA6E223" w:rsidRPr="00A10386">
        <w:rPr>
          <w:noProof/>
        </w:rPr>
        <w:t xml:space="preserve">the Union and </w:t>
      </w:r>
      <w:r w:rsidR="21305675" w:rsidRPr="00A10386">
        <w:rPr>
          <w:noProof/>
        </w:rPr>
        <w:t xml:space="preserve">the </w:t>
      </w:r>
      <w:r w:rsidR="1CA6E223" w:rsidRPr="00A10386">
        <w:rPr>
          <w:noProof/>
        </w:rPr>
        <w:t xml:space="preserve">Member States under international law, the definition of </w:t>
      </w:r>
      <w:r w:rsidR="6F899E58" w:rsidRPr="00A10386">
        <w:rPr>
          <w:noProof/>
        </w:rPr>
        <w:t xml:space="preserve">the </w:t>
      </w:r>
      <w:r w:rsidR="3594BA17" w:rsidRPr="00A10386">
        <w:rPr>
          <w:noProof/>
        </w:rPr>
        <w:t xml:space="preserve">criminal </w:t>
      </w:r>
      <w:r w:rsidR="6F899E58" w:rsidRPr="00A10386">
        <w:rPr>
          <w:noProof/>
        </w:rPr>
        <w:t xml:space="preserve">offences </w:t>
      </w:r>
      <w:r w:rsidR="1CA6E223" w:rsidRPr="00A10386">
        <w:rPr>
          <w:noProof/>
        </w:rPr>
        <w:t xml:space="preserve">should be further approximated in all Member States so that it covers </w:t>
      </w:r>
      <w:r w:rsidR="31EBA4E1" w:rsidRPr="00A10386">
        <w:rPr>
          <w:noProof/>
        </w:rPr>
        <w:t xml:space="preserve">the relevant </w:t>
      </w:r>
      <w:r w:rsidR="1CA6E223" w:rsidRPr="00A10386">
        <w:rPr>
          <w:noProof/>
        </w:rPr>
        <w:t>conduct</w:t>
      </w:r>
      <w:r w:rsidR="31EBA4E1" w:rsidRPr="00A10386">
        <w:rPr>
          <w:noProof/>
        </w:rPr>
        <w:t>s</w:t>
      </w:r>
      <w:r w:rsidR="1CA6E223" w:rsidRPr="00A10386">
        <w:rPr>
          <w:noProof/>
        </w:rPr>
        <w:t xml:space="preserve"> more comprehensively.</w:t>
      </w:r>
      <w:r w:rsidR="0F1DCB3C" w:rsidRPr="00A10386">
        <w:rPr>
          <w:noProof/>
        </w:rPr>
        <w:t xml:space="preserve"> </w:t>
      </w:r>
    </w:p>
    <w:p w14:paraId="1F6ABAB3" w14:textId="6513B128" w:rsidR="35EB6A64" w:rsidRPr="00A10386" w:rsidRDefault="00812BEC" w:rsidP="00812BEC">
      <w:pPr>
        <w:pStyle w:val="ManualConsidrant"/>
        <w:rPr>
          <w:noProof/>
        </w:rPr>
      </w:pPr>
      <w:r w:rsidRPr="00A10386">
        <w:rPr>
          <w:noProof/>
        </w:rPr>
        <w:t>(6)</w:t>
      </w:r>
      <w:r w:rsidRPr="00A10386">
        <w:rPr>
          <w:noProof/>
        </w:rPr>
        <w:tab/>
      </w:r>
      <w:r w:rsidR="6DEA1125" w:rsidRPr="00A10386">
        <w:rPr>
          <w:noProof/>
        </w:rPr>
        <w:t>In accordance with the principles of legality and proportionality of criminal law, and in order to address criminal activities that put human life in danger and disrespect the dignity of people for the purpose of obtaining profits, it is necessary to provide a precise and detailed definition of the criminal offences</w:t>
      </w:r>
      <w:r w:rsidR="003530B8" w:rsidRPr="00A10386">
        <w:rPr>
          <w:noProof/>
        </w:rPr>
        <w:t xml:space="preserve"> that counter these criminal behaviours</w:t>
      </w:r>
      <w:r w:rsidR="6DEA1125" w:rsidRPr="00A10386">
        <w:rPr>
          <w:noProof/>
        </w:rPr>
        <w:t xml:space="preserve">. Assistance of unauthorised entry, transit or stay </w:t>
      </w:r>
      <w:r w:rsidR="32C0A3C3" w:rsidRPr="00A10386">
        <w:rPr>
          <w:noProof/>
        </w:rPr>
        <w:t xml:space="preserve">in the Union </w:t>
      </w:r>
      <w:r w:rsidR="6DEA1125" w:rsidRPr="00A10386">
        <w:rPr>
          <w:noProof/>
        </w:rPr>
        <w:t xml:space="preserve">should constitute a criminal offence when there is a link with an actual or a promised financial or material benefit. </w:t>
      </w:r>
      <w:r w:rsidR="00BF271E" w:rsidRPr="00A10386">
        <w:rPr>
          <w:noProof/>
        </w:rPr>
        <w:t>T</w:t>
      </w:r>
      <w:r w:rsidR="00980043" w:rsidRPr="00A10386">
        <w:rPr>
          <w:noProof/>
        </w:rPr>
        <w:t>his</w:t>
      </w:r>
      <w:r w:rsidR="6DEA1125" w:rsidRPr="00A10386">
        <w:rPr>
          <w:noProof/>
        </w:rPr>
        <w:t xml:space="preserve"> conduct should </w:t>
      </w:r>
      <w:r w:rsidR="00BF271E" w:rsidRPr="00A10386">
        <w:rPr>
          <w:noProof/>
        </w:rPr>
        <w:t xml:space="preserve">also </w:t>
      </w:r>
      <w:r w:rsidR="6DEA1125" w:rsidRPr="00A10386">
        <w:rPr>
          <w:noProof/>
        </w:rPr>
        <w:t xml:space="preserve">be criminalised provided that this is </w:t>
      </w:r>
      <w:r w:rsidR="008A4DFD" w:rsidRPr="00A10386">
        <w:rPr>
          <w:noProof/>
        </w:rPr>
        <w:t xml:space="preserve">highly </w:t>
      </w:r>
      <w:r w:rsidR="6DEA1125" w:rsidRPr="00A10386">
        <w:rPr>
          <w:noProof/>
        </w:rPr>
        <w:t>likely to cause serious harm to the third</w:t>
      </w:r>
      <w:r w:rsidR="002D3FA5" w:rsidRPr="00A10386">
        <w:rPr>
          <w:noProof/>
        </w:rPr>
        <w:t>-</w:t>
      </w:r>
      <w:r w:rsidR="6DEA1125" w:rsidRPr="00A10386">
        <w:rPr>
          <w:noProof/>
        </w:rPr>
        <w:t>country nationals who were subject to the criminal offence or to any other person</w:t>
      </w:r>
      <w:r w:rsidR="00BF271E" w:rsidRPr="00A10386">
        <w:rPr>
          <w:noProof/>
        </w:rPr>
        <w:t>, even though there is no financial or material benefit or no promise of such benefit</w:t>
      </w:r>
      <w:r w:rsidR="6DEA1125" w:rsidRPr="00A10386">
        <w:rPr>
          <w:noProof/>
        </w:rPr>
        <w:t>. I</w:t>
      </w:r>
      <w:r w:rsidR="00980043" w:rsidRPr="00A10386">
        <w:rPr>
          <w:noProof/>
        </w:rPr>
        <w:t>t is necessary to establish a criminal offence i</w:t>
      </w:r>
      <w:r w:rsidR="6DEA1125" w:rsidRPr="00A10386">
        <w:rPr>
          <w:noProof/>
        </w:rPr>
        <w:t xml:space="preserve">n order to </w:t>
      </w:r>
      <w:r w:rsidR="00980043" w:rsidRPr="00A10386">
        <w:rPr>
          <w:noProof/>
        </w:rPr>
        <w:t>discourage</w:t>
      </w:r>
      <w:r w:rsidR="6DEA1125" w:rsidRPr="00A10386">
        <w:rPr>
          <w:noProof/>
        </w:rPr>
        <w:t xml:space="preserve"> the </w:t>
      </w:r>
      <w:r w:rsidR="6DEA1125" w:rsidRPr="00A10386">
        <w:rPr>
          <w:i/>
          <w:iCs/>
          <w:noProof/>
        </w:rPr>
        <w:t>modus operandi</w:t>
      </w:r>
      <w:r w:rsidR="6DEA1125" w:rsidRPr="00A10386">
        <w:rPr>
          <w:noProof/>
        </w:rPr>
        <w:t xml:space="preserve"> of </w:t>
      </w:r>
      <w:r w:rsidR="006C4261" w:rsidRPr="00A10386">
        <w:rPr>
          <w:noProof/>
        </w:rPr>
        <w:t xml:space="preserve">persons who </w:t>
      </w:r>
      <w:r w:rsidR="008A4DFD" w:rsidRPr="00A10386">
        <w:rPr>
          <w:noProof/>
        </w:rPr>
        <w:t xml:space="preserve">publicly </w:t>
      </w:r>
      <w:r w:rsidR="6DEA1125" w:rsidRPr="00A10386">
        <w:rPr>
          <w:noProof/>
        </w:rPr>
        <w:t>instigat</w:t>
      </w:r>
      <w:r w:rsidR="006C4261" w:rsidRPr="00A10386">
        <w:rPr>
          <w:noProof/>
        </w:rPr>
        <w:t>e</w:t>
      </w:r>
      <w:r w:rsidR="00474263" w:rsidRPr="00A10386">
        <w:rPr>
          <w:noProof/>
        </w:rPr>
        <w:t>, for instance through the internet,</w:t>
      </w:r>
      <w:r w:rsidR="6DEA1125" w:rsidRPr="00A10386">
        <w:rPr>
          <w:noProof/>
        </w:rPr>
        <w:t xml:space="preserve"> </w:t>
      </w:r>
      <w:r w:rsidR="006C4261" w:rsidRPr="00A10386">
        <w:rPr>
          <w:noProof/>
        </w:rPr>
        <w:t xml:space="preserve">third-country nationals to </w:t>
      </w:r>
      <w:r w:rsidR="6DEA1125" w:rsidRPr="00A10386">
        <w:rPr>
          <w:noProof/>
        </w:rPr>
        <w:t>ent</w:t>
      </w:r>
      <w:r w:rsidR="00980043" w:rsidRPr="00A10386">
        <w:rPr>
          <w:noProof/>
        </w:rPr>
        <w:t>er</w:t>
      </w:r>
      <w:r w:rsidR="6DEA1125" w:rsidRPr="00A10386">
        <w:rPr>
          <w:noProof/>
        </w:rPr>
        <w:t>, transit or stay</w:t>
      </w:r>
      <w:r w:rsidR="006C4261" w:rsidRPr="00A10386">
        <w:rPr>
          <w:noProof/>
        </w:rPr>
        <w:t xml:space="preserve"> in the Union without authorisation</w:t>
      </w:r>
      <w:r w:rsidR="6DEA1125" w:rsidRPr="00A10386">
        <w:rPr>
          <w:noProof/>
        </w:rPr>
        <w:t>.</w:t>
      </w:r>
      <w:r w:rsidR="00571919" w:rsidRPr="00A10386">
        <w:rPr>
          <w:noProof/>
        </w:rPr>
        <w:t xml:space="preserve"> </w:t>
      </w:r>
      <w:r w:rsidR="00AE3AC4" w:rsidRPr="00A10386">
        <w:rPr>
          <w:noProof/>
        </w:rPr>
        <w:t>Providing</w:t>
      </w:r>
      <w:r w:rsidR="00571919" w:rsidRPr="00A10386">
        <w:rPr>
          <w:noProof/>
        </w:rPr>
        <w:t xml:space="preserve"> objective information or advice to third-country nationals on </w:t>
      </w:r>
      <w:r w:rsidR="00AE3AC4" w:rsidRPr="00A10386">
        <w:rPr>
          <w:noProof/>
        </w:rPr>
        <w:t xml:space="preserve">the conditions for the </w:t>
      </w:r>
      <w:r w:rsidR="00571919" w:rsidRPr="00A10386">
        <w:rPr>
          <w:noProof/>
        </w:rPr>
        <w:t xml:space="preserve">legal </w:t>
      </w:r>
      <w:r w:rsidR="00AE3AC4" w:rsidRPr="00A10386">
        <w:rPr>
          <w:noProof/>
        </w:rPr>
        <w:t>entry and stay in the Union, and on international protection, should not be understood as public instigation.</w:t>
      </w:r>
      <w:r w:rsidR="00571919" w:rsidRPr="00A10386">
        <w:rPr>
          <w:noProof/>
        </w:rPr>
        <w:t xml:space="preserve"> </w:t>
      </w:r>
    </w:p>
    <w:p w14:paraId="5C893187" w14:textId="43AE226F" w:rsidR="392281CB" w:rsidRPr="00A10386" w:rsidRDefault="00812BEC" w:rsidP="00812BEC">
      <w:pPr>
        <w:pStyle w:val="ManualConsidrant"/>
        <w:rPr>
          <w:noProof/>
        </w:rPr>
      </w:pPr>
      <w:r w:rsidRPr="00A10386">
        <w:rPr>
          <w:noProof/>
        </w:rPr>
        <w:t>(7)</w:t>
      </w:r>
      <w:r w:rsidRPr="00A10386">
        <w:rPr>
          <w:noProof/>
        </w:rPr>
        <w:tab/>
      </w:r>
      <w:r w:rsidR="392281CB" w:rsidRPr="00A10386">
        <w:rPr>
          <w:noProof/>
        </w:rPr>
        <w:t>It is appropriate to provide for criminal liability where there is a link to a financial or material benefit</w:t>
      </w:r>
      <w:r w:rsidR="00BF271E" w:rsidRPr="00A10386">
        <w:rPr>
          <w:noProof/>
        </w:rPr>
        <w:t>, or where migrants are highly likely to be subjected to serious harm</w:t>
      </w:r>
      <w:r w:rsidR="392281CB" w:rsidRPr="00A10386">
        <w:rPr>
          <w:noProof/>
        </w:rPr>
        <w:t>. Th</w:t>
      </w:r>
      <w:r w:rsidR="00BF271E" w:rsidRPr="00A10386">
        <w:rPr>
          <w:noProof/>
        </w:rPr>
        <w:t>ese</w:t>
      </w:r>
      <w:r w:rsidR="392281CB" w:rsidRPr="00A10386">
        <w:rPr>
          <w:noProof/>
        </w:rPr>
        <w:t xml:space="preserve"> element</w:t>
      </w:r>
      <w:r w:rsidR="00BF271E" w:rsidRPr="00A10386">
        <w:rPr>
          <w:noProof/>
        </w:rPr>
        <w:t>s</w:t>
      </w:r>
      <w:r w:rsidR="392281CB" w:rsidRPr="00A10386">
        <w:rPr>
          <w:noProof/>
        </w:rPr>
        <w:t xml:space="preserve"> will usually not be fulfilled when it comes to assistance among family members or the provision of humanitarian assistance</w:t>
      </w:r>
      <w:r w:rsidR="00C20893" w:rsidRPr="00A10386">
        <w:rPr>
          <w:noProof/>
        </w:rPr>
        <w:t xml:space="preserve"> or the support of basic human needs</w:t>
      </w:r>
      <w:r w:rsidR="392281CB" w:rsidRPr="00A10386">
        <w:rPr>
          <w:noProof/>
        </w:rPr>
        <w:t>. Third-country nationals should not become criminally liable for having been the subject to such criminal offences. Moreover, it is not the purpose of this Directive to criminalise, on the one hand, assistance provided to family members and, on the other</w:t>
      </w:r>
      <w:r w:rsidR="00F43256" w:rsidRPr="00A10386">
        <w:rPr>
          <w:noProof/>
        </w:rPr>
        <w:t xml:space="preserve"> hand</w:t>
      </w:r>
      <w:r w:rsidR="392281CB" w:rsidRPr="00A10386">
        <w:rPr>
          <w:noProof/>
        </w:rPr>
        <w:t>, humanitarian assistance or the support of basic human needs provided to third-country nationals in compliance with legal obligations.</w:t>
      </w:r>
    </w:p>
    <w:p w14:paraId="163DF358" w14:textId="1252C26C" w:rsidR="008954E8" w:rsidRPr="00A10386" w:rsidRDefault="00812BEC" w:rsidP="00812BEC">
      <w:pPr>
        <w:pStyle w:val="ManualConsidrant"/>
        <w:rPr>
          <w:noProof/>
        </w:rPr>
      </w:pPr>
      <w:r w:rsidRPr="00A10386">
        <w:rPr>
          <w:noProof/>
        </w:rPr>
        <w:t>(8)</w:t>
      </w:r>
      <w:r w:rsidRPr="00A10386">
        <w:rPr>
          <w:noProof/>
        </w:rPr>
        <w:tab/>
      </w:r>
      <w:r w:rsidR="008954E8" w:rsidRPr="00A10386">
        <w:rPr>
          <w:noProof/>
        </w:rPr>
        <w:t xml:space="preserve">The impact of facilitation of unauthorised entry, transit and stay extends beyond the Member State of unauthorised entry. Minimum rules concerning the definition of the </w:t>
      </w:r>
      <w:r w:rsidR="008D4C8B" w:rsidRPr="00A10386">
        <w:rPr>
          <w:noProof/>
        </w:rPr>
        <w:t>criminal</w:t>
      </w:r>
      <w:r w:rsidR="008954E8" w:rsidRPr="00A10386">
        <w:rPr>
          <w:noProof/>
        </w:rPr>
        <w:t xml:space="preserve"> offences should encompass conducts taking place in the territory of any Member State, to allow Member States other than those of unauthorised entry to </w:t>
      </w:r>
      <w:r w:rsidR="00A35F7E" w:rsidRPr="00A10386">
        <w:rPr>
          <w:noProof/>
        </w:rPr>
        <w:t xml:space="preserve">act on </w:t>
      </w:r>
      <w:r w:rsidR="008954E8" w:rsidRPr="00A10386">
        <w:rPr>
          <w:noProof/>
        </w:rPr>
        <w:t xml:space="preserve">such offences, provided that </w:t>
      </w:r>
      <w:r w:rsidR="004C7FCA" w:rsidRPr="00A10386">
        <w:rPr>
          <w:noProof/>
        </w:rPr>
        <w:t xml:space="preserve">the </w:t>
      </w:r>
      <w:r w:rsidR="1971C27F" w:rsidRPr="00A10386">
        <w:rPr>
          <w:noProof/>
        </w:rPr>
        <w:t xml:space="preserve">Member States concerned establish </w:t>
      </w:r>
      <w:r w:rsidR="008954E8" w:rsidRPr="00A10386">
        <w:rPr>
          <w:noProof/>
        </w:rPr>
        <w:t>jurisdiction over these</w:t>
      </w:r>
      <w:r w:rsidR="004C7FCA" w:rsidRPr="00A10386">
        <w:rPr>
          <w:noProof/>
        </w:rPr>
        <w:t xml:space="preserve"> offences</w:t>
      </w:r>
      <w:r w:rsidR="008954E8" w:rsidRPr="00A10386">
        <w:rPr>
          <w:noProof/>
        </w:rPr>
        <w:t>.</w:t>
      </w:r>
    </w:p>
    <w:p w14:paraId="61AD2EA4" w14:textId="0A199416" w:rsidR="005D4ADB" w:rsidRPr="00A10386" w:rsidRDefault="00812BEC" w:rsidP="00812BEC">
      <w:pPr>
        <w:pStyle w:val="ManualConsidrant"/>
        <w:rPr>
          <w:noProof/>
        </w:rPr>
      </w:pPr>
      <w:r w:rsidRPr="00A10386">
        <w:rPr>
          <w:noProof/>
        </w:rPr>
        <w:t>(9)</w:t>
      </w:r>
      <w:r w:rsidRPr="00A10386">
        <w:rPr>
          <w:noProof/>
        </w:rPr>
        <w:tab/>
      </w:r>
      <w:r w:rsidR="005D4ADB" w:rsidRPr="00A10386">
        <w:rPr>
          <w:noProof/>
        </w:rPr>
        <w:t xml:space="preserve">There is a need to distinguish between the criminal offence of facilitation of unauthorised entry, transit and stay in the </w:t>
      </w:r>
      <w:r w:rsidR="00EC7878" w:rsidRPr="00A10386">
        <w:rPr>
          <w:noProof/>
        </w:rPr>
        <w:t>Union</w:t>
      </w:r>
      <w:r w:rsidR="005D4ADB" w:rsidRPr="00A10386">
        <w:rPr>
          <w:noProof/>
        </w:rPr>
        <w:t xml:space="preserve"> and </w:t>
      </w:r>
      <w:r w:rsidR="00A35F7E" w:rsidRPr="00A10386">
        <w:rPr>
          <w:noProof/>
        </w:rPr>
        <w:t xml:space="preserve">the </w:t>
      </w:r>
      <w:r w:rsidR="005D4ADB" w:rsidRPr="00A10386">
        <w:rPr>
          <w:noProof/>
        </w:rPr>
        <w:t>aggravated criminal offences that create higher harm to individuals and to society. The levels of penalties should reflect the higher social concern regarding more serious and harmful conducts</w:t>
      </w:r>
      <w:r w:rsidR="00AD385F" w:rsidRPr="00A10386">
        <w:rPr>
          <w:noProof/>
        </w:rPr>
        <w:t>, therefore aggravated offences should be sanctioned by</w:t>
      </w:r>
      <w:r w:rsidR="005D4ADB" w:rsidRPr="00A10386">
        <w:rPr>
          <w:noProof/>
        </w:rPr>
        <w:t xml:space="preserve"> </w:t>
      </w:r>
      <w:r w:rsidR="00AD385F" w:rsidRPr="00A10386">
        <w:rPr>
          <w:noProof/>
        </w:rPr>
        <w:t>more severe criminal penalties</w:t>
      </w:r>
      <w:r w:rsidR="005D4ADB" w:rsidRPr="00A10386">
        <w:rPr>
          <w:noProof/>
        </w:rPr>
        <w:t xml:space="preserve">. </w:t>
      </w:r>
    </w:p>
    <w:p w14:paraId="4BE321D8" w14:textId="1B042C06" w:rsidR="4FBCB600" w:rsidRPr="00A10386" w:rsidRDefault="00812BEC" w:rsidP="00812BEC">
      <w:pPr>
        <w:pStyle w:val="ManualConsidrant"/>
        <w:rPr>
          <w:noProof/>
        </w:rPr>
      </w:pPr>
      <w:r w:rsidRPr="00A10386">
        <w:rPr>
          <w:noProof/>
        </w:rPr>
        <w:t>(10)</w:t>
      </w:r>
      <w:r w:rsidRPr="00A10386">
        <w:rPr>
          <w:noProof/>
        </w:rPr>
        <w:tab/>
      </w:r>
      <w:r w:rsidR="2F326AEA" w:rsidRPr="00A10386">
        <w:rPr>
          <w:noProof/>
        </w:rPr>
        <w:t xml:space="preserve">Member States should apply </w:t>
      </w:r>
      <w:r w:rsidR="15C1D4DD" w:rsidRPr="00A10386">
        <w:rPr>
          <w:noProof/>
        </w:rPr>
        <w:t xml:space="preserve">this Directive in accordance and in </w:t>
      </w:r>
      <w:r w:rsidR="2F326AEA" w:rsidRPr="00A10386">
        <w:rPr>
          <w:noProof/>
        </w:rPr>
        <w:t xml:space="preserve">full compliance with </w:t>
      </w:r>
      <w:r w:rsidR="33D78218" w:rsidRPr="00A10386">
        <w:rPr>
          <w:noProof/>
        </w:rPr>
        <w:t xml:space="preserve">the 1951 Convention Relating to the Status of Refugees as amended by the Protocol of New York of 1967, obligations related to access to international protection, in particular the principle of </w:t>
      </w:r>
      <w:r w:rsidR="33D78218" w:rsidRPr="00A10386">
        <w:rPr>
          <w:i/>
          <w:iCs/>
          <w:noProof/>
        </w:rPr>
        <w:t>non-refoulement</w:t>
      </w:r>
      <w:r w:rsidR="33D78218" w:rsidRPr="00A10386">
        <w:rPr>
          <w:noProof/>
        </w:rPr>
        <w:t>, and fundamental rights.</w:t>
      </w:r>
    </w:p>
    <w:p w14:paraId="63963442" w14:textId="0A6BE6E0" w:rsidR="0046014A" w:rsidRPr="00A10386" w:rsidRDefault="00812BEC" w:rsidP="00812BEC">
      <w:pPr>
        <w:pStyle w:val="ManualConsidrant"/>
        <w:rPr>
          <w:noProof/>
        </w:rPr>
      </w:pPr>
      <w:r w:rsidRPr="00A10386">
        <w:rPr>
          <w:noProof/>
        </w:rPr>
        <w:t>(11)</w:t>
      </w:r>
      <w:r w:rsidRPr="00A10386">
        <w:rPr>
          <w:noProof/>
        </w:rPr>
        <w:tab/>
      </w:r>
      <w:r w:rsidR="00E25192" w:rsidRPr="00A10386">
        <w:rPr>
          <w:noProof/>
        </w:rPr>
        <w:t xml:space="preserve">Penalties for the </w:t>
      </w:r>
      <w:r w:rsidR="00450819" w:rsidRPr="00A10386">
        <w:rPr>
          <w:noProof/>
        </w:rPr>
        <w:t>criminal</w:t>
      </w:r>
      <w:r w:rsidR="00E25192" w:rsidRPr="00A10386">
        <w:rPr>
          <w:noProof/>
        </w:rPr>
        <w:t xml:space="preserve"> offences should be effective, dissuasive and proportionate. To this end, minimum levels for the maximum term of imprisonment should be set for natural persons. </w:t>
      </w:r>
      <w:r w:rsidR="00C93DA2" w:rsidRPr="00A10386">
        <w:rPr>
          <w:noProof/>
        </w:rPr>
        <w:t>Acc</w:t>
      </w:r>
      <w:r w:rsidR="00E25192" w:rsidRPr="00A10386">
        <w:rPr>
          <w:noProof/>
        </w:rPr>
        <w:t>essory</w:t>
      </w:r>
      <w:r w:rsidR="00C93DA2" w:rsidRPr="00A10386">
        <w:rPr>
          <w:noProof/>
        </w:rPr>
        <w:t xml:space="preserve"> measures are often </w:t>
      </w:r>
      <w:r w:rsidR="006345ED" w:rsidRPr="00A10386">
        <w:rPr>
          <w:noProof/>
        </w:rPr>
        <w:t xml:space="preserve">effective and, therefore, should be </w:t>
      </w:r>
      <w:r w:rsidR="009A263C" w:rsidRPr="00A10386">
        <w:rPr>
          <w:noProof/>
        </w:rPr>
        <w:t xml:space="preserve">also </w:t>
      </w:r>
      <w:r w:rsidR="006345ED" w:rsidRPr="00A10386">
        <w:rPr>
          <w:noProof/>
        </w:rPr>
        <w:t>available in criminal proceedings.</w:t>
      </w:r>
      <w:r w:rsidR="00F862C0" w:rsidRPr="00A10386">
        <w:rPr>
          <w:noProof/>
        </w:rPr>
        <w:t xml:space="preserve"> </w:t>
      </w:r>
      <w:r w:rsidR="00DE52EB" w:rsidRPr="00A10386">
        <w:rPr>
          <w:noProof/>
        </w:rPr>
        <w:t xml:space="preserve">Considering the </w:t>
      </w:r>
      <w:r w:rsidR="004F446F" w:rsidRPr="00A10386">
        <w:rPr>
          <w:noProof/>
        </w:rPr>
        <w:t xml:space="preserve">possible </w:t>
      </w:r>
      <w:r w:rsidR="00532CE5" w:rsidRPr="00A10386">
        <w:rPr>
          <w:noProof/>
        </w:rPr>
        <w:t>risk</w:t>
      </w:r>
      <w:r w:rsidR="00E86D3E" w:rsidRPr="00A10386">
        <w:rPr>
          <w:noProof/>
        </w:rPr>
        <w:t xml:space="preserve"> to</w:t>
      </w:r>
      <w:r w:rsidR="00DE52EB" w:rsidRPr="00A10386">
        <w:rPr>
          <w:noProof/>
        </w:rPr>
        <w:t xml:space="preserve"> </w:t>
      </w:r>
      <w:r w:rsidR="004F446F" w:rsidRPr="00A10386">
        <w:rPr>
          <w:noProof/>
        </w:rPr>
        <w:t>public</w:t>
      </w:r>
      <w:r w:rsidR="00DE52EB" w:rsidRPr="00A10386">
        <w:rPr>
          <w:noProof/>
        </w:rPr>
        <w:t xml:space="preserve"> </w:t>
      </w:r>
      <w:r w:rsidR="004F446F" w:rsidRPr="00A10386">
        <w:rPr>
          <w:noProof/>
        </w:rPr>
        <w:t>policy</w:t>
      </w:r>
      <w:r w:rsidR="00C377CE" w:rsidRPr="00A10386">
        <w:rPr>
          <w:noProof/>
        </w:rPr>
        <w:t xml:space="preserve"> and</w:t>
      </w:r>
      <w:r w:rsidR="004F446F" w:rsidRPr="00A10386">
        <w:rPr>
          <w:noProof/>
        </w:rPr>
        <w:t xml:space="preserve"> public security</w:t>
      </w:r>
      <w:r w:rsidR="00E86D3E" w:rsidRPr="00A10386">
        <w:rPr>
          <w:noProof/>
        </w:rPr>
        <w:t xml:space="preserve"> </w:t>
      </w:r>
      <w:r w:rsidR="006062BF" w:rsidRPr="00A10386">
        <w:rPr>
          <w:noProof/>
        </w:rPr>
        <w:t xml:space="preserve">that </w:t>
      </w:r>
      <w:r w:rsidR="00E86D3E" w:rsidRPr="00A10386">
        <w:rPr>
          <w:noProof/>
        </w:rPr>
        <w:t xml:space="preserve">they may </w:t>
      </w:r>
      <w:r w:rsidR="006062BF" w:rsidRPr="00A10386">
        <w:rPr>
          <w:noProof/>
        </w:rPr>
        <w:t>pose</w:t>
      </w:r>
      <w:r w:rsidR="00C377CE" w:rsidRPr="00A10386">
        <w:rPr>
          <w:noProof/>
        </w:rPr>
        <w:t xml:space="preserve">, </w:t>
      </w:r>
      <w:r w:rsidR="001B72AA" w:rsidRPr="00A10386">
        <w:rPr>
          <w:noProof/>
        </w:rPr>
        <w:t>t</w:t>
      </w:r>
      <w:r w:rsidR="00285ADF" w:rsidRPr="00A10386">
        <w:rPr>
          <w:noProof/>
        </w:rPr>
        <w:t xml:space="preserve">hird-country nationals </w:t>
      </w:r>
      <w:r w:rsidR="002D2703" w:rsidRPr="00A10386">
        <w:rPr>
          <w:noProof/>
        </w:rPr>
        <w:t>who committed the offence</w:t>
      </w:r>
      <w:r w:rsidR="00A174D7" w:rsidRPr="00A10386">
        <w:rPr>
          <w:noProof/>
        </w:rPr>
        <w:t>s defined in this Directive</w:t>
      </w:r>
      <w:r w:rsidR="002D2703" w:rsidRPr="00A10386">
        <w:rPr>
          <w:noProof/>
        </w:rPr>
        <w:t xml:space="preserve"> </w:t>
      </w:r>
      <w:r w:rsidR="005C50CD" w:rsidRPr="00A10386">
        <w:rPr>
          <w:noProof/>
        </w:rPr>
        <w:t>should be subject to return</w:t>
      </w:r>
      <w:r w:rsidR="00ED52CC" w:rsidRPr="00A10386">
        <w:rPr>
          <w:noProof/>
        </w:rPr>
        <w:t xml:space="preserve"> in accordance with Directive 2008/115/EC of the European Parliament and of the Council</w:t>
      </w:r>
      <w:r w:rsidR="00436EB4">
        <w:rPr>
          <w:rStyle w:val="FootnoteReference"/>
          <w:noProof/>
        </w:rPr>
        <w:footnoteReference w:id="44"/>
      </w:r>
      <w:r w:rsidR="00ED52CC" w:rsidRPr="00A10386">
        <w:rPr>
          <w:noProof/>
        </w:rPr>
        <w:t xml:space="preserve"> or in accordance with national law where Member States have made use of Article 2(2), point (b), of that Directive</w:t>
      </w:r>
      <w:r w:rsidR="0005130F" w:rsidRPr="00A10386">
        <w:rPr>
          <w:noProof/>
        </w:rPr>
        <w:t>,</w:t>
      </w:r>
      <w:r w:rsidR="005C50CD" w:rsidRPr="00A10386">
        <w:rPr>
          <w:noProof/>
        </w:rPr>
        <w:t xml:space="preserve"> </w:t>
      </w:r>
      <w:r w:rsidR="00B352CB" w:rsidRPr="00A10386">
        <w:rPr>
          <w:noProof/>
        </w:rPr>
        <w:t xml:space="preserve">either after having served the prison sentence in a Member State or </w:t>
      </w:r>
      <w:r w:rsidR="00A174D7" w:rsidRPr="00A10386">
        <w:rPr>
          <w:noProof/>
        </w:rPr>
        <w:t xml:space="preserve">in view of </w:t>
      </w:r>
      <w:r w:rsidR="00B352CB" w:rsidRPr="00A10386">
        <w:rPr>
          <w:noProof/>
        </w:rPr>
        <w:t>serv</w:t>
      </w:r>
      <w:r w:rsidR="00A174D7" w:rsidRPr="00A10386">
        <w:rPr>
          <w:noProof/>
        </w:rPr>
        <w:t>ing</w:t>
      </w:r>
      <w:r w:rsidR="00B352CB" w:rsidRPr="00A10386">
        <w:rPr>
          <w:noProof/>
        </w:rPr>
        <w:t xml:space="preserve"> </w:t>
      </w:r>
      <w:r w:rsidR="008E15DF" w:rsidRPr="00A10386">
        <w:rPr>
          <w:noProof/>
        </w:rPr>
        <w:t>the prison sentence, or part of it, in a third country</w:t>
      </w:r>
      <w:r w:rsidR="00ED52CC" w:rsidRPr="00A10386">
        <w:rPr>
          <w:noProof/>
        </w:rPr>
        <w:t>, without prejudice to more favourable provisions applicable by virtue of Union or national law</w:t>
      </w:r>
      <w:r w:rsidR="008E15DF" w:rsidRPr="00A10386">
        <w:rPr>
          <w:noProof/>
        </w:rPr>
        <w:t xml:space="preserve">; furthermore, </w:t>
      </w:r>
      <w:r w:rsidR="677BDDD8" w:rsidRPr="00A10386">
        <w:rPr>
          <w:noProof/>
        </w:rPr>
        <w:t xml:space="preserve">without prejudice to more favourable provisions applicable by virtue of Union or national law, </w:t>
      </w:r>
      <w:r w:rsidR="008E15DF" w:rsidRPr="00A10386">
        <w:rPr>
          <w:noProof/>
        </w:rPr>
        <w:t>those third-country nationals</w:t>
      </w:r>
      <w:r w:rsidR="005C50CD" w:rsidRPr="00A10386">
        <w:rPr>
          <w:noProof/>
        </w:rPr>
        <w:t xml:space="preserve"> </w:t>
      </w:r>
      <w:r w:rsidR="008E15DF" w:rsidRPr="00A10386">
        <w:rPr>
          <w:noProof/>
        </w:rPr>
        <w:t>should be prohibit</w:t>
      </w:r>
      <w:r w:rsidR="007E49FD" w:rsidRPr="00A10386">
        <w:rPr>
          <w:noProof/>
        </w:rPr>
        <w:t>ed</w:t>
      </w:r>
      <w:r w:rsidR="008E15DF" w:rsidRPr="00A10386">
        <w:rPr>
          <w:noProof/>
        </w:rPr>
        <w:t xml:space="preserve"> to re-enter the territory of the Member States</w:t>
      </w:r>
      <w:r w:rsidR="0005130F" w:rsidRPr="00A10386">
        <w:rPr>
          <w:noProof/>
        </w:rPr>
        <w:t xml:space="preserve"> for an appropriate period of time </w:t>
      </w:r>
      <w:r w:rsidR="74FF144F" w:rsidRPr="00A10386">
        <w:rPr>
          <w:noProof/>
        </w:rPr>
        <w:t xml:space="preserve">to be determined on a case-by-case basis, and </w:t>
      </w:r>
      <w:r w:rsidR="0005130F" w:rsidRPr="00A10386">
        <w:rPr>
          <w:noProof/>
        </w:rPr>
        <w:t>that can reach 10 years</w:t>
      </w:r>
      <w:r w:rsidR="2A8D58CB" w:rsidRPr="00A10386">
        <w:rPr>
          <w:noProof/>
        </w:rPr>
        <w:t xml:space="preserve"> in the most serious cases</w:t>
      </w:r>
      <w:r w:rsidR="0005130F" w:rsidRPr="00A10386">
        <w:rPr>
          <w:noProof/>
        </w:rPr>
        <w:t>.</w:t>
      </w:r>
      <w:r w:rsidR="008E15DF" w:rsidRPr="00A10386">
        <w:rPr>
          <w:noProof/>
        </w:rPr>
        <w:t xml:space="preserve"> </w:t>
      </w:r>
      <w:r w:rsidR="00F862C0" w:rsidRPr="00A10386">
        <w:rPr>
          <w:noProof/>
        </w:rPr>
        <w:t xml:space="preserve">This </w:t>
      </w:r>
      <w:r w:rsidR="00450819" w:rsidRPr="00A10386">
        <w:rPr>
          <w:noProof/>
        </w:rPr>
        <w:t>should not affect</w:t>
      </w:r>
      <w:r w:rsidR="00F862C0" w:rsidRPr="00A10386">
        <w:rPr>
          <w:noProof/>
        </w:rPr>
        <w:t xml:space="preserve"> the discretion of judges or courts in criminal proceedings to impose appropriate sanctions in the individual cases.</w:t>
      </w:r>
    </w:p>
    <w:p w14:paraId="145FAB2F" w14:textId="3C161F64" w:rsidR="0046014A" w:rsidRPr="00A10386" w:rsidRDefault="00812BEC" w:rsidP="00812BEC">
      <w:pPr>
        <w:pStyle w:val="ManualConsidrant"/>
        <w:rPr>
          <w:noProof/>
        </w:rPr>
      </w:pPr>
      <w:r w:rsidRPr="00A10386">
        <w:rPr>
          <w:noProof/>
        </w:rPr>
        <w:t>(12)</w:t>
      </w:r>
      <w:r w:rsidRPr="00A10386">
        <w:rPr>
          <w:noProof/>
        </w:rPr>
        <w:tab/>
      </w:r>
      <w:r w:rsidR="00B860B5" w:rsidRPr="00A10386">
        <w:rPr>
          <w:noProof/>
        </w:rPr>
        <w:t>The assessment of the seriousness of the offence should also extend to attempts</w:t>
      </w:r>
      <w:r w:rsidR="00C1105C" w:rsidRPr="00A10386">
        <w:rPr>
          <w:noProof/>
        </w:rPr>
        <w:t xml:space="preserve"> to committ the offence</w:t>
      </w:r>
      <w:r w:rsidR="00B860B5" w:rsidRPr="00A10386">
        <w:rPr>
          <w:noProof/>
        </w:rPr>
        <w:t xml:space="preserve"> t</w:t>
      </w:r>
      <w:r w:rsidR="00DA5D9E" w:rsidRPr="00A10386">
        <w:rPr>
          <w:noProof/>
        </w:rPr>
        <w:t xml:space="preserve">hat do not result in </w:t>
      </w:r>
      <w:r w:rsidR="00B860B5" w:rsidRPr="00A10386">
        <w:rPr>
          <w:noProof/>
        </w:rPr>
        <w:t xml:space="preserve">unauthorised entry in the Union. </w:t>
      </w:r>
      <w:r w:rsidR="00707F52" w:rsidRPr="00A10386">
        <w:rPr>
          <w:noProof/>
        </w:rPr>
        <w:t>A</w:t>
      </w:r>
      <w:r w:rsidR="00B860B5" w:rsidRPr="00A10386">
        <w:rPr>
          <w:noProof/>
        </w:rPr>
        <w:t>ttempts</w:t>
      </w:r>
      <w:r w:rsidR="00707F52" w:rsidRPr="00A10386">
        <w:rPr>
          <w:noProof/>
        </w:rPr>
        <w:t xml:space="preserve"> that</w:t>
      </w:r>
      <w:r w:rsidR="00B860B5" w:rsidRPr="00A10386">
        <w:rPr>
          <w:noProof/>
        </w:rPr>
        <w:t>caus</w:t>
      </w:r>
      <w:r w:rsidR="00707F52" w:rsidRPr="00A10386">
        <w:rPr>
          <w:noProof/>
        </w:rPr>
        <w:t>e</w:t>
      </w:r>
      <w:r w:rsidR="00B860B5" w:rsidRPr="00A10386">
        <w:rPr>
          <w:noProof/>
        </w:rPr>
        <w:t xml:space="preserve"> the death of one or more third-country nationals</w:t>
      </w:r>
      <w:r w:rsidR="009D0C4E" w:rsidRPr="00A10386">
        <w:rPr>
          <w:noProof/>
        </w:rPr>
        <w:t xml:space="preserve"> </w:t>
      </w:r>
      <w:r w:rsidR="00B860B5" w:rsidRPr="00A10386">
        <w:rPr>
          <w:noProof/>
        </w:rPr>
        <w:t>should be sanctioned with more severe penalties</w:t>
      </w:r>
      <w:r w:rsidR="00B16DF6" w:rsidRPr="00A10386">
        <w:rPr>
          <w:noProof/>
        </w:rPr>
        <w:t xml:space="preserve"> than other types of attempts</w:t>
      </w:r>
      <w:r w:rsidR="00B860B5" w:rsidRPr="00A10386">
        <w:rPr>
          <w:noProof/>
        </w:rPr>
        <w:t>.</w:t>
      </w:r>
      <w:r w:rsidR="00A92E5D" w:rsidRPr="00A10386">
        <w:rPr>
          <w:noProof/>
        </w:rPr>
        <w:t xml:space="preserve"> </w:t>
      </w:r>
      <w:r w:rsidR="00B16DF6" w:rsidRPr="00A10386">
        <w:rPr>
          <w:noProof/>
        </w:rPr>
        <w:t xml:space="preserve">Setting minimum rules on the maximum level of penalties at Union level for such attempts </w:t>
      </w:r>
      <w:r w:rsidR="00A92E5D" w:rsidRPr="00A10386">
        <w:rPr>
          <w:noProof/>
        </w:rPr>
        <w:t xml:space="preserve">is justified and proportionate in view </w:t>
      </w:r>
      <w:r w:rsidR="00475082" w:rsidRPr="00A10386">
        <w:rPr>
          <w:noProof/>
        </w:rPr>
        <w:t xml:space="preserve">of the </w:t>
      </w:r>
      <w:r w:rsidR="00475082" w:rsidRPr="00A10386">
        <w:rPr>
          <w:rFonts w:eastAsia="Times New Roman"/>
          <w:noProof/>
        </w:rPr>
        <w:t xml:space="preserve">transnational dimension </w:t>
      </w:r>
      <w:r w:rsidR="00475082" w:rsidRPr="00A10386">
        <w:rPr>
          <w:noProof/>
        </w:rPr>
        <w:t xml:space="preserve">of the offence, and the fact that </w:t>
      </w:r>
      <w:r w:rsidR="00A92E5D" w:rsidRPr="00A10386">
        <w:rPr>
          <w:noProof/>
        </w:rPr>
        <w:t xml:space="preserve">an attempt to committ the offence </w:t>
      </w:r>
      <w:r w:rsidR="00475082" w:rsidRPr="00A10386">
        <w:rPr>
          <w:noProof/>
        </w:rPr>
        <w:t>resulting</w:t>
      </w:r>
      <w:r w:rsidR="00A92E5D" w:rsidRPr="00A10386">
        <w:rPr>
          <w:noProof/>
        </w:rPr>
        <w:t xml:space="preserve"> in the death of third-country nationals </w:t>
      </w:r>
      <w:r w:rsidR="00475082" w:rsidRPr="00A10386">
        <w:rPr>
          <w:noProof/>
        </w:rPr>
        <w:t>bears the same gravity</w:t>
      </w:r>
      <w:r w:rsidR="00A92E5D" w:rsidRPr="00A10386">
        <w:rPr>
          <w:noProof/>
        </w:rPr>
        <w:t xml:space="preserve"> as a committed offence</w:t>
      </w:r>
      <w:r w:rsidR="00475082" w:rsidRPr="00A10386">
        <w:rPr>
          <w:noProof/>
        </w:rPr>
        <w:t xml:space="preserve"> resulting in death</w:t>
      </w:r>
      <w:r w:rsidR="00A92E5D" w:rsidRPr="00A10386">
        <w:rPr>
          <w:noProof/>
        </w:rPr>
        <w:t xml:space="preserve">. </w:t>
      </w:r>
    </w:p>
    <w:p w14:paraId="3536F06F" w14:textId="55B2E55F" w:rsidR="001A565B" w:rsidRPr="00A10386" w:rsidRDefault="00812BEC" w:rsidP="00812BEC">
      <w:pPr>
        <w:pStyle w:val="ManualConsidrant"/>
        <w:rPr>
          <w:noProof/>
        </w:rPr>
      </w:pPr>
      <w:r w:rsidRPr="00A10386">
        <w:rPr>
          <w:noProof/>
        </w:rPr>
        <w:t>(13)</w:t>
      </w:r>
      <w:r w:rsidRPr="00A10386">
        <w:rPr>
          <w:noProof/>
        </w:rPr>
        <w:tab/>
      </w:r>
      <w:r w:rsidR="007F5D77" w:rsidRPr="00A10386">
        <w:rPr>
          <w:noProof/>
        </w:rPr>
        <w:t xml:space="preserve">Where national law provides for it, legal persons should </w:t>
      </w:r>
      <w:r w:rsidR="001A565B" w:rsidRPr="00A10386">
        <w:rPr>
          <w:noProof/>
        </w:rPr>
        <w:t>be held criminally liable for the facilitation of unauthorised entry, transit and stay</w:t>
      </w:r>
      <w:r w:rsidR="005A650C" w:rsidRPr="00A10386">
        <w:rPr>
          <w:noProof/>
        </w:rPr>
        <w:t xml:space="preserve"> in the Union</w:t>
      </w:r>
      <w:r w:rsidR="00336771" w:rsidRPr="00A10386">
        <w:rPr>
          <w:noProof/>
        </w:rPr>
        <w:t xml:space="preserve">. </w:t>
      </w:r>
      <w:r w:rsidR="00A60F16" w:rsidRPr="00A10386">
        <w:rPr>
          <w:noProof/>
        </w:rPr>
        <w:t xml:space="preserve">Member States whose national law does not provide for the criminal liability of legal persons should ensure that their administrative sanctioning systems provide for effective, dissuasive and proportionate </w:t>
      </w:r>
      <w:r w:rsidR="004B2A16" w:rsidRPr="00A10386">
        <w:rPr>
          <w:noProof/>
        </w:rPr>
        <w:t xml:space="preserve">sanction types and levels, as laid down in this Directive in order to achieve its objectives. </w:t>
      </w:r>
      <w:r w:rsidR="6B048D8A" w:rsidRPr="00A10386">
        <w:rPr>
          <w:noProof/>
        </w:rPr>
        <w:t>They should be accompanied by a</w:t>
      </w:r>
      <w:r w:rsidR="00B14A50" w:rsidRPr="00A10386">
        <w:rPr>
          <w:noProof/>
        </w:rPr>
        <w:t xml:space="preserve">ccessory measures. </w:t>
      </w:r>
      <w:r w:rsidR="004D7E1D" w:rsidRPr="00A10386">
        <w:rPr>
          <w:noProof/>
        </w:rPr>
        <w:t>The financial situation of legal persons</w:t>
      </w:r>
      <w:r w:rsidR="29ADE66C" w:rsidRPr="00A10386">
        <w:rPr>
          <w:noProof/>
        </w:rPr>
        <w:t xml:space="preserve"> </w:t>
      </w:r>
      <w:r w:rsidR="004D7E1D" w:rsidRPr="00A10386">
        <w:rPr>
          <w:noProof/>
        </w:rPr>
        <w:t>should be considered to ensure the dissuasiveness of the sanction imposed</w:t>
      </w:r>
      <w:r w:rsidR="77F5A9DA" w:rsidRPr="00A10386">
        <w:rPr>
          <w:noProof/>
        </w:rPr>
        <w:t xml:space="preserve"> </w:t>
      </w:r>
      <w:r w:rsidR="1B687BBE" w:rsidRPr="00A10386">
        <w:rPr>
          <w:noProof/>
        </w:rPr>
        <w:t xml:space="preserve">with </w:t>
      </w:r>
      <w:r w:rsidR="791071D2" w:rsidRPr="00A10386">
        <w:rPr>
          <w:noProof/>
        </w:rPr>
        <w:t>criminal and non-criminal fines</w:t>
      </w:r>
      <w:r w:rsidR="77F5A9DA" w:rsidRPr="00A10386">
        <w:rPr>
          <w:noProof/>
        </w:rPr>
        <w:t xml:space="preserve"> </w:t>
      </w:r>
      <w:r w:rsidR="27AF62E1" w:rsidRPr="00A10386">
        <w:rPr>
          <w:noProof/>
        </w:rPr>
        <w:t>taking into account worldwide turnover of the legal persons</w:t>
      </w:r>
      <w:r w:rsidR="007F5D77" w:rsidRPr="00A10386">
        <w:rPr>
          <w:noProof/>
        </w:rPr>
        <w:t>.</w:t>
      </w:r>
    </w:p>
    <w:p w14:paraId="17B29B4F" w14:textId="68B0A2A9" w:rsidR="00354A93" w:rsidRPr="00A10386" w:rsidRDefault="00812BEC" w:rsidP="00812BEC">
      <w:pPr>
        <w:pStyle w:val="ManualConsidrant"/>
        <w:rPr>
          <w:noProof/>
        </w:rPr>
      </w:pPr>
      <w:r w:rsidRPr="00A10386">
        <w:rPr>
          <w:noProof/>
        </w:rPr>
        <w:t>(14)</w:t>
      </w:r>
      <w:r w:rsidRPr="00A10386">
        <w:rPr>
          <w:noProof/>
        </w:rPr>
        <w:tab/>
      </w:r>
      <w:r w:rsidR="00F30A40" w:rsidRPr="00A10386">
        <w:rPr>
          <w:noProof/>
        </w:rPr>
        <w:t>E</w:t>
      </w:r>
      <w:r w:rsidR="00DB772C" w:rsidRPr="00A10386">
        <w:rPr>
          <w:noProof/>
        </w:rPr>
        <w:t>ffectiveness of sanction</w:t>
      </w:r>
      <w:r w:rsidR="00F30A40" w:rsidRPr="00A10386">
        <w:rPr>
          <w:noProof/>
        </w:rPr>
        <w:t>s</w:t>
      </w:r>
      <w:r w:rsidR="00DB772C" w:rsidRPr="00A10386">
        <w:rPr>
          <w:noProof/>
        </w:rPr>
        <w:t xml:space="preserve"> imposed in practice should be fostered through </w:t>
      </w:r>
      <w:r w:rsidR="00F30A40" w:rsidRPr="00A10386">
        <w:rPr>
          <w:noProof/>
        </w:rPr>
        <w:t>providing for</w:t>
      </w:r>
      <w:r w:rsidR="00DB772C" w:rsidRPr="00A10386">
        <w:rPr>
          <w:noProof/>
        </w:rPr>
        <w:t xml:space="preserve"> aggravating circumstances that reflect the severity of the crim</w:t>
      </w:r>
      <w:r w:rsidR="00F30A40" w:rsidRPr="00A10386">
        <w:rPr>
          <w:noProof/>
        </w:rPr>
        <w:t>inal</w:t>
      </w:r>
      <w:r w:rsidR="00DB772C" w:rsidRPr="00A10386">
        <w:rPr>
          <w:noProof/>
        </w:rPr>
        <w:t xml:space="preserve"> offence.</w:t>
      </w:r>
      <w:r w:rsidR="006F6839" w:rsidRPr="00A10386">
        <w:rPr>
          <w:noProof/>
        </w:rPr>
        <w:t xml:space="preserve"> </w:t>
      </w:r>
      <w:r w:rsidR="207E4003" w:rsidRPr="00A10386">
        <w:rPr>
          <w:noProof/>
        </w:rPr>
        <w:t xml:space="preserve">Graver circumstances </w:t>
      </w:r>
      <w:r w:rsidR="2E0471D2" w:rsidRPr="00A10386">
        <w:rPr>
          <w:noProof/>
        </w:rPr>
        <w:t>should include situations conducive to other unlawful activities, such as exploitation,</w:t>
      </w:r>
      <w:r w:rsidR="005C3245" w:rsidRPr="00A10386">
        <w:rPr>
          <w:noProof/>
        </w:rPr>
        <w:t xml:space="preserve"> </w:t>
      </w:r>
      <w:r w:rsidR="00082918" w:rsidRPr="00A10386">
        <w:rPr>
          <w:noProof/>
        </w:rPr>
        <w:t xml:space="preserve">including sexual exploitation, </w:t>
      </w:r>
      <w:r w:rsidR="005C3245" w:rsidRPr="00A10386">
        <w:rPr>
          <w:noProof/>
        </w:rPr>
        <w:t>instrumentalisation,</w:t>
      </w:r>
      <w:r w:rsidR="2E0471D2" w:rsidRPr="00A10386">
        <w:rPr>
          <w:noProof/>
        </w:rPr>
        <w:t xml:space="preserve"> dispossession of identity </w:t>
      </w:r>
      <w:r w:rsidR="73DCA90E" w:rsidRPr="00A10386">
        <w:rPr>
          <w:noProof/>
        </w:rPr>
        <w:t>documents, and involvement in illegal employment</w:t>
      </w:r>
      <w:r w:rsidR="006E12EE" w:rsidRPr="00A10386">
        <w:rPr>
          <w:noProof/>
        </w:rPr>
        <w:t>.</w:t>
      </w:r>
      <w:r w:rsidR="62A7B820" w:rsidRPr="00A10386">
        <w:rPr>
          <w:noProof/>
        </w:rPr>
        <w:t xml:space="preserve"> </w:t>
      </w:r>
    </w:p>
    <w:p w14:paraId="39FCD607" w14:textId="35BC1EE1" w:rsidR="00354A93" w:rsidRPr="00A10386" w:rsidRDefault="00812BEC" w:rsidP="00812BEC">
      <w:pPr>
        <w:pStyle w:val="ManualConsidrant"/>
        <w:rPr>
          <w:noProof/>
        </w:rPr>
      </w:pPr>
      <w:r w:rsidRPr="00A10386">
        <w:rPr>
          <w:noProof/>
        </w:rPr>
        <w:t>(15)</w:t>
      </w:r>
      <w:r w:rsidRPr="00A10386">
        <w:rPr>
          <w:noProof/>
        </w:rPr>
        <w:tab/>
      </w:r>
      <w:r w:rsidR="00464BB5" w:rsidRPr="00A10386">
        <w:rPr>
          <w:noProof/>
        </w:rPr>
        <w:t xml:space="preserve">The approximation and effectiveness of sanction levels imposed in practice should </w:t>
      </w:r>
      <w:r w:rsidR="00E04023" w:rsidRPr="00A10386">
        <w:rPr>
          <w:noProof/>
        </w:rPr>
        <w:t xml:space="preserve">also </w:t>
      </w:r>
      <w:r w:rsidR="00464BB5" w:rsidRPr="00A10386">
        <w:rPr>
          <w:noProof/>
        </w:rPr>
        <w:t xml:space="preserve">be fostered </w:t>
      </w:r>
      <w:r w:rsidR="00E04023" w:rsidRPr="00A10386">
        <w:rPr>
          <w:noProof/>
        </w:rPr>
        <w:t>with</w:t>
      </w:r>
      <w:r w:rsidR="00464BB5" w:rsidRPr="00A10386">
        <w:rPr>
          <w:noProof/>
        </w:rPr>
        <w:t xml:space="preserve"> common mitigating circumstances that reflect the </w:t>
      </w:r>
      <w:r w:rsidR="009B6562" w:rsidRPr="00A10386">
        <w:rPr>
          <w:noProof/>
        </w:rPr>
        <w:t>contribution provided by natural or legal person</w:t>
      </w:r>
      <w:r w:rsidR="00E04023" w:rsidRPr="00A10386">
        <w:rPr>
          <w:noProof/>
        </w:rPr>
        <w:t>s</w:t>
      </w:r>
      <w:r w:rsidR="009B6562" w:rsidRPr="00A10386">
        <w:rPr>
          <w:noProof/>
        </w:rPr>
        <w:t xml:space="preserve"> that perpetrated </w:t>
      </w:r>
      <w:r w:rsidR="00E04023" w:rsidRPr="00A10386">
        <w:rPr>
          <w:noProof/>
        </w:rPr>
        <w:t>a</w:t>
      </w:r>
      <w:r w:rsidR="009B6562" w:rsidRPr="00A10386">
        <w:rPr>
          <w:noProof/>
        </w:rPr>
        <w:t xml:space="preserve"> </w:t>
      </w:r>
      <w:r w:rsidR="00F30A40" w:rsidRPr="00A10386">
        <w:rPr>
          <w:noProof/>
        </w:rPr>
        <w:t>criminal</w:t>
      </w:r>
      <w:r w:rsidR="009B6562" w:rsidRPr="00A10386">
        <w:rPr>
          <w:noProof/>
        </w:rPr>
        <w:t xml:space="preserve"> offence </w:t>
      </w:r>
      <w:r w:rsidR="00E04023" w:rsidRPr="00A10386">
        <w:rPr>
          <w:noProof/>
        </w:rPr>
        <w:t xml:space="preserve">referred to in this Directive through cooperation with the </w:t>
      </w:r>
      <w:r w:rsidR="00487EC7" w:rsidRPr="00A10386">
        <w:rPr>
          <w:noProof/>
        </w:rPr>
        <w:t>competent national authorities</w:t>
      </w:r>
      <w:r w:rsidR="009D0C4E" w:rsidRPr="00A10386">
        <w:rPr>
          <w:noProof/>
        </w:rPr>
        <w:t xml:space="preserve"> in the investigation </w:t>
      </w:r>
      <w:r w:rsidR="0040457F" w:rsidRPr="00A10386">
        <w:rPr>
          <w:noProof/>
        </w:rPr>
        <w:t xml:space="preserve">or detection of </w:t>
      </w:r>
      <w:r w:rsidR="009D0C4E" w:rsidRPr="00A10386">
        <w:rPr>
          <w:noProof/>
        </w:rPr>
        <w:t>such offence</w:t>
      </w:r>
      <w:r w:rsidR="00487EC7" w:rsidRPr="00A10386">
        <w:rPr>
          <w:noProof/>
        </w:rPr>
        <w:t>.</w:t>
      </w:r>
    </w:p>
    <w:p w14:paraId="33ABAA74" w14:textId="7F6DE376" w:rsidR="00F81CB8" w:rsidRPr="00A10386" w:rsidRDefault="00812BEC" w:rsidP="00812BEC">
      <w:pPr>
        <w:pStyle w:val="ManualConsidrant"/>
        <w:rPr>
          <w:noProof/>
        </w:rPr>
      </w:pPr>
      <w:r w:rsidRPr="00A10386">
        <w:rPr>
          <w:noProof/>
        </w:rPr>
        <w:t>(16)</w:t>
      </w:r>
      <w:r w:rsidRPr="00A10386">
        <w:rPr>
          <w:noProof/>
        </w:rPr>
        <w:tab/>
      </w:r>
      <w:r w:rsidR="006379B6" w:rsidRPr="00A10386">
        <w:rPr>
          <w:noProof/>
        </w:rPr>
        <w:t xml:space="preserve">Member States should lay down rules concerning limitation periods in order to enable them to counter the </w:t>
      </w:r>
      <w:r w:rsidR="00F30A40" w:rsidRPr="00A10386">
        <w:rPr>
          <w:noProof/>
        </w:rPr>
        <w:t xml:space="preserve">criminal </w:t>
      </w:r>
      <w:r w:rsidR="006379B6" w:rsidRPr="00A10386">
        <w:rPr>
          <w:noProof/>
        </w:rPr>
        <w:t xml:space="preserve">offences referred to in this Directive </w:t>
      </w:r>
      <w:r w:rsidR="00353494" w:rsidRPr="00A10386">
        <w:rPr>
          <w:noProof/>
        </w:rPr>
        <w:t xml:space="preserve">effectively, without </w:t>
      </w:r>
      <w:r w:rsidR="006379B6" w:rsidRPr="00A10386">
        <w:rPr>
          <w:noProof/>
        </w:rPr>
        <w:t>prejudice to</w:t>
      </w:r>
      <w:r w:rsidR="00353494" w:rsidRPr="00A10386">
        <w:rPr>
          <w:noProof/>
        </w:rPr>
        <w:t xml:space="preserve"> national rules that do not set limitation periods for investigation, prosecution and enforcement.</w:t>
      </w:r>
    </w:p>
    <w:p w14:paraId="5BB6EACC" w14:textId="74EE9242" w:rsidR="00972A3D" w:rsidRPr="00A10386" w:rsidRDefault="00812BEC" w:rsidP="00812BEC">
      <w:pPr>
        <w:pStyle w:val="ManualConsidrant"/>
        <w:rPr>
          <w:noProof/>
        </w:rPr>
      </w:pPr>
      <w:r w:rsidRPr="00A10386">
        <w:rPr>
          <w:noProof/>
        </w:rPr>
        <w:t>(17)</w:t>
      </w:r>
      <w:r w:rsidRPr="00A10386">
        <w:rPr>
          <w:noProof/>
        </w:rPr>
        <w:tab/>
      </w:r>
      <w:r w:rsidR="729D31AB" w:rsidRPr="00A10386">
        <w:rPr>
          <w:noProof/>
        </w:rPr>
        <w:t xml:space="preserve">To counter the facilitation of unauthorised entry, transit and stay in the Union, it is of outmost importance to ensure the effective seizure of the proceedings of the crime, as well as of the instrumentalities that are used to commit the </w:t>
      </w:r>
      <w:r w:rsidR="00FE7572" w:rsidRPr="00A10386">
        <w:rPr>
          <w:noProof/>
        </w:rPr>
        <w:t xml:space="preserve">criminal </w:t>
      </w:r>
      <w:r w:rsidR="729D31AB" w:rsidRPr="00A10386">
        <w:rPr>
          <w:noProof/>
        </w:rPr>
        <w:t xml:space="preserve">offences, including for instance boats, engines and other boat components and vehicles. For this purpose, full use should be made of existing instruments on the freezing and confiscation of proceeds and instrumentalities of crime, such as </w:t>
      </w:r>
      <w:r w:rsidR="00520794" w:rsidRPr="00A10386">
        <w:rPr>
          <w:noProof/>
        </w:rPr>
        <w:t>Directive 2014/42/EU of the European Parliament and of the Council</w:t>
      </w:r>
      <w:r w:rsidR="00520794" w:rsidRPr="00A10386">
        <w:rPr>
          <w:rStyle w:val="FootnoteReference"/>
          <w:noProof/>
        </w:rPr>
        <w:footnoteReference w:id="45"/>
      </w:r>
      <w:r w:rsidR="00520794" w:rsidRPr="00A10386">
        <w:rPr>
          <w:noProof/>
        </w:rPr>
        <w:t>.</w:t>
      </w:r>
    </w:p>
    <w:p w14:paraId="135A78F7" w14:textId="5094BB9F" w:rsidR="00972A3D" w:rsidRPr="00A10386" w:rsidRDefault="00812BEC" w:rsidP="00812BEC">
      <w:pPr>
        <w:pStyle w:val="ManualConsidrant"/>
        <w:rPr>
          <w:noProof/>
        </w:rPr>
      </w:pPr>
      <w:r w:rsidRPr="00A10386">
        <w:rPr>
          <w:noProof/>
        </w:rPr>
        <w:t>(18)</w:t>
      </w:r>
      <w:r w:rsidRPr="00A10386">
        <w:rPr>
          <w:noProof/>
        </w:rPr>
        <w:tab/>
      </w:r>
      <w:r w:rsidR="4113C713" w:rsidRPr="00A10386">
        <w:rPr>
          <w:noProof/>
        </w:rPr>
        <w:t>Consider</w:t>
      </w:r>
      <w:r w:rsidR="7F08F8F4" w:rsidRPr="00A10386">
        <w:rPr>
          <w:noProof/>
        </w:rPr>
        <w:t>ing</w:t>
      </w:r>
      <w:r w:rsidR="4113C713" w:rsidRPr="00A10386">
        <w:rPr>
          <w:noProof/>
        </w:rPr>
        <w:t xml:space="preserve"> the </w:t>
      </w:r>
      <w:r w:rsidR="7CA705A1" w:rsidRPr="00A10386">
        <w:rPr>
          <w:noProof/>
        </w:rPr>
        <w:t xml:space="preserve">cross-border nature of the </w:t>
      </w:r>
      <w:r w:rsidR="67E6B4CA" w:rsidRPr="00A10386">
        <w:rPr>
          <w:noProof/>
        </w:rPr>
        <w:t xml:space="preserve">criminal </w:t>
      </w:r>
      <w:r w:rsidR="7CA705A1" w:rsidRPr="00A10386">
        <w:rPr>
          <w:noProof/>
        </w:rPr>
        <w:t xml:space="preserve">offences referred to in this Directive, </w:t>
      </w:r>
      <w:r w:rsidR="0EB78F3A" w:rsidRPr="00A10386">
        <w:rPr>
          <w:noProof/>
        </w:rPr>
        <w:t xml:space="preserve">the mobility of perpetrators of illegal conducts and the possibility of cross-border investigations, </w:t>
      </w:r>
      <w:r w:rsidR="67E6B4CA" w:rsidRPr="00A10386">
        <w:rPr>
          <w:noProof/>
        </w:rPr>
        <w:t xml:space="preserve">it is necessary to lay down rules </w:t>
      </w:r>
      <w:r w:rsidR="23958F1D" w:rsidRPr="00A10386">
        <w:rPr>
          <w:noProof/>
        </w:rPr>
        <w:t xml:space="preserve">on </w:t>
      </w:r>
      <w:r w:rsidR="06F28F72" w:rsidRPr="00A10386">
        <w:rPr>
          <w:noProof/>
        </w:rPr>
        <w:t xml:space="preserve">the </w:t>
      </w:r>
      <w:r w:rsidR="23958F1D" w:rsidRPr="00A10386">
        <w:rPr>
          <w:noProof/>
        </w:rPr>
        <w:t>establishment of jurisdiction by</w:t>
      </w:r>
      <w:r w:rsidR="0EB78F3A" w:rsidRPr="00A10386">
        <w:rPr>
          <w:noProof/>
        </w:rPr>
        <w:t xml:space="preserve"> </w:t>
      </w:r>
      <w:r w:rsidR="31264A0B" w:rsidRPr="00A10386">
        <w:rPr>
          <w:noProof/>
        </w:rPr>
        <w:t xml:space="preserve">Member States in order to counter such conduct effectively. </w:t>
      </w:r>
      <w:r w:rsidR="62C700A7" w:rsidRPr="00A10386">
        <w:rPr>
          <w:noProof/>
        </w:rPr>
        <w:t>The</w:t>
      </w:r>
      <w:r w:rsidR="3FD4E70E" w:rsidRPr="00A10386">
        <w:rPr>
          <w:noProof/>
        </w:rPr>
        <w:t xml:space="preserve"> </w:t>
      </w:r>
      <w:r w:rsidR="62C700A7" w:rsidRPr="00A10386">
        <w:rPr>
          <w:noProof/>
        </w:rPr>
        <w:t>unauthorised transit or stay tak</w:t>
      </w:r>
      <w:r w:rsidR="43FF0B12" w:rsidRPr="00A10386">
        <w:rPr>
          <w:noProof/>
        </w:rPr>
        <w:t>ing</w:t>
      </w:r>
      <w:r w:rsidR="62C700A7" w:rsidRPr="00A10386">
        <w:rPr>
          <w:noProof/>
        </w:rPr>
        <w:t xml:space="preserve"> place in whole or in part in the territory of a Member State should allow </w:t>
      </w:r>
      <w:r w:rsidR="62EFE6FE" w:rsidRPr="00A10386">
        <w:rPr>
          <w:noProof/>
        </w:rPr>
        <w:t>a</w:t>
      </w:r>
      <w:r w:rsidR="62C700A7" w:rsidRPr="00A10386">
        <w:rPr>
          <w:noProof/>
        </w:rPr>
        <w:t xml:space="preserve"> Member State different from </w:t>
      </w:r>
      <w:r w:rsidR="53CB20CC" w:rsidRPr="00A10386">
        <w:rPr>
          <w:noProof/>
        </w:rPr>
        <w:t>the Member State of first unauthorised entry</w:t>
      </w:r>
      <w:r w:rsidR="5E5A5C20" w:rsidRPr="00A10386">
        <w:rPr>
          <w:noProof/>
        </w:rPr>
        <w:t xml:space="preserve"> to establish jurisdiction</w:t>
      </w:r>
      <w:r w:rsidR="53CB20CC" w:rsidRPr="00A10386">
        <w:rPr>
          <w:noProof/>
        </w:rPr>
        <w:t xml:space="preserve">. </w:t>
      </w:r>
      <w:r w:rsidR="5A821673" w:rsidRPr="00A10386">
        <w:rPr>
          <w:noProof/>
        </w:rPr>
        <w:t>The gravity</w:t>
      </w:r>
      <w:r w:rsidR="0290D3AD" w:rsidRPr="00A10386">
        <w:rPr>
          <w:noProof/>
        </w:rPr>
        <w:t xml:space="preserve"> and</w:t>
      </w:r>
      <w:r w:rsidR="5A821673" w:rsidRPr="00A10386">
        <w:rPr>
          <w:noProof/>
        </w:rPr>
        <w:t xml:space="preserve"> </w:t>
      </w:r>
      <w:r w:rsidR="0290D3AD" w:rsidRPr="00A10386">
        <w:rPr>
          <w:noProof/>
        </w:rPr>
        <w:t xml:space="preserve">the cross-border nature </w:t>
      </w:r>
      <w:r w:rsidR="5A821673" w:rsidRPr="00A10386">
        <w:rPr>
          <w:noProof/>
        </w:rPr>
        <w:t xml:space="preserve">of the </w:t>
      </w:r>
      <w:r w:rsidR="47E45BE0" w:rsidRPr="00A10386">
        <w:rPr>
          <w:noProof/>
        </w:rPr>
        <w:t>offences referred to in this Directive</w:t>
      </w:r>
      <w:r w:rsidR="5A821673" w:rsidRPr="00A10386">
        <w:rPr>
          <w:noProof/>
        </w:rPr>
        <w:t xml:space="preserve"> require that jurisdiction </w:t>
      </w:r>
      <w:r w:rsidR="4712F70D" w:rsidRPr="00A10386">
        <w:rPr>
          <w:noProof/>
        </w:rPr>
        <w:t>be</w:t>
      </w:r>
      <w:r w:rsidR="5A821673" w:rsidRPr="00A10386">
        <w:rPr>
          <w:noProof/>
        </w:rPr>
        <w:t xml:space="preserve"> established not only on natural persons</w:t>
      </w:r>
      <w:r w:rsidR="0C43DEFA" w:rsidRPr="00A10386">
        <w:rPr>
          <w:noProof/>
        </w:rPr>
        <w:t xml:space="preserve"> who are</w:t>
      </w:r>
      <w:r w:rsidR="5A821673" w:rsidRPr="00A10386">
        <w:rPr>
          <w:noProof/>
        </w:rPr>
        <w:t xml:space="preserve"> nationals of the Member State</w:t>
      </w:r>
      <w:r w:rsidR="158B680D" w:rsidRPr="00A10386">
        <w:rPr>
          <w:noProof/>
        </w:rPr>
        <w:t xml:space="preserve"> concerned</w:t>
      </w:r>
      <w:r w:rsidR="5A821673" w:rsidRPr="00A10386">
        <w:rPr>
          <w:noProof/>
        </w:rPr>
        <w:t xml:space="preserve">, but also on third-country nationals habitually residing in its territory. </w:t>
      </w:r>
      <w:r w:rsidR="63C0CE0B" w:rsidRPr="00A10386">
        <w:rPr>
          <w:noProof/>
        </w:rPr>
        <w:t>J</w:t>
      </w:r>
      <w:r w:rsidR="5A821673" w:rsidRPr="00A10386">
        <w:rPr>
          <w:noProof/>
        </w:rPr>
        <w:t xml:space="preserve">urisdiction over </w:t>
      </w:r>
      <w:r w:rsidR="192E3477" w:rsidRPr="00A10386">
        <w:rPr>
          <w:noProof/>
        </w:rPr>
        <w:t>legal persons should be establ</w:t>
      </w:r>
      <w:r w:rsidR="705AC3CB" w:rsidRPr="00A10386">
        <w:rPr>
          <w:noProof/>
        </w:rPr>
        <w:t>ished when these are established in the Member State</w:t>
      </w:r>
      <w:r w:rsidR="5B875A12" w:rsidRPr="00A10386">
        <w:rPr>
          <w:noProof/>
        </w:rPr>
        <w:t xml:space="preserve"> concerned</w:t>
      </w:r>
      <w:r w:rsidR="705AC3CB" w:rsidRPr="00A10386">
        <w:rPr>
          <w:noProof/>
        </w:rPr>
        <w:t xml:space="preserve"> </w:t>
      </w:r>
      <w:r w:rsidR="6693BAB5" w:rsidRPr="00A10386">
        <w:rPr>
          <w:noProof/>
        </w:rPr>
        <w:t>or</w:t>
      </w:r>
      <w:r w:rsidR="705AC3CB" w:rsidRPr="00A10386">
        <w:rPr>
          <w:noProof/>
        </w:rPr>
        <w:t xml:space="preserve"> in respect of any business carried out in whole or in part in its territory. </w:t>
      </w:r>
      <w:r w:rsidR="6342C2E0" w:rsidRPr="00A10386">
        <w:rPr>
          <w:noProof/>
        </w:rPr>
        <w:t>For the same reasons, it is necessary that</w:t>
      </w:r>
      <w:r w:rsidR="18C308CF" w:rsidRPr="00A10386">
        <w:rPr>
          <w:noProof/>
        </w:rPr>
        <w:t xml:space="preserve"> a</w:t>
      </w:r>
      <w:r w:rsidR="6342C2E0" w:rsidRPr="00A10386">
        <w:rPr>
          <w:noProof/>
        </w:rPr>
        <w:t xml:space="preserve"> Member State establish</w:t>
      </w:r>
      <w:r w:rsidR="2265B33D" w:rsidRPr="00A10386">
        <w:rPr>
          <w:noProof/>
        </w:rPr>
        <w:t>es</w:t>
      </w:r>
      <w:r w:rsidR="6342C2E0" w:rsidRPr="00A10386">
        <w:rPr>
          <w:noProof/>
        </w:rPr>
        <w:t xml:space="preserve"> jurisdiction over criminal offences committed on board of ships and aircrafts registered in the Member State or flying its flag.</w:t>
      </w:r>
      <w:r w:rsidR="16FCF7D7" w:rsidRPr="00A10386">
        <w:rPr>
          <w:noProof/>
        </w:rPr>
        <w:t xml:space="preserve"> </w:t>
      </w:r>
      <w:r w:rsidR="2661A993" w:rsidRPr="00A10386">
        <w:rPr>
          <w:noProof/>
        </w:rPr>
        <w:t xml:space="preserve">Member States, including </w:t>
      </w:r>
      <w:r w:rsidR="13A46F80" w:rsidRPr="00A10386">
        <w:rPr>
          <w:noProof/>
        </w:rPr>
        <w:t xml:space="preserve">those </w:t>
      </w:r>
      <w:r w:rsidR="2661A993" w:rsidRPr="00A10386">
        <w:rPr>
          <w:noProof/>
        </w:rPr>
        <w:t>other than th</w:t>
      </w:r>
      <w:r w:rsidR="608D1C01" w:rsidRPr="00A10386">
        <w:rPr>
          <w:noProof/>
        </w:rPr>
        <w:t>at of first unauthorised entry</w:t>
      </w:r>
      <w:r w:rsidR="2661A993" w:rsidRPr="00A10386">
        <w:rPr>
          <w:noProof/>
        </w:rPr>
        <w:t xml:space="preserve">, should establish jurisdiction </w:t>
      </w:r>
      <w:r w:rsidR="3755FE95" w:rsidRPr="00A10386">
        <w:rPr>
          <w:noProof/>
        </w:rPr>
        <w:t>in relation to criminal offence</w:t>
      </w:r>
      <w:r w:rsidR="006B0802" w:rsidRPr="00A10386">
        <w:rPr>
          <w:noProof/>
        </w:rPr>
        <w:t>s referred to in this Directive</w:t>
      </w:r>
      <w:r w:rsidR="3755FE95" w:rsidRPr="00A10386">
        <w:rPr>
          <w:noProof/>
        </w:rPr>
        <w:t xml:space="preserve"> when this results in the entry, transit or stay of the third</w:t>
      </w:r>
      <w:r w:rsidR="002D3FA5" w:rsidRPr="00A10386">
        <w:rPr>
          <w:noProof/>
        </w:rPr>
        <w:t>-</w:t>
      </w:r>
      <w:r w:rsidR="3755FE95" w:rsidRPr="00A10386">
        <w:rPr>
          <w:noProof/>
        </w:rPr>
        <w:t>country nationals subject to the offence in the concerned Member State.</w:t>
      </w:r>
    </w:p>
    <w:p w14:paraId="10DF61F1" w14:textId="520C6081" w:rsidR="00972A3D" w:rsidRPr="00A10386" w:rsidRDefault="00812BEC" w:rsidP="00812BEC">
      <w:pPr>
        <w:pStyle w:val="ManualConsidrant"/>
        <w:rPr>
          <w:noProof/>
        </w:rPr>
      </w:pPr>
      <w:r w:rsidRPr="00A10386">
        <w:rPr>
          <w:noProof/>
        </w:rPr>
        <w:t>(19)</w:t>
      </w:r>
      <w:r w:rsidRPr="00A10386">
        <w:rPr>
          <w:noProof/>
        </w:rPr>
        <w:tab/>
      </w:r>
      <w:r w:rsidR="00976156" w:rsidRPr="00A10386">
        <w:rPr>
          <w:noProof/>
        </w:rPr>
        <w:t>Where assistance is provided for a third-country national to reach the territory of a Member State, the concerned Member States may also be able to establish their jurisdiction with regard to attempts, even if the third-country national does not enter their territory. Member States should at least establish their jurisdiction with regard to the attempt of an offence that caused the death of a third-country national.</w:t>
      </w:r>
      <w:r w:rsidR="250BF425" w:rsidRPr="00A10386">
        <w:rPr>
          <w:noProof/>
        </w:rPr>
        <w:t>.</w:t>
      </w:r>
    </w:p>
    <w:p w14:paraId="64BD1598" w14:textId="06F09122" w:rsidR="008F2172" w:rsidRPr="00A10386" w:rsidRDefault="00812BEC" w:rsidP="00812BEC">
      <w:pPr>
        <w:pStyle w:val="ManualConsidrant"/>
        <w:rPr>
          <w:noProof/>
        </w:rPr>
      </w:pPr>
      <w:r w:rsidRPr="00A10386">
        <w:rPr>
          <w:noProof/>
        </w:rPr>
        <w:t>(20)</w:t>
      </w:r>
      <w:r w:rsidRPr="00A10386">
        <w:rPr>
          <w:noProof/>
        </w:rPr>
        <w:tab/>
      </w:r>
      <w:r w:rsidR="3FA43753" w:rsidRPr="00A10386">
        <w:rPr>
          <w:noProof/>
        </w:rPr>
        <w:t xml:space="preserve">Where </w:t>
      </w:r>
      <w:r w:rsidR="0A721316" w:rsidRPr="00A10386">
        <w:rPr>
          <w:noProof/>
        </w:rPr>
        <w:t xml:space="preserve">a </w:t>
      </w:r>
      <w:r w:rsidR="0036678B" w:rsidRPr="00A10386">
        <w:rPr>
          <w:noProof/>
        </w:rPr>
        <w:t>criminal</w:t>
      </w:r>
      <w:r w:rsidR="0A721316" w:rsidRPr="00A10386">
        <w:rPr>
          <w:noProof/>
        </w:rPr>
        <w:t xml:space="preserve"> offence falls within jurisdiction of more than one Member State, </w:t>
      </w:r>
      <w:r w:rsidR="001F2354" w:rsidRPr="00A10386">
        <w:rPr>
          <w:noProof/>
        </w:rPr>
        <w:t xml:space="preserve">the </w:t>
      </w:r>
      <w:r w:rsidR="0A721316" w:rsidRPr="00A10386">
        <w:rPr>
          <w:noProof/>
        </w:rPr>
        <w:t xml:space="preserve">Member States </w:t>
      </w:r>
      <w:r w:rsidR="001F2354" w:rsidRPr="00A10386">
        <w:rPr>
          <w:noProof/>
        </w:rPr>
        <w:t xml:space="preserve">concerned </w:t>
      </w:r>
      <w:r w:rsidR="0A721316" w:rsidRPr="00A10386">
        <w:rPr>
          <w:noProof/>
        </w:rPr>
        <w:t>sh</w:t>
      </w:r>
      <w:r w:rsidR="02EE45EE" w:rsidRPr="00A10386">
        <w:rPr>
          <w:noProof/>
        </w:rPr>
        <w:t xml:space="preserve">ould cooperate to determine which Member State is best placed to prosecute. </w:t>
      </w:r>
      <w:r w:rsidR="608FB5F0" w:rsidRPr="00A10386">
        <w:rPr>
          <w:rFonts w:eastAsia="Times New Roman"/>
          <w:noProof/>
        </w:rPr>
        <w:t>Where the competent authorities of the Member States concerned decide, following cooperation or direct consultations under Council Framework Decision 2009/948/JHA</w:t>
      </w:r>
      <w:r w:rsidR="006B0802" w:rsidRPr="00A10386">
        <w:rPr>
          <w:rStyle w:val="FootnoteReference"/>
          <w:noProof/>
        </w:rPr>
        <w:footnoteReference w:id="46"/>
      </w:r>
      <w:r w:rsidR="608FB5F0" w:rsidRPr="00A10386">
        <w:rPr>
          <w:rFonts w:eastAsia="Times New Roman"/>
          <w:noProof/>
        </w:rPr>
        <w:t>, to centralise criminal proceedings in a single</w:t>
      </w:r>
      <w:r w:rsidR="154FCE7B" w:rsidRPr="00A10386">
        <w:rPr>
          <w:rFonts w:eastAsia="Times New Roman"/>
          <w:noProof/>
        </w:rPr>
        <w:t xml:space="preserve"> </w:t>
      </w:r>
      <w:r w:rsidR="608FB5F0" w:rsidRPr="00A10386">
        <w:rPr>
          <w:rFonts w:eastAsia="Times New Roman"/>
          <w:noProof/>
        </w:rPr>
        <w:t>Member State through the transfer of criminal proceedings, the</w:t>
      </w:r>
      <w:r w:rsidR="006B0802" w:rsidRPr="00A10386">
        <w:rPr>
          <w:rFonts w:eastAsia="Times New Roman"/>
          <w:noProof/>
        </w:rPr>
        <w:t xml:space="preserve"> Regulation (EU) …/…</w:t>
      </w:r>
      <w:r w:rsidR="608FB5F0" w:rsidRPr="00A10386">
        <w:rPr>
          <w:rFonts w:eastAsia="Times New Roman"/>
          <w:noProof/>
        </w:rPr>
        <w:t xml:space="preserve"> [</w:t>
      </w:r>
      <w:r w:rsidR="0005616F" w:rsidRPr="00A10386">
        <w:rPr>
          <w:rFonts w:eastAsia="Times New Roman"/>
          <w:i/>
          <w:iCs/>
          <w:noProof/>
        </w:rPr>
        <w:t>proposed</w:t>
      </w:r>
      <w:r w:rsidR="0005616F" w:rsidRPr="00A10386">
        <w:rPr>
          <w:i/>
          <w:noProof/>
        </w:rPr>
        <w:t xml:space="preserve"> </w:t>
      </w:r>
      <w:r w:rsidR="608FB5F0" w:rsidRPr="00A10386">
        <w:rPr>
          <w:i/>
          <w:noProof/>
        </w:rPr>
        <w:t>Regulation on the transfer of proceedings in criminal matters</w:t>
      </w:r>
      <w:r w:rsidR="608FB5F0" w:rsidRPr="00A10386">
        <w:rPr>
          <w:rFonts w:eastAsia="Times New Roman"/>
          <w:noProof/>
        </w:rPr>
        <w:t>]</w:t>
      </w:r>
      <w:r w:rsidR="0005616F" w:rsidRPr="00A10386">
        <w:rPr>
          <w:rStyle w:val="FootnoteReference"/>
          <w:noProof/>
        </w:rPr>
        <w:footnoteReference w:id="47"/>
      </w:r>
      <w:r w:rsidR="608FB5F0" w:rsidRPr="00A10386">
        <w:rPr>
          <w:rFonts w:eastAsia="Times New Roman"/>
          <w:noProof/>
        </w:rPr>
        <w:t xml:space="preserve"> should be used for such a transfer. </w:t>
      </w:r>
      <w:r w:rsidR="02EE45EE" w:rsidRPr="00A10386">
        <w:rPr>
          <w:noProof/>
        </w:rPr>
        <w:t xml:space="preserve">For this purpose, the relevant criteria of Article 5 of </w:t>
      </w:r>
      <w:r w:rsidR="006B0802" w:rsidRPr="00A10386">
        <w:rPr>
          <w:noProof/>
        </w:rPr>
        <w:t>that Regulation</w:t>
      </w:r>
      <w:r w:rsidR="0005616F" w:rsidRPr="00A10386">
        <w:rPr>
          <w:noProof/>
        </w:rPr>
        <w:t xml:space="preserve"> </w:t>
      </w:r>
      <w:r w:rsidR="4C6AF516" w:rsidRPr="00A10386">
        <w:rPr>
          <w:noProof/>
        </w:rPr>
        <w:t>should be duly taken into account.</w:t>
      </w:r>
      <w:r w:rsidR="784019F4" w:rsidRPr="00A10386">
        <w:rPr>
          <w:noProof/>
        </w:rPr>
        <w:t xml:space="preserve"> The priority and weight of such criteria should be based on the facts and merits of each individual case.</w:t>
      </w:r>
      <w:r w:rsidR="004328CA" w:rsidRPr="00A10386">
        <w:rPr>
          <w:noProof/>
        </w:rPr>
        <w:t xml:space="preserve"> </w:t>
      </w:r>
    </w:p>
    <w:p w14:paraId="44F24727" w14:textId="28ACC439" w:rsidR="00354A93" w:rsidRPr="00A10386" w:rsidRDefault="00812BEC" w:rsidP="00812BEC">
      <w:pPr>
        <w:pStyle w:val="ManualConsidrant"/>
        <w:rPr>
          <w:noProof/>
        </w:rPr>
      </w:pPr>
      <w:r w:rsidRPr="00A10386">
        <w:rPr>
          <w:noProof/>
        </w:rPr>
        <w:t>(21)</w:t>
      </w:r>
      <w:r w:rsidRPr="00A10386">
        <w:rPr>
          <w:noProof/>
        </w:rPr>
        <w:tab/>
      </w:r>
      <w:r w:rsidR="00912D91" w:rsidRPr="00A10386">
        <w:rPr>
          <w:noProof/>
        </w:rPr>
        <w:t xml:space="preserve">To counter the </w:t>
      </w:r>
      <w:r w:rsidR="0062625D" w:rsidRPr="00A10386">
        <w:rPr>
          <w:noProof/>
        </w:rPr>
        <w:t>facilitation of unauthorised entry, transit and stay</w:t>
      </w:r>
      <w:r w:rsidR="00923830" w:rsidRPr="00A10386">
        <w:rPr>
          <w:noProof/>
        </w:rPr>
        <w:t xml:space="preserve"> in the Union,</w:t>
      </w:r>
      <w:r w:rsidR="0062625D" w:rsidRPr="00A10386">
        <w:rPr>
          <w:noProof/>
        </w:rPr>
        <w:t xml:space="preserve"> </w:t>
      </w:r>
      <w:r w:rsidR="00912D91" w:rsidRPr="00A10386">
        <w:rPr>
          <w:noProof/>
        </w:rPr>
        <w:t xml:space="preserve">both </w:t>
      </w:r>
      <w:r w:rsidR="006F7433" w:rsidRPr="00A10386">
        <w:rPr>
          <w:noProof/>
        </w:rPr>
        <w:t xml:space="preserve">criminal justice </w:t>
      </w:r>
      <w:r w:rsidR="00912D91" w:rsidRPr="00A10386">
        <w:rPr>
          <w:noProof/>
        </w:rPr>
        <w:t xml:space="preserve">and preventive </w:t>
      </w:r>
      <w:r w:rsidR="006F7433" w:rsidRPr="00A10386">
        <w:rPr>
          <w:noProof/>
        </w:rPr>
        <w:t xml:space="preserve">mechanisms </w:t>
      </w:r>
      <w:r w:rsidR="00C04864" w:rsidRPr="00A10386">
        <w:rPr>
          <w:noProof/>
        </w:rPr>
        <w:t>should be used</w:t>
      </w:r>
      <w:r w:rsidR="006F7433" w:rsidRPr="00A10386">
        <w:rPr>
          <w:noProof/>
        </w:rPr>
        <w:t xml:space="preserve">. The prevention of the </w:t>
      </w:r>
      <w:r w:rsidR="0036678B" w:rsidRPr="00A10386">
        <w:rPr>
          <w:noProof/>
        </w:rPr>
        <w:t>criminal</w:t>
      </w:r>
      <w:r w:rsidR="006F7433" w:rsidRPr="00A10386">
        <w:rPr>
          <w:noProof/>
        </w:rPr>
        <w:t xml:space="preserve"> offences referred to in this Directive </w:t>
      </w:r>
      <w:r w:rsidR="006B0802" w:rsidRPr="00A10386">
        <w:rPr>
          <w:noProof/>
        </w:rPr>
        <w:t xml:space="preserve">should </w:t>
      </w:r>
      <w:r w:rsidR="006F7433" w:rsidRPr="00A10386">
        <w:rPr>
          <w:noProof/>
        </w:rPr>
        <w:t xml:space="preserve">mitigate the need for criminal justice response </w:t>
      </w:r>
      <w:r w:rsidR="00E94F0B" w:rsidRPr="00A10386">
        <w:rPr>
          <w:noProof/>
        </w:rPr>
        <w:t xml:space="preserve">and </w:t>
      </w:r>
      <w:r w:rsidR="006B0802" w:rsidRPr="00A10386">
        <w:rPr>
          <w:noProof/>
        </w:rPr>
        <w:t xml:space="preserve">should have </w:t>
      </w:r>
      <w:r w:rsidR="00E94F0B" w:rsidRPr="00A10386">
        <w:rPr>
          <w:noProof/>
        </w:rPr>
        <w:t xml:space="preserve">wider benefits in crime reduction. Such measures should </w:t>
      </w:r>
      <w:r w:rsidR="00FE264C" w:rsidRPr="00A10386">
        <w:rPr>
          <w:noProof/>
        </w:rPr>
        <w:t xml:space="preserve">aim </w:t>
      </w:r>
      <w:r w:rsidR="00CA13AF" w:rsidRPr="00A10386">
        <w:rPr>
          <w:noProof/>
        </w:rPr>
        <w:t>at</w:t>
      </w:r>
      <w:r w:rsidR="00FE264C" w:rsidRPr="00A10386">
        <w:rPr>
          <w:noProof/>
        </w:rPr>
        <w:t xml:space="preserve"> rais</w:t>
      </w:r>
      <w:r w:rsidR="00CA13AF" w:rsidRPr="00A10386">
        <w:rPr>
          <w:noProof/>
        </w:rPr>
        <w:t>ing</w:t>
      </w:r>
      <w:r w:rsidR="00FE264C" w:rsidRPr="00A10386">
        <w:rPr>
          <w:noProof/>
        </w:rPr>
        <w:t xml:space="preserve"> public awareness, and </w:t>
      </w:r>
      <w:r w:rsidR="00E94F0B" w:rsidRPr="00A10386">
        <w:rPr>
          <w:noProof/>
        </w:rPr>
        <w:t>include information campaigns,</w:t>
      </w:r>
      <w:r w:rsidR="00FE264C" w:rsidRPr="00A10386">
        <w:rPr>
          <w:noProof/>
        </w:rPr>
        <w:t xml:space="preserve"> research and education programmes</w:t>
      </w:r>
      <w:r w:rsidR="00BA0082" w:rsidRPr="00A10386">
        <w:rPr>
          <w:noProof/>
        </w:rPr>
        <w:t>. These should be carried out in cooperation with other Member States, relevant Union agencies and third countries.</w:t>
      </w:r>
    </w:p>
    <w:p w14:paraId="1DA08254" w14:textId="3D275320" w:rsidR="0028585E" w:rsidRPr="00A10386" w:rsidRDefault="00812BEC" w:rsidP="00812BEC">
      <w:pPr>
        <w:pStyle w:val="ManualConsidrant"/>
        <w:rPr>
          <w:noProof/>
        </w:rPr>
      </w:pPr>
      <w:r w:rsidRPr="00A10386">
        <w:rPr>
          <w:noProof/>
        </w:rPr>
        <w:t>(22)</w:t>
      </w:r>
      <w:r w:rsidRPr="00A10386">
        <w:rPr>
          <w:noProof/>
        </w:rPr>
        <w:tab/>
      </w:r>
      <w:r w:rsidR="00892EF5" w:rsidRPr="00A10386">
        <w:rPr>
          <w:noProof/>
        </w:rPr>
        <w:t xml:space="preserve">Lack of resources and enforcement powers for national authorities which detect, investigate, prosecute or adjudicate the </w:t>
      </w:r>
      <w:r w:rsidR="0036678B" w:rsidRPr="00A10386">
        <w:rPr>
          <w:noProof/>
        </w:rPr>
        <w:t xml:space="preserve">criminal </w:t>
      </w:r>
      <w:r w:rsidR="00892EF5" w:rsidRPr="00A10386">
        <w:rPr>
          <w:noProof/>
        </w:rPr>
        <w:t xml:space="preserve">offences referred to in this Directive creates obstacles for the effective prevention and punishment thereof. In particular, </w:t>
      </w:r>
      <w:r w:rsidR="00980043" w:rsidRPr="00A10386">
        <w:rPr>
          <w:noProof/>
        </w:rPr>
        <w:t>a</w:t>
      </w:r>
      <w:r w:rsidR="00892EF5" w:rsidRPr="00A10386">
        <w:rPr>
          <w:noProof/>
        </w:rPr>
        <w:t xml:space="preserve"> shortage of resources </w:t>
      </w:r>
      <w:r w:rsidR="00DA4364" w:rsidRPr="00A10386">
        <w:rPr>
          <w:noProof/>
        </w:rPr>
        <w:t>may</w:t>
      </w:r>
      <w:r w:rsidR="00892EF5" w:rsidRPr="00A10386">
        <w:rPr>
          <w:noProof/>
        </w:rPr>
        <w:t xml:space="preserve"> prevent authorities from taking action or limit</w:t>
      </w:r>
      <w:r w:rsidR="00912F89" w:rsidRPr="00A10386">
        <w:rPr>
          <w:noProof/>
        </w:rPr>
        <w:t xml:space="preserve"> </w:t>
      </w:r>
      <w:r w:rsidR="00892EF5" w:rsidRPr="00A10386">
        <w:rPr>
          <w:noProof/>
        </w:rPr>
        <w:t xml:space="preserve">their enforcement actions, allowing offenders to escape liability or to receive punishment </w:t>
      </w:r>
      <w:r w:rsidR="00912F89" w:rsidRPr="00A10386">
        <w:rPr>
          <w:noProof/>
        </w:rPr>
        <w:t xml:space="preserve">that </w:t>
      </w:r>
      <w:r w:rsidR="00892EF5" w:rsidRPr="00A10386">
        <w:rPr>
          <w:noProof/>
        </w:rPr>
        <w:t xml:space="preserve">does not correspond to the gravity of the </w:t>
      </w:r>
      <w:r w:rsidR="008510C5" w:rsidRPr="00A10386">
        <w:rPr>
          <w:noProof/>
        </w:rPr>
        <w:t xml:space="preserve">criminal </w:t>
      </w:r>
      <w:r w:rsidR="00892EF5" w:rsidRPr="00A10386">
        <w:rPr>
          <w:noProof/>
        </w:rPr>
        <w:t xml:space="preserve">offence. </w:t>
      </w:r>
      <w:r w:rsidR="00912F89" w:rsidRPr="00A10386">
        <w:rPr>
          <w:noProof/>
        </w:rPr>
        <w:t>M</w:t>
      </w:r>
      <w:r w:rsidR="00892EF5" w:rsidRPr="00A10386">
        <w:rPr>
          <w:noProof/>
        </w:rPr>
        <w:t xml:space="preserve">inimum criteria concerning resources and enforcement powers should </w:t>
      </w:r>
      <w:r w:rsidR="00912F89" w:rsidRPr="00A10386">
        <w:rPr>
          <w:noProof/>
        </w:rPr>
        <w:t xml:space="preserve">therefore </w:t>
      </w:r>
      <w:r w:rsidR="00892EF5" w:rsidRPr="00A10386">
        <w:rPr>
          <w:noProof/>
        </w:rPr>
        <w:t xml:space="preserve">be established. </w:t>
      </w:r>
    </w:p>
    <w:p w14:paraId="31B49E38" w14:textId="1F0926EF" w:rsidR="005F58A4" w:rsidRPr="00A10386" w:rsidRDefault="00812BEC" w:rsidP="00812BEC">
      <w:pPr>
        <w:pStyle w:val="ManualConsidrant"/>
        <w:rPr>
          <w:noProof/>
        </w:rPr>
      </w:pPr>
      <w:r w:rsidRPr="00A10386">
        <w:rPr>
          <w:noProof/>
        </w:rPr>
        <w:t>(23)</w:t>
      </w:r>
      <w:r w:rsidRPr="00A10386">
        <w:rPr>
          <w:noProof/>
        </w:rPr>
        <w:tab/>
      </w:r>
      <w:r w:rsidR="004D4D50" w:rsidRPr="00A10386">
        <w:rPr>
          <w:noProof/>
        </w:rPr>
        <w:t xml:space="preserve">The effective functioning of the enforcement chain depends on a range of specialist skills. </w:t>
      </w:r>
      <w:r w:rsidR="00912F89" w:rsidRPr="00A10386">
        <w:rPr>
          <w:noProof/>
        </w:rPr>
        <w:t>T</w:t>
      </w:r>
      <w:r w:rsidR="004D4D50" w:rsidRPr="00A10386">
        <w:rPr>
          <w:noProof/>
        </w:rPr>
        <w:t xml:space="preserve">he complexity of the challenges posed by </w:t>
      </w:r>
      <w:r w:rsidR="00A66DCA" w:rsidRPr="00A10386">
        <w:rPr>
          <w:noProof/>
        </w:rPr>
        <w:t>the facilitation of unauthorised entry, transit and stay</w:t>
      </w:r>
      <w:r w:rsidR="00912F89" w:rsidRPr="00A10386">
        <w:rPr>
          <w:noProof/>
        </w:rPr>
        <w:t xml:space="preserve"> in the Union</w:t>
      </w:r>
      <w:r w:rsidR="00A66DCA" w:rsidRPr="00A10386">
        <w:rPr>
          <w:noProof/>
        </w:rPr>
        <w:t>,</w:t>
      </w:r>
      <w:r w:rsidR="004D4D50" w:rsidRPr="00A10386">
        <w:rPr>
          <w:noProof/>
        </w:rPr>
        <w:t xml:space="preserve"> and the nature of </w:t>
      </w:r>
      <w:r w:rsidR="00A66DCA" w:rsidRPr="00A10386">
        <w:rPr>
          <w:noProof/>
        </w:rPr>
        <w:t xml:space="preserve">such </w:t>
      </w:r>
      <w:r w:rsidR="008510C5" w:rsidRPr="00A10386">
        <w:rPr>
          <w:noProof/>
        </w:rPr>
        <w:t xml:space="preserve">criminal </w:t>
      </w:r>
      <w:r w:rsidR="00A66DCA" w:rsidRPr="00A10386">
        <w:rPr>
          <w:noProof/>
        </w:rPr>
        <w:t>offences</w:t>
      </w:r>
      <w:r w:rsidR="004D4D50" w:rsidRPr="00A10386">
        <w:rPr>
          <w:noProof/>
        </w:rPr>
        <w:t xml:space="preserve"> require a multidisciplinary approach, a high level of legal knowledge, technical expertise </w:t>
      </w:r>
      <w:r w:rsidR="38E25216" w:rsidRPr="00A10386">
        <w:rPr>
          <w:noProof/>
        </w:rPr>
        <w:t xml:space="preserve">and financial support </w:t>
      </w:r>
      <w:r w:rsidR="004D4D50" w:rsidRPr="00A10386">
        <w:rPr>
          <w:noProof/>
        </w:rPr>
        <w:t>as well as a high level of training and specialisation within all relevant competent authorities. Member States should provide training appropriate to the function of those who detect, investigate, prosecute or adjudicate</w:t>
      </w:r>
      <w:r w:rsidR="00A66DCA" w:rsidRPr="00A10386">
        <w:rPr>
          <w:noProof/>
        </w:rPr>
        <w:t xml:space="preserve"> </w:t>
      </w:r>
      <w:r w:rsidR="008510C5" w:rsidRPr="00A10386">
        <w:rPr>
          <w:noProof/>
        </w:rPr>
        <w:t xml:space="preserve">criminal </w:t>
      </w:r>
      <w:r w:rsidR="00A66DCA" w:rsidRPr="00A10386">
        <w:rPr>
          <w:noProof/>
        </w:rPr>
        <w:t>offences concerning the facilitation of unauthorised entry, transit and stay</w:t>
      </w:r>
      <w:r w:rsidR="00912F89" w:rsidRPr="00A10386">
        <w:rPr>
          <w:noProof/>
        </w:rPr>
        <w:t xml:space="preserve"> in the Union</w:t>
      </w:r>
      <w:r w:rsidR="004D4D50" w:rsidRPr="00A10386">
        <w:rPr>
          <w:noProof/>
        </w:rPr>
        <w:t>.</w:t>
      </w:r>
    </w:p>
    <w:p w14:paraId="79268BAE" w14:textId="50E29208" w:rsidR="00310ACA" w:rsidRPr="00A10386" w:rsidRDefault="00812BEC" w:rsidP="00812BEC">
      <w:pPr>
        <w:pStyle w:val="ManualConsidrant"/>
        <w:rPr>
          <w:noProof/>
        </w:rPr>
      </w:pPr>
      <w:r w:rsidRPr="00A10386">
        <w:rPr>
          <w:noProof/>
        </w:rPr>
        <w:t>(24)</w:t>
      </w:r>
      <w:r w:rsidRPr="00A10386">
        <w:rPr>
          <w:noProof/>
        </w:rPr>
        <w:tab/>
      </w:r>
      <w:r w:rsidR="00310ACA" w:rsidRPr="00A10386">
        <w:rPr>
          <w:noProof/>
        </w:rPr>
        <w:t xml:space="preserve">To ensure successful enforcement, Member States should make available effective investigative tools </w:t>
      </w:r>
      <w:r w:rsidR="0002200F" w:rsidRPr="00A10386">
        <w:rPr>
          <w:noProof/>
        </w:rPr>
        <w:t>for the</w:t>
      </w:r>
      <w:r w:rsidR="00310ACA" w:rsidRPr="00A10386">
        <w:rPr>
          <w:noProof/>
        </w:rPr>
        <w:t xml:space="preserve"> </w:t>
      </w:r>
      <w:r w:rsidR="00DD0846" w:rsidRPr="00A10386">
        <w:rPr>
          <w:noProof/>
        </w:rPr>
        <w:t xml:space="preserve">criminal </w:t>
      </w:r>
      <w:r w:rsidR="00310ACA" w:rsidRPr="00A10386">
        <w:rPr>
          <w:noProof/>
        </w:rPr>
        <w:t>offences</w:t>
      </w:r>
      <w:r w:rsidR="0002200F" w:rsidRPr="00A10386">
        <w:rPr>
          <w:noProof/>
        </w:rPr>
        <w:t xml:space="preserve"> referred to in this Directive</w:t>
      </w:r>
      <w:r w:rsidR="0020125B" w:rsidRPr="00A10386">
        <w:rPr>
          <w:noProof/>
        </w:rPr>
        <w:t>,</w:t>
      </w:r>
      <w:r w:rsidR="00310ACA" w:rsidRPr="00A10386">
        <w:rPr>
          <w:noProof/>
        </w:rPr>
        <w:t xml:space="preserve"> such as those </w:t>
      </w:r>
      <w:r w:rsidR="0002200F" w:rsidRPr="00A10386">
        <w:rPr>
          <w:noProof/>
        </w:rPr>
        <w:t>included</w:t>
      </w:r>
      <w:r w:rsidR="00310ACA" w:rsidRPr="00A10386">
        <w:rPr>
          <w:noProof/>
        </w:rPr>
        <w:t xml:space="preserve"> in their national law for combating organised crime or other serious crimes</w:t>
      </w:r>
      <w:r w:rsidR="008177B0" w:rsidRPr="00A10386">
        <w:rPr>
          <w:noProof/>
        </w:rPr>
        <w:t xml:space="preserve">, including for instance </w:t>
      </w:r>
      <w:r w:rsidR="00310ACA" w:rsidRPr="00A10386">
        <w:rPr>
          <w:noProof/>
        </w:rPr>
        <w:t xml:space="preserve">the interception of communications, covert surveillance including electronic surveillance, monitoring of bank accounts and other financial investigation tools. </w:t>
      </w:r>
      <w:r w:rsidR="4D52F9E9" w:rsidRPr="00A10386">
        <w:rPr>
          <w:noProof/>
        </w:rPr>
        <w:t>These</w:t>
      </w:r>
      <w:r w:rsidR="00310ACA" w:rsidRPr="00A10386">
        <w:rPr>
          <w:noProof/>
        </w:rPr>
        <w:t xml:space="preserve"> tools should be applied in line with the principle of proportionality and in full respect of the Charter of Fundamental Rights of the European Union. In accordance with national law, the nature and gravity of the </w:t>
      </w:r>
      <w:r w:rsidR="00DD0846" w:rsidRPr="00A10386">
        <w:rPr>
          <w:noProof/>
        </w:rPr>
        <w:t xml:space="preserve">criminal </w:t>
      </w:r>
      <w:r w:rsidR="00310ACA" w:rsidRPr="00A10386">
        <w:rPr>
          <w:noProof/>
        </w:rPr>
        <w:t xml:space="preserve">offences under investigation should justify the use of these investigative tools. The right to the protection of personal data </w:t>
      </w:r>
      <w:r w:rsidR="0020125B" w:rsidRPr="00A10386">
        <w:rPr>
          <w:noProof/>
        </w:rPr>
        <w:t>should</w:t>
      </w:r>
      <w:r w:rsidR="00310ACA" w:rsidRPr="00A10386">
        <w:rPr>
          <w:noProof/>
        </w:rPr>
        <w:t xml:space="preserve"> be respected.</w:t>
      </w:r>
    </w:p>
    <w:p w14:paraId="56C97B09" w14:textId="6D438A0A" w:rsidR="003858B7" w:rsidRPr="00A10386" w:rsidRDefault="00812BEC" w:rsidP="00420659">
      <w:pPr>
        <w:pStyle w:val="ManualConsidrant"/>
        <w:rPr>
          <w:noProof/>
        </w:rPr>
      </w:pPr>
      <w:r w:rsidRPr="00A10386">
        <w:rPr>
          <w:noProof/>
        </w:rPr>
        <w:t>(25)</w:t>
      </w:r>
      <w:r w:rsidRPr="00A10386">
        <w:rPr>
          <w:noProof/>
        </w:rPr>
        <w:tab/>
      </w:r>
      <w:r w:rsidR="00892E4F" w:rsidRPr="00A10386">
        <w:rPr>
          <w:noProof/>
        </w:rPr>
        <w:t xml:space="preserve">Online content </w:t>
      </w:r>
      <w:r w:rsidR="00420659" w:rsidRPr="00A10386">
        <w:rPr>
          <w:noProof/>
        </w:rPr>
        <w:t xml:space="preserve">constituting or </w:t>
      </w:r>
      <w:r w:rsidR="00602CCC" w:rsidRPr="00A10386">
        <w:rPr>
          <w:noProof/>
        </w:rPr>
        <w:t>facilitating</w:t>
      </w:r>
      <w:r w:rsidR="002E6232" w:rsidRPr="00A10386">
        <w:rPr>
          <w:noProof/>
        </w:rPr>
        <w:t xml:space="preserve"> </w:t>
      </w:r>
      <w:r w:rsidR="00475839" w:rsidRPr="00A10386">
        <w:rPr>
          <w:noProof/>
        </w:rPr>
        <w:t xml:space="preserve">criminal </w:t>
      </w:r>
      <w:r w:rsidR="002E6232" w:rsidRPr="00A10386">
        <w:rPr>
          <w:noProof/>
        </w:rPr>
        <w:t>offence</w:t>
      </w:r>
      <w:r w:rsidR="001050BC" w:rsidRPr="00A10386">
        <w:rPr>
          <w:noProof/>
        </w:rPr>
        <w:t>s</w:t>
      </w:r>
      <w:r w:rsidR="002E6232" w:rsidRPr="00A10386">
        <w:rPr>
          <w:noProof/>
        </w:rPr>
        <w:t xml:space="preserve"> </w:t>
      </w:r>
      <w:r w:rsidR="001050BC" w:rsidRPr="00A10386">
        <w:rPr>
          <w:noProof/>
        </w:rPr>
        <w:t>referred t</w:t>
      </w:r>
      <w:r w:rsidR="05AEF96A" w:rsidRPr="00A10386">
        <w:rPr>
          <w:noProof/>
        </w:rPr>
        <w:t>o</w:t>
      </w:r>
      <w:r w:rsidR="001050BC" w:rsidRPr="00A10386">
        <w:rPr>
          <w:noProof/>
        </w:rPr>
        <w:t xml:space="preserve"> in</w:t>
      </w:r>
      <w:r w:rsidR="05AEF96A" w:rsidRPr="00A10386">
        <w:rPr>
          <w:noProof/>
        </w:rPr>
        <w:t xml:space="preserve"> </w:t>
      </w:r>
      <w:r w:rsidR="002E6232" w:rsidRPr="00A10386">
        <w:rPr>
          <w:noProof/>
        </w:rPr>
        <w:t>this Directive</w:t>
      </w:r>
      <w:r w:rsidR="0BEC2AD7" w:rsidRPr="00A10386">
        <w:rPr>
          <w:noProof/>
        </w:rPr>
        <w:t>,</w:t>
      </w:r>
      <w:r w:rsidR="55FC1ACE" w:rsidRPr="00A10386">
        <w:rPr>
          <w:noProof/>
        </w:rPr>
        <w:t xml:space="preserve"> notably providing assistance</w:t>
      </w:r>
      <w:r w:rsidR="007113EC" w:rsidRPr="00A10386">
        <w:rPr>
          <w:noProof/>
        </w:rPr>
        <w:t xml:space="preserve"> to</w:t>
      </w:r>
      <w:r w:rsidR="12D3B9C0" w:rsidRPr="00A10386">
        <w:rPr>
          <w:noProof/>
        </w:rPr>
        <w:t xml:space="preserve"> </w:t>
      </w:r>
      <w:r w:rsidR="00420659" w:rsidRPr="00A10386">
        <w:rPr>
          <w:noProof/>
        </w:rPr>
        <w:t xml:space="preserve">or publicly instigating </w:t>
      </w:r>
      <w:r w:rsidR="12D3B9C0" w:rsidRPr="00A10386">
        <w:rPr>
          <w:noProof/>
        </w:rPr>
        <w:t xml:space="preserve">unauthorised entry, transit and stay in the EU through the internet, </w:t>
      </w:r>
      <w:r w:rsidR="00420659" w:rsidRPr="00A10386">
        <w:rPr>
          <w:noProof/>
        </w:rPr>
        <w:t xml:space="preserve">will </w:t>
      </w:r>
      <w:r w:rsidR="00883E3C" w:rsidRPr="00A10386">
        <w:rPr>
          <w:noProof/>
        </w:rPr>
        <w:t xml:space="preserve">be </w:t>
      </w:r>
      <w:r w:rsidR="133F3C8A" w:rsidRPr="00A10386">
        <w:rPr>
          <w:noProof/>
        </w:rPr>
        <w:t xml:space="preserve">subject to measures pursuant </w:t>
      </w:r>
      <w:r w:rsidR="1C17080E" w:rsidRPr="00A10386">
        <w:rPr>
          <w:noProof/>
        </w:rPr>
        <w:t>to</w:t>
      </w:r>
      <w:r w:rsidR="00883E3C" w:rsidRPr="00A10386">
        <w:rPr>
          <w:noProof/>
        </w:rPr>
        <w:t xml:space="preserve"> </w:t>
      </w:r>
      <w:r w:rsidR="000635D7" w:rsidRPr="00A10386">
        <w:rPr>
          <w:noProof/>
        </w:rPr>
        <w:t>Regulation (EU) 2022/2065</w:t>
      </w:r>
      <w:r w:rsidR="006B0802" w:rsidRPr="00A10386">
        <w:rPr>
          <w:noProof/>
        </w:rPr>
        <w:t xml:space="preserve"> of the European Parliament and of the Council</w:t>
      </w:r>
      <w:r w:rsidR="006B0802" w:rsidRPr="00A10386">
        <w:rPr>
          <w:rStyle w:val="FootnoteReference"/>
          <w:noProof/>
        </w:rPr>
        <w:footnoteReference w:id="48"/>
      </w:r>
      <w:r w:rsidR="006B0802" w:rsidRPr="00A10386">
        <w:rPr>
          <w:rFonts w:eastAsiaTheme="minorEastAsia"/>
          <w:noProof/>
        </w:rPr>
        <w:t xml:space="preserve"> </w:t>
      </w:r>
      <w:r w:rsidR="00E5015F" w:rsidRPr="00A10386">
        <w:rPr>
          <w:rFonts w:eastAsiaTheme="minorEastAsia"/>
          <w:noProof/>
        </w:rPr>
        <w:t>as regards illegal content</w:t>
      </w:r>
      <w:r w:rsidR="000635D7" w:rsidRPr="00A10386">
        <w:rPr>
          <w:noProof/>
        </w:rPr>
        <w:t>.</w:t>
      </w:r>
    </w:p>
    <w:p w14:paraId="0A81E69C" w14:textId="0CB75242" w:rsidR="00354A93" w:rsidRPr="00A10386" w:rsidRDefault="00812BEC" w:rsidP="00812BEC">
      <w:pPr>
        <w:pStyle w:val="ManualConsidrant"/>
        <w:rPr>
          <w:noProof/>
        </w:rPr>
      </w:pPr>
      <w:r w:rsidRPr="00A10386">
        <w:rPr>
          <w:noProof/>
        </w:rPr>
        <w:t>(26)</w:t>
      </w:r>
      <w:r w:rsidRPr="00A10386">
        <w:rPr>
          <w:noProof/>
        </w:rPr>
        <w:tab/>
      </w:r>
      <w:r w:rsidR="0072320D" w:rsidRPr="00A10386">
        <w:rPr>
          <w:noProof/>
        </w:rPr>
        <w:t xml:space="preserve">To effectively tackle the </w:t>
      </w:r>
      <w:r w:rsidR="00B04E1E" w:rsidRPr="00A10386">
        <w:rPr>
          <w:noProof/>
        </w:rPr>
        <w:t xml:space="preserve">facilitation of unauthorised entry, transit and stay in the </w:t>
      </w:r>
      <w:r w:rsidR="26A068B7" w:rsidRPr="00A10386">
        <w:rPr>
          <w:noProof/>
        </w:rPr>
        <w:t>Union</w:t>
      </w:r>
      <w:r w:rsidR="0072320D" w:rsidRPr="00A10386">
        <w:rPr>
          <w:noProof/>
        </w:rPr>
        <w:t>, it is necessary that competent authorities in the Member States collect accurate, consistent and comparable data on the scale of and trends</w:t>
      </w:r>
      <w:r w:rsidR="00077397" w:rsidRPr="00A10386">
        <w:rPr>
          <w:noProof/>
        </w:rPr>
        <w:t xml:space="preserve"> in the</w:t>
      </w:r>
      <w:r w:rsidR="00B04E1E" w:rsidRPr="00A10386">
        <w:rPr>
          <w:noProof/>
        </w:rPr>
        <w:t xml:space="preserve"> </w:t>
      </w:r>
      <w:r w:rsidR="00DD0846" w:rsidRPr="00A10386">
        <w:rPr>
          <w:noProof/>
        </w:rPr>
        <w:t xml:space="preserve">criminal </w:t>
      </w:r>
      <w:r w:rsidR="00B04E1E" w:rsidRPr="00A10386">
        <w:rPr>
          <w:noProof/>
        </w:rPr>
        <w:t>offences referred to in this Directive</w:t>
      </w:r>
      <w:r w:rsidR="009708F2" w:rsidRPr="00A10386">
        <w:rPr>
          <w:noProof/>
        </w:rPr>
        <w:t>,</w:t>
      </w:r>
      <w:r w:rsidR="00246756" w:rsidRPr="00A10386">
        <w:rPr>
          <w:noProof/>
        </w:rPr>
        <w:t xml:space="preserve"> the efforts to </w:t>
      </w:r>
      <w:r w:rsidR="009708F2" w:rsidRPr="00A10386">
        <w:rPr>
          <w:noProof/>
        </w:rPr>
        <w:t>combat them and their results</w:t>
      </w:r>
      <w:r w:rsidR="00B04E1E" w:rsidRPr="00A10386">
        <w:rPr>
          <w:noProof/>
        </w:rPr>
        <w:t>.</w:t>
      </w:r>
      <w:r w:rsidR="00077397" w:rsidRPr="00A10386">
        <w:rPr>
          <w:noProof/>
        </w:rPr>
        <w:t xml:space="preserve"> </w:t>
      </w:r>
      <w:r w:rsidR="00A2797B" w:rsidRPr="00A10386">
        <w:rPr>
          <w:noProof/>
        </w:rPr>
        <w:t xml:space="preserve">Member States should collect and report to the Commission relevant statistical data on such offences. </w:t>
      </w:r>
      <w:r w:rsidR="0074315E" w:rsidRPr="00A10386">
        <w:rPr>
          <w:noProof/>
        </w:rPr>
        <w:t>The Commission should regularly assess and publish the results based on data transmitted by the Member States.</w:t>
      </w:r>
      <w:r w:rsidR="00760756" w:rsidRPr="00A10386">
        <w:rPr>
          <w:noProof/>
        </w:rPr>
        <w:t xml:space="preserve"> </w:t>
      </w:r>
      <w:r w:rsidR="00D172AD" w:rsidRPr="00A10386">
        <w:rPr>
          <w:noProof/>
        </w:rPr>
        <w:t xml:space="preserve">Member States should </w:t>
      </w:r>
      <w:r w:rsidR="00844B8A" w:rsidRPr="00A10386">
        <w:rPr>
          <w:noProof/>
        </w:rPr>
        <w:t>also</w:t>
      </w:r>
      <w:r w:rsidR="00D172AD" w:rsidRPr="00A10386">
        <w:rPr>
          <w:noProof/>
        </w:rPr>
        <w:t xml:space="preserve"> regularly collect and disseminate </w:t>
      </w:r>
      <w:r w:rsidR="0068621A" w:rsidRPr="00A10386">
        <w:rPr>
          <w:noProof/>
        </w:rPr>
        <w:t>s</w:t>
      </w:r>
      <w:r w:rsidR="00760756" w:rsidRPr="00A10386">
        <w:rPr>
          <w:noProof/>
        </w:rPr>
        <w:t xml:space="preserve">tatistical data </w:t>
      </w:r>
      <w:r w:rsidR="00DC70C7" w:rsidRPr="00A10386">
        <w:rPr>
          <w:noProof/>
        </w:rPr>
        <w:t xml:space="preserve">and information </w:t>
      </w:r>
      <w:r w:rsidR="00D172AD" w:rsidRPr="00A10386">
        <w:rPr>
          <w:noProof/>
        </w:rPr>
        <w:t xml:space="preserve">on the application of this Directive to allow </w:t>
      </w:r>
      <w:r w:rsidR="00493EF1" w:rsidRPr="00A10386">
        <w:rPr>
          <w:noProof/>
        </w:rPr>
        <w:t xml:space="preserve">for the monitoring of </w:t>
      </w:r>
      <w:r w:rsidR="00C41808" w:rsidRPr="00A10386">
        <w:rPr>
          <w:noProof/>
        </w:rPr>
        <w:t>its</w:t>
      </w:r>
      <w:r w:rsidR="00493EF1" w:rsidRPr="00A10386">
        <w:rPr>
          <w:noProof/>
        </w:rPr>
        <w:t xml:space="preserve"> implementation</w:t>
      </w:r>
      <w:r w:rsidR="00C41808" w:rsidRPr="00A10386">
        <w:rPr>
          <w:noProof/>
        </w:rPr>
        <w:t>.</w:t>
      </w:r>
      <w:r w:rsidR="00493EF1" w:rsidRPr="00A10386">
        <w:rPr>
          <w:noProof/>
        </w:rPr>
        <w:t xml:space="preserve"> </w:t>
      </w:r>
      <w:r w:rsidR="005C23CB" w:rsidRPr="00A10386">
        <w:rPr>
          <w:noProof/>
        </w:rPr>
        <w:t xml:space="preserve">Statistical data and information </w:t>
      </w:r>
      <w:r w:rsidR="00760756" w:rsidRPr="00A10386">
        <w:rPr>
          <w:noProof/>
        </w:rPr>
        <w:t xml:space="preserve">should be comparable </w:t>
      </w:r>
      <w:r w:rsidR="007F7825" w:rsidRPr="00A10386">
        <w:rPr>
          <w:noProof/>
        </w:rPr>
        <w:t xml:space="preserve">between the Member States and collected on the basis of common minimum standards. </w:t>
      </w:r>
    </w:p>
    <w:p w14:paraId="34789616" w14:textId="4F1C535F" w:rsidR="00795776" w:rsidRPr="00A10386" w:rsidRDefault="00812BEC" w:rsidP="00812BEC">
      <w:pPr>
        <w:pStyle w:val="ManualConsidrant"/>
        <w:rPr>
          <w:noProof/>
        </w:rPr>
      </w:pPr>
      <w:r w:rsidRPr="00A10386">
        <w:rPr>
          <w:noProof/>
        </w:rPr>
        <w:t>(27)</w:t>
      </w:r>
      <w:r w:rsidRPr="00A10386">
        <w:rPr>
          <w:noProof/>
        </w:rPr>
        <w:tab/>
      </w:r>
      <w:r w:rsidR="00795776" w:rsidRPr="00A10386">
        <w:rPr>
          <w:noProof/>
        </w:rPr>
        <w:t>Since the objective of this Directive</w:t>
      </w:r>
      <w:r w:rsidR="001050BC" w:rsidRPr="00A10386">
        <w:rPr>
          <w:noProof/>
        </w:rPr>
        <w:t>, namely to lay down minimum rules</w:t>
      </w:r>
      <w:r w:rsidR="00795776" w:rsidRPr="00A10386">
        <w:rPr>
          <w:noProof/>
        </w:rPr>
        <w:t xml:space="preserve"> </w:t>
      </w:r>
      <w:r w:rsidR="001050BC" w:rsidRPr="00A10386">
        <w:rPr>
          <w:noProof/>
        </w:rPr>
        <w:t>to prevent and counter t</w:t>
      </w:r>
      <w:r w:rsidR="00795776" w:rsidRPr="00A10386">
        <w:rPr>
          <w:noProof/>
        </w:rPr>
        <w:t xml:space="preserve">he </w:t>
      </w:r>
      <w:r w:rsidR="002907B0" w:rsidRPr="00A10386">
        <w:rPr>
          <w:noProof/>
        </w:rPr>
        <w:t>facilitation of unauthorised entry, transit and stay</w:t>
      </w:r>
      <w:r w:rsidR="00382782" w:rsidRPr="00A10386">
        <w:rPr>
          <w:noProof/>
        </w:rPr>
        <w:t xml:space="preserve"> in the Union</w:t>
      </w:r>
      <w:r w:rsidR="002907B0" w:rsidRPr="00A10386">
        <w:rPr>
          <w:noProof/>
        </w:rPr>
        <w:t>, cannot be sufficiently achieved by the Member States and can therefore, by reason of the scale and effect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to achieve that objective.</w:t>
      </w:r>
    </w:p>
    <w:p w14:paraId="1122924D" w14:textId="073B9AEB" w:rsidR="009E2758" w:rsidRPr="00A10386" w:rsidRDefault="00812BEC" w:rsidP="00812BEC">
      <w:pPr>
        <w:pStyle w:val="ManualConsidrant"/>
        <w:rPr>
          <w:noProof/>
        </w:rPr>
      </w:pPr>
      <w:r w:rsidRPr="00A10386">
        <w:rPr>
          <w:noProof/>
        </w:rPr>
        <w:t>(28)</w:t>
      </w:r>
      <w:r w:rsidRPr="00A10386">
        <w:rPr>
          <w:noProof/>
        </w:rPr>
        <w:tab/>
      </w:r>
      <w:r w:rsidR="009E2758" w:rsidRPr="00A10386">
        <w:rPr>
          <w:noProof/>
        </w:rPr>
        <w:t xml:space="preserve">This Directive respects the fundamental rights and observes the principles recognised by the Charter of Fundamental Rights of the European Union, in particular the respect and protection of human dignity, the right to the integrity of the person, the prohibition of torture and inhuman or degrading treatment or punishment, the right to liberty and security, </w:t>
      </w:r>
      <w:r w:rsidR="00207E70" w:rsidRPr="00A10386">
        <w:rPr>
          <w:noProof/>
        </w:rPr>
        <w:t xml:space="preserve">the rights of the child, the freedom of association, </w:t>
      </w:r>
      <w:r w:rsidR="009E2758" w:rsidRPr="00A10386">
        <w:rPr>
          <w:noProof/>
        </w:rPr>
        <w:t>the right to an effective remedy and to a fair trial, the principles of legality and proportionality of criminal offences and penalties</w:t>
      </w:r>
      <w:r w:rsidR="00355E62" w:rsidRPr="00A10386">
        <w:rPr>
          <w:noProof/>
        </w:rPr>
        <w:t xml:space="preserve">, and the prohibition of </w:t>
      </w:r>
      <w:r w:rsidR="00355E62" w:rsidRPr="00A10386">
        <w:rPr>
          <w:i/>
          <w:iCs/>
          <w:noProof/>
        </w:rPr>
        <w:t>ne bis in idem</w:t>
      </w:r>
      <w:r w:rsidR="009E2758" w:rsidRPr="00A10386">
        <w:rPr>
          <w:noProof/>
        </w:rPr>
        <w:t xml:space="preserve">. </w:t>
      </w:r>
    </w:p>
    <w:p w14:paraId="7653524F" w14:textId="5FA031DA" w:rsidR="000D0EAC" w:rsidRPr="00A10386" w:rsidRDefault="00812BEC" w:rsidP="00812BEC">
      <w:pPr>
        <w:pStyle w:val="ManualConsidrant"/>
        <w:rPr>
          <w:noProof/>
        </w:rPr>
      </w:pPr>
      <w:r w:rsidRPr="00A10386">
        <w:rPr>
          <w:noProof/>
        </w:rPr>
        <w:t>(29)</w:t>
      </w:r>
      <w:r w:rsidRPr="00A10386">
        <w:rPr>
          <w:noProof/>
        </w:rPr>
        <w:tab/>
      </w:r>
      <w:r w:rsidR="4157B46E" w:rsidRPr="00A10386">
        <w:rPr>
          <w:noProof/>
        </w:rPr>
        <w:t>This Directive aims to amend and expand the provisions of Directive 2002/90/EC and Framework Decision 2002/946/JHA. Since the amendments to be made are of substantial nature, Directive 2002/90/EC and Framework Decision 2002/946/JHA should, in the interests of clarity, be replaced in their entirety in relation to the Member States bound by this Directive.</w:t>
      </w:r>
    </w:p>
    <w:p w14:paraId="1FA55E06" w14:textId="3270E949" w:rsidR="00207E70" w:rsidRPr="00A10386" w:rsidRDefault="00207E70" w:rsidP="00812BEC">
      <w:pPr>
        <w:pStyle w:val="ManualConsidrant"/>
        <w:rPr>
          <w:noProof/>
        </w:rPr>
      </w:pPr>
      <w:r w:rsidRPr="00A10386">
        <w:rPr>
          <w:noProof/>
        </w:rPr>
        <w:t>(30)</w:t>
      </w:r>
      <w:r w:rsidRPr="00A10386">
        <w:rPr>
          <w:noProof/>
        </w:rPr>
        <w:tab/>
        <w:t>This Directive is without prejudice to the application of Directive 2004/38/EC</w:t>
      </w:r>
      <w:r w:rsidR="002C21B5" w:rsidRPr="00A10386">
        <w:rPr>
          <w:noProof/>
        </w:rPr>
        <w:t xml:space="preserve"> of the European Parliament and of the Council</w:t>
      </w:r>
      <w:r w:rsidR="00436EB4">
        <w:rPr>
          <w:rStyle w:val="FootnoteReference"/>
          <w:noProof/>
        </w:rPr>
        <w:footnoteReference w:id="49"/>
      </w:r>
      <w:r w:rsidRPr="00A10386">
        <w:rPr>
          <w:noProof/>
        </w:rPr>
        <w:t xml:space="preserve"> and the EU-UK Withdrawal Agreement</w:t>
      </w:r>
      <w:r w:rsidR="00436EB4">
        <w:rPr>
          <w:rStyle w:val="FootnoteReference"/>
          <w:noProof/>
        </w:rPr>
        <w:footnoteReference w:id="50"/>
      </w:r>
      <w:r w:rsidRPr="00A10386">
        <w:rPr>
          <w:noProof/>
        </w:rPr>
        <w:t>.</w:t>
      </w:r>
    </w:p>
    <w:p w14:paraId="7589A5B2" w14:textId="30B25B34" w:rsidR="00A2230F" w:rsidRPr="00A10386" w:rsidRDefault="00812BEC" w:rsidP="00812BEC">
      <w:pPr>
        <w:pStyle w:val="ManualConsidrant"/>
        <w:rPr>
          <w:noProof/>
        </w:rPr>
      </w:pPr>
      <w:r w:rsidRPr="00A10386">
        <w:rPr>
          <w:noProof/>
        </w:rPr>
        <w:t>(3</w:t>
      </w:r>
      <w:r w:rsidR="002C21B5" w:rsidRPr="00A10386">
        <w:rPr>
          <w:noProof/>
        </w:rPr>
        <w:t>1</w:t>
      </w:r>
      <w:r w:rsidRPr="00A10386">
        <w:rPr>
          <w:noProof/>
        </w:rPr>
        <w:t>)</w:t>
      </w:r>
      <w:r w:rsidRPr="00A10386">
        <w:rPr>
          <w:noProof/>
        </w:rPr>
        <w:tab/>
      </w:r>
      <w:r w:rsidR="5BDD6DF0" w:rsidRPr="00A10386">
        <w:rPr>
          <w:noProof/>
        </w:rPr>
        <w:t xml:space="preserve">Ireland is taking part in this Directive, in accordance with Article 5(1) of Protocol No 19 on the Schengen </w:t>
      </w:r>
      <w:r w:rsidR="5BDD6DF0" w:rsidRPr="00A10386">
        <w:rPr>
          <w:i/>
          <w:iCs/>
          <w:noProof/>
        </w:rPr>
        <w:t>acquis</w:t>
      </w:r>
      <w:r w:rsidR="5BDD6DF0" w:rsidRPr="00A10386">
        <w:rPr>
          <w:noProof/>
        </w:rPr>
        <w:t xml:space="preserve"> integrated into the framework of the European Union, annexed to the Treaty on European Union and to the Treaty on the Functioning of the European Union, and Article 6(2) of Council Decision 2002/192/EC</w:t>
      </w:r>
      <w:r w:rsidR="006B0802" w:rsidRPr="00A10386">
        <w:rPr>
          <w:rStyle w:val="FootnoteReference"/>
          <w:noProof/>
        </w:rPr>
        <w:footnoteReference w:id="51"/>
      </w:r>
      <w:r w:rsidR="5BDD6DF0" w:rsidRPr="00A10386">
        <w:rPr>
          <w:noProof/>
        </w:rPr>
        <w:t>.</w:t>
      </w:r>
    </w:p>
    <w:p w14:paraId="3CA68763" w14:textId="4561B0E2" w:rsidR="00A2230F" w:rsidRPr="00A10386" w:rsidRDefault="00812BEC" w:rsidP="00812BEC">
      <w:pPr>
        <w:pStyle w:val="ManualConsidrant"/>
        <w:rPr>
          <w:noProof/>
        </w:rPr>
      </w:pPr>
      <w:r w:rsidRPr="00A10386">
        <w:rPr>
          <w:noProof/>
        </w:rPr>
        <w:t>(3</w:t>
      </w:r>
      <w:r w:rsidR="002C21B5" w:rsidRPr="00A10386">
        <w:rPr>
          <w:noProof/>
        </w:rPr>
        <w:t>2</w:t>
      </w:r>
      <w:r w:rsidRPr="00A10386">
        <w:rPr>
          <w:noProof/>
        </w:rPr>
        <w:t>)</w:t>
      </w:r>
      <w:r w:rsidRPr="00A10386">
        <w:rPr>
          <w:noProof/>
        </w:rPr>
        <w:tab/>
      </w:r>
      <w:r w:rsidR="00A2230F" w:rsidRPr="00A10386">
        <w:rPr>
          <w:noProof/>
        </w:rPr>
        <w:t>In accordance with Articles 1 and 2 of the Protocol on the position of Denmark annexed to the Treaty on European Union and to the Treaty on the Functioning of the European Union, Denmark is not taking part in the adoption of this Directive and is not bound by it or subject to its application.</w:t>
      </w:r>
      <w:r w:rsidR="00CA36DF" w:rsidRPr="00A10386">
        <w:rPr>
          <w:noProof/>
        </w:rPr>
        <w:t xml:space="preserve"> Given that this Directive builds upon the Schengen </w:t>
      </w:r>
      <w:r w:rsidR="00CA36DF" w:rsidRPr="00A10386">
        <w:rPr>
          <w:i/>
          <w:iCs/>
          <w:noProof/>
        </w:rPr>
        <w:t>acquis</w:t>
      </w:r>
      <w:r w:rsidR="00CA36DF" w:rsidRPr="00A10386">
        <w:rPr>
          <w:noProof/>
        </w:rPr>
        <w:t>, Denmark sh</w:t>
      </w:r>
      <w:r w:rsidR="00EB51E7" w:rsidRPr="00A10386">
        <w:rPr>
          <w:noProof/>
        </w:rPr>
        <w:t>ould</w:t>
      </w:r>
      <w:r w:rsidR="00CA36DF" w:rsidRPr="00A10386">
        <w:rPr>
          <w:noProof/>
        </w:rPr>
        <w:t>, in accordance with Article 4 of that Protocol, decide within a period of six months after the Council has decided on this Directive whether it will implement it in its national law.</w:t>
      </w:r>
    </w:p>
    <w:p w14:paraId="5BA4C631" w14:textId="4FCBA385" w:rsidR="00CA36DF" w:rsidRPr="00A10386" w:rsidRDefault="00812BEC" w:rsidP="00812BEC">
      <w:pPr>
        <w:pStyle w:val="ManualConsidrant"/>
        <w:rPr>
          <w:noProof/>
        </w:rPr>
      </w:pPr>
      <w:r w:rsidRPr="00A10386">
        <w:rPr>
          <w:noProof/>
        </w:rPr>
        <w:t>(3</w:t>
      </w:r>
      <w:r w:rsidR="002C21B5" w:rsidRPr="00A10386">
        <w:rPr>
          <w:noProof/>
        </w:rPr>
        <w:t>3</w:t>
      </w:r>
      <w:r w:rsidRPr="00A10386">
        <w:rPr>
          <w:noProof/>
        </w:rPr>
        <w:t>)</w:t>
      </w:r>
      <w:r w:rsidRPr="00A10386">
        <w:rPr>
          <w:noProof/>
        </w:rPr>
        <w:tab/>
      </w:r>
      <w:r w:rsidR="00CA36DF" w:rsidRPr="00A10386">
        <w:rPr>
          <w:noProof/>
        </w:rPr>
        <w:t xml:space="preserve">As regards Iceland and Norway, this Directive constitutes a development of the provisions of the Schengen </w:t>
      </w:r>
      <w:r w:rsidR="00CA36DF" w:rsidRPr="00A10386">
        <w:rPr>
          <w:i/>
          <w:iCs/>
          <w:noProof/>
        </w:rPr>
        <w:t>acquis</w:t>
      </w:r>
      <w:r w:rsidR="00CA36DF" w:rsidRPr="00A10386">
        <w:rPr>
          <w:noProof/>
        </w:rPr>
        <w:t xml:space="preserve"> within the meaning of the Agreement concluded by the Council of the European Union and the Republic of Iceland and the Kingdom of Norway concerning the latter’s association with the implementation, application and development of the Schengen </w:t>
      </w:r>
      <w:r w:rsidR="00CA36DF" w:rsidRPr="00A10386">
        <w:rPr>
          <w:i/>
          <w:iCs/>
          <w:noProof/>
        </w:rPr>
        <w:t>acquis</w:t>
      </w:r>
      <w:r w:rsidR="006B0802" w:rsidRPr="00A10386">
        <w:rPr>
          <w:rStyle w:val="FootnoteReference"/>
          <w:noProof/>
        </w:rPr>
        <w:footnoteReference w:id="52"/>
      </w:r>
      <w:r w:rsidR="003C03CE" w:rsidRPr="00A10386">
        <w:rPr>
          <w:i/>
          <w:noProof/>
        </w:rPr>
        <w:t xml:space="preserve"> </w:t>
      </w:r>
      <w:r w:rsidR="00CA36DF" w:rsidRPr="00A10386">
        <w:rPr>
          <w:noProof/>
        </w:rPr>
        <w:t>which fall within the areas referred to in Article 1, point A of Council Decision 1999/437/EC</w:t>
      </w:r>
      <w:r w:rsidR="006B0802" w:rsidRPr="00A10386">
        <w:rPr>
          <w:rStyle w:val="FootnoteReference"/>
          <w:noProof/>
        </w:rPr>
        <w:footnoteReference w:id="53"/>
      </w:r>
      <w:r w:rsidR="00CA36DF" w:rsidRPr="00A10386">
        <w:rPr>
          <w:noProof/>
        </w:rPr>
        <w:t>.</w:t>
      </w:r>
    </w:p>
    <w:p w14:paraId="5B542ED9" w14:textId="524D01DA" w:rsidR="00CA36DF" w:rsidRPr="00A10386" w:rsidRDefault="00812BEC" w:rsidP="00812BEC">
      <w:pPr>
        <w:pStyle w:val="ManualConsidrant"/>
        <w:rPr>
          <w:noProof/>
        </w:rPr>
      </w:pPr>
      <w:r w:rsidRPr="00A10386">
        <w:rPr>
          <w:noProof/>
        </w:rPr>
        <w:t>(3</w:t>
      </w:r>
      <w:r w:rsidR="002C21B5" w:rsidRPr="00A10386">
        <w:rPr>
          <w:noProof/>
        </w:rPr>
        <w:t>4</w:t>
      </w:r>
      <w:r w:rsidRPr="00A10386">
        <w:rPr>
          <w:noProof/>
        </w:rPr>
        <w:t>)</w:t>
      </w:r>
      <w:r w:rsidRPr="00A10386">
        <w:rPr>
          <w:noProof/>
        </w:rPr>
        <w:tab/>
      </w:r>
      <w:r w:rsidR="00CA36DF" w:rsidRPr="00A10386">
        <w:rPr>
          <w:noProof/>
        </w:rPr>
        <w:t xml:space="preserve">As regards Switzerland, this Directive constitutes a development of the provisions of the Schengen </w:t>
      </w:r>
      <w:r w:rsidR="00CA36DF" w:rsidRPr="00A10386">
        <w:rPr>
          <w:i/>
          <w:iCs/>
          <w:noProof/>
        </w:rPr>
        <w:t>acquis</w:t>
      </w:r>
      <w:r w:rsidR="00CA36DF" w:rsidRPr="00A10386">
        <w:rPr>
          <w:noProof/>
        </w:rPr>
        <w:t xml:space="preserve"> within the meaning of the Agreement between the European Union, the European Community and the Swiss Confederation on the Swiss Confederation’s association with the implementation, application and development of the Schengen </w:t>
      </w:r>
      <w:r w:rsidR="00CA36DF" w:rsidRPr="00A10386">
        <w:rPr>
          <w:i/>
          <w:iCs/>
          <w:noProof/>
        </w:rPr>
        <w:t>acquis</w:t>
      </w:r>
      <w:r w:rsidR="00CA36DF" w:rsidRPr="00A10386">
        <w:rPr>
          <w:rStyle w:val="FootnoteReference"/>
          <w:noProof/>
        </w:rPr>
        <w:footnoteReference w:id="54"/>
      </w:r>
      <w:r w:rsidR="00CA36DF" w:rsidRPr="00A10386">
        <w:rPr>
          <w:noProof/>
        </w:rPr>
        <w:t xml:space="preserve"> which fall within the areas referred to in Article 1, point A of Decision 1999/437/EC read in conjunction with Article 3 of Council Decision 2008/146/EC</w:t>
      </w:r>
      <w:r w:rsidR="00A75C73" w:rsidRPr="00A10386">
        <w:rPr>
          <w:rStyle w:val="FootnoteReference"/>
          <w:noProof/>
        </w:rPr>
        <w:footnoteReference w:id="55"/>
      </w:r>
      <w:r w:rsidR="00A75C73" w:rsidRPr="00A10386">
        <w:rPr>
          <w:noProof/>
        </w:rPr>
        <w:t>.</w:t>
      </w:r>
    </w:p>
    <w:p w14:paraId="47962DFF" w14:textId="6F4CEE8B" w:rsidR="00CA36DF" w:rsidRPr="00A10386" w:rsidRDefault="00812BEC" w:rsidP="00812BEC">
      <w:pPr>
        <w:pStyle w:val="ManualConsidrant"/>
        <w:rPr>
          <w:noProof/>
        </w:rPr>
      </w:pPr>
      <w:r w:rsidRPr="00A10386">
        <w:rPr>
          <w:noProof/>
        </w:rPr>
        <w:t>(3</w:t>
      </w:r>
      <w:r w:rsidR="002C21B5" w:rsidRPr="00A10386">
        <w:rPr>
          <w:noProof/>
        </w:rPr>
        <w:t>5</w:t>
      </w:r>
      <w:r w:rsidRPr="00A10386">
        <w:rPr>
          <w:noProof/>
        </w:rPr>
        <w:t>)</w:t>
      </w:r>
      <w:r w:rsidRPr="00A10386">
        <w:rPr>
          <w:noProof/>
        </w:rPr>
        <w:tab/>
      </w:r>
      <w:r w:rsidR="00CA36DF" w:rsidRPr="00A10386">
        <w:rPr>
          <w:noProof/>
        </w:rPr>
        <w:t xml:space="preserve">As regards Liechtenstein, this Directive constitutes a development of the provisions of the Schengen </w:t>
      </w:r>
      <w:r w:rsidR="00CA36DF" w:rsidRPr="00A10386">
        <w:rPr>
          <w:i/>
          <w:iCs/>
          <w:noProof/>
        </w:rPr>
        <w:t>acquis</w:t>
      </w:r>
      <w:r w:rsidR="00CA36DF" w:rsidRPr="00A10386">
        <w:rPr>
          <w:noProof/>
        </w:rPr>
        <w:t xml:space="preserve"> 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w:t>
      </w:r>
      <w:r w:rsidR="00CA36DF" w:rsidRPr="00A10386">
        <w:rPr>
          <w:i/>
          <w:iCs/>
          <w:noProof/>
        </w:rPr>
        <w:t>acqui</w:t>
      </w:r>
      <w:r w:rsidR="00CA36DF" w:rsidRPr="00A10386">
        <w:rPr>
          <w:noProof/>
        </w:rPr>
        <w:t>s</w:t>
      </w:r>
      <w:r w:rsidR="00CA36DF" w:rsidRPr="00A10386">
        <w:rPr>
          <w:rStyle w:val="FootnoteReference"/>
          <w:noProof/>
        </w:rPr>
        <w:footnoteReference w:id="56"/>
      </w:r>
      <w:r w:rsidR="00CA36DF" w:rsidRPr="00A10386">
        <w:rPr>
          <w:noProof/>
        </w:rPr>
        <w:t xml:space="preserve"> which fall within the areas referred to in Article 1, point A of Decision 1999/437/EC read in conjunction with Article 3 of Council Decision 2011/350/EU</w:t>
      </w:r>
      <w:r w:rsidR="00CA36DF" w:rsidRPr="00A10386">
        <w:rPr>
          <w:rStyle w:val="FootnoteReference"/>
          <w:noProof/>
        </w:rPr>
        <w:footnoteReference w:id="57"/>
      </w:r>
      <w:r w:rsidR="00CA36DF" w:rsidRPr="00A10386">
        <w:rPr>
          <w:noProof/>
        </w:rPr>
        <w:t>.</w:t>
      </w:r>
    </w:p>
    <w:p w14:paraId="676F7071" w14:textId="75684F57" w:rsidR="00CA36DF" w:rsidRPr="00A10386" w:rsidRDefault="00812BEC" w:rsidP="00812BEC">
      <w:pPr>
        <w:pStyle w:val="ManualConsidrant"/>
        <w:rPr>
          <w:noProof/>
        </w:rPr>
      </w:pPr>
      <w:r w:rsidRPr="00A10386">
        <w:rPr>
          <w:noProof/>
        </w:rPr>
        <w:t>(3</w:t>
      </w:r>
      <w:r w:rsidR="002C21B5" w:rsidRPr="00A10386">
        <w:rPr>
          <w:noProof/>
        </w:rPr>
        <w:t>6</w:t>
      </w:r>
      <w:r w:rsidRPr="00A10386">
        <w:rPr>
          <w:noProof/>
        </w:rPr>
        <w:t>)</w:t>
      </w:r>
      <w:r w:rsidRPr="00A10386">
        <w:rPr>
          <w:noProof/>
        </w:rPr>
        <w:tab/>
      </w:r>
      <w:r w:rsidR="5BDD6DF0" w:rsidRPr="00A10386">
        <w:rPr>
          <w:noProof/>
        </w:rPr>
        <w:t xml:space="preserve">As regards Cyprus, Bulgaria and Romania, this Directive constitutes an act building upon, or otherwise related to, the Schengen </w:t>
      </w:r>
      <w:r w:rsidR="5BDD6DF0" w:rsidRPr="00A10386">
        <w:rPr>
          <w:i/>
          <w:iCs/>
          <w:noProof/>
        </w:rPr>
        <w:t>acquis</w:t>
      </w:r>
      <w:r w:rsidR="5BDD6DF0" w:rsidRPr="00A10386">
        <w:rPr>
          <w:noProof/>
        </w:rPr>
        <w:t xml:space="preserve"> within, respectively, the meaning of Article 3(</w:t>
      </w:r>
      <w:r w:rsidR="00B77887" w:rsidRPr="00A10386">
        <w:rPr>
          <w:noProof/>
        </w:rPr>
        <w:t>1</w:t>
      </w:r>
      <w:r w:rsidR="5BDD6DF0" w:rsidRPr="00A10386">
        <w:rPr>
          <w:noProof/>
        </w:rPr>
        <w:t>) of the 2003 Act of Accession and Article 4(</w:t>
      </w:r>
      <w:r w:rsidR="00B77887" w:rsidRPr="00A10386">
        <w:rPr>
          <w:noProof/>
        </w:rPr>
        <w:t>1</w:t>
      </w:r>
      <w:r w:rsidR="5BDD6DF0" w:rsidRPr="00A10386">
        <w:rPr>
          <w:noProof/>
        </w:rPr>
        <w:t>) of the 2005 Act of Accession,</w:t>
      </w:r>
    </w:p>
    <w:p w14:paraId="393992F7" w14:textId="77777777" w:rsidR="0066307E" w:rsidRPr="00A10386" w:rsidRDefault="0066307E" w:rsidP="007F522A">
      <w:pPr>
        <w:pStyle w:val="Formuledadoption"/>
        <w:rPr>
          <w:noProof/>
        </w:rPr>
      </w:pPr>
      <w:r w:rsidRPr="00A10386">
        <w:rPr>
          <w:noProof/>
        </w:rPr>
        <w:t>HAVE ADOPTED THIS DIRECTIVE:</w:t>
      </w:r>
    </w:p>
    <w:p w14:paraId="70C7E77E" w14:textId="77777777" w:rsidR="0066307E" w:rsidRPr="00A10386" w:rsidRDefault="0066307E" w:rsidP="007F522A">
      <w:pPr>
        <w:pStyle w:val="Titrearticle"/>
        <w:rPr>
          <w:noProof/>
        </w:rPr>
      </w:pPr>
      <w:r w:rsidRPr="00A10386">
        <w:rPr>
          <w:noProof/>
        </w:rPr>
        <w:t>Article 1</w:t>
      </w:r>
    </w:p>
    <w:p w14:paraId="4008BDD7" w14:textId="77777777" w:rsidR="0066307E" w:rsidRPr="00A10386" w:rsidRDefault="0066307E" w:rsidP="0066307E">
      <w:pPr>
        <w:pStyle w:val="Titrearticle"/>
        <w:spacing w:before="120"/>
        <w:rPr>
          <w:noProof/>
        </w:rPr>
      </w:pPr>
      <w:r w:rsidRPr="00A10386">
        <w:rPr>
          <w:noProof/>
        </w:rPr>
        <w:t>Subject matter</w:t>
      </w:r>
    </w:p>
    <w:p w14:paraId="2A67BEB1" w14:textId="77777777" w:rsidR="0066307E" w:rsidRPr="00A10386" w:rsidRDefault="005F2F61" w:rsidP="00FB0D1B">
      <w:pPr>
        <w:rPr>
          <w:noProof/>
        </w:rPr>
      </w:pPr>
      <w:r w:rsidRPr="00A10386">
        <w:rPr>
          <w:noProof/>
        </w:rPr>
        <w:t>This Directive establishes</w:t>
      </w:r>
      <w:r w:rsidR="00FB0D1B" w:rsidRPr="00A10386">
        <w:rPr>
          <w:noProof/>
        </w:rPr>
        <w:t xml:space="preserve"> </w:t>
      </w:r>
      <w:r w:rsidRPr="00A10386">
        <w:rPr>
          <w:noProof/>
        </w:rPr>
        <w:t>minimum rules concerning the definition of criminal offences and sanctions in the area of facilitation of unauthorised entry, transit and stay of third</w:t>
      </w:r>
      <w:r w:rsidR="00532FC9" w:rsidRPr="00A10386">
        <w:rPr>
          <w:noProof/>
        </w:rPr>
        <w:t>-</w:t>
      </w:r>
      <w:r w:rsidRPr="00A10386">
        <w:rPr>
          <w:noProof/>
        </w:rPr>
        <w:t>country nationals</w:t>
      </w:r>
      <w:r w:rsidR="00FB0D1B" w:rsidRPr="00A10386">
        <w:rPr>
          <w:noProof/>
        </w:rPr>
        <w:t xml:space="preserve">, as well as </w:t>
      </w:r>
      <w:r w:rsidR="7B0BB5E1" w:rsidRPr="00A10386">
        <w:rPr>
          <w:noProof/>
        </w:rPr>
        <w:t xml:space="preserve">measures to prevent and </w:t>
      </w:r>
      <w:r w:rsidR="4E1141F2" w:rsidRPr="00A10386">
        <w:rPr>
          <w:noProof/>
        </w:rPr>
        <w:t xml:space="preserve">counter </w:t>
      </w:r>
      <w:r w:rsidR="7B0BB5E1" w:rsidRPr="00A10386">
        <w:rPr>
          <w:noProof/>
        </w:rPr>
        <w:t>the commission of such criminal offences.</w:t>
      </w:r>
    </w:p>
    <w:p w14:paraId="690B611E" w14:textId="77777777" w:rsidR="00541CBB" w:rsidRPr="00A10386" w:rsidRDefault="25AD5F75" w:rsidP="002D3FA5">
      <w:pPr>
        <w:pStyle w:val="Titrearticle"/>
        <w:keepLines/>
        <w:rPr>
          <w:noProof/>
        </w:rPr>
      </w:pPr>
      <w:r w:rsidRPr="00A10386">
        <w:rPr>
          <w:noProof/>
        </w:rPr>
        <w:t xml:space="preserve">Article </w:t>
      </w:r>
      <w:r w:rsidR="7A3D0988" w:rsidRPr="00A10386">
        <w:rPr>
          <w:noProof/>
        </w:rPr>
        <w:t>2</w:t>
      </w:r>
    </w:p>
    <w:p w14:paraId="7499AD69" w14:textId="77777777" w:rsidR="00541CBB" w:rsidRPr="00A10386" w:rsidRDefault="00541CBB" w:rsidP="00541CBB">
      <w:pPr>
        <w:pStyle w:val="Titrearticle"/>
        <w:spacing w:before="120"/>
        <w:rPr>
          <w:noProof/>
        </w:rPr>
      </w:pPr>
      <w:r w:rsidRPr="00A10386">
        <w:rPr>
          <w:noProof/>
        </w:rPr>
        <w:t>Definitions</w:t>
      </w:r>
    </w:p>
    <w:p w14:paraId="469E9C77" w14:textId="77777777" w:rsidR="00541CBB" w:rsidRPr="00A10386" w:rsidRDefault="25AD5F75" w:rsidP="00541CBB">
      <w:pPr>
        <w:rPr>
          <w:noProof/>
        </w:rPr>
      </w:pPr>
      <w:r w:rsidRPr="00A10386">
        <w:rPr>
          <w:noProof/>
        </w:rPr>
        <w:t>For the purposes of this Directive</w:t>
      </w:r>
      <w:r w:rsidR="00FB0D1B" w:rsidRPr="00A10386">
        <w:rPr>
          <w:noProof/>
        </w:rPr>
        <w:t>, the following definitions apply:</w:t>
      </w:r>
      <w:r w:rsidRPr="00A10386">
        <w:rPr>
          <w:noProof/>
        </w:rPr>
        <w:t xml:space="preserve"> </w:t>
      </w:r>
    </w:p>
    <w:p w14:paraId="4DE55CDE" w14:textId="6A57169A" w:rsidR="00541CBB" w:rsidRPr="00A10386" w:rsidRDefault="00FB0D1B" w:rsidP="00FA65D9">
      <w:pPr>
        <w:pStyle w:val="ManualNumPar1"/>
        <w:rPr>
          <w:noProof/>
        </w:rPr>
      </w:pPr>
      <w:r w:rsidRPr="00A10386">
        <w:rPr>
          <w:noProof/>
        </w:rPr>
        <w:t xml:space="preserve">1. </w:t>
      </w:r>
      <w:r w:rsidR="00FA65D9" w:rsidRPr="00A10386">
        <w:rPr>
          <w:noProof/>
        </w:rPr>
        <w:tab/>
      </w:r>
      <w:r w:rsidR="25AD5F75" w:rsidRPr="00A10386">
        <w:rPr>
          <w:noProof/>
        </w:rPr>
        <w:t>‘third</w:t>
      </w:r>
      <w:r w:rsidR="007B2862" w:rsidRPr="00A10386">
        <w:rPr>
          <w:noProof/>
        </w:rPr>
        <w:t>-</w:t>
      </w:r>
      <w:r w:rsidR="25AD5F75" w:rsidRPr="00A10386">
        <w:rPr>
          <w:noProof/>
        </w:rPr>
        <w:t>country national’ mean</w:t>
      </w:r>
      <w:r w:rsidR="2773836F" w:rsidRPr="00A10386">
        <w:rPr>
          <w:noProof/>
        </w:rPr>
        <w:t>s</w:t>
      </w:r>
      <w:r w:rsidR="25AD5F75" w:rsidRPr="00A10386">
        <w:rPr>
          <w:noProof/>
        </w:rPr>
        <w:t xml:space="preserve"> </w:t>
      </w:r>
      <w:r w:rsidR="2C88732F" w:rsidRPr="00A10386">
        <w:rPr>
          <w:noProof/>
        </w:rPr>
        <w:t xml:space="preserve">any person who is not a citizen of the Union within the meaning of Article 20(1) </w:t>
      </w:r>
      <w:r w:rsidR="1FCFA7F3" w:rsidRPr="00A10386">
        <w:rPr>
          <w:noProof/>
        </w:rPr>
        <w:t xml:space="preserve">of the Treaty on the Functioning of the European Union </w:t>
      </w:r>
      <w:r w:rsidR="2C88732F" w:rsidRPr="00A10386">
        <w:rPr>
          <w:noProof/>
        </w:rPr>
        <w:t xml:space="preserve">and who is not a person enjoying the right </w:t>
      </w:r>
      <w:r w:rsidR="00A75C73" w:rsidRPr="00A10386">
        <w:rPr>
          <w:noProof/>
        </w:rPr>
        <w:t>of</w:t>
      </w:r>
      <w:r w:rsidR="2C88732F" w:rsidRPr="00A10386">
        <w:rPr>
          <w:noProof/>
        </w:rPr>
        <w:t xml:space="preserve"> free movement under Union law </w:t>
      </w:r>
      <w:r w:rsidR="00A75C73" w:rsidRPr="00A10386">
        <w:rPr>
          <w:noProof/>
        </w:rPr>
        <w:t xml:space="preserve">as defined in </w:t>
      </w:r>
      <w:r w:rsidR="2C88732F" w:rsidRPr="00A10386">
        <w:rPr>
          <w:noProof/>
        </w:rPr>
        <w:t>Article 2</w:t>
      </w:r>
      <w:r w:rsidR="00A75C73" w:rsidRPr="00A10386">
        <w:rPr>
          <w:noProof/>
        </w:rPr>
        <w:t>, p</w:t>
      </w:r>
      <w:r w:rsidR="2C88732F" w:rsidRPr="00A10386">
        <w:rPr>
          <w:noProof/>
        </w:rPr>
        <w:t>oint 5, of Regulation (EU) 2016/399</w:t>
      </w:r>
      <w:r w:rsidR="00A75C73" w:rsidRPr="00A10386">
        <w:rPr>
          <w:noProof/>
        </w:rPr>
        <w:t xml:space="preserve"> of the European Parliament and of the Council</w:t>
      </w:r>
      <w:r w:rsidR="00A75C73" w:rsidRPr="00A10386">
        <w:rPr>
          <w:rStyle w:val="FootnoteReference"/>
          <w:noProof/>
        </w:rPr>
        <w:footnoteReference w:id="58"/>
      </w:r>
      <w:r w:rsidRPr="00A10386">
        <w:rPr>
          <w:noProof/>
        </w:rPr>
        <w:t>;</w:t>
      </w:r>
    </w:p>
    <w:p w14:paraId="7328901B" w14:textId="77777777" w:rsidR="33289FCB" w:rsidRPr="00A10386" w:rsidRDefault="00FB0D1B" w:rsidP="00FA65D9">
      <w:pPr>
        <w:pStyle w:val="ManualNumPar1"/>
        <w:rPr>
          <w:noProof/>
        </w:rPr>
      </w:pPr>
      <w:r w:rsidRPr="00A10386">
        <w:rPr>
          <w:noProof/>
        </w:rPr>
        <w:t xml:space="preserve">2. </w:t>
      </w:r>
      <w:r w:rsidR="00FA65D9" w:rsidRPr="00A10386">
        <w:rPr>
          <w:noProof/>
        </w:rPr>
        <w:tab/>
      </w:r>
      <w:r w:rsidR="61A8120A" w:rsidRPr="00A10386">
        <w:rPr>
          <w:noProof/>
        </w:rPr>
        <w:t xml:space="preserve">‘unaccompanied minor’ means a </w:t>
      </w:r>
      <w:r w:rsidR="00794162" w:rsidRPr="00A10386">
        <w:rPr>
          <w:noProof/>
        </w:rPr>
        <w:t xml:space="preserve">third-country national below the age of 18 years </w:t>
      </w:r>
      <w:r w:rsidR="61A8120A" w:rsidRPr="00A10386">
        <w:rPr>
          <w:noProof/>
        </w:rPr>
        <w:t>who arrives on the territory of the Member States unaccompanied by an adult responsible for him or her whether by law or by the practice of the Member State concerned, and for as long as he or she is not effectively taken into the care of such a person, including a minor who is left unaccompanied after he or she has entered the territory of the Member States</w:t>
      </w:r>
      <w:r w:rsidR="00E268E9" w:rsidRPr="00A10386">
        <w:rPr>
          <w:noProof/>
        </w:rPr>
        <w:t>;</w:t>
      </w:r>
    </w:p>
    <w:p w14:paraId="762D4561" w14:textId="77777777" w:rsidR="00E268E9" w:rsidRPr="00A10386" w:rsidRDefault="00E268E9" w:rsidP="00FA65D9">
      <w:pPr>
        <w:pStyle w:val="ManualNumPar1"/>
        <w:rPr>
          <w:noProof/>
        </w:rPr>
      </w:pPr>
      <w:r w:rsidRPr="00A10386">
        <w:rPr>
          <w:noProof/>
        </w:rPr>
        <w:t xml:space="preserve">3. </w:t>
      </w:r>
      <w:r w:rsidR="00FA65D9" w:rsidRPr="00A10386">
        <w:rPr>
          <w:noProof/>
        </w:rPr>
        <w:tab/>
      </w:r>
      <w:r w:rsidRPr="00A10386">
        <w:rPr>
          <w:noProof/>
        </w:rPr>
        <w:t>‘legal person’ means any legal entity having such status under the applicable national law, except for States or public bodies exercising State authority and for public international organisations.</w:t>
      </w:r>
    </w:p>
    <w:p w14:paraId="41CB97E5" w14:textId="77777777" w:rsidR="005F2F61" w:rsidRPr="00A10386" w:rsidRDefault="7B0BB5E1" w:rsidP="005F2F61">
      <w:pPr>
        <w:pStyle w:val="Titrearticle"/>
        <w:keepLines/>
        <w:rPr>
          <w:noProof/>
        </w:rPr>
      </w:pPr>
      <w:r w:rsidRPr="00A10386">
        <w:rPr>
          <w:noProof/>
        </w:rPr>
        <w:t xml:space="preserve">Article </w:t>
      </w:r>
      <w:r w:rsidR="71F62B1B" w:rsidRPr="00A10386">
        <w:rPr>
          <w:noProof/>
        </w:rPr>
        <w:t>3</w:t>
      </w:r>
    </w:p>
    <w:p w14:paraId="3A8EF732" w14:textId="06E3926D" w:rsidR="005F2F61" w:rsidRPr="00A10386" w:rsidRDefault="7B0BB5E1" w:rsidP="005F2F61">
      <w:pPr>
        <w:pStyle w:val="Titrearticle"/>
        <w:spacing w:before="120"/>
        <w:rPr>
          <w:noProof/>
        </w:rPr>
      </w:pPr>
      <w:r w:rsidRPr="00A10386">
        <w:rPr>
          <w:noProof/>
        </w:rPr>
        <w:t xml:space="preserve">Criminal </w:t>
      </w:r>
      <w:r w:rsidR="67ADA453" w:rsidRPr="00A10386">
        <w:rPr>
          <w:noProof/>
        </w:rPr>
        <w:t>o</w:t>
      </w:r>
      <w:r w:rsidRPr="00A10386">
        <w:rPr>
          <w:noProof/>
        </w:rPr>
        <w:t>ffence</w:t>
      </w:r>
      <w:r w:rsidR="7C3BB0C4" w:rsidRPr="00A10386">
        <w:rPr>
          <w:noProof/>
        </w:rPr>
        <w:t>s</w:t>
      </w:r>
    </w:p>
    <w:p w14:paraId="19AE0C30" w14:textId="77777777" w:rsidR="00940186" w:rsidRPr="00A10386" w:rsidRDefault="00345DE5" w:rsidP="00345DE5">
      <w:pPr>
        <w:pStyle w:val="ManualNumPar1"/>
        <w:rPr>
          <w:noProof/>
        </w:rPr>
      </w:pPr>
      <w:bookmarkStart w:id="3" w:name="_Hlk151044143"/>
      <w:r w:rsidRPr="00A10386">
        <w:rPr>
          <w:noProof/>
        </w:rPr>
        <w:t xml:space="preserve">1. </w:t>
      </w:r>
      <w:r w:rsidRPr="00A10386">
        <w:rPr>
          <w:noProof/>
        </w:rPr>
        <w:tab/>
      </w:r>
      <w:r w:rsidR="005F2F61" w:rsidRPr="00A10386">
        <w:rPr>
          <w:noProof/>
        </w:rPr>
        <w:t xml:space="preserve">Member States shall </w:t>
      </w:r>
      <w:r w:rsidR="000B5EEF" w:rsidRPr="00A10386">
        <w:rPr>
          <w:noProof/>
        </w:rPr>
        <w:t>ensure that</w:t>
      </w:r>
      <w:r w:rsidR="00791778" w:rsidRPr="00A10386">
        <w:rPr>
          <w:noProof/>
        </w:rPr>
        <w:t xml:space="preserve"> </w:t>
      </w:r>
      <w:r w:rsidR="0047423B" w:rsidRPr="00A10386">
        <w:rPr>
          <w:noProof/>
        </w:rPr>
        <w:t>intentionally</w:t>
      </w:r>
      <w:r w:rsidR="00791778" w:rsidRPr="00A10386">
        <w:rPr>
          <w:noProof/>
        </w:rPr>
        <w:t xml:space="preserve"> </w:t>
      </w:r>
      <w:r w:rsidR="0047423B" w:rsidRPr="00A10386">
        <w:rPr>
          <w:noProof/>
        </w:rPr>
        <w:t xml:space="preserve">assisting a third-country national to enter, </w:t>
      </w:r>
      <w:r w:rsidR="005F2F61" w:rsidRPr="00A10386">
        <w:rPr>
          <w:noProof/>
        </w:rPr>
        <w:t xml:space="preserve">or </w:t>
      </w:r>
      <w:r w:rsidR="0047423B" w:rsidRPr="00A10386">
        <w:rPr>
          <w:noProof/>
        </w:rPr>
        <w:t>transit across</w:t>
      </w:r>
      <w:r w:rsidR="005F2F61" w:rsidRPr="00A10386">
        <w:rPr>
          <w:noProof/>
        </w:rPr>
        <w:t>,</w:t>
      </w:r>
      <w:r w:rsidR="0047423B" w:rsidRPr="00A10386">
        <w:rPr>
          <w:noProof/>
        </w:rPr>
        <w:t xml:space="preserve"> or stay within the territory of any Member State in breach of relevant Union law or the laws of the Member State concerned </w:t>
      </w:r>
      <w:r w:rsidR="00E268E9" w:rsidRPr="00A10386">
        <w:rPr>
          <w:noProof/>
        </w:rPr>
        <w:t>on the entry, transit and stay of third</w:t>
      </w:r>
      <w:r w:rsidR="007B2862" w:rsidRPr="00A10386">
        <w:rPr>
          <w:noProof/>
        </w:rPr>
        <w:t>-</w:t>
      </w:r>
      <w:r w:rsidR="00E268E9" w:rsidRPr="00A10386">
        <w:rPr>
          <w:noProof/>
        </w:rPr>
        <w:t xml:space="preserve">country nationals </w:t>
      </w:r>
      <w:r w:rsidR="0047423B" w:rsidRPr="00A10386">
        <w:rPr>
          <w:noProof/>
        </w:rPr>
        <w:t>constitutes a criminal offence</w:t>
      </w:r>
      <w:r w:rsidR="00EA421B" w:rsidRPr="00A10386">
        <w:rPr>
          <w:noProof/>
        </w:rPr>
        <w:t xml:space="preserve"> where</w:t>
      </w:r>
      <w:r w:rsidR="00C00417" w:rsidRPr="00A10386">
        <w:rPr>
          <w:noProof/>
        </w:rPr>
        <w:t>:</w:t>
      </w:r>
    </w:p>
    <w:p w14:paraId="45164ACE" w14:textId="348113C5" w:rsidR="008C25E9" w:rsidRPr="00A10386" w:rsidRDefault="3A7688BD" w:rsidP="00345DE5">
      <w:pPr>
        <w:pStyle w:val="ManualNumPar1"/>
        <w:ind w:firstLine="0"/>
        <w:rPr>
          <w:noProof/>
        </w:rPr>
      </w:pPr>
      <w:r w:rsidRPr="00A10386">
        <w:rPr>
          <w:noProof/>
        </w:rPr>
        <w:t>a</w:t>
      </w:r>
      <w:r w:rsidR="4245AC58" w:rsidRPr="00A10386">
        <w:rPr>
          <w:noProof/>
        </w:rPr>
        <w:t>) the person</w:t>
      </w:r>
      <w:r w:rsidRPr="00A10386">
        <w:rPr>
          <w:noProof/>
        </w:rPr>
        <w:t xml:space="preserve"> </w:t>
      </w:r>
      <w:r w:rsidR="00620287" w:rsidRPr="00A10386">
        <w:rPr>
          <w:noProof/>
        </w:rPr>
        <w:t>who carries out the conduct</w:t>
      </w:r>
      <w:r w:rsidR="4245AC58" w:rsidRPr="00A10386">
        <w:rPr>
          <w:noProof/>
        </w:rPr>
        <w:t xml:space="preserve"> </w:t>
      </w:r>
      <w:r w:rsidR="6180577D" w:rsidRPr="00A10386">
        <w:rPr>
          <w:noProof/>
        </w:rPr>
        <w:t>request</w:t>
      </w:r>
      <w:r w:rsidR="2BE3E1E0" w:rsidRPr="00A10386">
        <w:rPr>
          <w:noProof/>
        </w:rPr>
        <w:t>s</w:t>
      </w:r>
      <w:r w:rsidR="6180577D" w:rsidRPr="00A10386">
        <w:rPr>
          <w:noProof/>
        </w:rPr>
        <w:t>, receive</w:t>
      </w:r>
      <w:r w:rsidR="2BE3E1E0" w:rsidRPr="00A10386">
        <w:rPr>
          <w:noProof/>
        </w:rPr>
        <w:t>s</w:t>
      </w:r>
      <w:r w:rsidR="6180577D" w:rsidRPr="00A10386">
        <w:rPr>
          <w:noProof/>
        </w:rPr>
        <w:t xml:space="preserve"> or accept</w:t>
      </w:r>
      <w:r w:rsidR="2BE3E1E0" w:rsidRPr="00A10386">
        <w:rPr>
          <w:noProof/>
        </w:rPr>
        <w:t>s</w:t>
      </w:r>
      <w:r w:rsidR="4A41D5BF" w:rsidRPr="00A10386">
        <w:rPr>
          <w:noProof/>
        </w:rPr>
        <w:t xml:space="preserve">, directly or indirectly, a financial or material benefit, or a promise </w:t>
      </w:r>
      <w:r w:rsidRPr="00A10386">
        <w:rPr>
          <w:noProof/>
        </w:rPr>
        <w:t>there</w:t>
      </w:r>
      <w:r w:rsidR="18E85F60" w:rsidRPr="00A10386">
        <w:rPr>
          <w:noProof/>
        </w:rPr>
        <w:t>of</w:t>
      </w:r>
      <w:r w:rsidR="4245AC58" w:rsidRPr="00A10386">
        <w:rPr>
          <w:noProof/>
        </w:rPr>
        <w:t xml:space="preserve">, </w:t>
      </w:r>
      <w:r w:rsidR="4A41D5BF" w:rsidRPr="00A10386">
        <w:rPr>
          <w:noProof/>
        </w:rPr>
        <w:t xml:space="preserve">or </w:t>
      </w:r>
      <w:r w:rsidR="006A28A7" w:rsidRPr="00A10386">
        <w:rPr>
          <w:noProof/>
        </w:rPr>
        <w:t xml:space="preserve">carries out the conduct </w:t>
      </w:r>
      <w:r w:rsidR="4A41D5BF" w:rsidRPr="00A10386">
        <w:rPr>
          <w:noProof/>
        </w:rPr>
        <w:t>in order to obtain such a benefit</w:t>
      </w:r>
      <w:r w:rsidR="00BF271E" w:rsidRPr="00A10386">
        <w:rPr>
          <w:noProof/>
        </w:rPr>
        <w:t>; or</w:t>
      </w:r>
    </w:p>
    <w:p w14:paraId="0340919D" w14:textId="797121AD" w:rsidR="00791778" w:rsidRPr="00A10386" w:rsidRDefault="4A41D5BF" w:rsidP="00345DE5">
      <w:pPr>
        <w:pStyle w:val="ManualNumPar1"/>
        <w:ind w:firstLine="0"/>
        <w:rPr>
          <w:noProof/>
        </w:rPr>
      </w:pPr>
      <w:r w:rsidRPr="00A10386">
        <w:rPr>
          <w:noProof/>
        </w:rPr>
        <w:t>b)</w:t>
      </w:r>
      <w:r w:rsidR="3A7688BD" w:rsidRPr="00A10386">
        <w:rPr>
          <w:noProof/>
        </w:rPr>
        <w:t xml:space="preserve"> </w:t>
      </w:r>
      <w:r w:rsidR="009B4F44" w:rsidRPr="00A10386">
        <w:rPr>
          <w:noProof/>
        </w:rPr>
        <w:t xml:space="preserve">there is a high likelihood </w:t>
      </w:r>
      <w:r w:rsidR="00980043" w:rsidRPr="00A10386">
        <w:rPr>
          <w:noProof/>
        </w:rPr>
        <w:t>of causing</w:t>
      </w:r>
      <w:r w:rsidR="3A7688BD" w:rsidRPr="00A10386">
        <w:rPr>
          <w:noProof/>
        </w:rPr>
        <w:t xml:space="preserve"> </w:t>
      </w:r>
      <w:r w:rsidR="5D60682A" w:rsidRPr="00A10386">
        <w:rPr>
          <w:noProof/>
        </w:rPr>
        <w:t xml:space="preserve">serious </w:t>
      </w:r>
      <w:r w:rsidR="432C4A8A" w:rsidRPr="00A10386">
        <w:rPr>
          <w:noProof/>
        </w:rPr>
        <w:t xml:space="preserve">harm </w:t>
      </w:r>
      <w:r w:rsidR="3A7688BD" w:rsidRPr="00A10386">
        <w:rPr>
          <w:noProof/>
        </w:rPr>
        <w:t xml:space="preserve">to </w:t>
      </w:r>
      <w:r w:rsidR="00345DE5" w:rsidRPr="00A10386">
        <w:rPr>
          <w:noProof/>
        </w:rPr>
        <w:t>a</w:t>
      </w:r>
      <w:r w:rsidR="00CD26CD" w:rsidRPr="00A10386">
        <w:rPr>
          <w:noProof/>
        </w:rPr>
        <w:t xml:space="preserve"> person</w:t>
      </w:r>
      <w:r w:rsidR="5D60682A" w:rsidRPr="00A10386">
        <w:rPr>
          <w:noProof/>
        </w:rPr>
        <w:t>.</w:t>
      </w:r>
    </w:p>
    <w:bookmarkEnd w:id="3"/>
    <w:p w14:paraId="5F1EE02B" w14:textId="77777777" w:rsidR="006A28A7" w:rsidRPr="00A10386" w:rsidRDefault="0E201997" w:rsidP="00FA65D9">
      <w:pPr>
        <w:pStyle w:val="ManualNumPar1"/>
        <w:rPr>
          <w:noProof/>
        </w:rPr>
      </w:pPr>
      <w:r w:rsidRPr="00A10386">
        <w:rPr>
          <w:noProof/>
        </w:rPr>
        <w:t xml:space="preserve">2. </w:t>
      </w:r>
      <w:r w:rsidR="00FA65D9" w:rsidRPr="00A10386">
        <w:rPr>
          <w:noProof/>
        </w:rPr>
        <w:tab/>
      </w:r>
      <w:r w:rsidRPr="00A10386">
        <w:rPr>
          <w:noProof/>
        </w:rPr>
        <w:t xml:space="preserve">Member States shall ensure that </w:t>
      </w:r>
      <w:r w:rsidR="009B4F44" w:rsidRPr="00A10386">
        <w:rPr>
          <w:noProof/>
        </w:rPr>
        <w:t xml:space="preserve">publicly </w:t>
      </w:r>
      <w:r w:rsidR="00CD26CD" w:rsidRPr="00A10386">
        <w:rPr>
          <w:noProof/>
        </w:rPr>
        <w:t>instigating</w:t>
      </w:r>
      <w:r w:rsidR="00E3240C" w:rsidRPr="00A10386" w:rsidDel="00CD26CD">
        <w:rPr>
          <w:noProof/>
        </w:rPr>
        <w:t xml:space="preserve"> </w:t>
      </w:r>
      <w:r w:rsidRPr="00A10386">
        <w:rPr>
          <w:noProof/>
        </w:rPr>
        <w:t>third-country national</w:t>
      </w:r>
      <w:r w:rsidR="52F3010F" w:rsidRPr="00A10386">
        <w:rPr>
          <w:noProof/>
        </w:rPr>
        <w:t>s</w:t>
      </w:r>
      <w:r w:rsidRPr="00A10386">
        <w:rPr>
          <w:noProof/>
        </w:rPr>
        <w:t xml:space="preserve"> to enter, or transit across, or stay within the territory of any </w:t>
      </w:r>
      <w:r w:rsidR="0F143447" w:rsidRPr="00A10386">
        <w:rPr>
          <w:noProof/>
        </w:rPr>
        <w:t xml:space="preserve">Member State in breach of relevant Union law or the laws of the Member State concerned </w:t>
      </w:r>
      <w:r w:rsidR="006A28A7" w:rsidRPr="00A10386">
        <w:rPr>
          <w:noProof/>
        </w:rPr>
        <w:t>on the entry, transit and stay of third</w:t>
      </w:r>
      <w:r w:rsidR="007B2862" w:rsidRPr="00A10386">
        <w:rPr>
          <w:noProof/>
        </w:rPr>
        <w:t>-</w:t>
      </w:r>
      <w:r w:rsidR="006A28A7" w:rsidRPr="00A10386">
        <w:rPr>
          <w:noProof/>
        </w:rPr>
        <w:t xml:space="preserve">country nationals </w:t>
      </w:r>
      <w:r w:rsidR="0F143447" w:rsidRPr="00A10386">
        <w:rPr>
          <w:noProof/>
        </w:rPr>
        <w:t>constitutes a</w:t>
      </w:r>
      <w:r w:rsidR="52F3010F" w:rsidRPr="00A10386">
        <w:rPr>
          <w:noProof/>
        </w:rPr>
        <w:t xml:space="preserve"> </w:t>
      </w:r>
      <w:r w:rsidR="0F143447" w:rsidRPr="00A10386">
        <w:rPr>
          <w:noProof/>
        </w:rPr>
        <w:t>criminal offence</w:t>
      </w:r>
      <w:r w:rsidR="00620287" w:rsidRPr="00A10386">
        <w:rPr>
          <w:noProof/>
        </w:rPr>
        <w:t>.</w:t>
      </w:r>
    </w:p>
    <w:p w14:paraId="3E8AAAF0" w14:textId="77777777" w:rsidR="000B5EEF" w:rsidRPr="00A10386" w:rsidRDefault="67ADA453" w:rsidP="000B5EEF">
      <w:pPr>
        <w:pStyle w:val="Titrearticle"/>
        <w:keepLines/>
        <w:rPr>
          <w:noProof/>
        </w:rPr>
      </w:pPr>
      <w:r w:rsidRPr="00A10386">
        <w:rPr>
          <w:noProof/>
        </w:rPr>
        <w:t xml:space="preserve">Article </w:t>
      </w:r>
      <w:r w:rsidR="5CD382E9" w:rsidRPr="00A10386">
        <w:rPr>
          <w:noProof/>
        </w:rPr>
        <w:t>4</w:t>
      </w:r>
    </w:p>
    <w:p w14:paraId="68CC9772" w14:textId="77777777" w:rsidR="000B5EEF" w:rsidRPr="00A10386" w:rsidRDefault="000B5EEF" w:rsidP="000B5EEF">
      <w:pPr>
        <w:pStyle w:val="Titrearticle"/>
        <w:spacing w:before="120"/>
        <w:rPr>
          <w:noProof/>
        </w:rPr>
      </w:pPr>
      <w:r w:rsidRPr="00A10386">
        <w:rPr>
          <w:noProof/>
        </w:rPr>
        <w:t>Aggravated criminal offences</w:t>
      </w:r>
    </w:p>
    <w:p w14:paraId="0BDADD97" w14:textId="77777777" w:rsidR="000B5EEF" w:rsidRPr="00A10386" w:rsidRDefault="67ADA453" w:rsidP="00862328">
      <w:pPr>
        <w:rPr>
          <w:noProof/>
        </w:rPr>
      </w:pPr>
      <w:r w:rsidRPr="00A10386">
        <w:rPr>
          <w:noProof/>
        </w:rPr>
        <w:t xml:space="preserve">Member States shall ensure that the conduct referred to in Article </w:t>
      </w:r>
      <w:r w:rsidR="504BE241" w:rsidRPr="00A10386">
        <w:rPr>
          <w:noProof/>
        </w:rPr>
        <w:t>3</w:t>
      </w:r>
      <w:r w:rsidRPr="00A10386">
        <w:rPr>
          <w:noProof/>
        </w:rPr>
        <w:t xml:space="preserve"> constitutes an aggravated criminal offence whe</w:t>
      </w:r>
      <w:r w:rsidR="50403B23" w:rsidRPr="00A10386">
        <w:rPr>
          <w:noProof/>
        </w:rPr>
        <w:t>re</w:t>
      </w:r>
      <w:r w:rsidRPr="00A10386">
        <w:rPr>
          <w:noProof/>
        </w:rPr>
        <w:t>:</w:t>
      </w:r>
    </w:p>
    <w:p w14:paraId="66738FEB" w14:textId="3DCAF995" w:rsidR="000B5EEF" w:rsidRPr="00A10386" w:rsidRDefault="00456CB9" w:rsidP="000B5EEF">
      <w:pPr>
        <w:pStyle w:val="ManualNumPar1"/>
        <w:ind w:firstLine="0"/>
        <w:rPr>
          <w:noProof/>
        </w:rPr>
      </w:pPr>
      <w:r w:rsidRPr="00A10386">
        <w:rPr>
          <w:noProof/>
        </w:rPr>
        <w:t>(</w:t>
      </w:r>
      <w:r w:rsidR="00940186" w:rsidRPr="00A10386">
        <w:rPr>
          <w:noProof/>
        </w:rPr>
        <w:t>a</w:t>
      </w:r>
      <w:r w:rsidRPr="00A10386">
        <w:rPr>
          <w:noProof/>
        </w:rPr>
        <w:t xml:space="preserve">) </w:t>
      </w:r>
      <w:r w:rsidR="000B5EEF" w:rsidRPr="00A10386">
        <w:rPr>
          <w:noProof/>
        </w:rPr>
        <w:t>the</w:t>
      </w:r>
      <w:r w:rsidR="00266183" w:rsidRPr="00A10386">
        <w:rPr>
          <w:noProof/>
        </w:rPr>
        <w:t xml:space="preserve"> criminal</w:t>
      </w:r>
      <w:r w:rsidR="000B5EEF" w:rsidRPr="00A10386">
        <w:rPr>
          <w:noProof/>
        </w:rPr>
        <w:t xml:space="preserve"> offence was committed within the framework of a criminal organisation within the meaning of Council Framework Decision 2008/841/JHA</w:t>
      </w:r>
      <w:r w:rsidR="00A75C73" w:rsidRPr="00A10386">
        <w:rPr>
          <w:rStyle w:val="FootnoteReference"/>
          <w:noProof/>
        </w:rPr>
        <w:footnoteReference w:id="59"/>
      </w:r>
      <w:r w:rsidR="000B5EEF" w:rsidRPr="00A10386">
        <w:rPr>
          <w:noProof/>
        </w:rPr>
        <w:t>;</w:t>
      </w:r>
    </w:p>
    <w:p w14:paraId="7A650EB2" w14:textId="77777777" w:rsidR="000B5EEF" w:rsidRPr="00A10386" w:rsidRDefault="000B5EEF" w:rsidP="000B5EEF">
      <w:pPr>
        <w:pStyle w:val="ManualNumPar1"/>
        <w:ind w:firstLine="0"/>
        <w:rPr>
          <w:noProof/>
        </w:rPr>
      </w:pPr>
      <w:r w:rsidRPr="00A10386">
        <w:rPr>
          <w:noProof/>
        </w:rPr>
        <w:t>(</w:t>
      </w:r>
      <w:r w:rsidR="00DD1E98" w:rsidRPr="00A10386">
        <w:rPr>
          <w:noProof/>
        </w:rPr>
        <w:t>b</w:t>
      </w:r>
      <w:r w:rsidRPr="00A10386">
        <w:rPr>
          <w:noProof/>
        </w:rPr>
        <w:t>) the</w:t>
      </w:r>
      <w:r w:rsidR="525A0AFF" w:rsidRPr="00A10386">
        <w:rPr>
          <w:noProof/>
        </w:rPr>
        <w:t xml:space="preserve"> </w:t>
      </w:r>
      <w:r w:rsidR="00CB0001" w:rsidRPr="00A10386">
        <w:rPr>
          <w:noProof/>
        </w:rPr>
        <w:t>criminal</w:t>
      </w:r>
      <w:r w:rsidRPr="00A10386">
        <w:rPr>
          <w:noProof/>
        </w:rPr>
        <w:t xml:space="preserve"> offence deliberately or by gross negligence caused serious harm</w:t>
      </w:r>
      <w:r w:rsidR="0026017C" w:rsidRPr="00A10386">
        <w:rPr>
          <w:noProof/>
        </w:rPr>
        <w:t xml:space="preserve"> </w:t>
      </w:r>
      <w:r w:rsidRPr="00A10386">
        <w:rPr>
          <w:noProof/>
        </w:rPr>
        <w:t>to, or endangered the life</w:t>
      </w:r>
      <w:r w:rsidR="00554BE6" w:rsidRPr="00A10386">
        <w:rPr>
          <w:noProof/>
        </w:rPr>
        <w:t xml:space="preserve"> of,</w:t>
      </w:r>
      <w:r w:rsidRPr="00A10386">
        <w:rPr>
          <w:noProof/>
        </w:rPr>
        <w:t xml:space="preserve"> the </w:t>
      </w:r>
      <w:r w:rsidR="0006151B" w:rsidRPr="00A10386">
        <w:rPr>
          <w:noProof/>
        </w:rPr>
        <w:t>third</w:t>
      </w:r>
      <w:r w:rsidR="00532FC9" w:rsidRPr="00A10386">
        <w:rPr>
          <w:noProof/>
        </w:rPr>
        <w:t>-</w:t>
      </w:r>
      <w:r w:rsidR="0006151B" w:rsidRPr="00A10386">
        <w:rPr>
          <w:noProof/>
        </w:rPr>
        <w:t xml:space="preserve">country nationals </w:t>
      </w:r>
      <w:r w:rsidR="0047423B" w:rsidRPr="00A10386">
        <w:rPr>
          <w:noProof/>
        </w:rPr>
        <w:t>who were</w:t>
      </w:r>
      <w:r w:rsidRPr="00A10386">
        <w:rPr>
          <w:noProof/>
        </w:rPr>
        <w:t xml:space="preserve"> subject to the </w:t>
      </w:r>
      <w:r w:rsidR="00266183" w:rsidRPr="00A10386">
        <w:rPr>
          <w:noProof/>
        </w:rPr>
        <w:t>criminal</w:t>
      </w:r>
      <w:r w:rsidR="525A0AFF" w:rsidRPr="00A10386">
        <w:rPr>
          <w:noProof/>
        </w:rPr>
        <w:t xml:space="preserve"> </w:t>
      </w:r>
      <w:r w:rsidRPr="00A10386">
        <w:rPr>
          <w:noProof/>
        </w:rPr>
        <w:t>offence;</w:t>
      </w:r>
    </w:p>
    <w:p w14:paraId="11F1CB30" w14:textId="77777777" w:rsidR="000B5EEF" w:rsidRPr="00A10386" w:rsidRDefault="000B5EEF" w:rsidP="000B5EEF">
      <w:pPr>
        <w:pStyle w:val="ManualNumPar1"/>
        <w:ind w:firstLine="0"/>
        <w:rPr>
          <w:noProof/>
        </w:rPr>
      </w:pPr>
      <w:r w:rsidRPr="00A10386">
        <w:rPr>
          <w:noProof/>
        </w:rPr>
        <w:t>(</w:t>
      </w:r>
      <w:r w:rsidR="00C1550B" w:rsidRPr="00A10386">
        <w:rPr>
          <w:noProof/>
        </w:rPr>
        <w:t>c</w:t>
      </w:r>
      <w:r w:rsidRPr="00A10386">
        <w:rPr>
          <w:noProof/>
        </w:rPr>
        <w:t xml:space="preserve">) the </w:t>
      </w:r>
      <w:r w:rsidR="00CB0001" w:rsidRPr="00A10386">
        <w:rPr>
          <w:noProof/>
        </w:rPr>
        <w:t xml:space="preserve">criminal </w:t>
      </w:r>
      <w:r w:rsidRPr="00A10386">
        <w:rPr>
          <w:noProof/>
        </w:rPr>
        <w:t>offence was committed by use of serious violence;</w:t>
      </w:r>
    </w:p>
    <w:p w14:paraId="1C477687" w14:textId="77777777" w:rsidR="00C31B14" w:rsidRPr="00A10386" w:rsidRDefault="000B5EEF" w:rsidP="00C31B14">
      <w:pPr>
        <w:pStyle w:val="ManualNumPar1"/>
        <w:ind w:firstLine="0"/>
        <w:rPr>
          <w:noProof/>
        </w:rPr>
      </w:pPr>
      <w:r w:rsidRPr="00A10386">
        <w:rPr>
          <w:noProof/>
        </w:rPr>
        <w:t>(</w:t>
      </w:r>
      <w:r w:rsidR="00C1550B" w:rsidRPr="00A10386">
        <w:rPr>
          <w:noProof/>
        </w:rPr>
        <w:t>d</w:t>
      </w:r>
      <w:r w:rsidRPr="00A10386">
        <w:rPr>
          <w:noProof/>
        </w:rPr>
        <w:t xml:space="preserve">) the </w:t>
      </w:r>
      <w:r w:rsidR="001625EF" w:rsidRPr="00A10386">
        <w:rPr>
          <w:noProof/>
        </w:rPr>
        <w:t>third</w:t>
      </w:r>
      <w:r w:rsidR="007B2862" w:rsidRPr="00A10386">
        <w:rPr>
          <w:noProof/>
        </w:rPr>
        <w:t>-</w:t>
      </w:r>
      <w:r w:rsidR="001625EF" w:rsidRPr="00A10386">
        <w:rPr>
          <w:noProof/>
        </w:rPr>
        <w:t xml:space="preserve">country nationals </w:t>
      </w:r>
      <w:r w:rsidRPr="00A10386">
        <w:rPr>
          <w:noProof/>
        </w:rPr>
        <w:t xml:space="preserve">who were subject to the </w:t>
      </w:r>
      <w:r w:rsidR="00CB0001" w:rsidRPr="00A10386">
        <w:rPr>
          <w:noProof/>
        </w:rPr>
        <w:t>criminal</w:t>
      </w:r>
      <w:r w:rsidR="525A0AFF" w:rsidRPr="00A10386">
        <w:rPr>
          <w:noProof/>
        </w:rPr>
        <w:t xml:space="preserve"> </w:t>
      </w:r>
      <w:r w:rsidRPr="00A10386">
        <w:rPr>
          <w:noProof/>
        </w:rPr>
        <w:t>offence were particularly vulnerable, includ</w:t>
      </w:r>
      <w:r w:rsidR="00B03829" w:rsidRPr="00A10386">
        <w:rPr>
          <w:noProof/>
        </w:rPr>
        <w:t>ing</w:t>
      </w:r>
      <w:r w:rsidRPr="00A10386">
        <w:rPr>
          <w:noProof/>
        </w:rPr>
        <w:t xml:space="preserve"> </w:t>
      </w:r>
      <w:r w:rsidR="00F25922" w:rsidRPr="00A10386">
        <w:rPr>
          <w:noProof/>
        </w:rPr>
        <w:t>unaccompanied minors</w:t>
      </w:r>
      <w:r w:rsidR="00554BE6" w:rsidRPr="00A10386">
        <w:rPr>
          <w:noProof/>
        </w:rPr>
        <w:t>;</w:t>
      </w:r>
    </w:p>
    <w:p w14:paraId="73B41CC8" w14:textId="7F4F323E" w:rsidR="00D30E4E" w:rsidRPr="00A10386" w:rsidRDefault="00D30E4E" w:rsidP="00862328">
      <w:pPr>
        <w:pStyle w:val="ManualNumPar1"/>
        <w:ind w:firstLine="0"/>
        <w:rPr>
          <w:noProof/>
        </w:rPr>
      </w:pPr>
      <w:r w:rsidRPr="00A10386">
        <w:rPr>
          <w:noProof/>
        </w:rPr>
        <w:t xml:space="preserve">(e) the </w:t>
      </w:r>
      <w:r w:rsidR="00385BF8" w:rsidRPr="00A10386">
        <w:rPr>
          <w:noProof/>
        </w:rPr>
        <w:t>criminal</w:t>
      </w:r>
      <w:r w:rsidRPr="00A10386">
        <w:rPr>
          <w:noProof/>
        </w:rPr>
        <w:t xml:space="preserve"> offence caused the death of third</w:t>
      </w:r>
      <w:r w:rsidR="007B2862" w:rsidRPr="00A10386">
        <w:rPr>
          <w:noProof/>
        </w:rPr>
        <w:t>-</w:t>
      </w:r>
      <w:r w:rsidRPr="00A10386">
        <w:rPr>
          <w:noProof/>
        </w:rPr>
        <w:t xml:space="preserve">country nationals who were subject to the </w:t>
      </w:r>
      <w:r w:rsidR="00CB0001" w:rsidRPr="00A10386">
        <w:rPr>
          <w:noProof/>
        </w:rPr>
        <w:t xml:space="preserve">criminal </w:t>
      </w:r>
      <w:r w:rsidRPr="00A10386">
        <w:rPr>
          <w:noProof/>
        </w:rPr>
        <w:t>offence.</w:t>
      </w:r>
    </w:p>
    <w:p w14:paraId="5FC11439" w14:textId="77777777" w:rsidR="000B5EEF" w:rsidRPr="00A10386" w:rsidRDefault="67ADA453" w:rsidP="000B5EEF">
      <w:pPr>
        <w:pStyle w:val="Titrearticle"/>
        <w:keepLines/>
        <w:rPr>
          <w:noProof/>
        </w:rPr>
      </w:pPr>
      <w:r w:rsidRPr="00A10386">
        <w:rPr>
          <w:noProof/>
        </w:rPr>
        <w:t xml:space="preserve">Article </w:t>
      </w:r>
      <w:r w:rsidR="552B627D" w:rsidRPr="00A10386">
        <w:rPr>
          <w:noProof/>
        </w:rPr>
        <w:t>5</w:t>
      </w:r>
    </w:p>
    <w:p w14:paraId="0D31BA62" w14:textId="1638DDF6" w:rsidR="000B5EEF" w:rsidRPr="00A10386" w:rsidRDefault="000B5EEF" w:rsidP="000B5EEF">
      <w:pPr>
        <w:pStyle w:val="Titrearticle"/>
        <w:spacing w:before="120"/>
        <w:rPr>
          <w:noProof/>
        </w:rPr>
      </w:pPr>
      <w:r w:rsidRPr="00A10386">
        <w:rPr>
          <w:noProof/>
        </w:rPr>
        <w:t>Incitement, aiding and abetting, and attempt</w:t>
      </w:r>
    </w:p>
    <w:p w14:paraId="47C7F5C0" w14:textId="2A0AF3F4" w:rsidR="000B5EEF" w:rsidRPr="00A10386" w:rsidRDefault="67ADA453" w:rsidP="002D3FA5">
      <w:pPr>
        <w:pStyle w:val="ManualNumPar1"/>
        <w:ind w:left="0" w:firstLine="0"/>
        <w:rPr>
          <w:noProof/>
        </w:rPr>
      </w:pPr>
      <w:r w:rsidRPr="00A10386">
        <w:rPr>
          <w:noProof/>
        </w:rPr>
        <w:t>Member States shall ensure that inciting</w:t>
      </w:r>
      <w:r w:rsidR="4F00B931" w:rsidRPr="00A10386">
        <w:rPr>
          <w:noProof/>
        </w:rPr>
        <w:t xml:space="preserve">, aiding and abetting </w:t>
      </w:r>
      <w:r w:rsidR="6DA422DB" w:rsidRPr="00A10386">
        <w:rPr>
          <w:noProof/>
        </w:rPr>
        <w:t>and attempting to commit</w:t>
      </w:r>
      <w:r w:rsidRPr="00A10386">
        <w:rPr>
          <w:noProof/>
        </w:rPr>
        <w:t xml:space="preserve"> any of the </w:t>
      </w:r>
      <w:r w:rsidR="2754A54D" w:rsidRPr="00A10386">
        <w:rPr>
          <w:noProof/>
        </w:rPr>
        <w:t xml:space="preserve">criminal </w:t>
      </w:r>
      <w:r w:rsidRPr="00A10386">
        <w:rPr>
          <w:noProof/>
        </w:rPr>
        <w:t xml:space="preserve">offences referred to in Article </w:t>
      </w:r>
      <w:r w:rsidR="3B10D713" w:rsidRPr="00A10386">
        <w:rPr>
          <w:noProof/>
        </w:rPr>
        <w:t>3</w:t>
      </w:r>
      <w:r w:rsidR="00B72922" w:rsidRPr="00A10386">
        <w:rPr>
          <w:noProof/>
        </w:rPr>
        <w:t>(1</w:t>
      </w:r>
      <w:r w:rsidR="053FB37C" w:rsidRPr="00A10386">
        <w:rPr>
          <w:noProof/>
        </w:rPr>
        <w:t>)</w:t>
      </w:r>
      <w:r w:rsidRPr="00A10386">
        <w:rPr>
          <w:noProof/>
        </w:rPr>
        <w:t xml:space="preserve"> and </w:t>
      </w:r>
      <w:r w:rsidR="00A75C73" w:rsidRPr="00A10386">
        <w:rPr>
          <w:noProof/>
        </w:rPr>
        <w:t xml:space="preserve">Article </w:t>
      </w:r>
      <w:r w:rsidR="461269E5" w:rsidRPr="00A10386">
        <w:rPr>
          <w:noProof/>
        </w:rPr>
        <w:t>4</w:t>
      </w:r>
      <w:r w:rsidRPr="00A10386">
        <w:rPr>
          <w:noProof/>
        </w:rPr>
        <w:t xml:space="preserve"> </w:t>
      </w:r>
      <w:r w:rsidR="4F00B931" w:rsidRPr="00A10386">
        <w:rPr>
          <w:noProof/>
        </w:rPr>
        <w:t>are</w:t>
      </w:r>
      <w:r w:rsidRPr="00A10386">
        <w:rPr>
          <w:noProof/>
        </w:rPr>
        <w:t xml:space="preserve"> punishable as criminal offence</w:t>
      </w:r>
      <w:r w:rsidR="4F00B931" w:rsidRPr="00A10386">
        <w:rPr>
          <w:noProof/>
        </w:rPr>
        <w:t>s</w:t>
      </w:r>
      <w:r w:rsidRPr="00A10386">
        <w:rPr>
          <w:noProof/>
        </w:rPr>
        <w:t>.</w:t>
      </w:r>
    </w:p>
    <w:p w14:paraId="5D2BB0C6" w14:textId="77777777" w:rsidR="000B5EEF" w:rsidRPr="00A10386" w:rsidRDefault="67ADA453" w:rsidP="000B5EEF">
      <w:pPr>
        <w:pStyle w:val="Titrearticle"/>
        <w:keepLines/>
        <w:rPr>
          <w:noProof/>
        </w:rPr>
      </w:pPr>
      <w:r w:rsidRPr="00A10386">
        <w:rPr>
          <w:noProof/>
        </w:rPr>
        <w:t xml:space="preserve">Article </w:t>
      </w:r>
      <w:r w:rsidR="206CF0EF" w:rsidRPr="00A10386">
        <w:rPr>
          <w:noProof/>
        </w:rPr>
        <w:t>6</w:t>
      </w:r>
    </w:p>
    <w:p w14:paraId="70297697" w14:textId="2790DBEF" w:rsidR="000B5EEF" w:rsidRPr="00A10386" w:rsidRDefault="000B5EEF" w:rsidP="000B5EEF">
      <w:pPr>
        <w:pStyle w:val="Titrearticle"/>
        <w:spacing w:before="120"/>
        <w:rPr>
          <w:noProof/>
        </w:rPr>
      </w:pPr>
      <w:r w:rsidRPr="00A10386">
        <w:rPr>
          <w:noProof/>
        </w:rPr>
        <w:t>Penalties for natural persons</w:t>
      </w:r>
    </w:p>
    <w:p w14:paraId="01B776D2" w14:textId="77777777" w:rsidR="000B5EEF" w:rsidRPr="00A10386" w:rsidRDefault="67ADA453" w:rsidP="000B5EEF">
      <w:pPr>
        <w:pStyle w:val="ManualNumPar1"/>
        <w:rPr>
          <w:noProof/>
        </w:rPr>
      </w:pPr>
      <w:r w:rsidRPr="00A10386">
        <w:rPr>
          <w:noProof/>
        </w:rPr>
        <w:t>1.</w:t>
      </w:r>
      <w:r w:rsidR="000B5EEF" w:rsidRPr="00A10386">
        <w:rPr>
          <w:noProof/>
        </w:rPr>
        <w:tab/>
      </w:r>
      <w:r w:rsidRPr="00A10386">
        <w:rPr>
          <w:noProof/>
        </w:rPr>
        <w:t>Member States shall take the necessary measures to ensure that the</w:t>
      </w:r>
      <w:r w:rsidR="470E90BE" w:rsidRPr="00A10386">
        <w:rPr>
          <w:noProof/>
        </w:rPr>
        <w:t xml:space="preserve"> criminal</w:t>
      </w:r>
      <w:r w:rsidRPr="00A10386">
        <w:rPr>
          <w:noProof/>
        </w:rPr>
        <w:t xml:space="preserve"> offences referred to in Articles </w:t>
      </w:r>
      <w:r w:rsidR="2B8FD2AF" w:rsidRPr="00A10386">
        <w:rPr>
          <w:noProof/>
        </w:rPr>
        <w:t>3</w:t>
      </w:r>
      <w:r w:rsidRPr="00A10386">
        <w:rPr>
          <w:noProof/>
        </w:rPr>
        <w:t xml:space="preserve">, </w:t>
      </w:r>
      <w:r w:rsidR="4F8EE0FF" w:rsidRPr="00A10386">
        <w:rPr>
          <w:noProof/>
        </w:rPr>
        <w:t>4</w:t>
      </w:r>
      <w:r w:rsidRPr="00A10386">
        <w:rPr>
          <w:noProof/>
        </w:rPr>
        <w:t xml:space="preserve"> and </w:t>
      </w:r>
      <w:r w:rsidR="56CABA1C" w:rsidRPr="00A10386">
        <w:rPr>
          <w:noProof/>
        </w:rPr>
        <w:t>5</w:t>
      </w:r>
      <w:r w:rsidRPr="00A10386">
        <w:rPr>
          <w:noProof/>
        </w:rPr>
        <w:t xml:space="preserve"> are punishable by effective, proportionate and dissuasive criminal penalties.</w:t>
      </w:r>
    </w:p>
    <w:p w14:paraId="7656026B" w14:textId="77777777" w:rsidR="000B5EEF" w:rsidRPr="00A10386" w:rsidRDefault="67ADA453" w:rsidP="000B5EEF">
      <w:pPr>
        <w:pStyle w:val="ManualNumPar1"/>
        <w:rPr>
          <w:noProof/>
        </w:rPr>
      </w:pPr>
      <w:r w:rsidRPr="00A10386">
        <w:rPr>
          <w:noProof/>
        </w:rPr>
        <w:t>2.</w:t>
      </w:r>
      <w:r w:rsidR="000B5EEF" w:rsidRPr="00A10386">
        <w:rPr>
          <w:noProof/>
        </w:rPr>
        <w:tab/>
      </w:r>
      <w:r w:rsidRPr="00A10386">
        <w:rPr>
          <w:noProof/>
        </w:rPr>
        <w:t>Member States shall take the necessary measures to ensure that the</w:t>
      </w:r>
      <w:r w:rsidR="34E331D6" w:rsidRPr="00A10386">
        <w:rPr>
          <w:noProof/>
        </w:rPr>
        <w:t xml:space="preserve"> criminal</w:t>
      </w:r>
      <w:r w:rsidRPr="00A10386">
        <w:rPr>
          <w:noProof/>
        </w:rPr>
        <w:t xml:space="preserve"> offences referred to in Article </w:t>
      </w:r>
      <w:r w:rsidR="2B60803E" w:rsidRPr="00A10386">
        <w:rPr>
          <w:noProof/>
        </w:rPr>
        <w:t>3</w:t>
      </w:r>
      <w:r w:rsidRPr="00A10386">
        <w:rPr>
          <w:noProof/>
        </w:rPr>
        <w:t xml:space="preserve"> are punishable by a maximum term of imprisonment of at least three years.</w:t>
      </w:r>
    </w:p>
    <w:p w14:paraId="5CA7C28D" w14:textId="72178F44" w:rsidR="000B5EEF" w:rsidRPr="00A10386" w:rsidRDefault="67ADA453" w:rsidP="000B5EEF">
      <w:pPr>
        <w:pStyle w:val="ManualNumPar1"/>
        <w:rPr>
          <w:noProof/>
        </w:rPr>
      </w:pPr>
      <w:r w:rsidRPr="00A10386">
        <w:rPr>
          <w:noProof/>
        </w:rPr>
        <w:t>3.</w:t>
      </w:r>
      <w:r w:rsidR="000B5EEF" w:rsidRPr="00A10386">
        <w:rPr>
          <w:noProof/>
        </w:rPr>
        <w:tab/>
      </w:r>
      <w:r w:rsidRPr="00A10386">
        <w:rPr>
          <w:noProof/>
        </w:rPr>
        <w:t xml:space="preserve">Member States shall take the necessary measures to ensure that </w:t>
      </w:r>
      <w:r w:rsidR="5859373E" w:rsidRPr="00A10386">
        <w:rPr>
          <w:noProof/>
        </w:rPr>
        <w:t>the criminal</w:t>
      </w:r>
      <w:r w:rsidRPr="00A10386">
        <w:rPr>
          <w:noProof/>
        </w:rPr>
        <w:t xml:space="preserve"> offence</w:t>
      </w:r>
      <w:r w:rsidR="5859373E" w:rsidRPr="00A10386">
        <w:rPr>
          <w:noProof/>
        </w:rPr>
        <w:t>s</w:t>
      </w:r>
      <w:r w:rsidRPr="00A10386">
        <w:rPr>
          <w:noProof/>
        </w:rPr>
        <w:t xml:space="preserve"> referred to in Article </w:t>
      </w:r>
      <w:r w:rsidR="7225581A" w:rsidRPr="00A10386">
        <w:rPr>
          <w:noProof/>
        </w:rPr>
        <w:t>4</w:t>
      </w:r>
      <w:r w:rsidR="00A75C73" w:rsidRPr="00A10386">
        <w:rPr>
          <w:noProof/>
        </w:rPr>
        <w:t>,</w:t>
      </w:r>
      <w:r w:rsidR="00D93B9D" w:rsidRPr="00A10386">
        <w:rPr>
          <w:noProof/>
        </w:rPr>
        <w:t xml:space="preserve"> points (a)</w:t>
      </w:r>
      <w:r w:rsidR="00A75C73" w:rsidRPr="00A10386">
        <w:rPr>
          <w:noProof/>
        </w:rPr>
        <w:t xml:space="preserve"> to</w:t>
      </w:r>
      <w:r w:rsidR="00D93B9D" w:rsidRPr="00A10386">
        <w:rPr>
          <w:noProof/>
        </w:rPr>
        <w:t xml:space="preserve"> (d)</w:t>
      </w:r>
      <w:r w:rsidR="35AFF41C" w:rsidRPr="00A10386">
        <w:rPr>
          <w:noProof/>
        </w:rPr>
        <w:t xml:space="preserve"> </w:t>
      </w:r>
      <w:r w:rsidR="5859373E" w:rsidRPr="00A10386">
        <w:rPr>
          <w:noProof/>
        </w:rPr>
        <w:t>are</w:t>
      </w:r>
      <w:r w:rsidRPr="00A10386">
        <w:rPr>
          <w:noProof/>
        </w:rPr>
        <w:t xml:space="preserve"> punishable by a maximum term of imprisonment of at least ten years.</w:t>
      </w:r>
    </w:p>
    <w:p w14:paraId="2ADF798F" w14:textId="0CE01872" w:rsidR="000B5EEF" w:rsidRPr="00A10386" w:rsidRDefault="67ADA453" w:rsidP="000B5EEF">
      <w:pPr>
        <w:pStyle w:val="ManualNumPar1"/>
        <w:rPr>
          <w:noProof/>
        </w:rPr>
      </w:pPr>
      <w:r w:rsidRPr="00A10386">
        <w:rPr>
          <w:noProof/>
        </w:rPr>
        <w:t>4.</w:t>
      </w:r>
      <w:r w:rsidR="000B5EEF" w:rsidRPr="00A10386">
        <w:rPr>
          <w:noProof/>
        </w:rPr>
        <w:tab/>
      </w:r>
      <w:r w:rsidRPr="00A10386">
        <w:rPr>
          <w:noProof/>
        </w:rPr>
        <w:t xml:space="preserve">Member States shall take the necessary measures to ensure that </w:t>
      </w:r>
      <w:r w:rsidR="796A7B49" w:rsidRPr="00A10386">
        <w:rPr>
          <w:noProof/>
        </w:rPr>
        <w:t>the</w:t>
      </w:r>
      <w:r w:rsidRPr="00A10386">
        <w:rPr>
          <w:noProof/>
        </w:rPr>
        <w:t xml:space="preserve"> </w:t>
      </w:r>
      <w:r w:rsidR="796A7B49" w:rsidRPr="00A10386">
        <w:rPr>
          <w:noProof/>
        </w:rPr>
        <w:t xml:space="preserve">criminal </w:t>
      </w:r>
      <w:r w:rsidRPr="00A10386">
        <w:rPr>
          <w:noProof/>
        </w:rPr>
        <w:t>offence</w:t>
      </w:r>
      <w:r w:rsidR="796A7B49" w:rsidRPr="00A10386">
        <w:rPr>
          <w:noProof/>
        </w:rPr>
        <w:t>s</w:t>
      </w:r>
      <w:r w:rsidRPr="00A10386">
        <w:rPr>
          <w:noProof/>
        </w:rPr>
        <w:t xml:space="preserve"> referred to in Article </w:t>
      </w:r>
      <w:r w:rsidR="5AFFFCE1" w:rsidRPr="00A10386">
        <w:rPr>
          <w:noProof/>
        </w:rPr>
        <w:t>4</w:t>
      </w:r>
      <w:r w:rsidR="00D93B9D" w:rsidRPr="00A10386">
        <w:rPr>
          <w:noProof/>
        </w:rPr>
        <w:t xml:space="preserve"> point (e)</w:t>
      </w:r>
      <w:r w:rsidR="001050BC" w:rsidRPr="00A10386">
        <w:rPr>
          <w:noProof/>
        </w:rPr>
        <w:t>,</w:t>
      </w:r>
      <w:r w:rsidR="00D93B9D" w:rsidRPr="00A10386">
        <w:rPr>
          <w:noProof/>
        </w:rPr>
        <w:t xml:space="preserve"> </w:t>
      </w:r>
      <w:r w:rsidR="001050BC" w:rsidRPr="00A10386">
        <w:rPr>
          <w:noProof/>
        </w:rPr>
        <w:t>including</w:t>
      </w:r>
      <w:r w:rsidR="00D93B9D" w:rsidRPr="00A10386">
        <w:rPr>
          <w:noProof/>
        </w:rPr>
        <w:t xml:space="preserve"> attempts to commit the </w:t>
      </w:r>
      <w:r w:rsidR="00CA71C1" w:rsidRPr="00A10386">
        <w:rPr>
          <w:noProof/>
        </w:rPr>
        <w:t>criminal</w:t>
      </w:r>
      <w:r w:rsidR="00D93B9D" w:rsidRPr="00A10386">
        <w:rPr>
          <w:noProof/>
        </w:rPr>
        <w:t xml:space="preserve"> offence referred to in </w:t>
      </w:r>
      <w:r w:rsidR="008C57D2" w:rsidRPr="00A10386">
        <w:rPr>
          <w:noProof/>
        </w:rPr>
        <w:t>that provision,</w:t>
      </w:r>
      <w:r w:rsidRPr="00A10386">
        <w:rPr>
          <w:noProof/>
        </w:rPr>
        <w:t xml:space="preserve"> </w:t>
      </w:r>
      <w:r w:rsidR="796A7B49" w:rsidRPr="00A10386">
        <w:rPr>
          <w:noProof/>
        </w:rPr>
        <w:t xml:space="preserve">are </w:t>
      </w:r>
      <w:r w:rsidRPr="00A10386">
        <w:rPr>
          <w:noProof/>
        </w:rPr>
        <w:t>punishable by a maximum term of imprisonment of</w:t>
      </w:r>
      <w:r w:rsidR="2F3A2B59" w:rsidRPr="00A10386">
        <w:rPr>
          <w:noProof/>
        </w:rPr>
        <w:t xml:space="preserve"> </w:t>
      </w:r>
      <w:r w:rsidRPr="00A10386">
        <w:rPr>
          <w:noProof/>
        </w:rPr>
        <w:t>at least fifteen years.</w:t>
      </w:r>
    </w:p>
    <w:p w14:paraId="5A4730B9" w14:textId="6F8DBC25" w:rsidR="000B5EEF" w:rsidRPr="00A10386" w:rsidRDefault="000B5EEF" w:rsidP="000B5EEF">
      <w:pPr>
        <w:pStyle w:val="ManualNumPar1"/>
        <w:rPr>
          <w:noProof/>
        </w:rPr>
      </w:pPr>
      <w:r w:rsidRPr="00A10386">
        <w:rPr>
          <w:noProof/>
        </w:rPr>
        <w:t>5.</w:t>
      </w:r>
      <w:r w:rsidRPr="00A10386">
        <w:rPr>
          <w:noProof/>
        </w:rPr>
        <w:tab/>
      </w:r>
      <w:r w:rsidR="00FC1B1C" w:rsidRPr="00A10386">
        <w:rPr>
          <w:noProof/>
        </w:rPr>
        <w:t>In addition</w:t>
      </w:r>
      <w:r w:rsidRPr="00A10386">
        <w:rPr>
          <w:noProof/>
        </w:rPr>
        <w:t xml:space="preserve"> to</w:t>
      </w:r>
      <w:r w:rsidR="00FC1B1C" w:rsidRPr="00A10386">
        <w:rPr>
          <w:noProof/>
        </w:rPr>
        <w:t xml:space="preserve"> criminal penalties </w:t>
      </w:r>
      <w:r w:rsidR="00D93B9D" w:rsidRPr="00A10386">
        <w:rPr>
          <w:noProof/>
        </w:rPr>
        <w:t xml:space="preserve">imposed </w:t>
      </w:r>
      <w:r w:rsidR="00626D95" w:rsidRPr="00A10386">
        <w:rPr>
          <w:noProof/>
        </w:rPr>
        <w:t>in accordance with</w:t>
      </w:r>
      <w:r w:rsidRPr="00A10386">
        <w:rPr>
          <w:noProof/>
        </w:rPr>
        <w:t xml:space="preserve"> paragraphs 1 to 4, Member States shall take the necessary measures to ensure that natural persons </w:t>
      </w:r>
      <w:r w:rsidR="00801810" w:rsidRPr="00A10386">
        <w:rPr>
          <w:noProof/>
        </w:rPr>
        <w:t>that</w:t>
      </w:r>
      <w:r w:rsidRPr="00A10386">
        <w:rPr>
          <w:noProof/>
        </w:rPr>
        <w:t xml:space="preserve"> have been convicted of committing one of the criminal offences referred to in </w:t>
      </w:r>
      <w:r w:rsidR="00801810" w:rsidRPr="00A10386">
        <w:rPr>
          <w:noProof/>
        </w:rPr>
        <w:t>Articles 3, 4 and 5</w:t>
      </w:r>
      <w:r w:rsidRPr="00A10386">
        <w:rPr>
          <w:noProof/>
        </w:rPr>
        <w:t xml:space="preserve"> </w:t>
      </w:r>
      <w:r w:rsidR="008869C1" w:rsidRPr="00A10386">
        <w:rPr>
          <w:noProof/>
        </w:rPr>
        <w:t>may be</w:t>
      </w:r>
      <w:r w:rsidRPr="00A10386">
        <w:rPr>
          <w:noProof/>
        </w:rPr>
        <w:t xml:space="preserve"> subject to </w:t>
      </w:r>
      <w:r w:rsidR="00801810" w:rsidRPr="00A10386">
        <w:rPr>
          <w:noProof/>
        </w:rPr>
        <w:t xml:space="preserve">criminal or non-criminal </w:t>
      </w:r>
      <w:r w:rsidRPr="00A10386">
        <w:rPr>
          <w:noProof/>
        </w:rPr>
        <w:t>sanctions or measures imposed by a competent authority, including:</w:t>
      </w:r>
    </w:p>
    <w:p w14:paraId="782517DF" w14:textId="77777777" w:rsidR="000B5EEF" w:rsidRPr="00A10386" w:rsidRDefault="000B5EEF" w:rsidP="000B5EEF">
      <w:pPr>
        <w:pStyle w:val="ManualNumPar1"/>
        <w:ind w:firstLine="0"/>
        <w:rPr>
          <w:noProof/>
        </w:rPr>
      </w:pPr>
      <w:r w:rsidRPr="00A10386">
        <w:rPr>
          <w:noProof/>
        </w:rPr>
        <w:t>(a) withdrawal of permits or authorisations</w:t>
      </w:r>
      <w:r w:rsidR="00801810" w:rsidRPr="00A10386">
        <w:rPr>
          <w:noProof/>
        </w:rPr>
        <w:t xml:space="preserve"> to pursue activities which have resulted in committing the </w:t>
      </w:r>
      <w:r w:rsidR="00CA71C1" w:rsidRPr="00A10386">
        <w:rPr>
          <w:noProof/>
        </w:rPr>
        <w:t>criminal</w:t>
      </w:r>
      <w:r w:rsidR="00801810" w:rsidRPr="00A10386">
        <w:rPr>
          <w:noProof/>
        </w:rPr>
        <w:t xml:space="preserve"> offence</w:t>
      </w:r>
      <w:r w:rsidRPr="00A10386">
        <w:rPr>
          <w:noProof/>
        </w:rPr>
        <w:t xml:space="preserve">, or prohibition on practising directly or through an intermediary the occupational activity in the exercise of which the </w:t>
      </w:r>
      <w:r w:rsidR="00626D95" w:rsidRPr="00A10386">
        <w:rPr>
          <w:noProof/>
        </w:rPr>
        <w:t xml:space="preserve">criminal </w:t>
      </w:r>
      <w:r w:rsidRPr="00A10386">
        <w:rPr>
          <w:noProof/>
        </w:rPr>
        <w:t>offence was committed;</w:t>
      </w:r>
    </w:p>
    <w:p w14:paraId="53402346" w14:textId="2DE3BA59" w:rsidR="00C31B14" w:rsidRPr="00A10386" w:rsidRDefault="67ADA453" w:rsidP="00C31B14">
      <w:pPr>
        <w:pStyle w:val="ManualNumPar1"/>
        <w:ind w:firstLine="0"/>
        <w:rPr>
          <w:noProof/>
        </w:rPr>
      </w:pPr>
      <w:r w:rsidRPr="00A10386">
        <w:rPr>
          <w:noProof/>
        </w:rPr>
        <w:t>(b) return after the enforcement of the penalty in a Member State</w:t>
      </w:r>
      <w:r w:rsidR="17CDDA09" w:rsidRPr="00A10386">
        <w:rPr>
          <w:noProof/>
        </w:rPr>
        <w:t>,</w:t>
      </w:r>
      <w:r w:rsidRPr="00A10386">
        <w:rPr>
          <w:noProof/>
        </w:rPr>
        <w:t xml:space="preserve"> or to serve the penalty imposed, or part of it, in the third country of return</w:t>
      </w:r>
      <w:r w:rsidR="00A75C73" w:rsidRPr="00A10386">
        <w:rPr>
          <w:noProof/>
        </w:rPr>
        <w:t>, without prejudice to more favourable provisions that may be applicable by virtue of Union or national law</w:t>
      </w:r>
      <w:r w:rsidRPr="00A10386">
        <w:rPr>
          <w:noProof/>
        </w:rPr>
        <w:t>;</w:t>
      </w:r>
    </w:p>
    <w:p w14:paraId="408ECAE6" w14:textId="2A77DC03" w:rsidR="000B5EEF" w:rsidRPr="00A10386" w:rsidRDefault="67ADA453" w:rsidP="00862328">
      <w:pPr>
        <w:pStyle w:val="ManualNumPar1"/>
        <w:ind w:firstLine="0"/>
        <w:rPr>
          <w:noProof/>
        </w:rPr>
      </w:pPr>
      <w:r w:rsidRPr="00A10386">
        <w:rPr>
          <w:noProof/>
        </w:rPr>
        <w:t xml:space="preserve">(c) prohibition to enter and stay on the territory of the Member States for </w:t>
      </w:r>
      <w:r w:rsidR="4A76B0EF" w:rsidRPr="00A10386">
        <w:rPr>
          <w:noProof/>
        </w:rPr>
        <w:t xml:space="preserve">an appropriate period of maximum 10 </w:t>
      </w:r>
      <w:r w:rsidRPr="00A10386">
        <w:rPr>
          <w:noProof/>
        </w:rPr>
        <w:t>years</w:t>
      </w:r>
      <w:r w:rsidR="006C46B0" w:rsidRPr="00A10386">
        <w:rPr>
          <w:noProof/>
        </w:rPr>
        <w:t>,</w:t>
      </w:r>
      <w:r w:rsidRPr="00A10386">
        <w:rPr>
          <w:noProof/>
        </w:rPr>
        <w:t xml:space="preserve"> without </w:t>
      </w:r>
      <w:r w:rsidR="006C46B0" w:rsidRPr="00A10386">
        <w:rPr>
          <w:noProof/>
        </w:rPr>
        <w:t xml:space="preserve">prejudice to more favourable </w:t>
      </w:r>
      <w:r w:rsidR="00331350" w:rsidRPr="00A10386">
        <w:rPr>
          <w:noProof/>
        </w:rPr>
        <w:t>provisions</w:t>
      </w:r>
      <w:r w:rsidR="006C46B0" w:rsidRPr="00A10386">
        <w:rPr>
          <w:noProof/>
        </w:rPr>
        <w:t xml:space="preserve"> that may be applica</w:t>
      </w:r>
      <w:r w:rsidR="0037316D" w:rsidRPr="00A10386">
        <w:rPr>
          <w:noProof/>
        </w:rPr>
        <w:t>ble</w:t>
      </w:r>
      <w:r w:rsidR="006C46B0" w:rsidRPr="00A10386">
        <w:rPr>
          <w:noProof/>
        </w:rPr>
        <w:t xml:space="preserve"> </w:t>
      </w:r>
      <w:r w:rsidR="0037316D" w:rsidRPr="00A10386">
        <w:rPr>
          <w:noProof/>
        </w:rPr>
        <w:t>by</w:t>
      </w:r>
      <w:r w:rsidR="006C46B0" w:rsidRPr="00A10386">
        <w:rPr>
          <w:noProof/>
        </w:rPr>
        <w:t xml:space="preserve"> virtue of Union or national law</w:t>
      </w:r>
      <w:r w:rsidR="13327B2B" w:rsidRPr="00A10386">
        <w:rPr>
          <w:noProof/>
        </w:rPr>
        <w:t>;</w:t>
      </w:r>
    </w:p>
    <w:p w14:paraId="410AC334" w14:textId="77777777" w:rsidR="000B5EEF" w:rsidRPr="00A10386" w:rsidRDefault="000B5EEF" w:rsidP="000B5EEF">
      <w:pPr>
        <w:pStyle w:val="ManualNumPar1"/>
        <w:ind w:firstLine="0"/>
        <w:rPr>
          <w:noProof/>
        </w:rPr>
      </w:pPr>
      <w:r w:rsidRPr="00A10386">
        <w:rPr>
          <w:noProof/>
        </w:rPr>
        <w:t>(d) exclusions from access to public funding, including tender procedures, grants and concessions;</w:t>
      </w:r>
    </w:p>
    <w:p w14:paraId="2041AC8C" w14:textId="58F13DFE" w:rsidR="00BF271E" w:rsidRPr="00A10386" w:rsidRDefault="67ADA453" w:rsidP="002C18C1">
      <w:pPr>
        <w:pStyle w:val="ManualNumPar1"/>
        <w:ind w:firstLine="0"/>
        <w:rPr>
          <w:noProof/>
        </w:rPr>
      </w:pPr>
      <w:r w:rsidRPr="00A10386">
        <w:rPr>
          <w:noProof/>
        </w:rPr>
        <w:t>(e) fines</w:t>
      </w:r>
      <w:r w:rsidR="00BF271E" w:rsidRPr="00A10386">
        <w:rPr>
          <w:noProof/>
        </w:rPr>
        <w:t>;</w:t>
      </w:r>
    </w:p>
    <w:p w14:paraId="54EF8013" w14:textId="21B5317A" w:rsidR="000B5EEF" w:rsidRPr="00A10386" w:rsidRDefault="00BF271E" w:rsidP="00BF271E">
      <w:pPr>
        <w:pStyle w:val="ManualNumPar1"/>
        <w:ind w:firstLine="0"/>
        <w:rPr>
          <w:noProof/>
        </w:rPr>
      </w:pPr>
      <w:r w:rsidRPr="00A10386">
        <w:rPr>
          <w:noProof/>
        </w:rPr>
        <w:t xml:space="preserve">(f) </w:t>
      </w:r>
      <w:r w:rsidR="00187F38" w:rsidRPr="00A10386">
        <w:rPr>
          <w:noProof/>
        </w:rPr>
        <w:t xml:space="preserve">freezing and </w:t>
      </w:r>
      <w:r w:rsidRPr="00A10386">
        <w:rPr>
          <w:noProof/>
        </w:rPr>
        <w:t>confiscation of the proceeds derived from, and instrumentalities used for, the commission of the offence</w:t>
      </w:r>
      <w:r w:rsidR="00187F38" w:rsidRPr="00A10386">
        <w:rPr>
          <w:noProof/>
        </w:rPr>
        <w:t>, in accordance with Directive 2014/42/EU of the European Parliament and of the Council</w:t>
      </w:r>
      <w:r w:rsidR="00187F38" w:rsidRPr="00A10386">
        <w:rPr>
          <w:rStyle w:val="FootnoteReference"/>
          <w:noProof/>
        </w:rPr>
        <w:footnoteReference w:id="60"/>
      </w:r>
      <w:r w:rsidR="67ADA453" w:rsidRPr="00A10386">
        <w:rPr>
          <w:noProof/>
        </w:rPr>
        <w:t>.</w:t>
      </w:r>
    </w:p>
    <w:p w14:paraId="03113F1C" w14:textId="77777777" w:rsidR="000B5EEF" w:rsidRPr="00A10386" w:rsidRDefault="67ADA453" w:rsidP="000B5EEF">
      <w:pPr>
        <w:pStyle w:val="Titrearticle"/>
        <w:keepLines/>
        <w:rPr>
          <w:noProof/>
        </w:rPr>
      </w:pPr>
      <w:r w:rsidRPr="00A10386">
        <w:rPr>
          <w:noProof/>
        </w:rPr>
        <w:t xml:space="preserve">Article </w:t>
      </w:r>
      <w:r w:rsidR="206CF0EF" w:rsidRPr="00A10386">
        <w:rPr>
          <w:noProof/>
        </w:rPr>
        <w:t>7</w:t>
      </w:r>
    </w:p>
    <w:p w14:paraId="47AEBF5B" w14:textId="77777777" w:rsidR="000B5EEF" w:rsidRPr="00A10386" w:rsidRDefault="000B5EEF" w:rsidP="000B5EEF">
      <w:pPr>
        <w:pStyle w:val="Titrearticle"/>
        <w:spacing w:before="120"/>
        <w:rPr>
          <w:noProof/>
        </w:rPr>
      </w:pPr>
      <w:r w:rsidRPr="00A10386">
        <w:rPr>
          <w:noProof/>
        </w:rPr>
        <w:t>Liability of legal persons</w:t>
      </w:r>
    </w:p>
    <w:p w14:paraId="15EFEA05" w14:textId="77777777" w:rsidR="000B5EEF" w:rsidRPr="00A10386" w:rsidRDefault="67ADA453" w:rsidP="000B5EEF">
      <w:pPr>
        <w:pStyle w:val="ManualNumPar1"/>
        <w:rPr>
          <w:noProof/>
        </w:rPr>
      </w:pPr>
      <w:r w:rsidRPr="00A10386">
        <w:rPr>
          <w:noProof/>
        </w:rPr>
        <w:t>1.</w:t>
      </w:r>
      <w:r w:rsidR="000B5EEF" w:rsidRPr="00A10386">
        <w:rPr>
          <w:noProof/>
        </w:rPr>
        <w:tab/>
      </w:r>
      <w:r w:rsidRPr="00A10386">
        <w:rPr>
          <w:noProof/>
        </w:rPr>
        <w:t xml:space="preserve">Member States shall take the necessary measures to ensure that legal persons can be held liable for the </w:t>
      </w:r>
      <w:r w:rsidR="3839CBDF" w:rsidRPr="00A10386">
        <w:rPr>
          <w:noProof/>
        </w:rPr>
        <w:t>criminal</w:t>
      </w:r>
      <w:r w:rsidRPr="00A10386">
        <w:rPr>
          <w:noProof/>
        </w:rPr>
        <w:t xml:space="preserve"> offences referred to in </w:t>
      </w:r>
      <w:r w:rsidR="2F3A2B59" w:rsidRPr="00A10386">
        <w:rPr>
          <w:noProof/>
        </w:rPr>
        <w:t xml:space="preserve">Articles </w:t>
      </w:r>
      <w:r w:rsidR="45458D28" w:rsidRPr="00A10386">
        <w:rPr>
          <w:noProof/>
        </w:rPr>
        <w:t>3</w:t>
      </w:r>
      <w:r w:rsidR="2F3A2B59" w:rsidRPr="00A10386">
        <w:rPr>
          <w:noProof/>
        </w:rPr>
        <w:t xml:space="preserve">, </w:t>
      </w:r>
      <w:r w:rsidR="7E90A2CA" w:rsidRPr="00A10386">
        <w:rPr>
          <w:noProof/>
        </w:rPr>
        <w:t>4</w:t>
      </w:r>
      <w:r w:rsidR="2F3A2B59" w:rsidRPr="00A10386">
        <w:rPr>
          <w:noProof/>
        </w:rPr>
        <w:t xml:space="preserve"> and </w:t>
      </w:r>
      <w:r w:rsidR="586BFC78" w:rsidRPr="00A10386">
        <w:rPr>
          <w:noProof/>
        </w:rPr>
        <w:t>5</w:t>
      </w:r>
      <w:r w:rsidRPr="00A10386">
        <w:rPr>
          <w:noProof/>
        </w:rPr>
        <w:t xml:space="preserve"> committed for their benefit by any person, acting either individually or as part of an organ of the legal person, who has a leading position within the legal person, based on:</w:t>
      </w:r>
    </w:p>
    <w:p w14:paraId="2FF171C6" w14:textId="77777777" w:rsidR="000B5EEF" w:rsidRPr="00A10386" w:rsidRDefault="000B5EEF" w:rsidP="000B5EEF">
      <w:pPr>
        <w:pStyle w:val="ManualNumPar1"/>
        <w:ind w:firstLine="0"/>
        <w:rPr>
          <w:noProof/>
        </w:rPr>
      </w:pPr>
      <w:r w:rsidRPr="00A10386">
        <w:rPr>
          <w:noProof/>
        </w:rPr>
        <w:t>(a) a power of representation of the legal person;</w:t>
      </w:r>
    </w:p>
    <w:p w14:paraId="5CA675FF" w14:textId="77777777" w:rsidR="000B5EEF" w:rsidRPr="00A10386" w:rsidRDefault="000B5EEF" w:rsidP="000B5EEF">
      <w:pPr>
        <w:pStyle w:val="ManualNumPar1"/>
        <w:ind w:firstLine="0"/>
        <w:rPr>
          <w:noProof/>
        </w:rPr>
      </w:pPr>
      <w:r w:rsidRPr="00A10386">
        <w:rPr>
          <w:noProof/>
        </w:rPr>
        <w:t>(b) an authority to take decisions on behalf of the legal person;</w:t>
      </w:r>
    </w:p>
    <w:p w14:paraId="790992E5" w14:textId="77777777" w:rsidR="000B5EEF" w:rsidRPr="00A10386" w:rsidRDefault="000B5EEF" w:rsidP="000B5EEF">
      <w:pPr>
        <w:pStyle w:val="ManualNumPar1"/>
        <w:ind w:firstLine="0"/>
        <w:rPr>
          <w:noProof/>
        </w:rPr>
      </w:pPr>
      <w:r w:rsidRPr="00A10386">
        <w:rPr>
          <w:noProof/>
        </w:rPr>
        <w:t>(c) an authority to exercise control within the legal person.</w:t>
      </w:r>
    </w:p>
    <w:p w14:paraId="7F556488" w14:textId="77777777" w:rsidR="000B5EEF" w:rsidRPr="00A10386" w:rsidRDefault="67ADA453" w:rsidP="000B5EEF">
      <w:pPr>
        <w:pStyle w:val="ManualNumPar1"/>
        <w:rPr>
          <w:noProof/>
        </w:rPr>
      </w:pPr>
      <w:r w:rsidRPr="00A10386">
        <w:rPr>
          <w:noProof/>
        </w:rPr>
        <w:t>2.</w:t>
      </w:r>
      <w:r w:rsidR="000B5EEF" w:rsidRPr="00A10386">
        <w:rPr>
          <w:noProof/>
        </w:rPr>
        <w:tab/>
      </w:r>
      <w:r w:rsidRPr="00A10386">
        <w:rPr>
          <w:noProof/>
        </w:rPr>
        <w:t xml:space="preserve">Member States shall also take the necessary measures to ensure that a legal person can be held liable where the lack of supervision or control by a person referred to in paragraph 1 has made possible the commission of the </w:t>
      </w:r>
      <w:r w:rsidR="000670FE" w:rsidRPr="00A10386">
        <w:rPr>
          <w:noProof/>
        </w:rPr>
        <w:t xml:space="preserve">criminal </w:t>
      </w:r>
      <w:r w:rsidRPr="00A10386">
        <w:rPr>
          <w:noProof/>
        </w:rPr>
        <w:t>offences referred to in Article</w:t>
      </w:r>
      <w:r w:rsidR="2F3A2B59" w:rsidRPr="00A10386">
        <w:rPr>
          <w:noProof/>
        </w:rPr>
        <w:t xml:space="preserve">s </w:t>
      </w:r>
      <w:r w:rsidR="6FBA1A25" w:rsidRPr="00A10386">
        <w:rPr>
          <w:noProof/>
        </w:rPr>
        <w:t>3</w:t>
      </w:r>
      <w:r w:rsidR="2F3A2B59" w:rsidRPr="00A10386">
        <w:rPr>
          <w:noProof/>
        </w:rPr>
        <w:t xml:space="preserve">, </w:t>
      </w:r>
      <w:r w:rsidR="3FE35263" w:rsidRPr="00A10386">
        <w:rPr>
          <w:noProof/>
        </w:rPr>
        <w:t>4</w:t>
      </w:r>
      <w:r w:rsidR="2F3A2B59" w:rsidRPr="00A10386">
        <w:rPr>
          <w:noProof/>
        </w:rPr>
        <w:t xml:space="preserve"> and </w:t>
      </w:r>
      <w:r w:rsidR="616A9539" w:rsidRPr="00A10386">
        <w:rPr>
          <w:noProof/>
        </w:rPr>
        <w:t>5</w:t>
      </w:r>
      <w:r w:rsidR="2F3A2B59" w:rsidRPr="00A10386">
        <w:rPr>
          <w:noProof/>
        </w:rPr>
        <w:t xml:space="preserve"> </w:t>
      </w:r>
      <w:r w:rsidRPr="00A10386">
        <w:rPr>
          <w:noProof/>
        </w:rPr>
        <w:t>for the benefit of that legal person by a person under its authority.</w:t>
      </w:r>
    </w:p>
    <w:p w14:paraId="09FEB3AA" w14:textId="77777777" w:rsidR="000B5EEF" w:rsidRPr="00A10386" w:rsidRDefault="67ADA453" w:rsidP="000B5EEF">
      <w:pPr>
        <w:pStyle w:val="ManualNumPar1"/>
        <w:rPr>
          <w:noProof/>
        </w:rPr>
      </w:pPr>
      <w:r w:rsidRPr="00A10386">
        <w:rPr>
          <w:noProof/>
        </w:rPr>
        <w:t>3.</w:t>
      </w:r>
      <w:r w:rsidR="000B5EEF" w:rsidRPr="00A10386">
        <w:rPr>
          <w:noProof/>
        </w:rPr>
        <w:tab/>
      </w:r>
      <w:r w:rsidRPr="00A10386">
        <w:rPr>
          <w:noProof/>
        </w:rPr>
        <w:t xml:space="preserve">Liability of a legal person under paragraphs 1 and 2 shall not exclude criminal proceedings against natural persons who are perpetrators of, inciters of, or accessories in the </w:t>
      </w:r>
      <w:r w:rsidR="000670FE" w:rsidRPr="00A10386">
        <w:rPr>
          <w:noProof/>
        </w:rPr>
        <w:t xml:space="preserve">criminal </w:t>
      </w:r>
      <w:r w:rsidRPr="00A10386">
        <w:rPr>
          <w:noProof/>
        </w:rPr>
        <w:t xml:space="preserve">offences referred to in </w:t>
      </w:r>
      <w:r w:rsidR="0866B07B" w:rsidRPr="00A10386">
        <w:rPr>
          <w:noProof/>
        </w:rPr>
        <w:t xml:space="preserve">Articles </w:t>
      </w:r>
      <w:r w:rsidR="3F535604" w:rsidRPr="00A10386">
        <w:rPr>
          <w:noProof/>
        </w:rPr>
        <w:t>3</w:t>
      </w:r>
      <w:r w:rsidR="3A7626A9" w:rsidRPr="00A10386">
        <w:rPr>
          <w:noProof/>
        </w:rPr>
        <w:t xml:space="preserve">, </w:t>
      </w:r>
      <w:r w:rsidR="1E677798" w:rsidRPr="00A10386">
        <w:rPr>
          <w:noProof/>
        </w:rPr>
        <w:t>4</w:t>
      </w:r>
      <w:r w:rsidR="3A7626A9" w:rsidRPr="00A10386">
        <w:rPr>
          <w:noProof/>
        </w:rPr>
        <w:t xml:space="preserve"> and </w:t>
      </w:r>
      <w:r w:rsidR="78B3C486" w:rsidRPr="00A10386">
        <w:rPr>
          <w:noProof/>
        </w:rPr>
        <w:t>5</w:t>
      </w:r>
      <w:r w:rsidRPr="00A10386">
        <w:rPr>
          <w:noProof/>
        </w:rPr>
        <w:t>.</w:t>
      </w:r>
    </w:p>
    <w:p w14:paraId="0B3F36C9" w14:textId="77777777" w:rsidR="000B5EEF" w:rsidRPr="00A10386" w:rsidRDefault="67ADA453" w:rsidP="000B5EEF">
      <w:pPr>
        <w:pStyle w:val="Titrearticle"/>
        <w:keepLines/>
        <w:rPr>
          <w:noProof/>
        </w:rPr>
      </w:pPr>
      <w:r w:rsidRPr="00A10386">
        <w:rPr>
          <w:noProof/>
        </w:rPr>
        <w:t xml:space="preserve">Article </w:t>
      </w:r>
      <w:r w:rsidR="206CF0EF" w:rsidRPr="00A10386">
        <w:rPr>
          <w:noProof/>
        </w:rPr>
        <w:t>8</w:t>
      </w:r>
    </w:p>
    <w:p w14:paraId="13256F13" w14:textId="27DB2F86" w:rsidR="000B5EEF" w:rsidRPr="00A10386" w:rsidRDefault="000B5EEF" w:rsidP="000B5EEF">
      <w:pPr>
        <w:pStyle w:val="Titrearticle"/>
        <w:spacing w:before="120"/>
        <w:rPr>
          <w:noProof/>
        </w:rPr>
      </w:pPr>
      <w:r w:rsidRPr="00A10386">
        <w:rPr>
          <w:noProof/>
        </w:rPr>
        <w:t xml:space="preserve">Sanctions </w:t>
      </w:r>
      <w:r w:rsidR="000440DF" w:rsidRPr="00A10386">
        <w:rPr>
          <w:noProof/>
        </w:rPr>
        <w:t>for</w:t>
      </w:r>
      <w:r w:rsidRPr="00A10386">
        <w:rPr>
          <w:noProof/>
        </w:rPr>
        <w:t xml:space="preserve"> legal persons</w:t>
      </w:r>
    </w:p>
    <w:p w14:paraId="1E22EC45" w14:textId="39E40EC4" w:rsidR="006E4FED" w:rsidRPr="00A10386" w:rsidRDefault="000440DF" w:rsidP="000440DF">
      <w:pPr>
        <w:pStyle w:val="ManualNumPar1"/>
        <w:rPr>
          <w:noProof/>
        </w:rPr>
      </w:pPr>
      <w:r w:rsidRPr="00A10386">
        <w:rPr>
          <w:noProof/>
        </w:rPr>
        <w:t>1.</w:t>
      </w:r>
      <w:r w:rsidRPr="00A10386">
        <w:rPr>
          <w:noProof/>
        </w:rPr>
        <w:tab/>
      </w:r>
      <w:r w:rsidR="67ADA453" w:rsidRPr="00A10386">
        <w:rPr>
          <w:noProof/>
        </w:rPr>
        <w:t xml:space="preserve">Member States shall take the necessary measures to ensure that a legal person held liable pursuant to Article </w:t>
      </w:r>
      <w:r w:rsidR="605D4CFC" w:rsidRPr="00A10386">
        <w:rPr>
          <w:noProof/>
        </w:rPr>
        <w:t>7</w:t>
      </w:r>
      <w:r w:rsidR="67ADA453" w:rsidRPr="00A10386">
        <w:rPr>
          <w:noProof/>
        </w:rPr>
        <w:t xml:space="preserve"> is subject to effective, proportionate and dissuasive sanctions</w:t>
      </w:r>
      <w:r w:rsidR="0D630221" w:rsidRPr="00A10386">
        <w:rPr>
          <w:noProof/>
        </w:rPr>
        <w:t>.</w:t>
      </w:r>
    </w:p>
    <w:p w14:paraId="3CCEC7AB" w14:textId="03B2F9FD" w:rsidR="001F6EC0" w:rsidRPr="00A10386" w:rsidRDefault="000440DF" w:rsidP="000440DF">
      <w:pPr>
        <w:pStyle w:val="ManualNumPar1"/>
        <w:rPr>
          <w:noProof/>
        </w:rPr>
      </w:pPr>
      <w:r w:rsidRPr="00A10386">
        <w:rPr>
          <w:noProof/>
        </w:rPr>
        <w:t>2.</w:t>
      </w:r>
      <w:r w:rsidRPr="00A10386">
        <w:rPr>
          <w:noProof/>
        </w:rPr>
        <w:tab/>
      </w:r>
      <w:r w:rsidR="17F85059" w:rsidRPr="00A10386">
        <w:rPr>
          <w:noProof/>
        </w:rPr>
        <w:t>Member States shall take the necessary measures to ensure that sanctions or measures for legal persons</w:t>
      </w:r>
      <w:r w:rsidR="00331350" w:rsidRPr="00A10386">
        <w:rPr>
          <w:noProof/>
        </w:rPr>
        <w:t xml:space="preserve"> </w:t>
      </w:r>
      <w:r w:rsidR="17F85059" w:rsidRPr="00A10386">
        <w:rPr>
          <w:noProof/>
        </w:rPr>
        <w:t>liable pursuant to Article</w:t>
      </w:r>
      <w:r w:rsidR="00331350" w:rsidRPr="00A10386">
        <w:rPr>
          <w:noProof/>
        </w:rPr>
        <w:t xml:space="preserve"> </w:t>
      </w:r>
      <w:r w:rsidR="17F85059" w:rsidRPr="00A10386">
        <w:rPr>
          <w:noProof/>
        </w:rPr>
        <w:t>7</w:t>
      </w:r>
      <w:r w:rsidR="00331350" w:rsidRPr="00A10386">
        <w:rPr>
          <w:noProof/>
        </w:rPr>
        <w:t xml:space="preserve"> </w:t>
      </w:r>
      <w:r w:rsidR="17F85059" w:rsidRPr="00A10386">
        <w:rPr>
          <w:noProof/>
        </w:rPr>
        <w:t xml:space="preserve">for the </w:t>
      </w:r>
      <w:r w:rsidR="000670FE" w:rsidRPr="00A10386">
        <w:rPr>
          <w:noProof/>
        </w:rPr>
        <w:t xml:space="preserve">criminal </w:t>
      </w:r>
      <w:r w:rsidR="17F85059" w:rsidRPr="00A10386">
        <w:rPr>
          <w:noProof/>
        </w:rPr>
        <w:t xml:space="preserve">offences referred to in Articles </w:t>
      </w:r>
      <w:r w:rsidR="1BAF6E4D" w:rsidRPr="00A10386">
        <w:rPr>
          <w:noProof/>
        </w:rPr>
        <w:t>3</w:t>
      </w:r>
      <w:r w:rsidR="17F85059" w:rsidRPr="00A10386">
        <w:rPr>
          <w:noProof/>
        </w:rPr>
        <w:t xml:space="preserve">, </w:t>
      </w:r>
      <w:r w:rsidR="44579F9F" w:rsidRPr="00A10386">
        <w:rPr>
          <w:noProof/>
        </w:rPr>
        <w:t>4</w:t>
      </w:r>
      <w:r w:rsidR="00331350" w:rsidRPr="00A10386">
        <w:rPr>
          <w:noProof/>
        </w:rPr>
        <w:t xml:space="preserve"> </w:t>
      </w:r>
      <w:r w:rsidR="17F85059" w:rsidRPr="00A10386">
        <w:rPr>
          <w:noProof/>
        </w:rPr>
        <w:t>and</w:t>
      </w:r>
      <w:r w:rsidR="00331350" w:rsidRPr="00A10386">
        <w:rPr>
          <w:noProof/>
        </w:rPr>
        <w:t xml:space="preserve"> </w:t>
      </w:r>
      <w:r w:rsidR="23691733" w:rsidRPr="00A10386">
        <w:rPr>
          <w:noProof/>
        </w:rPr>
        <w:t>5</w:t>
      </w:r>
      <w:r w:rsidR="00331350" w:rsidRPr="00A10386">
        <w:rPr>
          <w:noProof/>
        </w:rPr>
        <w:t xml:space="preserve"> </w:t>
      </w:r>
      <w:r w:rsidR="001050BC" w:rsidRPr="00A10386">
        <w:rPr>
          <w:noProof/>
        </w:rPr>
        <w:t>may</w:t>
      </w:r>
      <w:r w:rsidR="17F85059" w:rsidRPr="00A10386">
        <w:rPr>
          <w:noProof/>
        </w:rPr>
        <w:t xml:space="preserve"> include:</w:t>
      </w:r>
    </w:p>
    <w:p w14:paraId="63CEB23A" w14:textId="77777777" w:rsidR="000440DF" w:rsidRPr="00A10386" w:rsidRDefault="001F6EC0" w:rsidP="000440DF">
      <w:pPr>
        <w:pStyle w:val="ManualNumPar1"/>
        <w:ind w:firstLine="0"/>
        <w:rPr>
          <w:noProof/>
        </w:rPr>
      </w:pPr>
      <w:r w:rsidRPr="00A10386">
        <w:rPr>
          <w:noProof/>
        </w:rPr>
        <w:t xml:space="preserve">(a) </w:t>
      </w:r>
      <w:r w:rsidR="000B5EEF" w:rsidRPr="00A10386">
        <w:rPr>
          <w:noProof/>
        </w:rPr>
        <w:t>criminal or non-criminal fines</w:t>
      </w:r>
      <w:r w:rsidR="00D237E7" w:rsidRPr="00A10386">
        <w:rPr>
          <w:noProof/>
        </w:rPr>
        <w:t>;</w:t>
      </w:r>
    </w:p>
    <w:p w14:paraId="0B984360" w14:textId="77777777" w:rsidR="000B5EEF" w:rsidRPr="00A10386" w:rsidRDefault="000B5EEF" w:rsidP="002D3FA5">
      <w:pPr>
        <w:pStyle w:val="ManualNumPar1"/>
        <w:ind w:firstLine="0"/>
        <w:rPr>
          <w:noProof/>
        </w:rPr>
      </w:pPr>
      <w:r w:rsidRPr="00A10386">
        <w:rPr>
          <w:noProof/>
        </w:rPr>
        <w:t>(</w:t>
      </w:r>
      <w:r w:rsidR="00F83737" w:rsidRPr="00A10386">
        <w:rPr>
          <w:noProof/>
        </w:rPr>
        <w:t>b</w:t>
      </w:r>
      <w:r w:rsidRPr="00A10386">
        <w:rPr>
          <w:noProof/>
        </w:rPr>
        <w:t>) exclusion from entitlement to public benefits, aid or subsidies;</w:t>
      </w:r>
    </w:p>
    <w:p w14:paraId="6B5D675B" w14:textId="77777777" w:rsidR="00545F27" w:rsidRPr="00A10386" w:rsidRDefault="00545F27" w:rsidP="00545F27">
      <w:pPr>
        <w:pStyle w:val="ManualNumPar1"/>
        <w:ind w:firstLine="0"/>
        <w:rPr>
          <w:noProof/>
        </w:rPr>
      </w:pPr>
      <w:r w:rsidRPr="00A10386">
        <w:rPr>
          <w:noProof/>
        </w:rPr>
        <w:t>(c) temporary or permanent exclusion from access to public funding, including tender procedures, grants and concessions;</w:t>
      </w:r>
    </w:p>
    <w:p w14:paraId="7952F1B6" w14:textId="77777777" w:rsidR="000B5EEF" w:rsidRPr="00A10386" w:rsidRDefault="000B5EEF" w:rsidP="002D3FA5">
      <w:pPr>
        <w:pStyle w:val="ManualNumPar1"/>
        <w:ind w:firstLine="0"/>
        <w:rPr>
          <w:noProof/>
        </w:rPr>
      </w:pPr>
      <w:r w:rsidRPr="00A10386">
        <w:rPr>
          <w:noProof/>
        </w:rPr>
        <w:t>(</w:t>
      </w:r>
      <w:r w:rsidR="00545F27" w:rsidRPr="00A10386">
        <w:rPr>
          <w:noProof/>
        </w:rPr>
        <w:t>d</w:t>
      </w:r>
      <w:r w:rsidRPr="00A10386">
        <w:rPr>
          <w:noProof/>
        </w:rPr>
        <w:t>)</w:t>
      </w:r>
      <w:r w:rsidR="00B14A50" w:rsidRPr="00A10386">
        <w:rPr>
          <w:noProof/>
        </w:rPr>
        <w:t xml:space="preserve"> </w:t>
      </w:r>
      <w:r w:rsidRPr="00A10386">
        <w:rPr>
          <w:noProof/>
        </w:rPr>
        <w:t>temporary or permanent disqualification from the practice of commercial activities;</w:t>
      </w:r>
    </w:p>
    <w:p w14:paraId="7E0FC36E" w14:textId="77777777" w:rsidR="000B5EEF" w:rsidRPr="00A10386" w:rsidRDefault="000B5EEF" w:rsidP="002D3FA5">
      <w:pPr>
        <w:pStyle w:val="ManualNumPar1"/>
        <w:ind w:firstLine="0"/>
        <w:rPr>
          <w:noProof/>
        </w:rPr>
      </w:pPr>
      <w:r w:rsidRPr="00A10386">
        <w:rPr>
          <w:noProof/>
        </w:rPr>
        <w:t>(</w:t>
      </w:r>
      <w:r w:rsidR="00545F27" w:rsidRPr="00A10386">
        <w:rPr>
          <w:noProof/>
        </w:rPr>
        <w:t>e</w:t>
      </w:r>
      <w:r w:rsidRPr="00A10386">
        <w:rPr>
          <w:noProof/>
        </w:rPr>
        <w:t>) placing under judicial supervision;</w:t>
      </w:r>
    </w:p>
    <w:p w14:paraId="3DC95DF4" w14:textId="77777777" w:rsidR="000B5EEF" w:rsidRPr="00A10386" w:rsidRDefault="000B5EEF" w:rsidP="002D3FA5">
      <w:pPr>
        <w:pStyle w:val="ManualNumPar1"/>
        <w:ind w:firstLine="0"/>
        <w:rPr>
          <w:noProof/>
        </w:rPr>
      </w:pPr>
      <w:r w:rsidRPr="00A10386">
        <w:rPr>
          <w:noProof/>
        </w:rPr>
        <w:t>(</w:t>
      </w:r>
      <w:r w:rsidR="00545F27" w:rsidRPr="00A10386">
        <w:rPr>
          <w:noProof/>
        </w:rPr>
        <w:t>f</w:t>
      </w:r>
      <w:r w:rsidRPr="00A10386">
        <w:rPr>
          <w:noProof/>
        </w:rPr>
        <w:t>) judicial winding-up;</w:t>
      </w:r>
    </w:p>
    <w:p w14:paraId="71263161" w14:textId="77777777" w:rsidR="000B5EEF" w:rsidRPr="00A10386" w:rsidRDefault="000B5EEF" w:rsidP="002D3FA5">
      <w:pPr>
        <w:pStyle w:val="ManualNumPar1"/>
        <w:ind w:firstLine="0"/>
        <w:rPr>
          <w:noProof/>
        </w:rPr>
      </w:pPr>
      <w:r w:rsidRPr="00A10386">
        <w:rPr>
          <w:noProof/>
        </w:rPr>
        <w:t>(</w:t>
      </w:r>
      <w:r w:rsidR="00545F27" w:rsidRPr="00A10386">
        <w:rPr>
          <w:noProof/>
        </w:rPr>
        <w:t>g</w:t>
      </w:r>
      <w:r w:rsidRPr="00A10386">
        <w:rPr>
          <w:noProof/>
        </w:rPr>
        <w:t xml:space="preserve">) temporary or permanent closure of establishments which have been used for committing the </w:t>
      </w:r>
      <w:r w:rsidR="000670FE" w:rsidRPr="00A10386">
        <w:rPr>
          <w:noProof/>
        </w:rPr>
        <w:t xml:space="preserve">criminal </w:t>
      </w:r>
      <w:r w:rsidRPr="00A10386">
        <w:rPr>
          <w:noProof/>
        </w:rPr>
        <w:t>offence;</w:t>
      </w:r>
    </w:p>
    <w:p w14:paraId="523A188E" w14:textId="042D177C" w:rsidR="00BF271E" w:rsidRPr="00A10386" w:rsidRDefault="67ADA453" w:rsidP="000B5EEF">
      <w:pPr>
        <w:pStyle w:val="ManualNumPar1"/>
        <w:ind w:firstLine="0"/>
        <w:rPr>
          <w:noProof/>
        </w:rPr>
      </w:pPr>
      <w:r w:rsidRPr="00A10386">
        <w:rPr>
          <w:noProof/>
        </w:rPr>
        <w:t>(</w:t>
      </w:r>
      <w:r w:rsidR="00545F27" w:rsidRPr="00A10386">
        <w:rPr>
          <w:noProof/>
        </w:rPr>
        <w:t>h</w:t>
      </w:r>
      <w:r w:rsidRPr="00A10386">
        <w:rPr>
          <w:noProof/>
        </w:rPr>
        <w:t xml:space="preserve">) withdrawal of permits and authorisations to pursue activities which have resulted in committing the </w:t>
      </w:r>
      <w:r w:rsidR="000670FE" w:rsidRPr="00A10386">
        <w:rPr>
          <w:noProof/>
        </w:rPr>
        <w:t>criminal</w:t>
      </w:r>
      <w:r w:rsidRPr="00A10386">
        <w:rPr>
          <w:noProof/>
        </w:rPr>
        <w:t xml:space="preserve"> offence</w:t>
      </w:r>
      <w:r w:rsidR="00BF271E" w:rsidRPr="00A10386">
        <w:rPr>
          <w:noProof/>
        </w:rPr>
        <w:t>;</w:t>
      </w:r>
    </w:p>
    <w:p w14:paraId="20E632A9" w14:textId="320A744C" w:rsidR="003F4FBB" w:rsidRPr="00A10386" w:rsidRDefault="00BF271E" w:rsidP="00862328">
      <w:pPr>
        <w:pStyle w:val="ManualNumPar1"/>
        <w:ind w:firstLine="0"/>
        <w:rPr>
          <w:noProof/>
        </w:rPr>
      </w:pPr>
      <w:bookmarkStart w:id="4" w:name="_Hlk151547038"/>
      <w:r w:rsidRPr="00A10386">
        <w:rPr>
          <w:noProof/>
        </w:rPr>
        <w:t xml:space="preserve">(i) </w:t>
      </w:r>
      <w:r w:rsidR="00187F38" w:rsidRPr="00A10386">
        <w:rPr>
          <w:noProof/>
        </w:rPr>
        <w:t>freezing and confiscation of the proceeds derived from, and instrumentalities used for, the commission of the offence, in accordance with Directive 2014/42/EU of the European Parliament and of the Council</w:t>
      </w:r>
      <w:r w:rsidR="00187F38" w:rsidRPr="00A10386">
        <w:rPr>
          <w:rStyle w:val="FootnoteReference"/>
          <w:noProof/>
        </w:rPr>
        <w:footnoteReference w:id="61"/>
      </w:r>
      <w:r w:rsidR="67ADA453" w:rsidRPr="00A10386">
        <w:rPr>
          <w:noProof/>
        </w:rPr>
        <w:t>.</w:t>
      </w:r>
      <w:bookmarkEnd w:id="4"/>
      <w:r w:rsidR="003F4FBB" w:rsidRPr="00A10386">
        <w:rPr>
          <w:noProof/>
        </w:rPr>
        <w:t xml:space="preserve"> </w:t>
      </w:r>
    </w:p>
    <w:p w14:paraId="3A324F11" w14:textId="7E044DF5" w:rsidR="000B5EEF" w:rsidRPr="00A10386" w:rsidRDefault="00827F7B" w:rsidP="000B5EEF">
      <w:pPr>
        <w:pStyle w:val="ManualNumPar1"/>
        <w:rPr>
          <w:noProof/>
        </w:rPr>
      </w:pPr>
      <w:r w:rsidRPr="00A10386">
        <w:rPr>
          <w:noProof/>
        </w:rPr>
        <w:t>3.</w:t>
      </w:r>
      <w:r w:rsidR="003F4FBB" w:rsidRPr="00A10386">
        <w:rPr>
          <w:noProof/>
        </w:rPr>
        <w:t xml:space="preserve"> </w:t>
      </w:r>
      <w:r w:rsidR="003F4FBB" w:rsidRPr="00A10386">
        <w:rPr>
          <w:noProof/>
        </w:rPr>
        <w:tab/>
      </w:r>
      <w:r w:rsidR="00553F9F" w:rsidRPr="00A10386">
        <w:rPr>
          <w:noProof/>
        </w:rPr>
        <w:t>T</w:t>
      </w:r>
      <w:r w:rsidR="000B5EEF" w:rsidRPr="00A10386">
        <w:rPr>
          <w:noProof/>
        </w:rPr>
        <w:t xml:space="preserve">he amount of </w:t>
      </w:r>
      <w:r w:rsidR="00553F9F" w:rsidRPr="00A10386">
        <w:rPr>
          <w:noProof/>
        </w:rPr>
        <w:t xml:space="preserve">criminal or non-criminal fines </w:t>
      </w:r>
      <w:r w:rsidR="000B5EEF" w:rsidRPr="00A10386">
        <w:rPr>
          <w:noProof/>
        </w:rPr>
        <w:t xml:space="preserve">shall be proportionate to the seriousness of the conduct and to the individual, financial and other circumstances of the legal person concerned. Member States shall take the necessary measures to ensure that the maximum level of </w:t>
      </w:r>
      <w:r w:rsidR="00545F27" w:rsidRPr="00A10386">
        <w:rPr>
          <w:noProof/>
        </w:rPr>
        <w:t>such</w:t>
      </w:r>
      <w:r w:rsidR="000B5EEF" w:rsidRPr="00A10386">
        <w:rPr>
          <w:noProof/>
        </w:rPr>
        <w:t xml:space="preserve"> fines is not less than:</w:t>
      </w:r>
    </w:p>
    <w:p w14:paraId="37101891" w14:textId="77777777" w:rsidR="000B5EEF" w:rsidRPr="00A10386" w:rsidRDefault="000B5EEF" w:rsidP="002D3FA5">
      <w:pPr>
        <w:pStyle w:val="ManualNumPar1"/>
        <w:ind w:firstLine="0"/>
        <w:rPr>
          <w:noProof/>
        </w:rPr>
      </w:pPr>
      <w:r w:rsidRPr="00A10386">
        <w:rPr>
          <w:noProof/>
        </w:rPr>
        <w:t xml:space="preserve">(a) </w:t>
      </w:r>
      <w:r w:rsidR="00A2532C" w:rsidRPr="00A10386">
        <w:rPr>
          <w:noProof/>
        </w:rPr>
        <w:t>3</w:t>
      </w:r>
      <w:r w:rsidRPr="00A10386">
        <w:rPr>
          <w:noProof/>
        </w:rPr>
        <w:t xml:space="preserve">% of the total worldwide turnover of the legal person, either in the business year preceding the one in which the </w:t>
      </w:r>
      <w:r w:rsidR="00361B1C" w:rsidRPr="00A10386">
        <w:rPr>
          <w:noProof/>
        </w:rPr>
        <w:t xml:space="preserve">criminal </w:t>
      </w:r>
      <w:r w:rsidRPr="00A10386">
        <w:rPr>
          <w:noProof/>
        </w:rPr>
        <w:t xml:space="preserve">offence was committed, or in the business year preceding the fining decision, for </w:t>
      </w:r>
      <w:r w:rsidR="00361B1C" w:rsidRPr="00A10386">
        <w:rPr>
          <w:noProof/>
        </w:rPr>
        <w:t xml:space="preserve">criminal </w:t>
      </w:r>
      <w:r w:rsidRPr="00A10386">
        <w:rPr>
          <w:noProof/>
        </w:rPr>
        <w:t xml:space="preserve">offences referred to in Article </w:t>
      </w:r>
      <w:r w:rsidR="00545F27" w:rsidRPr="00A10386">
        <w:rPr>
          <w:noProof/>
        </w:rPr>
        <w:t>3</w:t>
      </w:r>
      <w:r w:rsidRPr="00A10386">
        <w:rPr>
          <w:noProof/>
        </w:rPr>
        <w:t xml:space="preserve">; </w:t>
      </w:r>
    </w:p>
    <w:p w14:paraId="7F8B40E6" w14:textId="516ABE43" w:rsidR="000B5EEF" w:rsidRPr="00A10386" w:rsidRDefault="000B5EEF" w:rsidP="000B5EEF">
      <w:pPr>
        <w:pStyle w:val="ManualNumPar1"/>
        <w:ind w:firstLine="0"/>
        <w:rPr>
          <w:noProof/>
        </w:rPr>
      </w:pPr>
      <w:r w:rsidRPr="00A10386">
        <w:rPr>
          <w:noProof/>
        </w:rPr>
        <w:t xml:space="preserve">(b) </w:t>
      </w:r>
      <w:r w:rsidR="00A2532C" w:rsidRPr="00A10386">
        <w:rPr>
          <w:noProof/>
        </w:rPr>
        <w:t>5</w:t>
      </w:r>
      <w:r w:rsidRPr="00A10386">
        <w:rPr>
          <w:noProof/>
        </w:rPr>
        <w:t xml:space="preserve">% of the total worldwide turnover of the legal person, either in the business year preceding the one in which the </w:t>
      </w:r>
      <w:r w:rsidR="00361B1C" w:rsidRPr="00A10386">
        <w:rPr>
          <w:noProof/>
        </w:rPr>
        <w:t xml:space="preserve">criminal </w:t>
      </w:r>
      <w:r w:rsidRPr="00A10386">
        <w:rPr>
          <w:noProof/>
        </w:rPr>
        <w:t xml:space="preserve">offence was committed, or in the business year preceding the fining decision, for </w:t>
      </w:r>
      <w:r w:rsidR="00361B1C" w:rsidRPr="00A10386">
        <w:rPr>
          <w:noProof/>
        </w:rPr>
        <w:t xml:space="preserve">criminal </w:t>
      </w:r>
      <w:r w:rsidRPr="00A10386">
        <w:rPr>
          <w:noProof/>
        </w:rPr>
        <w:t xml:space="preserve">offences referred to in </w:t>
      </w:r>
      <w:r w:rsidR="00545F27" w:rsidRPr="00A10386">
        <w:rPr>
          <w:noProof/>
        </w:rPr>
        <w:t>Article 4</w:t>
      </w:r>
      <w:r w:rsidR="00DF781F" w:rsidRPr="00A10386">
        <w:rPr>
          <w:noProof/>
        </w:rPr>
        <w:t>,</w:t>
      </w:r>
      <w:r w:rsidR="00545F27" w:rsidRPr="00A10386">
        <w:rPr>
          <w:noProof/>
        </w:rPr>
        <w:t xml:space="preserve"> points (a)</w:t>
      </w:r>
      <w:r w:rsidR="00DF781F" w:rsidRPr="00A10386">
        <w:rPr>
          <w:noProof/>
        </w:rPr>
        <w:t xml:space="preserve"> to</w:t>
      </w:r>
      <w:r w:rsidR="00545F27" w:rsidRPr="00A10386">
        <w:rPr>
          <w:noProof/>
        </w:rPr>
        <w:t xml:space="preserve"> (d)</w:t>
      </w:r>
      <w:r w:rsidRPr="00A10386">
        <w:rPr>
          <w:noProof/>
        </w:rPr>
        <w:t>;</w:t>
      </w:r>
    </w:p>
    <w:p w14:paraId="1C45A9AC" w14:textId="508C06DD" w:rsidR="000B5EEF" w:rsidRPr="00A10386" w:rsidRDefault="000B5EEF" w:rsidP="000B5EEF">
      <w:pPr>
        <w:pStyle w:val="ManualNumPar1"/>
        <w:ind w:firstLine="0"/>
        <w:rPr>
          <w:noProof/>
        </w:rPr>
      </w:pPr>
      <w:r w:rsidRPr="00A10386">
        <w:rPr>
          <w:noProof/>
        </w:rPr>
        <w:t xml:space="preserve">(c) </w:t>
      </w:r>
      <w:r w:rsidR="00754F4A" w:rsidRPr="00A10386">
        <w:rPr>
          <w:noProof/>
        </w:rPr>
        <w:t>6</w:t>
      </w:r>
      <w:r w:rsidRPr="00A10386">
        <w:rPr>
          <w:noProof/>
        </w:rPr>
        <w:t xml:space="preserve">% of the total worldwide turnover of the legal person, either in the business year preceding the one in which the </w:t>
      </w:r>
      <w:r w:rsidR="00361B1C" w:rsidRPr="00A10386">
        <w:rPr>
          <w:noProof/>
        </w:rPr>
        <w:t xml:space="preserve">criminal </w:t>
      </w:r>
      <w:r w:rsidRPr="00A10386">
        <w:rPr>
          <w:noProof/>
        </w:rPr>
        <w:t xml:space="preserve">offence was committed, or in the business year preceding the fining decision, for </w:t>
      </w:r>
      <w:r w:rsidR="00361B1C" w:rsidRPr="00A10386">
        <w:rPr>
          <w:noProof/>
        </w:rPr>
        <w:t xml:space="preserve">criminal </w:t>
      </w:r>
      <w:r w:rsidRPr="00A10386">
        <w:rPr>
          <w:noProof/>
        </w:rPr>
        <w:t xml:space="preserve">offences referred to in </w:t>
      </w:r>
      <w:r w:rsidR="00545F27" w:rsidRPr="00A10386">
        <w:rPr>
          <w:noProof/>
        </w:rPr>
        <w:t>Article 4</w:t>
      </w:r>
      <w:r w:rsidR="00DF781F" w:rsidRPr="00A10386">
        <w:rPr>
          <w:noProof/>
        </w:rPr>
        <w:t>,</w:t>
      </w:r>
      <w:r w:rsidR="00545F27" w:rsidRPr="00A10386">
        <w:rPr>
          <w:noProof/>
        </w:rPr>
        <w:t xml:space="preserve"> point (e)</w:t>
      </w:r>
      <w:r w:rsidRPr="00A10386">
        <w:rPr>
          <w:noProof/>
        </w:rPr>
        <w:t>.</w:t>
      </w:r>
    </w:p>
    <w:p w14:paraId="378AF78A" w14:textId="6B3D78F7" w:rsidR="000B5EEF" w:rsidRPr="00A10386" w:rsidRDefault="00827F7B" w:rsidP="000B5EEF">
      <w:pPr>
        <w:pStyle w:val="ManualNumPar1"/>
        <w:rPr>
          <w:noProof/>
        </w:rPr>
      </w:pPr>
      <w:r w:rsidRPr="00A10386">
        <w:rPr>
          <w:noProof/>
        </w:rPr>
        <w:t>4</w:t>
      </w:r>
      <w:r w:rsidR="000B5EEF" w:rsidRPr="00A10386">
        <w:rPr>
          <w:noProof/>
        </w:rPr>
        <w:t>.</w:t>
      </w:r>
      <w:r w:rsidR="000B5EEF" w:rsidRPr="00A10386">
        <w:rPr>
          <w:noProof/>
        </w:rPr>
        <w:tab/>
        <w:t xml:space="preserve">When providing for </w:t>
      </w:r>
      <w:r w:rsidR="00361B1C" w:rsidRPr="00A10386">
        <w:rPr>
          <w:noProof/>
        </w:rPr>
        <w:t>criminal or non-criminal</w:t>
      </w:r>
      <w:r w:rsidR="000B5EEF" w:rsidRPr="00A10386">
        <w:rPr>
          <w:noProof/>
        </w:rPr>
        <w:t xml:space="preserve"> fines pursuant to paragraph </w:t>
      </w:r>
      <w:r w:rsidR="006E4FED" w:rsidRPr="00A10386">
        <w:rPr>
          <w:noProof/>
        </w:rPr>
        <w:t>3</w:t>
      </w:r>
      <w:r w:rsidR="000B5EEF" w:rsidRPr="00A10386">
        <w:rPr>
          <w:noProof/>
        </w:rPr>
        <w:t xml:space="preserve">, Member States may provide for rules </w:t>
      </w:r>
      <w:r w:rsidR="00CE4245" w:rsidRPr="00A10386">
        <w:rPr>
          <w:noProof/>
        </w:rPr>
        <w:t xml:space="preserve">applicable in </w:t>
      </w:r>
      <w:r w:rsidR="000B5EEF" w:rsidRPr="00A10386">
        <w:rPr>
          <w:noProof/>
        </w:rPr>
        <w:t xml:space="preserve">cases where it is not possible to determine the amount of the fine on the basis of the total worldwide turnover of the legal person in the business year preceding the one in which the </w:t>
      </w:r>
      <w:r w:rsidR="00CE4245" w:rsidRPr="00A10386">
        <w:rPr>
          <w:noProof/>
        </w:rPr>
        <w:t xml:space="preserve">criminal </w:t>
      </w:r>
      <w:r w:rsidR="000B5EEF" w:rsidRPr="00A10386">
        <w:rPr>
          <w:noProof/>
        </w:rPr>
        <w:t>offence was committed, or in the business year preceding the fining decision.</w:t>
      </w:r>
    </w:p>
    <w:p w14:paraId="69472A9E" w14:textId="77777777" w:rsidR="000B5EEF" w:rsidRPr="00A10386" w:rsidRDefault="67ADA453" w:rsidP="000B5EEF">
      <w:pPr>
        <w:pStyle w:val="Titrearticle"/>
        <w:keepLines/>
        <w:rPr>
          <w:noProof/>
        </w:rPr>
      </w:pPr>
      <w:r w:rsidRPr="00A10386">
        <w:rPr>
          <w:noProof/>
        </w:rPr>
        <w:t xml:space="preserve">Article </w:t>
      </w:r>
      <w:r w:rsidR="206CF0EF" w:rsidRPr="00A10386">
        <w:rPr>
          <w:noProof/>
        </w:rPr>
        <w:t>9</w:t>
      </w:r>
    </w:p>
    <w:p w14:paraId="6A3AE628" w14:textId="77777777" w:rsidR="000B5EEF" w:rsidRPr="00A10386" w:rsidRDefault="000B5EEF" w:rsidP="000B5EEF">
      <w:pPr>
        <w:pStyle w:val="Titrearticle"/>
        <w:spacing w:before="120"/>
        <w:rPr>
          <w:noProof/>
        </w:rPr>
      </w:pPr>
      <w:r w:rsidRPr="00A10386">
        <w:rPr>
          <w:noProof/>
        </w:rPr>
        <w:t>Aggravating circumstances</w:t>
      </w:r>
    </w:p>
    <w:p w14:paraId="709C88E9" w14:textId="0711EF0E" w:rsidR="000B5EEF" w:rsidRPr="00A10386" w:rsidRDefault="000B5EEF" w:rsidP="000B5EEF">
      <w:pPr>
        <w:rPr>
          <w:noProof/>
        </w:rPr>
      </w:pPr>
      <w:r w:rsidRPr="00A10386">
        <w:rPr>
          <w:noProof/>
        </w:rPr>
        <w:t xml:space="preserve">Member States shall take the necessary measures to ensure that the following circumstances </w:t>
      </w:r>
      <w:r w:rsidR="00620F4A" w:rsidRPr="00A10386">
        <w:rPr>
          <w:noProof/>
        </w:rPr>
        <w:t>may</w:t>
      </w:r>
      <w:r w:rsidRPr="00A10386">
        <w:rPr>
          <w:noProof/>
        </w:rPr>
        <w:t xml:space="preserve"> be regarded as aggravating circumstances, in relation to the </w:t>
      </w:r>
      <w:r w:rsidR="000F7A33" w:rsidRPr="00A10386">
        <w:rPr>
          <w:noProof/>
        </w:rPr>
        <w:t>criminal</w:t>
      </w:r>
      <w:r w:rsidRPr="00A10386">
        <w:rPr>
          <w:noProof/>
        </w:rPr>
        <w:t xml:space="preserve"> offences referred to </w:t>
      </w:r>
      <w:r w:rsidR="00DF781F" w:rsidRPr="00A10386">
        <w:rPr>
          <w:noProof/>
        </w:rPr>
        <w:t>Articles 3, 4 and 5</w:t>
      </w:r>
      <w:r w:rsidRPr="00A10386">
        <w:rPr>
          <w:noProof/>
        </w:rPr>
        <w:t>:</w:t>
      </w:r>
    </w:p>
    <w:p w14:paraId="403D4091" w14:textId="77777777" w:rsidR="000B5EEF" w:rsidRPr="00A10386" w:rsidRDefault="67ADA453" w:rsidP="000B5EEF">
      <w:pPr>
        <w:pStyle w:val="ManualNumPar1"/>
        <w:ind w:firstLine="0"/>
        <w:rPr>
          <w:noProof/>
        </w:rPr>
      </w:pPr>
      <w:r w:rsidRPr="00A10386">
        <w:rPr>
          <w:noProof/>
        </w:rPr>
        <w:t xml:space="preserve">(a) the </w:t>
      </w:r>
      <w:r w:rsidR="1FBBF32D" w:rsidRPr="00A10386">
        <w:rPr>
          <w:noProof/>
        </w:rPr>
        <w:t>criminal</w:t>
      </w:r>
      <w:r w:rsidRPr="00A10386">
        <w:rPr>
          <w:noProof/>
        </w:rPr>
        <w:t xml:space="preserve"> offence was committed by a public official when performing his or her duties;</w:t>
      </w:r>
    </w:p>
    <w:p w14:paraId="08E2C023" w14:textId="77777777" w:rsidR="000B5EEF" w:rsidRPr="00A10386" w:rsidRDefault="67ADA453" w:rsidP="000B5EEF">
      <w:pPr>
        <w:pStyle w:val="ManualNumPar1"/>
        <w:ind w:firstLine="0"/>
        <w:rPr>
          <w:noProof/>
        </w:rPr>
      </w:pPr>
      <w:r w:rsidRPr="00A10386">
        <w:rPr>
          <w:noProof/>
        </w:rPr>
        <w:t xml:space="preserve">(b) the </w:t>
      </w:r>
      <w:r w:rsidR="1FBBF32D" w:rsidRPr="00A10386">
        <w:rPr>
          <w:noProof/>
        </w:rPr>
        <w:t>criminal</w:t>
      </w:r>
      <w:r w:rsidRPr="00A10386">
        <w:rPr>
          <w:noProof/>
        </w:rPr>
        <w:t xml:space="preserve"> offence entailed or resulted in the involvement </w:t>
      </w:r>
      <w:r w:rsidR="04F04827" w:rsidRPr="00A10386">
        <w:rPr>
          <w:noProof/>
        </w:rPr>
        <w:t xml:space="preserve">of </w:t>
      </w:r>
      <w:r w:rsidR="53F3A32A" w:rsidRPr="00A10386">
        <w:rPr>
          <w:noProof/>
        </w:rPr>
        <w:t xml:space="preserve">third-country nationals </w:t>
      </w:r>
      <w:r w:rsidRPr="00A10386">
        <w:rPr>
          <w:noProof/>
        </w:rPr>
        <w:t xml:space="preserve">who were subject to the </w:t>
      </w:r>
      <w:r w:rsidR="009E5922" w:rsidRPr="00A10386">
        <w:rPr>
          <w:noProof/>
        </w:rPr>
        <w:t xml:space="preserve">criminal </w:t>
      </w:r>
      <w:r w:rsidRPr="00A10386">
        <w:rPr>
          <w:noProof/>
        </w:rPr>
        <w:t>offence in illegal employment as referred to in Directive 2009/52/EC</w:t>
      </w:r>
      <w:r w:rsidR="0ED8B0FF" w:rsidRPr="00A10386">
        <w:rPr>
          <w:noProof/>
        </w:rPr>
        <w:t xml:space="preserve"> of the European Parliament and of the Council</w:t>
      </w:r>
      <w:r w:rsidR="009D7DD5" w:rsidRPr="00A10386">
        <w:rPr>
          <w:rStyle w:val="FootnoteReference"/>
          <w:noProof/>
        </w:rPr>
        <w:footnoteReference w:id="62"/>
      </w:r>
      <w:r w:rsidRPr="00A10386">
        <w:rPr>
          <w:noProof/>
        </w:rPr>
        <w:t>;</w:t>
      </w:r>
    </w:p>
    <w:p w14:paraId="7DF1C0CC" w14:textId="77777777" w:rsidR="000B5EEF" w:rsidRPr="00A10386" w:rsidRDefault="000B5EEF" w:rsidP="000B5EEF">
      <w:pPr>
        <w:pStyle w:val="ManualNumPar1"/>
        <w:ind w:firstLine="0"/>
        <w:rPr>
          <w:noProof/>
        </w:rPr>
      </w:pPr>
      <w:r w:rsidRPr="00A10386">
        <w:rPr>
          <w:noProof/>
        </w:rPr>
        <w:t xml:space="preserve">(c) the offender has </w:t>
      </w:r>
      <w:r w:rsidR="00054798" w:rsidRPr="00A10386">
        <w:rPr>
          <w:noProof/>
        </w:rPr>
        <w:t xml:space="preserve">previously </w:t>
      </w:r>
      <w:r w:rsidRPr="00A10386">
        <w:rPr>
          <w:noProof/>
        </w:rPr>
        <w:t xml:space="preserve">been </w:t>
      </w:r>
      <w:r w:rsidR="00054798" w:rsidRPr="00A10386">
        <w:rPr>
          <w:noProof/>
        </w:rPr>
        <w:t xml:space="preserve">definitively </w:t>
      </w:r>
      <w:r w:rsidRPr="00A10386">
        <w:rPr>
          <w:noProof/>
        </w:rPr>
        <w:t>convicted of criminal</w:t>
      </w:r>
      <w:r w:rsidR="00054798" w:rsidRPr="00A10386">
        <w:rPr>
          <w:noProof/>
        </w:rPr>
        <w:t xml:space="preserve"> offences of the same nature under Articles 3, 4 or 5</w:t>
      </w:r>
      <w:r w:rsidRPr="00A10386">
        <w:rPr>
          <w:noProof/>
        </w:rPr>
        <w:t>;</w:t>
      </w:r>
    </w:p>
    <w:p w14:paraId="7634A7AC" w14:textId="7D32BC43" w:rsidR="00C31B14" w:rsidRPr="00A10386" w:rsidRDefault="472FAFC1" w:rsidP="00C31B14">
      <w:pPr>
        <w:pStyle w:val="ManualNumPar1"/>
        <w:ind w:firstLine="0"/>
        <w:rPr>
          <w:noProof/>
        </w:rPr>
      </w:pPr>
      <w:r w:rsidRPr="00A10386">
        <w:rPr>
          <w:noProof/>
        </w:rPr>
        <w:t>(</w:t>
      </w:r>
      <w:r w:rsidR="57C8F65C" w:rsidRPr="00A10386">
        <w:rPr>
          <w:noProof/>
        </w:rPr>
        <w:t>d</w:t>
      </w:r>
      <w:r w:rsidRPr="00A10386">
        <w:rPr>
          <w:noProof/>
        </w:rPr>
        <w:t xml:space="preserve">) the </w:t>
      </w:r>
      <w:r w:rsidR="724352F6" w:rsidRPr="00A10386">
        <w:rPr>
          <w:noProof/>
        </w:rPr>
        <w:t xml:space="preserve">criminal </w:t>
      </w:r>
      <w:r w:rsidRPr="00A10386">
        <w:rPr>
          <w:noProof/>
        </w:rPr>
        <w:t xml:space="preserve">offence entailed or resulted in the exploitation </w:t>
      </w:r>
      <w:r w:rsidR="003743D8" w:rsidRPr="00A10386">
        <w:rPr>
          <w:noProof/>
        </w:rPr>
        <w:t xml:space="preserve">or instrumentalisation </w:t>
      </w:r>
      <w:r w:rsidRPr="00A10386">
        <w:rPr>
          <w:noProof/>
        </w:rPr>
        <w:t xml:space="preserve">of a </w:t>
      </w:r>
      <w:r w:rsidR="2FC3E728" w:rsidRPr="00A10386">
        <w:rPr>
          <w:noProof/>
        </w:rPr>
        <w:t xml:space="preserve">third-country national </w:t>
      </w:r>
      <w:r w:rsidRPr="00A10386">
        <w:rPr>
          <w:noProof/>
        </w:rPr>
        <w:t xml:space="preserve">who was subject to the </w:t>
      </w:r>
      <w:r w:rsidR="7B246DD4" w:rsidRPr="00A10386">
        <w:rPr>
          <w:noProof/>
        </w:rPr>
        <w:t xml:space="preserve">criminal </w:t>
      </w:r>
      <w:r w:rsidRPr="00A10386">
        <w:rPr>
          <w:noProof/>
        </w:rPr>
        <w:t>offence</w:t>
      </w:r>
      <w:r w:rsidR="0040457F" w:rsidRPr="00A10386">
        <w:rPr>
          <w:noProof/>
        </w:rPr>
        <w:t>;</w:t>
      </w:r>
    </w:p>
    <w:p w14:paraId="2F687C1D" w14:textId="77777777" w:rsidR="00C31B14" w:rsidRPr="00A10386" w:rsidRDefault="00754F4A" w:rsidP="00862328">
      <w:pPr>
        <w:pStyle w:val="ManualNumPar1"/>
        <w:ind w:firstLine="0"/>
        <w:rPr>
          <w:noProof/>
        </w:rPr>
      </w:pPr>
      <w:r w:rsidRPr="00A10386">
        <w:rPr>
          <w:noProof/>
        </w:rPr>
        <w:t>(</w:t>
      </w:r>
      <w:r w:rsidR="0036B3BF" w:rsidRPr="00A10386">
        <w:rPr>
          <w:noProof/>
        </w:rPr>
        <w:t>e</w:t>
      </w:r>
      <w:r w:rsidRPr="00A10386">
        <w:rPr>
          <w:noProof/>
        </w:rPr>
        <w:t xml:space="preserve">) dispossessing </w:t>
      </w:r>
      <w:r w:rsidR="0003134C" w:rsidRPr="00A10386">
        <w:rPr>
          <w:noProof/>
        </w:rPr>
        <w:t xml:space="preserve">the </w:t>
      </w:r>
      <w:r w:rsidR="00BD51F2" w:rsidRPr="00A10386">
        <w:rPr>
          <w:noProof/>
        </w:rPr>
        <w:t>third-country nationals</w:t>
      </w:r>
      <w:r w:rsidRPr="00A10386">
        <w:rPr>
          <w:noProof/>
        </w:rPr>
        <w:t xml:space="preserve"> </w:t>
      </w:r>
      <w:r w:rsidR="0003134C" w:rsidRPr="00A10386">
        <w:rPr>
          <w:noProof/>
        </w:rPr>
        <w:t xml:space="preserve">who are subject to the </w:t>
      </w:r>
      <w:r w:rsidR="00C34E64" w:rsidRPr="00A10386">
        <w:rPr>
          <w:noProof/>
        </w:rPr>
        <w:t>cri</w:t>
      </w:r>
      <w:r w:rsidR="0009492F" w:rsidRPr="00A10386">
        <w:rPr>
          <w:noProof/>
        </w:rPr>
        <w:t xml:space="preserve">minal </w:t>
      </w:r>
      <w:r w:rsidR="0003134C" w:rsidRPr="00A10386">
        <w:rPr>
          <w:noProof/>
        </w:rPr>
        <w:t>offence</w:t>
      </w:r>
      <w:r w:rsidRPr="00A10386">
        <w:rPr>
          <w:noProof/>
        </w:rPr>
        <w:t xml:space="preserve"> of </w:t>
      </w:r>
      <w:r w:rsidR="0003134C" w:rsidRPr="00A10386">
        <w:rPr>
          <w:noProof/>
        </w:rPr>
        <w:t>their</w:t>
      </w:r>
      <w:r w:rsidRPr="00A10386">
        <w:rPr>
          <w:noProof/>
        </w:rPr>
        <w:t xml:space="preserve"> identity </w:t>
      </w:r>
      <w:r w:rsidR="00B349A8" w:rsidRPr="00A10386">
        <w:rPr>
          <w:noProof/>
        </w:rPr>
        <w:t xml:space="preserve">or travel </w:t>
      </w:r>
      <w:r w:rsidRPr="00A10386">
        <w:rPr>
          <w:noProof/>
        </w:rPr>
        <w:t>documents</w:t>
      </w:r>
      <w:r w:rsidR="00B628A9" w:rsidRPr="00A10386">
        <w:rPr>
          <w:noProof/>
        </w:rPr>
        <w:t>;</w:t>
      </w:r>
    </w:p>
    <w:p w14:paraId="4CA2F5F8" w14:textId="7809EA25" w:rsidR="00754F4A" w:rsidRPr="00A10386" w:rsidRDefault="00B628A9" w:rsidP="00862328">
      <w:pPr>
        <w:pStyle w:val="ManualNumPar1"/>
        <w:ind w:firstLine="0"/>
        <w:rPr>
          <w:noProof/>
        </w:rPr>
      </w:pPr>
      <w:r w:rsidRPr="00A10386">
        <w:rPr>
          <w:noProof/>
        </w:rPr>
        <w:t>(</w:t>
      </w:r>
      <w:r w:rsidR="2AAD0FEF" w:rsidRPr="00A10386">
        <w:rPr>
          <w:noProof/>
        </w:rPr>
        <w:t>f</w:t>
      </w:r>
      <w:r w:rsidRPr="00A10386">
        <w:rPr>
          <w:noProof/>
        </w:rPr>
        <w:t>) the criminal offence was carried out while carrying a firearm</w:t>
      </w:r>
      <w:r w:rsidR="00754F4A" w:rsidRPr="00A10386">
        <w:rPr>
          <w:noProof/>
        </w:rPr>
        <w:t>.</w:t>
      </w:r>
    </w:p>
    <w:p w14:paraId="22C2F68C" w14:textId="77777777" w:rsidR="000B5EEF" w:rsidRPr="00A10386" w:rsidRDefault="67ADA453" w:rsidP="000B5EEF">
      <w:pPr>
        <w:pStyle w:val="Titrearticle"/>
        <w:keepLines/>
        <w:rPr>
          <w:noProof/>
        </w:rPr>
      </w:pPr>
      <w:r w:rsidRPr="00A10386">
        <w:rPr>
          <w:noProof/>
        </w:rPr>
        <w:t xml:space="preserve">Article </w:t>
      </w:r>
      <w:r w:rsidR="206CF0EF" w:rsidRPr="00A10386">
        <w:rPr>
          <w:noProof/>
        </w:rPr>
        <w:t>10</w:t>
      </w:r>
    </w:p>
    <w:p w14:paraId="2C792F54" w14:textId="77777777" w:rsidR="000B5EEF" w:rsidRPr="00A10386" w:rsidRDefault="000B5EEF" w:rsidP="000B5EEF">
      <w:pPr>
        <w:pStyle w:val="Titrearticle"/>
        <w:spacing w:before="120"/>
        <w:rPr>
          <w:noProof/>
        </w:rPr>
      </w:pPr>
      <w:r w:rsidRPr="00A10386">
        <w:rPr>
          <w:noProof/>
        </w:rPr>
        <w:t>Mitigating circumstances</w:t>
      </w:r>
    </w:p>
    <w:p w14:paraId="40197485" w14:textId="5383F80E" w:rsidR="000B5EEF" w:rsidRPr="00A10386" w:rsidRDefault="000B5EEF" w:rsidP="002D3FA5">
      <w:pPr>
        <w:rPr>
          <w:noProof/>
        </w:rPr>
      </w:pPr>
      <w:r w:rsidRPr="00A10386">
        <w:rPr>
          <w:noProof/>
        </w:rPr>
        <w:t xml:space="preserve">Member States shall take the necessary measures to ensure that, in relation to the </w:t>
      </w:r>
      <w:r w:rsidR="00C86EA3" w:rsidRPr="00A10386">
        <w:rPr>
          <w:noProof/>
        </w:rPr>
        <w:t>criminal</w:t>
      </w:r>
      <w:r w:rsidRPr="00A10386">
        <w:rPr>
          <w:noProof/>
        </w:rPr>
        <w:t xml:space="preserve"> offences referred to in </w:t>
      </w:r>
      <w:r w:rsidR="00827F7B" w:rsidRPr="00A10386">
        <w:rPr>
          <w:noProof/>
        </w:rPr>
        <w:t>Articles 3, 4 and 5</w:t>
      </w:r>
      <w:r w:rsidR="00610A16" w:rsidRPr="00A10386">
        <w:rPr>
          <w:noProof/>
        </w:rPr>
        <w:t>, it may be regarded as a mitigating circumstance that</w:t>
      </w:r>
      <w:r w:rsidRPr="00A10386">
        <w:rPr>
          <w:noProof/>
        </w:rPr>
        <w:t xml:space="preserve"> the offender provides the competent authorities with information which they would not otherwise been able to obtain, hel</w:t>
      </w:r>
      <w:r w:rsidR="00F25922" w:rsidRPr="00A10386">
        <w:rPr>
          <w:noProof/>
        </w:rPr>
        <w:t>p</w:t>
      </w:r>
      <w:r w:rsidRPr="00A10386">
        <w:rPr>
          <w:noProof/>
        </w:rPr>
        <w:t>ing them to:</w:t>
      </w:r>
    </w:p>
    <w:p w14:paraId="2B97E557" w14:textId="77777777" w:rsidR="000B5EEF" w:rsidRPr="00A10386" w:rsidRDefault="00F73D49" w:rsidP="00F73D49">
      <w:pPr>
        <w:pStyle w:val="ManualNumPar1"/>
        <w:ind w:firstLine="0"/>
        <w:rPr>
          <w:noProof/>
        </w:rPr>
      </w:pPr>
      <w:r w:rsidRPr="00A10386">
        <w:rPr>
          <w:noProof/>
        </w:rPr>
        <w:t xml:space="preserve">(a) </w:t>
      </w:r>
      <w:r w:rsidR="000B5EEF" w:rsidRPr="00A10386">
        <w:rPr>
          <w:noProof/>
        </w:rPr>
        <w:t>identify or bring to justice other offenders; or</w:t>
      </w:r>
    </w:p>
    <w:p w14:paraId="7D45F7F8" w14:textId="77777777" w:rsidR="000B5EEF" w:rsidRPr="00A10386" w:rsidRDefault="000B5EEF" w:rsidP="000B5EEF">
      <w:pPr>
        <w:pStyle w:val="ManualNumPar1"/>
        <w:ind w:firstLine="0"/>
        <w:rPr>
          <w:noProof/>
        </w:rPr>
      </w:pPr>
      <w:r w:rsidRPr="00A10386">
        <w:rPr>
          <w:noProof/>
        </w:rPr>
        <w:t>(</w:t>
      </w:r>
      <w:r w:rsidR="00F73D49" w:rsidRPr="00A10386">
        <w:rPr>
          <w:noProof/>
        </w:rPr>
        <w:t>b</w:t>
      </w:r>
      <w:r w:rsidRPr="00A10386">
        <w:rPr>
          <w:noProof/>
        </w:rPr>
        <w:t>) find evidence</w:t>
      </w:r>
      <w:r w:rsidR="00F73D49" w:rsidRPr="00A10386">
        <w:rPr>
          <w:noProof/>
        </w:rPr>
        <w:t>.</w:t>
      </w:r>
    </w:p>
    <w:p w14:paraId="0046DC3C" w14:textId="77777777" w:rsidR="000B5EEF" w:rsidRPr="00A10386" w:rsidRDefault="67ADA453" w:rsidP="004351F1">
      <w:pPr>
        <w:pStyle w:val="Titrearticle"/>
        <w:keepLines/>
        <w:rPr>
          <w:noProof/>
        </w:rPr>
      </w:pPr>
      <w:r w:rsidRPr="00A10386">
        <w:rPr>
          <w:noProof/>
        </w:rPr>
        <w:t>Article 1</w:t>
      </w:r>
      <w:r w:rsidR="206CF0EF" w:rsidRPr="00A10386">
        <w:rPr>
          <w:noProof/>
        </w:rPr>
        <w:t>1</w:t>
      </w:r>
    </w:p>
    <w:p w14:paraId="397B9615" w14:textId="77777777" w:rsidR="000B5EEF" w:rsidRPr="00A10386" w:rsidRDefault="000B5EEF" w:rsidP="000B5EEF">
      <w:pPr>
        <w:pStyle w:val="Titrearticle"/>
        <w:spacing w:before="120"/>
        <w:rPr>
          <w:noProof/>
        </w:rPr>
      </w:pPr>
      <w:r w:rsidRPr="00A10386">
        <w:rPr>
          <w:noProof/>
        </w:rPr>
        <w:t>Limitation periods for criminal offences</w:t>
      </w:r>
    </w:p>
    <w:p w14:paraId="55396484" w14:textId="77777777" w:rsidR="000B5EEF" w:rsidRPr="00A10386" w:rsidRDefault="000B5EEF" w:rsidP="000B5EEF">
      <w:pPr>
        <w:pStyle w:val="ManualNumPar1"/>
        <w:rPr>
          <w:noProof/>
        </w:rPr>
      </w:pPr>
      <w:r w:rsidRPr="00A10386">
        <w:rPr>
          <w:noProof/>
        </w:rPr>
        <w:t>1.</w:t>
      </w:r>
      <w:r w:rsidRPr="00A10386">
        <w:rPr>
          <w:noProof/>
        </w:rPr>
        <w:tab/>
        <w:t xml:space="preserve">Member States shall take the necessary measures to provide for a limitation period that enables the investigation, prosecution, trial and judicial </w:t>
      </w:r>
      <w:r w:rsidR="00610A16" w:rsidRPr="00A10386">
        <w:rPr>
          <w:noProof/>
        </w:rPr>
        <w:t xml:space="preserve">decision </w:t>
      </w:r>
      <w:r w:rsidRPr="00A10386">
        <w:rPr>
          <w:noProof/>
        </w:rPr>
        <w:t xml:space="preserve">of criminal offences referred to in </w:t>
      </w:r>
      <w:r w:rsidR="00610A16" w:rsidRPr="00A10386">
        <w:rPr>
          <w:noProof/>
        </w:rPr>
        <w:t>Articles 3, 4 and 5</w:t>
      </w:r>
      <w:r w:rsidRPr="00A10386">
        <w:rPr>
          <w:noProof/>
        </w:rPr>
        <w:t xml:space="preserve"> for a sufficient period of time after the com</w:t>
      </w:r>
      <w:r w:rsidR="00380128" w:rsidRPr="00A10386">
        <w:rPr>
          <w:noProof/>
        </w:rPr>
        <w:t>m</w:t>
      </w:r>
      <w:r w:rsidRPr="00A10386">
        <w:rPr>
          <w:noProof/>
        </w:rPr>
        <w:t>ission of those criminal offences, in order for those criminal offences to be tackled effectively.</w:t>
      </w:r>
    </w:p>
    <w:p w14:paraId="15D20FB8" w14:textId="77777777" w:rsidR="000B5EEF" w:rsidRPr="00A10386" w:rsidRDefault="000B5EEF" w:rsidP="000B5EEF">
      <w:pPr>
        <w:pStyle w:val="ManualNumPar1"/>
        <w:rPr>
          <w:noProof/>
        </w:rPr>
      </w:pPr>
      <w:r w:rsidRPr="00A10386">
        <w:rPr>
          <w:noProof/>
        </w:rPr>
        <w:t>2.</w:t>
      </w:r>
      <w:r w:rsidRPr="00A10386">
        <w:rPr>
          <w:noProof/>
        </w:rPr>
        <w:tab/>
        <w:t>Member States shall take the necessary measures to enable the investigation, prosecution, trial and judicial decision:</w:t>
      </w:r>
    </w:p>
    <w:p w14:paraId="36B1D1AC" w14:textId="77777777" w:rsidR="000B5EEF" w:rsidRPr="00A10386" w:rsidRDefault="000B5EEF" w:rsidP="000B5EEF">
      <w:pPr>
        <w:pStyle w:val="ManualNumPar1"/>
        <w:rPr>
          <w:noProof/>
        </w:rPr>
      </w:pPr>
      <w:r w:rsidRPr="00A10386">
        <w:rPr>
          <w:noProof/>
        </w:rPr>
        <w:tab/>
        <w:t xml:space="preserve">(a) of </w:t>
      </w:r>
      <w:r w:rsidR="00C5020B" w:rsidRPr="00A10386">
        <w:rPr>
          <w:noProof/>
        </w:rPr>
        <w:t xml:space="preserve">criminal </w:t>
      </w:r>
      <w:r w:rsidRPr="00A10386">
        <w:rPr>
          <w:noProof/>
        </w:rPr>
        <w:t xml:space="preserve">offences referred to in Article </w:t>
      </w:r>
      <w:r w:rsidR="00610A16" w:rsidRPr="00A10386">
        <w:rPr>
          <w:noProof/>
        </w:rPr>
        <w:t>3</w:t>
      </w:r>
      <w:r w:rsidRPr="00A10386">
        <w:rPr>
          <w:noProof/>
        </w:rPr>
        <w:t xml:space="preserve">, for a period of at least </w:t>
      </w:r>
      <w:r w:rsidR="00B52634" w:rsidRPr="00A10386">
        <w:rPr>
          <w:noProof/>
        </w:rPr>
        <w:t>seven</w:t>
      </w:r>
      <w:r w:rsidRPr="00A10386">
        <w:rPr>
          <w:noProof/>
        </w:rPr>
        <w:t xml:space="preserve"> years from the time when the </w:t>
      </w:r>
      <w:r w:rsidR="00C34E64" w:rsidRPr="00A10386">
        <w:rPr>
          <w:noProof/>
        </w:rPr>
        <w:t xml:space="preserve">criminal </w:t>
      </w:r>
      <w:r w:rsidRPr="00A10386">
        <w:rPr>
          <w:noProof/>
        </w:rPr>
        <w:t xml:space="preserve">offence was committed, </w:t>
      </w:r>
    </w:p>
    <w:p w14:paraId="5EC5866E" w14:textId="4CC30799" w:rsidR="000B5EEF" w:rsidRPr="00A10386" w:rsidRDefault="000B5EEF" w:rsidP="000B5EEF">
      <w:pPr>
        <w:pStyle w:val="ManualNumPar1"/>
        <w:rPr>
          <w:noProof/>
        </w:rPr>
      </w:pPr>
      <w:r w:rsidRPr="00A10386">
        <w:rPr>
          <w:noProof/>
        </w:rPr>
        <w:tab/>
        <w:t xml:space="preserve">(b) of </w:t>
      </w:r>
      <w:r w:rsidR="00C5020B" w:rsidRPr="00A10386">
        <w:rPr>
          <w:noProof/>
        </w:rPr>
        <w:t xml:space="preserve">criminal </w:t>
      </w:r>
      <w:r w:rsidRPr="00A10386">
        <w:rPr>
          <w:noProof/>
        </w:rPr>
        <w:t>offences referred to in</w:t>
      </w:r>
      <w:r w:rsidR="00610A16" w:rsidRPr="00A10386">
        <w:rPr>
          <w:noProof/>
        </w:rPr>
        <w:t xml:space="preserve"> Article 4</w:t>
      </w:r>
      <w:r w:rsidR="00DF781F" w:rsidRPr="00A10386">
        <w:rPr>
          <w:noProof/>
        </w:rPr>
        <w:t>,</w:t>
      </w:r>
      <w:r w:rsidR="00610A16" w:rsidRPr="00A10386">
        <w:rPr>
          <w:noProof/>
        </w:rPr>
        <w:t xml:space="preserve"> points (a)</w:t>
      </w:r>
      <w:r w:rsidR="00DF781F" w:rsidRPr="00A10386">
        <w:rPr>
          <w:noProof/>
        </w:rPr>
        <w:t xml:space="preserve"> to</w:t>
      </w:r>
      <w:r w:rsidR="00610A16" w:rsidRPr="00A10386">
        <w:rPr>
          <w:noProof/>
        </w:rPr>
        <w:t xml:space="preserve"> (d)</w:t>
      </w:r>
      <w:r w:rsidRPr="00A10386">
        <w:rPr>
          <w:noProof/>
        </w:rPr>
        <w:t xml:space="preserve"> for a period of at least </w:t>
      </w:r>
      <w:r w:rsidR="00BE6599" w:rsidRPr="00A10386">
        <w:rPr>
          <w:noProof/>
        </w:rPr>
        <w:t>t</w:t>
      </w:r>
      <w:r w:rsidRPr="00A10386">
        <w:rPr>
          <w:noProof/>
        </w:rPr>
        <w:t xml:space="preserve">en years from the time when the </w:t>
      </w:r>
      <w:r w:rsidR="00C34E64" w:rsidRPr="00A10386">
        <w:rPr>
          <w:noProof/>
        </w:rPr>
        <w:t>criminal</w:t>
      </w:r>
      <w:r w:rsidR="22215C11" w:rsidRPr="00A10386">
        <w:rPr>
          <w:noProof/>
        </w:rPr>
        <w:t xml:space="preserve"> </w:t>
      </w:r>
      <w:r w:rsidRPr="00A10386">
        <w:rPr>
          <w:noProof/>
        </w:rPr>
        <w:t>offence was committed;</w:t>
      </w:r>
    </w:p>
    <w:p w14:paraId="5AC306B9" w14:textId="71074468" w:rsidR="000B5EEF" w:rsidRPr="00A10386" w:rsidRDefault="000B5EEF" w:rsidP="000B5EEF">
      <w:pPr>
        <w:pStyle w:val="ManualNumPar1"/>
        <w:rPr>
          <w:noProof/>
        </w:rPr>
      </w:pPr>
      <w:r w:rsidRPr="00A10386">
        <w:rPr>
          <w:noProof/>
        </w:rPr>
        <w:tab/>
        <w:t xml:space="preserve">(c) of </w:t>
      </w:r>
      <w:r w:rsidR="00C5020B" w:rsidRPr="00A10386">
        <w:rPr>
          <w:noProof/>
        </w:rPr>
        <w:t xml:space="preserve">criminal </w:t>
      </w:r>
      <w:r w:rsidRPr="00A10386">
        <w:rPr>
          <w:noProof/>
        </w:rPr>
        <w:t xml:space="preserve">offences referred to in </w:t>
      </w:r>
      <w:r w:rsidR="00610A16" w:rsidRPr="00A10386">
        <w:rPr>
          <w:noProof/>
        </w:rPr>
        <w:t>Article 4</w:t>
      </w:r>
      <w:r w:rsidR="00DF781F" w:rsidRPr="00A10386">
        <w:rPr>
          <w:noProof/>
        </w:rPr>
        <w:t>,</w:t>
      </w:r>
      <w:r w:rsidR="00610A16" w:rsidRPr="00A10386">
        <w:rPr>
          <w:noProof/>
        </w:rPr>
        <w:t xml:space="preserve"> point (e)</w:t>
      </w:r>
      <w:r w:rsidR="00DF781F" w:rsidRPr="00A10386">
        <w:rPr>
          <w:noProof/>
        </w:rPr>
        <w:t>,</w:t>
      </w:r>
      <w:r w:rsidR="00610A16" w:rsidRPr="00A10386">
        <w:rPr>
          <w:noProof/>
        </w:rPr>
        <w:t xml:space="preserve"> </w:t>
      </w:r>
      <w:r w:rsidR="003B42F5" w:rsidRPr="00A10386">
        <w:rPr>
          <w:noProof/>
        </w:rPr>
        <w:t xml:space="preserve">including </w:t>
      </w:r>
      <w:r w:rsidR="00610A16" w:rsidRPr="00A10386">
        <w:rPr>
          <w:noProof/>
        </w:rPr>
        <w:t>attempts to commit the offence referred to in Article 4</w:t>
      </w:r>
      <w:r w:rsidR="00DF781F" w:rsidRPr="00A10386">
        <w:rPr>
          <w:noProof/>
        </w:rPr>
        <w:t>,</w:t>
      </w:r>
      <w:r w:rsidR="00610A16" w:rsidRPr="00A10386">
        <w:rPr>
          <w:noProof/>
        </w:rPr>
        <w:t xml:space="preserve"> point (e)</w:t>
      </w:r>
      <w:r w:rsidRPr="00A10386">
        <w:rPr>
          <w:i/>
          <w:iCs/>
          <w:noProof/>
        </w:rPr>
        <w:t>,</w:t>
      </w:r>
      <w:r w:rsidRPr="00A10386">
        <w:rPr>
          <w:noProof/>
        </w:rPr>
        <w:t xml:space="preserve"> for a period of at least fifteen years from the time when the </w:t>
      </w:r>
      <w:r w:rsidR="00C34E64" w:rsidRPr="00A10386">
        <w:rPr>
          <w:noProof/>
        </w:rPr>
        <w:t xml:space="preserve">criminal </w:t>
      </w:r>
      <w:r w:rsidRPr="00A10386">
        <w:rPr>
          <w:noProof/>
        </w:rPr>
        <w:t>offence was committed.</w:t>
      </w:r>
    </w:p>
    <w:p w14:paraId="6257B61F" w14:textId="71F19E1D" w:rsidR="00827F7B" w:rsidRPr="00A10386" w:rsidRDefault="67ADA453" w:rsidP="00827F7B">
      <w:pPr>
        <w:pStyle w:val="ManualNumPar1"/>
        <w:rPr>
          <w:noProof/>
        </w:rPr>
      </w:pPr>
      <w:r w:rsidRPr="00A10386">
        <w:rPr>
          <w:noProof/>
        </w:rPr>
        <w:t>3.</w:t>
      </w:r>
      <w:r w:rsidRPr="00A10386">
        <w:rPr>
          <w:noProof/>
        </w:rPr>
        <w:tab/>
      </w:r>
      <w:r w:rsidR="00827F7B" w:rsidRPr="00A10386">
        <w:rPr>
          <w:noProof/>
        </w:rPr>
        <w:t>Member States shall take the necessary measures to enable the enforcement of:</w:t>
      </w:r>
    </w:p>
    <w:p w14:paraId="59F2B826" w14:textId="77777777" w:rsidR="00827F7B" w:rsidRPr="00A10386" w:rsidRDefault="00827F7B" w:rsidP="00827F7B">
      <w:pPr>
        <w:pStyle w:val="ManualNumPar1"/>
        <w:rPr>
          <w:noProof/>
        </w:rPr>
      </w:pPr>
      <w:r w:rsidRPr="00A10386">
        <w:rPr>
          <w:noProof/>
        </w:rPr>
        <w:tab/>
        <w:t>(a) a penalty of imprisonment in the case of a criminal offence, imposed following a final conviction for a criminal offence referred to in Article 3, for at least seven years from the date of the final conviction;</w:t>
      </w:r>
    </w:p>
    <w:p w14:paraId="4F8F716E" w14:textId="59FE81A9" w:rsidR="00827F7B" w:rsidRPr="00A10386" w:rsidRDefault="00827F7B" w:rsidP="00827F7B">
      <w:pPr>
        <w:pStyle w:val="ManualNumPar1"/>
        <w:rPr>
          <w:noProof/>
        </w:rPr>
      </w:pPr>
      <w:r w:rsidRPr="00A10386">
        <w:rPr>
          <w:noProof/>
        </w:rPr>
        <w:tab/>
        <w:t>(b) a penalty of imprisonment in the case of a criminal offence, imposed following a final conviction for a criminal offence referred to in Article 4</w:t>
      </w:r>
      <w:r w:rsidR="00DF781F" w:rsidRPr="00A10386">
        <w:rPr>
          <w:noProof/>
        </w:rPr>
        <w:t>,</w:t>
      </w:r>
      <w:r w:rsidRPr="00A10386">
        <w:rPr>
          <w:noProof/>
        </w:rPr>
        <w:t xml:space="preserve"> points (a)</w:t>
      </w:r>
      <w:r w:rsidR="00DF781F" w:rsidRPr="00A10386">
        <w:rPr>
          <w:noProof/>
        </w:rPr>
        <w:t xml:space="preserve"> to</w:t>
      </w:r>
      <w:r w:rsidRPr="00A10386">
        <w:rPr>
          <w:noProof/>
        </w:rPr>
        <w:t xml:space="preserve"> (d)</w:t>
      </w:r>
      <w:r w:rsidR="00DF781F" w:rsidRPr="00A10386">
        <w:rPr>
          <w:noProof/>
        </w:rPr>
        <w:t>,</w:t>
      </w:r>
      <w:r w:rsidRPr="00A10386">
        <w:rPr>
          <w:noProof/>
        </w:rPr>
        <w:t xml:space="preserve"> for at least ten years from the date of the final conviction;</w:t>
      </w:r>
    </w:p>
    <w:p w14:paraId="503C1D78" w14:textId="13C124C3" w:rsidR="00827F7B" w:rsidRPr="00A10386" w:rsidRDefault="00827F7B" w:rsidP="00827F7B">
      <w:pPr>
        <w:pStyle w:val="ManualNumPar1"/>
        <w:rPr>
          <w:noProof/>
        </w:rPr>
      </w:pPr>
      <w:r w:rsidRPr="00A10386">
        <w:rPr>
          <w:noProof/>
        </w:rPr>
        <w:tab/>
        <w:t>(c) a penalty of imprisonment in the case of a criminal offence, imposed following a final conviction for a criminal offence referred to in Article 4</w:t>
      </w:r>
      <w:r w:rsidR="00DF781F" w:rsidRPr="00A10386">
        <w:rPr>
          <w:noProof/>
        </w:rPr>
        <w:t>,</w:t>
      </w:r>
      <w:r w:rsidRPr="00A10386">
        <w:rPr>
          <w:noProof/>
        </w:rPr>
        <w:t xml:space="preserve"> point (e)</w:t>
      </w:r>
      <w:r w:rsidR="00DF781F" w:rsidRPr="00A10386">
        <w:rPr>
          <w:noProof/>
        </w:rPr>
        <w:t>,</w:t>
      </w:r>
      <w:r w:rsidRPr="00A10386">
        <w:rPr>
          <w:noProof/>
        </w:rPr>
        <w:t xml:space="preserve"> </w:t>
      </w:r>
      <w:r w:rsidR="003B42F5" w:rsidRPr="00A10386">
        <w:rPr>
          <w:noProof/>
        </w:rPr>
        <w:t xml:space="preserve">including </w:t>
      </w:r>
      <w:r w:rsidRPr="00A10386">
        <w:rPr>
          <w:noProof/>
        </w:rPr>
        <w:t>attempts to commit the criminal offence referred to in Article 4</w:t>
      </w:r>
      <w:r w:rsidR="00DF781F" w:rsidRPr="00A10386">
        <w:rPr>
          <w:noProof/>
        </w:rPr>
        <w:t>,</w:t>
      </w:r>
      <w:r w:rsidRPr="00A10386">
        <w:rPr>
          <w:noProof/>
        </w:rPr>
        <w:t xml:space="preserve"> point (e), for at least fifteen years from the date of the final conviction.</w:t>
      </w:r>
    </w:p>
    <w:p w14:paraId="06E5BC1B" w14:textId="5A8375D8" w:rsidR="00C5020B" w:rsidRPr="00A10386" w:rsidRDefault="00827F7B" w:rsidP="00827F7B">
      <w:pPr>
        <w:pStyle w:val="ManualNumPar1"/>
        <w:rPr>
          <w:noProof/>
        </w:rPr>
      </w:pPr>
      <w:r w:rsidRPr="00A10386">
        <w:rPr>
          <w:noProof/>
        </w:rPr>
        <w:t>4.</w:t>
      </w:r>
      <w:r w:rsidRPr="00A10386">
        <w:rPr>
          <w:noProof/>
        </w:rPr>
        <w:tab/>
      </w:r>
      <w:r w:rsidR="67ADA453" w:rsidRPr="00A10386">
        <w:rPr>
          <w:noProof/>
        </w:rPr>
        <w:t>By way of derogation from paragraph</w:t>
      </w:r>
      <w:r w:rsidRPr="00A10386">
        <w:rPr>
          <w:noProof/>
        </w:rPr>
        <w:t>s</w:t>
      </w:r>
      <w:r w:rsidR="67ADA453" w:rsidRPr="00A10386">
        <w:rPr>
          <w:noProof/>
        </w:rPr>
        <w:t xml:space="preserve"> </w:t>
      </w:r>
      <w:r w:rsidRPr="00A10386">
        <w:rPr>
          <w:noProof/>
        </w:rPr>
        <w:t>2 and 3,</w:t>
      </w:r>
      <w:r w:rsidR="67ADA453" w:rsidRPr="00A10386">
        <w:rPr>
          <w:noProof/>
        </w:rPr>
        <w:t xml:space="preserve"> Member States may establish a </w:t>
      </w:r>
      <w:r w:rsidR="00C5020B" w:rsidRPr="00A10386">
        <w:rPr>
          <w:noProof/>
        </w:rPr>
        <w:t xml:space="preserve">shorter </w:t>
      </w:r>
      <w:r w:rsidR="67ADA453" w:rsidRPr="00A10386">
        <w:rPr>
          <w:noProof/>
        </w:rPr>
        <w:t>limitation period, provided that the period may be interrupted or suspended in the even</w:t>
      </w:r>
      <w:r w:rsidR="27E2BDCD" w:rsidRPr="00A10386">
        <w:rPr>
          <w:noProof/>
        </w:rPr>
        <w:t>t</w:t>
      </w:r>
      <w:r w:rsidR="67ADA453" w:rsidRPr="00A10386">
        <w:rPr>
          <w:noProof/>
        </w:rPr>
        <w:t xml:space="preserve"> of specified acts</w:t>
      </w:r>
      <w:r w:rsidR="00C5020B" w:rsidRPr="00A10386">
        <w:rPr>
          <w:noProof/>
        </w:rPr>
        <w:t>. This period shall not be shorter than:</w:t>
      </w:r>
    </w:p>
    <w:p w14:paraId="366E0391" w14:textId="004CBABC" w:rsidR="00C5020B" w:rsidRPr="00A10386" w:rsidRDefault="00C5020B" w:rsidP="00C5020B">
      <w:pPr>
        <w:pStyle w:val="ManualNumPar1"/>
        <w:ind w:firstLine="0"/>
        <w:rPr>
          <w:noProof/>
        </w:rPr>
      </w:pPr>
      <w:r w:rsidRPr="00A10386">
        <w:rPr>
          <w:noProof/>
        </w:rPr>
        <w:t xml:space="preserve">(a) </w:t>
      </w:r>
      <w:r w:rsidR="00B52634" w:rsidRPr="00A10386">
        <w:rPr>
          <w:noProof/>
        </w:rPr>
        <w:t>five</w:t>
      </w:r>
      <w:r w:rsidRPr="00A10386">
        <w:rPr>
          <w:noProof/>
        </w:rPr>
        <w:t xml:space="preserve"> years for the criminal offences referred to in Article 3;</w:t>
      </w:r>
    </w:p>
    <w:p w14:paraId="358BAE83" w14:textId="7C0D746B" w:rsidR="00C5020B" w:rsidRPr="00A10386" w:rsidRDefault="00C5020B" w:rsidP="00C5020B">
      <w:pPr>
        <w:pStyle w:val="ManualNumPar1"/>
        <w:ind w:firstLine="0"/>
        <w:rPr>
          <w:noProof/>
        </w:rPr>
      </w:pPr>
      <w:r w:rsidRPr="00A10386">
        <w:rPr>
          <w:noProof/>
        </w:rPr>
        <w:t>(b) eight years for the criminal offences referred to in Article 4</w:t>
      </w:r>
      <w:r w:rsidR="00DF781F" w:rsidRPr="00A10386">
        <w:rPr>
          <w:noProof/>
        </w:rPr>
        <w:t>,</w:t>
      </w:r>
      <w:r w:rsidRPr="00A10386">
        <w:rPr>
          <w:noProof/>
        </w:rPr>
        <w:t xml:space="preserve"> points (a)</w:t>
      </w:r>
      <w:r w:rsidR="00DF781F" w:rsidRPr="00A10386">
        <w:rPr>
          <w:noProof/>
        </w:rPr>
        <w:t xml:space="preserve"> to</w:t>
      </w:r>
      <w:r w:rsidRPr="00A10386">
        <w:rPr>
          <w:noProof/>
        </w:rPr>
        <w:t xml:space="preserve"> (d);</w:t>
      </w:r>
    </w:p>
    <w:p w14:paraId="412B6738" w14:textId="2B38328B" w:rsidR="000B5EEF" w:rsidRPr="00A10386" w:rsidRDefault="00C5020B" w:rsidP="00862328">
      <w:pPr>
        <w:pStyle w:val="ManualNumPar1"/>
        <w:ind w:firstLine="0"/>
        <w:rPr>
          <w:noProof/>
        </w:rPr>
      </w:pPr>
      <w:r w:rsidRPr="00A10386">
        <w:rPr>
          <w:noProof/>
        </w:rPr>
        <w:t>(c) ten years for the criminal offences referred to in Article 4</w:t>
      </w:r>
      <w:r w:rsidR="00DF781F" w:rsidRPr="00A10386">
        <w:rPr>
          <w:noProof/>
        </w:rPr>
        <w:t>,</w:t>
      </w:r>
      <w:r w:rsidRPr="00A10386">
        <w:rPr>
          <w:noProof/>
        </w:rPr>
        <w:t xml:space="preserve"> point (e)</w:t>
      </w:r>
      <w:r w:rsidR="00215427" w:rsidRPr="00A10386">
        <w:rPr>
          <w:noProof/>
        </w:rPr>
        <w:t>, including</w:t>
      </w:r>
      <w:r w:rsidRPr="00A10386">
        <w:rPr>
          <w:noProof/>
        </w:rPr>
        <w:t xml:space="preserve"> attempts to commit the </w:t>
      </w:r>
      <w:r w:rsidR="00BA340B" w:rsidRPr="00A10386">
        <w:rPr>
          <w:noProof/>
        </w:rPr>
        <w:t xml:space="preserve">criminal </w:t>
      </w:r>
      <w:r w:rsidRPr="00A10386">
        <w:rPr>
          <w:noProof/>
        </w:rPr>
        <w:t>offence referred to in Article 4</w:t>
      </w:r>
      <w:r w:rsidR="00DF781F" w:rsidRPr="00A10386">
        <w:rPr>
          <w:noProof/>
        </w:rPr>
        <w:t>,</w:t>
      </w:r>
      <w:r w:rsidRPr="00A10386">
        <w:rPr>
          <w:noProof/>
        </w:rPr>
        <w:t xml:space="preserve"> point (e)</w:t>
      </w:r>
      <w:r w:rsidR="67ADA453" w:rsidRPr="00A10386">
        <w:rPr>
          <w:noProof/>
        </w:rPr>
        <w:t>.</w:t>
      </w:r>
    </w:p>
    <w:p w14:paraId="3923B818" w14:textId="77777777" w:rsidR="000B5EEF" w:rsidRPr="00A10386" w:rsidRDefault="67ADA453" w:rsidP="000B5EEF">
      <w:pPr>
        <w:pStyle w:val="Titrearticle"/>
        <w:keepLines/>
        <w:rPr>
          <w:noProof/>
        </w:rPr>
      </w:pPr>
      <w:r w:rsidRPr="00A10386">
        <w:rPr>
          <w:noProof/>
        </w:rPr>
        <w:t>Article 1</w:t>
      </w:r>
      <w:r w:rsidR="206CF0EF" w:rsidRPr="00A10386">
        <w:rPr>
          <w:noProof/>
        </w:rPr>
        <w:t>2</w:t>
      </w:r>
    </w:p>
    <w:p w14:paraId="2A5A4803" w14:textId="77777777" w:rsidR="000B5EEF" w:rsidRPr="00A10386" w:rsidRDefault="000B5EEF" w:rsidP="000B5EEF">
      <w:pPr>
        <w:pStyle w:val="Titrearticle"/>
        <w:spacing w:before="120"/>
        <w:rPr>
          <w:noProof/>
        </w:rPr>
      </w:pPr>
      <w:r w:rsidRPr="00A10386">
        <w:rPr>
          <w:noProof/>
        </w:rPr>
        <w:t>Jurisdiction</w:t>
      </w:r>
    </w:p>
    <w:p w14:paraId="64896604" w14:textId="780106F0" w:rsidR="000B5EEF" w:rsidRPr="00A10386" w:rsidRDefault="000B5EEF" w:rsidP="00961227">
      <w:pPr>
        <w:pStyle w:val="ManualNumPar1"/>
        <w:rPr>
          <w:noProof/>
        </w:rPr>
      </w:pPr>
      <w:r w:rsidRPr="00A10386">
        <w:rPr>
          <w:noProof/>
        </w:rPr>
        <w:t>1.</w:t>
      </w:r>
      <w:r w:rsidRPr="00A10386">
        <w:rPr>
          <w:noProof/>
        </w:rPr>
        <w:tab/>
        <w:t xml:space="preserve">Each Member State shall establish its jurisdiction over a </w:t>
      </w:r>
      <w:r w:rsidR="008A69EE" w:rsidRPr="00A10386">
        <w:rPr>
          <w:noProof/>
        </w:rPr>
        <w:t xml:space="preserve">criminal </w:t>
      </w:r>
      <w:r w:rsidRPr="00A10386">
        <w:rPr>
          <w:noProof/>
        </w:rPr>
        <w:t xml:space="preserve">offence referred to in </w:t>
      </w:r>
      <w:r w:rsidR="00DF781F" w:rsidRPr="00A10386">
        <w:rPr>
          <w:noProof/>
        </w:rPr>
        <w:t>Articles 3, 4 and 5</w:t>
      </w:r>
      <w:r w:rsidRPr="00A10386">
        <w:rPr>
          <w:noProof/>
        </w:rPr>
        <w:t xml:space="preserve"> where the </w:t>
      </w:r>
      <w:r w:rsidR="00BA340B" w:rsidRPr="00A10386">
        <w:rPr>
          <w:noProof/>
        </w:rPr>
        <w:t>criminal</w:t>
      </w:r>
      <w:r w:rsidRPr="00A10386">
        <w:rPr>
          <w:noProof/>
        </w:rPr>
        <w:t xml:space="preserve"> offence:</w:t>
      </w:r>
    </w:p>
    <w:p w14:paraId="061B99DF" w14:textId="77777777" w:rsidR="000B5EEF" w:rsidRPr="00A10386" w:rsidRDefault="000B5EEF" w:rsidP="00961227">
      <w:pPr>
        <w:pStyle w:val="ManualNumPar1"/>
        <w:rPr>
          <w:noProof/>
        </w:rPr>
      </w:pPr>
      <w:r w:rsidRPr="00A10386">
        <w:rPr>
          <w:noProof/>
        </w:rPr>
        <w:tab/>
        <w:t>(a) is committed in whole or in part in its territory;</w:t>
      </w:r>
    </w:p>
    <w:p w14:paraId="6BEAC17F" w14:textId="77777777" w:rsidR="000B5EEF" w:rsidRPr="00A10386" w:rsidRDefault="000B5EEF" w:rsidP="00961227">
      <w:pPr>
        <w:pStyle w:val="ManualNumPar1"/>
        <w:rPr>
          <w:noProof/>
        </w:rPr>
      </w:pPr>
      <w:r w:rsidRPr="00A10386">
        <w:rPr>
          <w:noProof/>
        </w:rPr>
        <w:tab/>
        <w:t xml:space="preserve">(b) is committed by one of its nationals or a </w:t>
      </w:r>
      <w:r w:rsidR="00A33B8B" w:rsidRPr="00A10386">
        <w:rPr>
          <w:noProof/>
        </w:rPr>
        <w:t xml:space="preserve">third-country nationals </w:t>
      </w:r>
      <w:r w:rsidRPr="00A10386">
        <w:rPr>
          <w:noProof/>
        </w:rPr>
        <w:t>who is a habitual resident in its territory;</w:t>
      </w:r>
    </w:p>
    <w:p w14:paraId="1DB43529" w14:textId="77777777" w:rsidR="00C31B14" w:rsidRPr="00A10386" w:rsidRDefault="000B5EEF" w:rsidP="00C31B14">
      <w:pPr>
        <w:pStyle w:val="ManualNumPar1"/>
        <w:rPr>
          <w:noProof/>
        </w:rPr>
      </w:pPr>
      <w:r w:rsidRPr="00A10386">
        <w:rPr>
          <w:noProof/>
        </w:rPr>
        <w:tab/>
        <w:t>(c) is committed for the benefit of a legal person</w:t>
      </w:r>
    </w:p>
    <w:p w14:paraId="48710E2B" w14:textId="77777777" w:rsidR="00C31B14" w:rsidRPr="00A10386" w:rsidRDefault="00A22C94" w:rsidP="00862328">
      <w:pPr>
        <w:pStyle w:val="ManualNumPar1"/>
        <w:ind w:firstLine="590"/>
        <w:rPr>
          <w:noProof/>
        </w:rPr>
      </w:pPr>
      <w:r w:rsidRPr="00A10386">
        <w:rPr>
          <w:noProof/>
        </w:rPr>
        <w:t xml:space="preserve">(i) </w:t>
      </w:r>
      <w:r w:rsidR="000B5EEF" w:rsidRPr="00A10386">
        <w:rPr>
          <w:noProof/>
        </w:rPr>
        <w:t>established in its territory;</w:t>
      </w:r>
    </w:p>
    <w:p w14:paraId="02C4DAD5" w14:textId="5A742131" w:rsidR="0078452E" w:rsidRPr="00A10386" w:rsidRDefault="0078452E" w:rsidP="00862328">
      <w:pPr>
        <w:pStyle w:val="ManualNumPar1"/>
        <w:ind w:firstLine="590"/>
        <w:rPr>
          <w:noProof/>
        </w:rPr>
      </w:pPr>
      <w:r w:rsidRPr="00A10386">
        <w:rPr>
          <w:noProof/>
        </w:rPr>
        <w:t>(ii) in respect of any business done in whole or in part in its territory;</w:t>
      </w:r>
    </w:p>
    <w:p w14:paraId="550BDEA4" w14:textId="77777777" w:rsidR="000B5EEF" w:rsidRPr="00A10386" w:rsidRDefault="000B5EEF" w:rsidP="00961227">
      <w:pPr>
        <w:pStyle w:val="ManualNumPar1"/>
        <w:rPr>
          <w:noProof/>
        </w:rPr>
      </w:pPr>
      <w:r w:rsidRPr="00A10386">
        <w:rPr>
          <w:noProof/>
        </w:rPr>
        <w:tab/>
      </w:r>
      <w:bookmarkStart w:id="5" w:name="_Hlk150518783"/>
      <w:r w:rsidRPr="00A10386">
        <w:rPr>
          <w:noProof/>
        </w:rPr>
        <w:t>(d) is committed on board of a ship or an aircraft registered in it or flying its flag;</w:t>
      </w:r>
    </w:p>
    <w:p w14:paraId="43691B70" w14:textId="3372FD9A" w:rsidR="000B5EEF" w:rsidRPr="00A10386" w:rsidRDefault="00F95411" w:rsidP="002B7A7D">
      <w:pPr>
        <w:pStyle w:val="ManualNumPar1"/>
        <w:ind w:firstLine="0"/>
        <w:rPr>
          <w:noProof/>
        </w:rPr>
      </w:pPr>
      <w:r w:rsidRPr="00A10386">
        <w:rPr>
          <w:noProof/>
        </w:rPr>
        <w:t>(</w:t>
      </w:r>
      <w:r w:rsidR="000B5EEF" w:rsidRPr="00A10386">
        <w:rPr>
          <w:noProof/>
        </w:rPr>
        <w:t xml:space="preserve">e) results in the entry, </w:t>
      </w:r>
      <w:r w:rsidR="0090507D" w:rsidRPr="00A10386">
        <w:rPr>
          <w:noProof/>
        </w:rPr>
        <w:t>transit or stay</w:t>
      </w:r>
      <w:r w:rsidR="000B5EEF" w:rsidRPr="00A10386">
        <w:rPr>
          <w:noProof/>
        </w:rPr>
        <w:t xml:space="preserve"> in the territory of that Member State of</w:t>
      </w:r>
      <w:r w:rsidR="000B5EEF" w:rsidRPr="00A10386" w:rsidDel="00F95411">
        <w:rPr>
          <w:noProof/>
        </w:rPr>
        <w:t xml:space="preserve"> </w:t>
      </w:r>
      <w:r w:rsidR="00A33B8B" w:rsidRPr="00A10386">
        <w:rPr>
          <w:noProof/>
        </w:rPr>
        <w:t>third-country national</w:t>
      </w:r>
      <w:r w:rsidR="000B5EEF" w:rsidRPr="00A10386">
        <w:rPr>
          <w:noProof/>
        </w:rPr>
        <w:t>s</w:t>
      </w:r>
      <w:r w:rsidR="00A33B8B" w:rsidRPr="00A10386">
        <w:rPr>
          <w:noProof/>
        </w:rPr>
        <w:t xml:space="preserve"> </w:t>
      </w:r>
      <w:r w:rsidR="000B5EEF" w:rsidRPr="00A10386">
        <w:rPr>
          <w:noProof/>
        </w:rPr>
        <w:t>who were</w:t>
      </w:r>
      <w:r w:rsidR="000B5EEF" w:rsidRPr="00A10386" w:rsidDel="00F95411">
        <w:rPr>
          <w:noProof/>
        </w:rPr>
        <w:t xml:space="preserve"> </w:t>
      </w:r>
      <w:r w:rsidR="000B5EEF" w:rsidRPr="00A10386">
        <w:rPr>
          <w:noProof/>
        </w:rPr>
        <w:t xml:space="preserve">subject to the </w:t>
      </w:r>
      <w:r w:rsidR="00753260" w:rsidRPr="00A10386">
        <w:rPr>
          <w:noProof/>
        </w:rPr>
        <w:t xml:space="preserve">criminal </w:t>
      </w:r>
      <w:r w:rsidR="000B5EEF" w:rsidRPr="00A10386">
        <w:rPr>
          <w:noProof/>
        </w:rPr>
        <w:t>offence</w:t>
      </w:r>
      <w:r w:rsidRPr="00A10386">
        <w:rPr>
          <w:noProof/>
        </w:rPr>
        <w:t>.</w:t>
      </w:r>
    </w:p>
    <w:bookmarkEnd w:id="5"/>
    <w:p w14:paraId="324E6AB6" w14:textId="342A4651" w:rsidR="000B5EEF" w:rsidRPr="00A10386" w:rsidRDefault="67ADA453" w:rsidP="00961227">
      <w:pPr>
        <w:pStyle w:val="ManualNumPar1"/>
        <w:rPr>
          <w:noProof/>
        </w:rPr>
      </w:pPr>
      <w:r w:rsidRPr="00A10386">
        <w:rPr>
          <w:noProof/>
        </w:rPr>
        <w:t>2.</w:t>
      </w:r>
      <w:r w:rsidR="000B5EEF" w:rsidRPr="00A10386">
        <w:rPr>
          <w:noProof/>
        </w:rPr>
        <w:tab/>
      </w:r>
      <w:r w:rsidRPr="00A10386">
        <w:rPr>
          <w:noProof/>
        </w:rPr>
        <w:t>Member State</w:t>
      </w:r>
      <w:r w:rsidR="0078452E" w:rsidRPr="00A10386">
        <w:rPr>
          <w:noProof/>
        </w:rPr>
        <w:t>s</w:t>
      </w:r>
      <w:r w:rsidRPr="00A10386">
        <w:rPr>
          <w:noProof/>
        </w:rPr>
        <w:t xml:space="preserve"> shall establish jurisdiction</w:t>
      </w:r>
      <w:r w:rsidR="0078452E" w:rsidRPr="00A10386">
        <w:rPr>
          <w:noProof/>
        </w:rPr>
        <w:t xml:space="preserve"> </w:t>
      </w:r>
      <w:r w:rsidRPr="00A10386">
        <w:rPr>
          <w:noProof/>
        </w:rPr>
        <w:t xml:space="preserve">over attempts to commit </w:t>
      </w:r>
      <w:r w:rsidR="0078452E" w:rsidRPr="00A10386">
        <w:rPr>
          <w:noProof/>
        </w:rPr>
        <w:t>a criminal offence referred to in Article 4</w:t>
      </w:r>
      <w:r w:rsidR="002B7267" w:rsidRPr="00A10386">
        <w:rPr>
          <w:noProof/>
        </w:rPr>
        <w:t xml:space="preserve"> point </w:t>
      </w:r>
      <w:r w:rsidR="1E15490A" w:rsidRPr="00A10386">
        <w:rPr>
          <w:noProof/>
        </w:rPr>
        <w:t>(e)</w:t>
      </w:r>
      <w:r w:rsidR="0078452E" w:rsidRPr="00A10386">
        <w:rPr>
          <w:noProof/>
        </w:rPr>
        <w:t>, where th</w:t>
      </w:r>
      <w:r w:rsidR="00F95411" w:rsidRPr="00A10386">
        <w:rPr>
          <w:noProof/>
        </w:rPr>
        <w:t>e conduct</w:t>
      </w:r>
      <w:r w:rsidR="0078452E" w:rsidRPr="00A10386">
        <w:rPr>
          <w:noProof/>
        </w:rPr>
        <w:t xml:space="preserve"> would have </w:t>
      </w:r>
      <w:r w:rsidR="00F95411" w:rsidRPr="00A10386">
        <w:rPr>
          <w:noProof/>
        </w:rPr>
        <w:t xml:space="preserve">constituted </w:t>
      </w:r>
      <w:r w:rsidR="0078452E" w:rsidRPr="00A10386">
        <w:rPr>
          <w:noProof/>
        </w:rPr>
        <w:t xml:space="preserve">a criminal offence over which jurisdiction would </w:t>
      </w:r>
      <w:r w:rsidR="00140872" w:rsidRPr="00A10386">
        <w:rPr>
          <w:noProof/>
        </w:rPr>
        <w:t>have been</w:t>
      </w:r>
      <w:r w:rsidR="0078452E" w:rsidRPr="00A10386">
        <w:rPr>
          <w:noProof/>
        </w:rPr>
        <w:t xml:space="preserve"> established </w:t>
      </w:r>
      <w:r w:rsidR="00DF781F" w:rsidRPr="00A10386">
        <w:rPr>
          <w:noProof/>
        </w:rPr>
        <w:t>pursuant</w:t>
      </w:r>
      <w:r w:rsidR="0078452E" w:rsidRPr="00A10386">
        <w:rPr>
          <w:noProof/>
        </w:rPr>
        <w:t xml:space="preserve"> to paragraph 1</w:t>
      </w:r>
      <w:r w:rsidRPr="00A10386">
        <w:rPr>
          <w:noProof/>
        </w:rPr>
        <w:t>.</w:t>
      </w:r>
    </w:p>
    <w:p w14:paraId="0560857D" w14:textId="54D87262" w:rsidR="000B5EEF" w:rsidRPr="00A10386" w:rsidRDefault="000B5EEF" w:rsidP="00961227">
      <w:pPr>
        <w:pStyle w:val="ManualNumPar1"/>
        <w:rPr>
          <w:noProof/>
        </w:rPr>
      </w:pPr>
      <w:r w:rsidRPr="00A10386">
        <w:rPr>
          <w:noProof/>
        </w:rPr>
        <w:t>3.</w:t>
      </w:r>
      <w:r w:rsidRPr="00A10386">
        <w:rPr>
          <w:noProof/>
        </w:rPr>
        <w:tab/>
        <w:t xml:space="preserve">For the prosecution of the </w:t>
      </w:r>
      <w:r w:rsidR="00753260" w:rsidRPr="00A10386">
        <w:rPr>
          <w:noProof/>
        </w:rPr>
        <w:t>criminal</w:t>
      </w:r>
      <w:r w:rsidRPr="00A10386">
        <w:rPr>
          <w:noProof/>
        </w:rPr>
        <w:t xml:space="preserve"> offences referred to in </w:t>
      </w:r>
      <w:r w:rsidR="00A46DBD" w:rsidRPr="00A10386">
        <w:rPr>
          <w:noProof/>
        </w:rPr>
        <w:t xml:space="preserve">Articles 3, 4 and 5 </w:t>
      </w:r>
      <w:r w:rsidRPr="00A10386">
        <w:rPr>
          <w:noProof/>
        </w:rPr>
        <w:t>committed outside the territory of a Member State, each Member State shall take the necessary measures to ensure that its jurisdiction is not subject to either of the following conditions:</w:t>
      </w:r>
    </w:p>
    <w:p w14:paraId="62EDB6D1" w14:textId="25F7DA23" w:rsidR="000B5EEF" w:rsidRPr="00A10386" w:rsidRDefault="000B5EEF" w:rsidP="00961227">
      <w:pPr>
        <w:pStyle w:val="ManualNumPar1"/>
        <w:rPr>
          <w:noProof/>
        </w:rPr>
      </w:pPr>
      <w:r w:rsidRPr="00A10386">
        <w:rPr>
          <w:noProof/>
        </w:rPr>
        <w:tab/>
        <w:t>(a) the acts are a criminal offence at the place where they were carried out;</w:t>
      </w:r>
    </w:p>
    <w:p w14:paraId="548B68C9" w14:textId="6B0345F9" w:rsidR="000B5EEF" w:rsidRPr="00A10386" w:rsidRDefault="000B5EEF" w:rsidP="00961227">
      <w:pPr>
        <w:pStyle w:val="ManualNumPar1"/>
        <w:rPr>
          <w:noProof/>
        </w:rPr>
      </w:pPr>
      <w:r w:rsidRPr="00A10386">
        <w:rPr>
          <w:noProof/>
        </w:rPr>
        <w:tab/>
        <w:t xml:space="preserve">(b) the prosecution can be initiated only following a transmission of information from the State of the place where the </w:t>
      </w:r>
      <w:r w:rsidR="00753260" w:rsidRPr="00A10386">
        <w:rPr>
          <w:noProof/>
        </w:rPr>
        <w:t>criminal</w:t>
      </w:r>
      <w:r w:rsidRPr="00A10386">
        <w:rPr>
          <w:noProof/>
        </w:rPr>
        <w:t xml:space="preserve"> offence was committed. </w:t>
      </w:r>
    </w:p>
    <w:p w14:paraId="033FC057" w14:textId="64923730" w:rsidR="000B5EEF" w:rsidRPr="00A10386" w:rsidRDefault="67ADA453" w:rsidP="00961227">
      <w:pPr>
        <w:pStyle w:val="ManualNumPar1"/>
        <w:rPr>
          <w:noProof/>
        </w:rPr>
      </w:pPr>
      <w:r w:rsidRPr="00A10386">
        <w:rPr>
          <w:noProof/>
        </w:rPr>
        <w:t>4.</w:t>
      </w:r>
      <w:r w:rsidR="000B5EEF" w:rsidRPr="00A10386">
        <w:rPr>
          <w:noProof/>
        </w:rPr>
        <w:tab/>
      </w:r>
      <w:r w:rsidRPr="00A10386">
        <w:rPr>
          <w:noProof/>
        </w:rPr>
        <w:t xml:space="preserve">Where a </w:t>
      </w:r>
      <w:r w:rsidR="4792DBAE" w:rsidRPr="00A10386">
        <w:rPr>
          <w:noProof/>
        </w:rPr>
        <w:t>criminal</w:t>
      </w:r>
      <w:r w:rsidRPr="00A10386">
        <w:rPr>
          <w:noProof/>
        </w:rPr>
        <w:t xml:space="preserve"> offence referred to in </w:t>
      </w:r>
      <w:r w:rsidR="00DF781F" w:rsidRPr="00A10386">
        <w:rPr>
          <w:noProof/>
        </w:rPr>
        <w:t>Articles 3, 4 and 5</w:t>
      </w:r>
      <w:r w:rsidRPr="00A10386">
        <w:rPr>
          <w:noProof/>
        </w:rPr>
        <w:t xml:space="preserve"> falls within the jurisdiction of more than one Member State, th</w:t>
      </w:r>
      <w:r w:rsidR="000B5EEF" w:rsidRPr="00A10386">
        <w:rPr>
          <w:noProof/>
        </w:rPr>
        <w:t>e</w:t>
      </w:r>
      <w:r w:rsidRPr="00A10386">
        <w:rPr>
          <w:noProof/>
        </w:rPr>
        <w:t>se Member States shall cooperate to determine which Member State is to conduct criminal proceedings. The matter shall, where appropriate</w:t>
      </w:r>
      <w:r w:rsidR="00140872" w:rsidRPr="00A10386">
        <w:rPr>
          <w:noProof/>
        </w:rPr>
        <w:t xml:space="preserve"> </w:t>
      </w:r>
      <w:r w:rsidRPr="00A10386">
        <w:rPr>
          <w:noProof/>
        </w:rPr>
        <w:t>and in accordance with Article 12 o</w:t>
      </w:r>
      <w:r w:rsidR="00DF781F" w:rsidRPr="00A10386">
        <w:rPr>
          <w:noProof/>
        </w:rPr>
        <w:t>f</w:t>
      </w:r>
      <w:r w:rsidRPr="00A10386">
        <w:rPr>
          <w:noProof/>
        </w:rPr>
        <w:t xml:space="preserve"> Framework Decision 2009/948/JHA, be referred to Eurojust.</w:t>
      </w:r>
    </w:p>
    <w:p w14:paraId="3FC26A80" w14:textId="77777777" w:rsidR="00961227" w:rsidRPr="00A10386" w:rsidRDefault="781B1968" w:rsidP="00961227">
      <w:pPr>
        <w:pStyle w:val="Titrearticle"/>
        <w:keepLines/>
        <w:rPr>
          <w:noProof/>
        </w:rPr>
      </w:pPr>
      <w:r w:rsidRPr="00A10386">
        <w:rPr>
          <w:noProof/>
        </w:rPr>
        <w:t>Article 1</w:t>
      </w:r>
      <w:r w:rsidR="206CF0EF" w:rsidRPr="00A10386">
        <w:rPr>
          <w:noProof/>
        </w:rPr>
        <w:t>3</w:t>
      </w:r>
    </w:p>
    <w:p w14:paraId="207C8061" w14:textId="77777777" w:rsidR="00961227" w:rsidRPr="00A10386" w:rsidRDefault="00961227" w:rsidP="00961227">
      <w:pPr>
        <w:pStyle w:val="Titrearticle"/>
        <w:spacing w:before="120"/>
        <w:rPr>
          <w:noProof/>
        </w:rPr>
      </w:pPr>
      <w:r w:rsidRPr="00A10386">
        <w:rPr>
          <w:noProof/>
        </w:rPr>
        <w:t>Prevention</w:t>
      </w:r>
    </w:p>
    <w:p w14:paraId="6355C57B" w14:textId="669688DB" w:rsidR="00961227" w:rsidRPr="00A10386" w:rsidRDefault="00961227" w:rsidP="00961227">
      <w:pPr>
        <w:pStyle w:val="ManualNumPar1"/>
        <w:rPr>
          <w:noProof/>
        </w:rPr>
      </w:pPr>
      <w:r w:rsidRPr="00A10386">
        <w:rPr>
          <w:noProof/>
        </w:rPr>
        <w:t>1.</w:t>
      </w:r>
      <w:r w:rsidRPr="00A10386">
        <w:rPr>
          <w:noProof/>
        </w:rPr>
        <w:tab/>
        <w:t>Member States shall</w:t>
      </w:r>
      <w:r w:rsidR="00140872" w:rsidRPr="00A10386">
        <w:rPr>
          <w:noProof/>
        </w:rPr>
        <w:t xml:space="preserve"> take appropriate action</w:t>
      </w:r>
      <w:r w:rsidR="00BE6599" w:rsidRPr="00A10386">
        <w:rPr>
          <w:noProof/>
        </w:rPr>
        <w:t xml:space="preserve">, </w:t>
      </w:r>
      <w:r w:rsidRPr="00A10386">
        <w:rPr>
          <w:noProof/>
        </w:rPr>
        <w:t>such as information and awareness-raising campaigns</w:t>
      </w:r>
      <w:r w:rsidR="00FE264C" w:rsidRPr="00A10386">
        <w:rPr>
          <w:noProof/>
        </w:rPr>
        <w:t>,</w:t>
      </w:r>
      <w:r w:rsidRPr="00A10386">
        <w:rPr>
          <w:noProof/>
        </w:rPr>
        <w:t xml:space="preserve"> and research and education programmes, </w:t>
      </w:r>
      <w:r w:rsidR="00140872" w:rsidRPr="00A10386">
        <w:rPr>
          <w:noProof/>
        </w:rPr>
        <w:t xml:space="preserve">aimed at </w:t>
      </w:r>
      <w:r w:rsidRPr="00A10386">
        <w:rPr>
          <w:noProof/>
        </w:rPr>
        <w:t>rais</w:t>
      </w:r>
      <w:r w:rsidR="00140872" w:rsidRPr="00A10386">
        <w:rPr>
          <w:noProof/>
        </w:rPr>
        <w:t>ing</w:t>
      </w:r>
      <w:r w:rsidRPr="00A10386">
        <w:rPr>
          <w:noProof/>
        </w:rPr>
        <w:t xml:space="preserve"> public awareness </w:t>
      </w:r>
      <w:r w:rsidR="006A4B93" w:rsidRPr="00A10386">
        <w:rPr>
          <w:noProof/>
        </w:rPr>
        <w:t xml:space="preserve">and reducing the commission of the </w:t>
      </w:r>
      <w:r w:rsidR="008A60B6" w:rsidRPr="00A10386">
        <w:rPr>
          <w:noProof/>
        </w:rPr>
        <w:t xml:space="preserve">criminal </w:t>
      </w:r>
      <w:r w:rsidR="006A4B93" w:rsidRPr="00A10386">
        <w:rPr>
          <w:noProof/>
        </w:rPr>
        <w:t xml:space="preserve">offences referred to in </w:t>
      </w:r>
      <w:r w:rsidR="00DF781F" w:rsidRPr="00A10386">
        <w:rPr>
          <w:noProof/>
        </w:rPr>
        <w:t>Articles 3, 4 and 5</w:t>
      </w:r>
      <w:r w:rsidRPr="00A10386">
        <w:rPr>
          <w:noProof/>
        </w:rPr>
        <w:t>.</w:t>
      </w:r>
    </w:p>
    <w:p w14:paraId="6C85DB05" w14:textId="77777777" w:rsidR="00961227" w:rsidRPr="00A10386" w:rsidRDefault="0026017C" w:rsidP="00961227">
      <w:pPr>
        <w:pStyle w:val="ManualNumPar1"/>
        <w:rPr>
          <w:noProof/>
        </w:rPr>
      </w:pPr>
      <w:r w:rsidRPr="00A10386">
        <w:rPr>
          <w:noProof/>
        </w:rPr>
        <w:t>2</w:t>
      </w:r>
      <w:r w:rsidR="00961227" w:rsidRPr="00A10386">
        <w:rPr>
          <w:noProof/>
        </w:rPr>
        <w:t>.</w:t>
      </w:r>
      <w:r w:rsidR="00961227" w:rsidRPr="00A10386">
        <w:rPr>
          <w:noProof/>
        </w:rPr>
        <w:tab/>
        <w:t xml:space="preserve">Where appropriate, Member States shall take the necessary measures to carry out the activities referred to in paragraph 1 in cooperation with other Member States, </w:t>
      </w:r>
      <w:r w:rsidR="005C108D" w:rsidRPr="00A10386">
        <w:rPr>
          <w:noProof/>
        </w:rPr>
        <w:t xml:space="preserve">relevant </w:t>
      </w:r>
      <w:r w:rsidRPr="00A10386">
        <w:rPr>
          <w:noProof/>
        </w:rPr>
        <w:t xml:space="preserve">Union </w:t>
      </w:r>
      <w:r w:rsidR="005C108D" w:rsidRPr="00A10386">
        <w:rPr>
          <w:noProof/>
        </w:rPr>
        <w:t>a</w:t>
      </w:r>
      <w:r w:rsidR="00961227" w:rsidRPr="00A10386">
        <w:rPr>
          <w:noProof/>
        </w:rPr>
        <w:t>gencies and third countries.</w:t>
      </w:r>
    </w:p>
    <w:p w14:paraId="663038C3" w14:textId="77777777" w:rsidR="00961227" w:rsidRPr="00A10386" w:rsidRDefault="781B1968" w:rsidP="00961227">
      <w:pPr>
        <w:pStyle w:val="Titrearticle"/>
        <w:keepLines/>
        <w:rPr>
          <w:noProof/>
        </w:rPr>
      </w:pPr>
      <w:r w:rsidRPr="00A10386">
        <w:rPr>
          <w:noProof/>
        </w:rPr>
        <w:t>Article 1</w:t>
      </w:r>
      <w:r w:rsidR="640CA529" w:rsidRPr="00A10386">
        <w:rPr>
          <w:noProof/>
        </w:rPr>
        <w:t>4</w:t>
      </w:r>
    </w:p>
    <w:p w14:paraId="62FE8B0C" w14:textId="77777777" w:rsidR="00961227" w:rsidRPr="00A10386" w:rsidRDefault="00961227" w:rsidP="00961227">
      <w:pPr>
        <w:pStyle w:val="Titrearticle"/>
        <w:spacing w:before="120"/>
        <w:rPr>
          <w:noProof/>
        </w:rPr>
      </w:pPr>
      <w:r w:rsidRPr="00A10386">
        <w:rPr>
          <w:noProof/>
        </w:rPr>
        <w:t>Resources</w:t>
      </w:r>
    </w:p>
    <w:p w14:paraId="5A292F03" w14:textId="380D1E1D" w:rsidR="00D357BF" w:rsidRPr="00A10386" w:rsidRDefault="00D357BF" w:rsidP="00D357BF">
      <w:pPr>
        <w:rPr>
          <w:noProof/>
        </w:rPr>
      </w:pPr>
      <w:r w:rsidRPr="00A10386">
        <w:rPr>
          <w:noProof/>
        </w:rPr>
        <w:t xml:space="preserve">Member States shall ensure that national authorities competent for the detection, investigation, prosecution or adjudication of the criminal offences referred to </w:t>
      </w:r>
      <w:r w:rsidR="00DF781F" w:rsidRPr="00A10386">
        <w:rPr>
          <w:noProof/>
        </w:rPr>
        <w:t xml:space="preserve">Articles 3, 4 and 5 </w:t>
      </w:r>
      <w:r w:rsidR="00AA7EC2" w:rsidRPr="00A10386">
        <w:rPr>
          <w:noProof/>
        </w:rPr>
        <w:t>have a sufficient</w:t>
      </w:r>
      <w:r w:rsidRPr="00A10386">
        <w:rPr>
          <w:noProof/>
        </w:rPr>
        <w:t xml:space="preserve"> number of qualified staff and </w:t>
      </w:r>
      <w:r w:rsidR="00AA7EC2" w:rsidRPr="00A10386">
        <w:rPr>
          <w:noProof/>
        </w:rPr>
        <w:t>sufficient</w:t>
      </w:r>
      <w:r w:rsidRPr="00A10386">
        <w:rPr>
          <w:noProof/>
        </w:rPr>
        <w:t xml:space="preserve"> financial, technical and technological resources necessary for the effective performance of their functions related to the implementation of this Directive.</w:t>
      </w:r>
      <w:r w:rsidR="00AA7EC2" w:rsidRPr="00A10386">
        <w:rPr>
          <w:noProof/>
        </w:rPr>
        <w:t xml:space="preserve"> </w:t>
      </w:r>
    </w:p>
    <w:p w14:paraId="78FD7641" w14:textId="77777777" w:rsidR="00D357BF" w:rsidRPr="00A10386" w:rsidRDefault="38BB8A6A" w:rsidP="00D357BF">
      <w:pPr>
        <w:pStyle w:val="Titrearticle"/>
        <w:keepLines/>
        <w:rPr>
          <w:noProof/>
        </w:rPr>
      </w:pPr>
      <w:r w:rsidRPr="00A10386">
        <w:rPr>
          <w:noProof/>
        </w:rPr>
        <w:t>Article 1</w:t>
      </w:r>
      <w:r w:rsidR="7D62BD57" w:rsidRPr="00A10386">
        <w:rPr>
          <w:noProof/>
        </w:rPr>
        <w:t>5</w:t>
      </w:r>
    </w:p>
    <w:p w14:paraId="2EAE9898" w14:textId="77777777" w:rsidR="00D357BF" w:rsidRPr="00A10386" w:rsidRDefault="00D357BF" w:rsidP="00D357BF">
      <w:pPr>
        <w:pStyle w:val="Titrearticle"/>
        <w:spacing w:before="120"/>
        <w:rPr>
          <w:noProof/>
        </w:rPr>
      </w:pPr>
      <w:r w:rsidRPr="00A10386">
        <w:rPr>
          <w:noProof/>
        </w:rPr>
        <w:t>Training</w:t>
      </w:r>
    </w:p>
    <w:p w14:paraId="7B20D828" w14:textId="6A490F3B" w:rsidR="00D357BF" w:rsidRPr="00A10386" w:rsidRDefault="007B7DD2" w:rsidP="00D357BF">
      <w:pPr>
        <w:pStyle w:val="ManualNumPar1"/>
        <w:rPr>
          <w:noProof/>
        </w:rPr>
      </w:pPr>
      <w:r w:rsidRPr="00A10386">
        <w:rPr>
          <w:noProof/>
        </w:rPr>
        <w:t>1</w:t>
      </w:r>
      <w:r w:rsidR="00D357BF" w:rsidRPr="00A10386">
        <w:rPr>
          <w:noProof/>
        </w:rPr>
        <w:t>.</w:t>
      </w:r>
      <w:r w:rsidR="00D357BF" w:rsidRPr="00A10386">
        <w:rPr>
          <w:noProof/>
        </w:rPr>
        <w:tab/>
        <w:t xml:space="preserve">Member States shall take the necessary measures to ensure adequate resources for and the provision of specialised training at regular intervals for the members of the law enforcement, the judiciary and the staff of authorities tasked with criminal investigations and proceedings of </w:t>
      </w:r>
      <w:r w:rsidR="003123A3" w:rsidRPr="00A10386">
        <w:rPr>
          <w:noProof/>
        </w:rPr>
        <w:t xml:space="preserve">criminal </w:t>
      </w:r>
      <w:r w:rsidR="00D357BF" w:rsidRPr="00A10386">
        <w:rPr>
          <w:noProof/>
        </w:rPr>
        <w:t xml:space="preserve">offences referred to in </w:t>
      </w:r>
      <w:r w:rsidR="00DF781F" w:rsidRPr="00A10386">
        <w:rPr>
          <w:noProof/>
        </w:rPr>
        <w:t>Articles 3, 4 and 5</w:t>
      </w:r>
      <w:r w:rsidR="00D357BF" w:rsidRPr="00A10386">
        <w:rPr>
          <w:noProof/>
        </w:rPr>
        <w:t>.</w:t>
      </w:r>
    </w:p>
    <w:p w14:paraId="361167AD" w14:textId="77777777" w:rsidR="00AA7EC2" w:rsidRPr="00A10386" w:rsidRDefault="007B7DD2" w:rsidP="00AA7EC2">
      <w:pPr>
        <w:pStyle w:val="ManualNumPar1"/>
        <w:rPr>
          <w:noProof/>
        </w:rPr>
      </w:pPr>
      <w:r w:rsidRPr="00A10386">
        <w:rPr>
          <w:noProof/>
        </w:rPr>
        <w:t>2</w:t>
      </w:r>
      <w:r w:rsidR="00AA7EC2" w:rsidRPr="00A10386">
        <w:rPr>
          <w:noProof/>
        </w:rPr>
        <w:t>.</w:t>
      </w:r>
      <w:r w:rsidR="00AA7EC2" w:rsidRPr="00A10386">
        <w:rPr>
          <w:noProof/>
        </w:rPr>
        <w:tab/>
        <w:t>Without prejudice to judicial independence, Member States shall take the necessary measures to ensure that specialised regular training is provided to judges, prosecutors, law enforcement and judicial staff and competent authorities’ staff involved in criminal proceedings and investigations with respect to the objectives of this Directive.</w:t>
      </w:r>
    </w:p>
    <w:p w14:paraId="54C3161D" w14:textId="77777777" w:rsidR="00D357BF" w:rsidRPr="00A10386" w:rsidRDefault="38BB8A6A" w:rsidP="00D357BF">
      <w:pPr>
        <w:pStyle w:val="Titrearticle"/>
        <w:keepLines/>
        <w:rPr>
          <w:noProof/>
        </w:rPr>
      </w:pPr>
      <w:r w:rsidRPr="00A10386">
        <w:rPr>
          <w:noProof/>
        </w:rPr>
        <w:t>Article 1</w:t>
      </w:r>
      <w:r w:rsidR="5F2B7074" w:rsidRPr="00A10386">
        <w:rPr>
          <w:noProof/>
        </w:rPr>
        <w:t>6</w:t>
      </w:r>
    </w:p>
    <w:p w14:paraId="5B342E33" w14:textId="77777777" w:rsidR="00D357BF" w:rsidRPr="00A10386" w:rsidRDefault="00D357BF" w:rsidP="00D357BF">
      <w:pPr>
        <w:pStyle w:val="Titrearticle"/>
        <w:spacing w:before="120"/>
        <w:rPr>
          <w:noProof/>
        </w:rPr>
      </w:pPr>
      <w:r w:rsidRPr="00A10386">
        <w:rPr>
          <w:noProof/>
        </w:rPr>
        <w:t>Investigative tools</w:t>
      </w:r>
    </w:p>
    <w:p w14:paraId="7BDD484B" w14:textId="77777777" w:rsidR="00D357BF" w:rsidRPr="00A10386" w:rsidRDefault="00D357BF" w:rsidP="00D357BF">
      <w:pPr>
        <w:rPr>
          <w:noProof/>
        </w:rPr>
      </w:pPr>
      <w:r w:rsidRPr="00A10386">
        <w:rPr>
          <w:noProof/>
        </w:rPr>
        <w:t xml:space="preserve">Member States shall take the necessary measures to ensure that effective </w:t>
      </w:r>
      <w:r w:rsidR="00AA7EC2" w:rsidRPr="00A10386">
        <w:rPr>
          <w:noProof/>
        </w:rPr>
        <w:t xml:space="preserve">and proportionate </w:t>
      </w:r>
      <w:r w:rsidRPr="00A10386">
        <w:rPr>
          <w:noProof/>
        </w:rPr>
        <w:t>investigative tools</w:t>
      </w:r>
      <w:r w:rsidR="00D62E92" w:rsidRPr="00A10386">
        <w:rPr>
          <w:noProof/>
        </w:rPr>
        <w:t xml:space="preserve"> are available for investigating or prosecuting </w:t>
      </w:r>
      <w:r w:rsidR="008A60B6" w:rsidRPr="00A10386">
        <w:rPr>
          <w:noProof/>
        </w:rPr>
        <w:t>criminal</w:t>
      </w:r>
      <w:r w:rsidR="00D62E92" w:rsidRPr="00A10386">
        <w:rPr>
          <w:noProof/>
        </w:rPr>
        <w:t xml:space="preserve"> offences referred to in Articles 3, 4 and 5. Where appropriate, these tools shall include special investigative tools, such as those which are used in countering organised crime or other serious crime cases</w:t>
      </w:r>
      <w:r w:rsidRPr="00A10386">
        <w:rPr>
          <w:noProof/>
        </w:rPr>
        <w:t>.</w:t>
      </w:r>
    </w:p>
    <w:p w14:paraId="732B696B" w14:textId="77777777" w:rsidR="00D357BF" w:rsidRPr="00A10386" w:rsidRDefault="38BB8A6A" w:rsidP="002D3FA5">
      <w:pPr>
        <w:pStyle w:val="Titrearticle"/>
        <w:keepLines/>
        <w:rPr>
          <w:noProof/>
        </w:rPr>
      </w:pPr>
      <w:r w:rsidRPr="00A10386">
        <w:rPr>
          <w:noProof/>
        </w:rPr>
        <w:t>Article 1</w:t>
      </w:r>
      <w:r w:rsidR="5A021D4D" w:rsidRPr="00A10386">
        <w:rPr>
          <w:noProof/>
        </w:rPr>
        <w:t>7</w:t>
      </w:r>
    </w:p>
    <w:p w14:paraId="63781798" w14:textId="77777777" w:rsidR="00D357BF" w:rsidRPr="00A10386" w:rsidRDefault="00D357BF" w:rsidP="00D357BF">
      <w:pPr>
        <w:pStyle w:val="Titrearticle"/>
        <w:spacing w:before="120"/>
        <w:rPr>
          <w:noProof/>
        </w:rPr>
      </w:pPr>
      <w:r w:rsidRPr="00A10386">
        <w:rPr>
          <w:noProof/>
        </w:rPr>
        <w:t>Data collection and statistics</w:t>
      </w:r>
    </w:p>
    <w:p w14:paraId="112E0773" w14:textId="0FDA3C54" w:rsidR="00D357BF" w:rsidRPr="00A10386" w:rsidRDefault="00D357BF" w:rsidP="00D357BF">
      <w:pPr>
        <w:pStyle w:val="ManualNumPar1"/>
        <w:rPr>
          <w:noProof/>
        </w:rPr>
      </w:pPr>
      <w:r w:rsidRPr="00A10386">
        <w:rPr>
          <w:noProof/>
        </w:rPr>
        <w:t>1.</w:t>
      </w:r>
      <w:r w:rsidRPr="00A10386">
        <w:rPr>
          <w:noProof/>
        </w:rPr>
        <w:tab/>
        <w:t xml:space="preserve">Member States shall collect statistical data disaggregated by the type of </w:t>
      </w:r>
      <w:r w:rsidR="009C7940" w:rsidRPr="00A10386">
        <w:rPr>
          <w:noProof/>
        </w:rPr>
        <w:t xml:space="preserve">criminal </w:t>
      </w:r>
      <w:r w:rsidRPr="00A10386">
        <w:rPr>
          <w:noProof/>
        </w:rPr>
        <w:t xml:space="preserve">offence referred to in </w:t>
      </w:r>
      <w:r w:rsidR="00DF781F" w:rsidRPr="00A10386">
        <w:rPr>
          <w:noProof/>
        </w:rPr>
        <w:t>Articles 3, 4 and 5</w:t>
      </w:r>
      <w:r w:rsidRPr="00A10386">
        <w:rPr>
          <w:noProof/>
        </w:rPr>
        <w:t>.</w:t>
      </w:r>
    </w:p>
    <w:p w14:paraId="3921A5E0" w14:textId="77777777" w:rsidR="00C31B14" w:rsidRPr="00A10386" w:rsidRDefault="00D357BF" w:rsidP="00C31B14">
      <w:pPr>
        <w:pStyle w:val="ManualNumPar1"/>
        <w:rPr>
          <w:noProof/>
        </w:rPr>
      </w:pPr>
      <w:r w:rsidRPr="00A10386">
        <w:rPr>
          <w:noProof/>
        </w:rPr>
        <w:t xml:space="preserve">2. </w:t>
      </w:r>
      <w:r w:rsidRPr="00A10386">
        <w:rPr>
          <w:noProof/>
        </w:rPr>
        <w:tab/>
        <w:t>The statistical data referred to in paragraph 1 shall include, at least, the following:</w:t>
      </w:r>
    </w:p>
    <w:p w14:paraId="1A066709" w14:textId="584062F8" w:rsidR="6AD52BA6" w:rsidRPr="00A10386" w:rsidRDefault="7032AFC0" w:rsidP="00862328">
      <w:pPr>
        <w:pStyle w:val="ManualNumPar1"/>
        <w:ind w:firstLine="0"/>
        <w:rPr>
          <w:noProof/>
        </w:rPr>
      </w:pPr>
      <w:r w:rsidRPr="00A10386">
        <w:rPr>
          <w:noProof/>
        </w:rPr>
        <w:t xml:space="preserve">(a) the number of third-country nationals who were subject to the </w:t>
      </w:r>
      <w:r w:rsidR="21A3DDB2" w:rsidRPr="00A10386">
        <w:rPr>
          <w:noProof/>
        </w:rPr>
        <w:t>criminal</w:t>
      </w:r>
      <w:r w:rsidRPr="00A10386">
        <w:rPr>
          <w:noProof/>
        </w:rPr>
        <w:t xml:space="preserve"> offence, disaggregated by citizenship</w:t>
      </w:r>
      <w:r w:rsidR="5E9D087B" w:rsidRPr="00A10386">
        <w:rPr>
          <w:noProof/>
        </w:rPr>
        <w:t>, sex and age (child/adult)</w:t>
      </w:r>
      <w:r w:rsidRPr="00A10386">
        <w:rPr>
          <w:noProof/>
        </w:rPr>
        <w:t>;</w:t>
      </w:r>
    </w:p>
    <w:p w14:paraId="02AB7EB8" w14:textId="77777777" w:rsidR="00D357BF" w:rsidRPr="00A10386" w:rsidRDefault="00D357BF" w:rsidP="006D4BD8">
      <w:pPr>
        <w:pStyle w:val="ManualNumPar1"/>
        <w:ind w:firstLine="0"/>
        <w:rPr>
          <w:noProof/>
        </w:rPr>
      </w:pPr>
      <w:r w:rsidRPr="00A10386">
        <w:rPr>
          <w:noProof/>
        </w:rPr>
        <w:t>(</w:t>
      </w:r>
      <w:r w:rsidR="00D62E92" w:rsidRPr="00A10386">
        <w:rPr>
          <w:noProof/>
        </w:rPr>
        <w:t>b</w:t>
      </w:r>
      <w:r w:rsidRPr="00A10386">
        <w:rPr>
          <w:noProof/>
        </w:rPr>
        <w:t>) the average length of the criminal investigation of cases;</w:t>
      </w:r>
    </w:p>
    <w:p w14:paraId="6BC2C6EE" w14:textId="77777777" w:rsidR="00C31B14" w:rsidRPr="00A10386" w:rsidRDefault="00D357BF" w:rsidP="00C31B14">
      <w:pPr>
        <w:pStyle w:val="ManualNumPar1"/>
        <w:ind w:firstLine="0"/>
        <w:rPr>
          <w:noProof/>
        </w:rPr>
      </w:pPr>
      <w:r w:rsidRPr="00A10386">
        <w:rPr>
          <w:noProof/>
        </w:rPr>
        <w:t>(</w:t>
      </w:r>
      <w:r w:rsidR="00D62E92" w:rsidRPr="00A10386">
        <w:rPr>
          <w:noProof/>
        </w:rPr>
        <w:t>c</w:t>
      </w:r>
      <w:r w:rsidRPr="00A10386">
        <w:rPr>
          <w:noProof/>
        </w:rPr>
        <w:t>) the number of natural persons prosecuted for criminal offences referred to in this Directive, disaggregated by sex and citizenship;</w:t>
      </w:r>
    </w:p>
    <w:p w14:paraId="27F30CAD" w14:textId="749DFB68" w:rsidR="00BE6599" w:rsidRPr="00A10386" w:rsidRDefault="00BE6599" w:rsidP="00862328">
      <w:pPr>
        <w:pStyle w:val="ManualNumPar1"/>
        <w:ind w:firstLine="0"/>
        <w:rPr>
          <w:noProof/>
        </w:rPr>
      </w:pPr>
      <w:r w:rsidRPr="00A10386">
        <w:rPr>
          <w:noProof/>
        </w:rPr>
        <w:t>(</w:t>
      </w:r>
      <w:r w:rsidR="00D62E92" w:rsidRPr="00A10386">
        <w:rPr>
          <w:noProof/>
        </w:rPr>
        <w:t>d</w:t>
      </w:r>
      <w:r w:rsidRPr="00A10386">
        <w:rPr>
          <w:noProof/>
        </w:rPr>
        <w:t>) the number of legal persons prosecuted for criminal offences referred to in this Directive, disaggregated by place of establishment;</w:t>
      </w:r>
    </w:p>
    <w:p w14:paraId="323A042F" w14:textId="77777777" w:rsidR="00D357BF" w:rsidRPr="00A10386" w:rsidRDefault="38BB8A6A" w:rsidP="00D357BF">
      <w:pPr>
        <w:pStyle w:val="ManualNumPar1"/>
        <w:ind w:firstLine="0"/>
        <w:rPr>
          <w:noProof/>
        </w:rPr>
      </w:pPr>
      <w:r w:rsidRPr="00A10386">
        <w:rPr>
          <w:noProof/>
        </w:rPr>
        <w:t>(</w:t>
      </w:r>
      <w:r w:rsidR="00D62E92" w:rsidRPr="00A10386">
        <w:rPr>
          <w:noProof/>
        </w:rPr>
        <w:t>e</w:t>
      </w:r>
      <w:r w:rsidRPr="00A10386">
        <w:rPr>
          <w:noProof/>
        </w:rPr>
        <w:t xml:space="preserve">) the number of </w:t>
      </w:r>
      <w:r w:rsidR="181AEA46" w:rsidRPr="00A10386">
        <w:rPr>
          <w:noProof/>
        </w:rPr>
        <w:t>decisions of the prosecution services, disaggregated by type of decision (to prosecute or not to prosecute)</w:t>
      </w:r>
      <w:r w:rsidRPr="00A10386">
        <w:rPr>
          <w:noProof/>
        </w:rPr>
        <w:t>;</w:t>
      </w:r>
    </w:p>
    <w:p w14:paraId="76BF4444" w14:textId="77777777" w:rsidR="00D357BF" w:rsidRPr="00A10386" w:rsidRDefault="00D357BF" w:rsidP="006D4BD8">
      <w:pPr>
        <w:pStyle w:val="ManualNumPar1"/>
        <w:ind w:firstLine="0"/>
        <w:rPr>
          <w:noProof/>
        </w:rPr>
      </w:pPr>
      <w:r w:rsidRPr="00A10386">
        <w:rPr>
          <w:noProof/>
        </w:rPr>
        <w:t>(</w:t>
      </w:r>
      <w:r w:rsidR="00D62E92" w:rsidRPr="00A10386">
        <w:rPr>
          <w:noProof/>
        </w:rPr>
        <w:t>f</w:t>
      </w:r>
      <w:r w:rsidRPr="00A10386">
        <w:rPr>
          <w:noProof/>
        </w:rPr>
        <w:t xml:space="preserve">) the number of </w:t>
      </w:r>
      <w:r w:rsidR="58D7E86F" w:rsidRPr="00A10386">
        <w:rPr>
          <w:noProof/>
        </w:rPr>
        <w:t>final court decisions, disaggregated by type of decision (</w:t>
      </w:r>
      <w:r w:rsidRPr="00A10386">
        <w:rPr>
          <w:noProof/>
        </w:rPr>
        <w:t>conviction</w:t>
      </w:r>
      <w:r w:rsidR="12EA47BB" w:rsidRPr="00A10386">
        <w:rPr>
          <w:noProof/>
        </w:rPr>
        <w:t>, acquittal, dismissal on the substance or not, and including non-trial resolutions)</w:t>
      </w:r>
      <w:r w:rsidRPr="00A10386">
        <w:rPr>
          <w:noProof/>
        </w:rPr>
        <w:t>;</w:t>
      </w:r>
    </w:p>
    <w:p w14:paraId="22AAEE50" w14:textId="77777777" w:rsidR="00D357BF" w:rsidRPr="00A10386" w:rsidRDefault="00D357BF" w:rsidP="00D357BF">
      <w:pPr>
        <w:pStyle w:val="ManualNumPar1"/>
        <w:ind w:firstLine="0"/>
        <w:rPr>
          <w:noProof/>
        </w:rPr>
      </w:pPr>
      <w:r w:rsidRPr="00A10386">
        <w:rPr>
          <w:noProof/>
        </w:rPr>
        <w:t>(</w:t>
      </w:r>
      <w:r w:rsidR="00D62E92" w:rsidRPr="00A10386">
        <w:rPr>
          <w:noProof/>
        </w:rPr>
        <w:t>g</w:t>
      </w:r>
      <w:r w:rsidRPr="00A10386">
        <w:rPr>
          <w:noProof/>
        </w:rPr>
        <w:t>) the number of natural persons convicted of criminal offences referred to in this Directive, disaggregated by sex and citizenship;</w:t>
      </w:r>
    </w:p>
    <w:p w14:paraId="128529D7" w14:textId="77777777" w:rsidR="00D357BF" w:rsidRPr="00A10386" w:rsidRDefault="00D357BF" w:rsidP="00D357BF">
      <w:pPr>
        <w:pStyle w:val="ManualNumPar1"/>
        <w:ind w:firstLine="0"/>
        <w:rPr>
          <w:noProof/>
        </w:rPr>
      </w:pPr>
      <w:r w:rsidRPr="00A10386">
        <w:rPr>
          <w:noProof/>
        </w:rPr>
        <w:t>(</w:t>
      </w:r>
      <w:r w:rsidR="00D62E92" w:rsidRPr="00A10386">
        <w:rPr>
          <w:noProof/>
        </w:rPr>
        <w:t>h</w:t>
      </w:r>
      <w:r w:rsidRPr="00A10386">
        <w:rPr>
          <w:noProof/>
        </w:rPr>
        <w:t>) the number of natural persons subjected to penalties</w:t>
      </w:r>
      <w:r w:rsidR="00BE6599" w:rsidRPr="00A10386">
        <w:rPr>
          <w:noProof/>
        </w:rPr>
        <w:t xml:space="preserve"> </w:t>
      </w:r>
      <w:r w:rsidRPr="00A10386">
        <w:rPr>
          <w:noProof/>
        </w:rPr>
        <w:t>disaggregated by</w:t>
      </w:r>
      <w:r w:rsidR="1E262FD8" w:rsidRPr="00A10386">
        <w:rPr>
          <w:noProof/>
        </w:rPr>
        <w:t xml:space="preserve"> the type </w:t>
      </w:r>
      <w:r w:rsidR="00180B7B" w:rsidRPr="00A10386">
        <w:rPr>
          <w:noProof/>
        </w:rPr>
        <w:t xml:space="preserve">and level </w:t>
      </w:r>
      <w:r w:rsidR="1E262FD8" w:rsidRPr="00A10386">
        <w:rPr>
          <w:noProof/>
        </w:rPr>
        <w:t>of penalty (imprisonment, fines, others)</w:t>
      </w:r>
      <w:r w:rsidRPr="00A10386">
        <w:rPr>
          <w:noProof/>
        </w:rPr>
        <w:t xml:space="preserve"> sex and citizenship;</w:t>
      </w:r>
    </w:p>
    <w:p w14:paraId="5AC0F38C" w14:textId="77777777" w:rsidR="00C31B14" w:rsidRPr="00A10386" w:rsidRDefault="00D357BF" w:rsidP="00C31B14">
      <w:pPr>
        <w:pStyle w:val="ManualNumPar1"/>
        <w:ind w:firstLine="0"/>
        <w:rPr>
          <w:noProof/>
        </w:rPr>
      </w:pPr>
      <w:r w:rsidRPr="00A10386">
        <w:rPr>
          <w:noProof/>
        </w:rPr>
        <w:t>(</w:t>
      </w:r>
      <w:r w:rsidR="00D62E92" w:rsidRPr="00A10386">
        <w:rPr>
          <w:noProof/>
        </w:rPr>
        <w:t>i</w:t>
      </w:r>
      <w:r w:rsidRPr="00A10386">
        <w:rPr>
          <w:noProof/>
        </w:rPr>
        <w:t>) the number of legal persons convicted for criminal offences referred to in this Directive and sanctioned;</w:t>
      </w:r>
    </w:p>
    <w:p w14:paraId="14E3E46B" w14:textId="580BE0EE" w:rsidR="00D357BF" w:rsidRPr="00A10386" w:rsidRDefault="00AC21C7" w:rsidP="00862328">
      <w:pPr>
        <w:pStyle w:val="ManualNumPar1"/>
        <w:ind w:firstLine="0"/>
        <w:rPr>
          <w:noProof/>
        </w:rPr>
      </w:pPr>
      <w:r w:rsidRPr="00A10386">
        <w:rPr>
          <w:noProof/>
        </w:rPr>
        <w:t>(</w:t>
      </w:r>
      <w:r w:rsidR="00D62E92" w:rsidRPr="00A10386">
        <w:rPr>
          <w:noProof/>
        </w:rPr>
        <w:t>j</w:t>
      </w:r>
      <w:r w:rsidRPr="00A10386">
        <w:rPr>
          <w:noProof/>
        </w:rPr>
        <w:t>) the number of legal persons sanctioned disaggregated by place of establishment</w:t>
      </w:r>
      <w:r w:rsidR="00180B7B" w:rsidRPr="00A10386">
        <w:rPr>
          <w:noProof/>
        </w:rPr>
        <w:t xml:space="preserve"> and type of sanction (fines, others)</w:t>
      </w:r>
      <w:r w:rsidRPr="00A10386">
        <w:rPr>
          <w:noProof/>
        </w:rPr>
        <w:t>;</w:t>
      </w:r>
    </w:p>
    <w:p w14:paraId="05BE9539" w14:textId="77777777" w:rsidR="00D357BF" w:rsidRPr="00A10386" w:rsidRDefault="00D357BF" w:rsidP="00D357BF">
      <w:pPr>
        <w:pStyle w:val="ManualNumPar1"/>
        <w:ind w:firstLine="0"/>
        <w:rPr>
          <w:noProof/>
        </w:rPr>
      </w:pPr>
      <w:r w:rsidRPr="00A10386">
        <w:rPr>
          <w:noProof/>
        </w:rPr>
        <w:t>(</w:t>
      </w:r>
      <w:r w:rsidR="00D62E92" w:rsidRPr="00A10386">
        <w:rPr>
          <w:noProof/>
        </w:rPr>
        <w:t>k</w:t>
      </w:r>
      <w:r w:rsidRPr="00A10386">
        <w:rPr>
          <w:noProof/>
        </w:rPr>
        <w:t>) the average length of courts proceedings of cases in first instance, second instance and cassation.</w:t>
      </w:r>
    </w:p>
    <w:p w14:paraId="7B6F4F98" w14:textId="77777777" w:rsidR="00D357BF" w:rsidRPr="00A10386" w:rsidRDefault="00D357BF" w:rsidP="00D357BF">
      <w:pPr>
        <w:pStyle w:val="ManualNumPar1"/>
        <w:rPr>
          <w:noProof/>
        </w:rPr>
      </w:pPr>
      <w:r w:rsidRPr="00A10386">
        <w:rPr>
          <w:noProof/>
        </w:rPr>
        <w:t>3.</w:t>
      </w:r>
      <w:r w:rsidRPr="00A10386">
        <w:rPr>
          <w:noProof/>
        </w:rPr>
        <w:tab/>
        <w:t>Member States shall, on an annual basis and by 1 J</w:t>
      </w:r>
      <w:r w:rsidR="00F20F13" w:rsidRPr="00A10386">
        <w:rPr>
          <w:noProof/>
        </w:rPr>
        <w:t>uly</w:t>
      </w:r>
      <w:r w:rsidR="006F6B45" w:rsidRPr="00A10386">
        <w:rPr>
          <w:noProof/>
        </w:rPr>
        <w:t xml:space="preserve"> each year</w:t>
      </w:r>
      <w:r w:rsidRPr="00A10386">
        <w:rPr>
          <w:noProof/>
        </w:rPr>
        <w:t xml:space="preserve">, publish, in a machine-readable and disaggregated format, the statistical data referred to in paragraph 2 for the previous year and </w:t>
      </w:r>
      <w:r w:rsidR="00F909DF" w:rsidRPr="00A10386">
        <w:rPr>
          <w:noProof/>
        </w:rPr>
        <w:t xml:space="preserve">transmit it to </w:t>
      </w:r>
      <w:r w:rsidRPr="00A10386">
        <w:rPr>
          <w:noProof/>
        </w:rPr>
        <w:t>the Commission.</w:t>
      </w:r>
    </w:p>
    <w:p w14:paraId="784D7AA5" w14:textId="77777777" w:rsidR="00D357BF" w:rsidRPr="00A10386" w:rsidRDefault="38BB8A6A" w:rsidP="00D357BF">
      <w:pPr>
        <w:pStyle w:val="Titrearticle"/>
        <w:rPr>
          <w:noProof/>
        </w:rPr>
      </w:pPr>
      <w:r w:rsidRPr="00A10386">
        <w:rPr>
          <w:noProof/>
        </w:rPr>
        <w:t xml:space="preserve">Article </w:t>
      </w:r>
      <w:r w:rsidR="5C8EEE40" w:rsidRPr="00A10386">
        <w:rPr>
          <w:noProof/>
        </w:rPr>
        <w:t>1</w:t>
      </w:r>
      <w:r w:rsidR="36755824" w:rsidRPr="00A10386">
        <w:rPr>
          <w:noProof/>
        </w:rPr>
        <w:t>8</w:t>
      </w:r>
    </w:p>
    <w:p w14:paraId="4F66F2AB" w14:textId="77777777" w:rsidR="00D357BF" w:rsidRPr="00A10386" w:rsidRDefault="00D357BF" w:rsidP="00D357BF">
      <w:pPr>
        <w:pStyle w:val="Titrearticle"/>
        <w:spacing w:before="120"/>
        <w:rPr>
          <w:noProof/>
        </w:rPr>
      </w:pPr>
      <w:r w:rsidRPr="00A10386">
        <w:rPr>
          <w:noProof/>
        </w:rPr>
        <w:t xml:space="preserve">Replacement of Directive 2002/90/EC and Framework Decision 2002/946/JHA </w:t>
      </w:r>
    </w:p>
    <w:p w14:paraId="3B786529" w14:textId="77777777" w:rsidR="00D357BF" w:rsidRPr="00A10386" w:rsidRDefault="00D357BF" w:rsidP="00D357BF">
      <w:pPr>
        <w:pStyle w:val="ManualNumPar1"/>
        <w:rPr>
          <w:noProof/>
        </w:rPr>
      </w:pPr>
      <w:r w:rsidRPr="00A10386">
        <w:rPr>
          <w:noProof/>
        </w:rPr>
        <w:t>1.</w:t>
      </w:r>
      <w:r w:rsidRPr="00A10386">
        <w:rPr>
          <w:noProof/>
        </w:rPr>
        <w:tab/>
        <w:t xml:space="preserve">Directive 2002/90/EC and Framework Decision 2002/946 JHA </w:t>
      </w:r>
      <w:r w:rsidR="00457143" w:rsidRPr="00A10386">
        <w:rPr>
          <w:noProof/>
        </w:rPr>
        <w:t>a</w:t>
      </w:r>
      <w:r w:rsidRPr="00A10386">
        <w:rPr>
          <w:noProof/>
        </w:rPr>
        <w:t>re replaced with regard to the Member States bound by this Directive, without prejudice to the obligations of those Member States with regard to the date for transposition of those instruments into national law.</w:t>
      </w:r>
    </w:p>
    <w:p w14:paraId="14CDA3F9" w14:textId="77777777" w:rsidR="00D357BF" w:rsidRPr="00A10386" w:rsidRDefault="00D357BF" w:rsidP="00D357BF">
      <w:pPr>
        <w:pStyle w:val="ManualNumPar1"/>
        <w:rPr>
          <w:noProof/>
        </w:rPr>
      </w:pPr>
      <w:r w:rsidRPr="00A10386">
        <w:rPr>
          <w:noProof/>
        </w:rPr>
        <w:t xml:space="preserve">2. </w:t>
      </w:r>
      <w:r w:rsidRPr="00A10386">
        <w:rPr>
          <w:noProof/>
        </w:rPr>
        <w:tab/>
        <w:t xml:space="preserve">With regard to the Member States bound by this Directive, references to </w:t>
      </w:r>
      <w:r w:rsidR="00457143" w:rsidRPr="00A10386">
        <w:rPr>
          <w:noProof/>
        </w:rPr>
        <w:t>Directive 2002/90/EC and Framework Decision 2002/946 JHA</w:t>
      </w:r>
      <w:r w:rsidRPr="00A10386">
        <w:rPr>
          <w:noProof/>
        </w:rPr>
        <w:t xml:space="preserve"> shall be construed as references to this Directive.</w:t>
      </w:r>
    </w:p>
    <w:p w14:paraId="30184546" w14:textId="77777777" w:rsidR="00D357BF" w:rsidRPr="00A10386" w:rsidRDefault="38BB8A6A" w:rsidP="00D357BF">
      <w:pPr>
        <w:pStyle w:val="Titrearticle"/>
        <w:rPr>
          <w:noProof/>
        </w:rPr>
      </w:pPr>
      <w:r w:rsidRPr="00A10386">
        <w:rPr>
          <w:noProof/>
        </w:rPr>
        <w:t xml:space="preserve">Article </w:t>
      </w:r>
      <w:r w:rsidR="2330BADE" w:rsidRPr="00A10386">
        <w:rPr>
          <w:noProof/>
        </w:rPr>
        <w:t>19</w:t>
      </w:r>
    </w:p>
    <w:p w14:paraId="2E2662A7" w14:textId="77777777" w:rsidR="00D357BF" w:rsidRPr="00A10386" w:rsidRDefault="00D357BF" w:rsidP="00D357BF">
      <w:pPr>
        <w:pStyle w:val="Titrearticle"/>
        <w:spacing w:before="120"/>
        <w:rPr>
          <w:noProof/>
        </w:rPr>
      </w:pPr>
      <w:r w:rsidRPr="00A10386">
        <w:rPr>
          <w:noProof/>
        </w:rPr>
        <w:t>Transposition</w:t>
      </w:r>
    </w:p>
    <w:p w14:paraId="11A35A71" w14:textId="77777777" w:rsidR="00D357BF" w:rsidRPr="00A10386" w:rsidRDefault="00D357BF" w:rsidP="00D357BF">
      <w:pPr>
        <w:pStyle w:val="ManualNumPar1"/>
        <w:rPr>
          <w:noProof/>
        </w:rPr>
      </w:pPr>
      <w:r w:rsidRPr="00A10386">
        <w:rPr>
          <w:noProof/>
        </w:rPr>
        <w:t>1.</w:t>
      </w:r>
      <w:r w:rsidRPr="00A10386">
        <w:rPr>
          <w:noProof/>
        </w:rPr>
        <w:tab/>
        <w:t xml:space="preserve">Member States shall bring into force the laws, regulations and administrative provisions necessary to comply with this Directive by </w:t>
      </w:r>
      <w:r w:rsidR="009B778F" w:rsidRPr="00A10386">
        <w:rPr>
          <w:noProof/>
        </w:rPr>
        <w:t>[</w:t>
      </w:r>
      <w:r w:rsidRPr="00A10386">
        <w:rPr>
          <w:i/>
          <w:noProof/>
        </w:rPr>
        <w:t>one year after the entry into force</w:t>
      </w:r>
      <w:r w:rsidR="009B778F" w:rsidRPr="00A10386">
        <w:rPr>
          <w:i/>
          <w:noProof/>
        </w:rPr>
        <w:t xml:space="preserve"> </w:t>
      </w:r>
      <w:r w:rsidR="009B778F" w:rsidRPr="00A10386">
        <w:rPr>
          <w:i/>
          <w:iCs/>
          <w:noProof/>
        </w:rPr>
        <w:t>of this Directive</w:t>
      </w:r>
      <w:r w:rsidR="009B778F" w:rsidRPr="00A10386">
        <w:rPr>
          <w:noProof/>
        </w:rPr>
        <w:t>]</w:t>
      </w:r>
      <w:r w:rsidRPr="00A10386">
        <w:rPr>
          <w:noProof/>
        </w:rPr>
        <w:t xml:space="preserve"> at the latest. They shall forthwith communicate to the Commission the text of those provisions.</w:t>
      </w:r>
    </w:p>
    <w:p w14:paraId="42D15640" w14:textId="77777777" w:rsidR="00D357BF" w:rsidRPr="00A10386" w:rsidRDefault="00D357BF" w:rsidP="00D357BF">
      <w:pPr>
        <w:pStyle w:val="ManualNumPar1"/>
        <w:rPr>
          <w:noProof/>
        </w:rPr>
      </w:pPr>
      <w:r w:rsidRPr="00A10386">
        <w:rPr>
          <w:noProof/>
        </w:rPr>
        <w:t xml:space="preserve">2. </w:t>
      </w:r>
      <w:r w:rsidRPr="00A10386">
        <w:rPr>
          <w:noProof/>
        </w:rPr>
        <w:tab/>
        <w:t>When Member States adopt those provisions, they shall contain a reference to this Directive or be accompanied by such a reference on the occasion of their official publication. Member States shall determine how such reference is to be made.</w:t>
      </w:r>
    </w:p>
    <w:p w14:paraId="73E6ADBD" w14:textId="77777777" w:rsidR="00D357BF" w:rsidRPr="00A10386" w:rsidRDefault="00D357BF" w:rsidP="00D357BF">
      <w:pPr>
        <w:pStyle w:val="ManualNumPar1"/>
        <w:rPr>
          <w:noProof/>
        </w:rPr>
      </w:pPr>
      <w:r w:rsidRPr="00A10386">
        <w:rPr>
          <w:noProof/>
        </w:rPr>
        <w:t>3.</w:t>
      </w:r>
      <w:r w:rsidRPr="00A10386">
        <w:rPr>
          <w:noProof/>
        </w:rPr>
        <w:tab/>
        <w:t>Member States shall communicate to the Commission the text of the main provisions of national law which they adopt in the field covered by this Directive.</w:t>
      </w:r>
    </w:p>
    <w:p w14:paraId="73A4195A" w14:textId="77777777" w:rsidR="00D357BF" w:rsidRPr="00A10386" w:rsidRDefault="38BB8A6A" w:rsidP="00D357BF">
      <w:pPr>
        <w:pStyle w:val="Titrearticle"/>
        <w:rPr>
          <w:noProof/>
        </w:rPr>
      </w:pPr>
      <w:r w:rsidRPr="00A10386">
        <w:rPr>
          <w:noProof/>
        </w:rPr>
        <w:t>Article 2</w:t>
      </w:r>
      <w:r w:rsidR="0B628A26" w:rsidRPr="00A10386">
        <w:rPr>
          <w:noProof/>
        </w:rPr>
        <w:t>0</w:t>
      </w:r>
    </w:p>
    <w:p w14:paraId="796D8EE6" w14:textId="77777777" w:rsidR="00D357BF" w:rsidRPr="00A10386" w:rsidRDefault="00D357BF" w:rsidP="00D357BF">
      <w:pPr>
        <w:pStyle w:val="Titrearticle"/>
        <w:spacing w:before="120"/>
        <w:rPr>
          <w:noProof/>
        </w:rPr>
      </w:pPr>
      <w:r w:rsidRPr="00A10386">
        <w:rPr>
          <w:noProof/>
        </w:rPr>
        <w:t>Entry into force</w:t>
      </w:r>
    </w:p>
    <w:p w14:paraId="7B0FFB79" w14:textId="77777777" w:rsidR="00D357BF" w:rsidRPr="00A10386" w:rsidRDefault="00D357BF" w:rsidP="00D357BF">
      <w:pPr>
        <w:pStyle w:val="ManualNumPar1"/>
        <w:ind w:left="0" w:firstLine="0"/>
        <w:rPr>
          <w:noProof/>
        </w:rPr>
      </w:pPr>
      <w:r w:rsidRPr="00A10386">
        <w:rPr>
          <w:noProof/>
        </w:rPr>
        <w:t xml:space="preserve">This Directive shall enter into force on the twentieth day following that of its publication in the </w:t>
      </w:r>
      <w:r w:rsidRPr="00A10386">
        <w:rPr>
          <w:i/>
          <w:noProof/>
        </w:rPr>
        <w:t>Official Journal of the European Union</w:t>
      </w:r>
      <w:r w:rsidRPr="00A10386">
        <w:rPr>
          <w:noProof/>
        </w:rPr>
        <w:t>.</w:t>
      </w:r>
    </w:p>
    <w:p w14:paraId="2F2F3CC8" w14:textId="77777777" w:rsidR="00D357BF" w:rsidRPr="00A10386" w:rsidRDefault="38BB8A6A" w:rsidP="00D357BF">
      <w:pPr>
        <w:pStyle w:val="Titrearticle"/>
        <w:rPr>
          <w:noProof/>
        </w:rPr>
      </w:pPr>
      <w:r w:rsidRPr="00A10386">
        <w:rPr>
          <w:noProof/>
        </w:rPr>
        <w:t>Article 2</w:t>
      </w:r>
      <w:r w:rsidR="025C15E9" w:rsidRPr="00A10386">
        <w:rPr>
          <w:noProof/>
        </w:rPr>
        <w:t>1</w:t>
      </w:r>
    </w:p>
    <w:p w14:paraId="423B86D1" w14:textId="77777777" w:rsidR="00D357BF" w:rsidRPr="00A10386" w:rsidRDefault="00D357BF" w:rsidP="00015BB8">
      <w:pPr>
        <w:pStyle w:val="Titrearticle"/>
        <w:spacing w:before="120"/>
        <w:rPr>
          <w:noProof/>
        </w:rPr>
      </w:pPr>
      <w:r w:rsidRPr="00A10386">
        <w:rPr>
          <w:noProof/>
        </w:rPr>
        <w:t>Addressees</w:t>
      </w:r>
    </w:p>
    <w:p w14:paraId="00AFE8AE" w14:textId="77777777" w:rsidR="00D357BF" w:rsidRPr="00A10386" w:rsidRDefault="00D357BF" w:rsidP="00D357BF">
      <w:pPr>
        <w:pStyle w:val="ManualNumPar1"/>
        <w:rPr>
          <w:noProof/>
        </w:rPr>
      </w:pPr>
      <w:r w:rsidRPr="00A10386">
        <w:rPr>
          <w:noProof/>
        </w:rPr>
        <w:t>This Directive is addressed to the Member States in accordance with the Treaties.</w:t>
      </w:r>
    </w:p>
    <w:p w14:paraId="777E0C23" w14:textId="14BE7C74" w:rsidR="0066307E" w:rsidRPr="00A10386" w:rsidRDefault="000508E6" w:rsidP="00015BB8">
      <w:pPr>
        <w:pStyle w:val="Fait"/>
        <w:rPr>
          <w:noProof/>
        </w:rPr>
      </w:pPr>
      <w:r w:rsidRPr="000508E6">
        <w:t>Done at Brussels,</w:t>
      </w:r>
    </w:p>
    <w:p w14:paraId="39A48C02" w14:textId="77777777" w:rsidR="0066307E" w:rsidRPr="00A10386" w:rsidRDefault="0066307E" w:rsidP="00015BB8">
      <w:pPr>
        <w:pStyle w:val="Institutionquisigne"/>
        <w:rPr>
          <w:noProof/>
        </w:rPr>
      </w:pPr>
      <w:r w:rsidRPr="00A10386">
        <w:rPr>
          <w:noProof/>
        </w:rPr>
        <w:t>For the European Parliament</w:t>
      </w:r>
      <w:r w:rsidRPr="00A10386">
        <w:rPr>
          <w:noProof/>
        </w:rPr>
        <w:tab/>
        <w:t>For the Council</w:t>
      </w:r>
    </w:p>
    <w:p w14:paraId="789C0051" w14:textId="77777777" w:rsidR="0066307E" w:rsidRPr="00120ACB" w:rsidRDefault="0066307E" w:rsidP="0066307E">
      <w:pPr>
        <w:pStyle w:val="Personnequisigne"/>
        <w:rPr>
          <w:noProof/>
        </w:rPr>
      </w:pPr>
      <w:r w:rsidRPr="00A10386">
        <w:rPr>
          <w:noProof/>
        </w:rPr>
        <w:t>The President</w:t>
      </w:r>
      <w:r w:rsidRPr="00A10386">
        <w:rPr>
          <w:noProof/>
        </w:rPr>
        <w:tab/>
        <w:t>The President</w:t>
      </w:r>
    </w:p>
    <w:sectPr w:rsidR="0066307E" w:rsidRPr="00120ACB" w:rsidSect="00297CFA">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A90E" w14:textId="77777777" w:rsidR="00963EF9" w:rsidRDefault="00963EF9" w:rsidP="0066307E">
      <w:pPr>
        <w:spacing w:before="0" w:after="0"/>
      </w:pPr>
      <w:r>
        <w:separator/>
      </w:r>
    </w:p>
  </w:endnote>
  <w:endnote w:type="continuationSeparator" w:id="0">
    <w:p w14:paraId="77427166" w14:textId="77777777" w:rsidR="00963EF9" w:rsidRDefault="00963EF9" w:rsidP="0066307E">
      <w:pPr>
        <w:spacing w:before="0" w:after="0"/>
      </w:pPr>
      <w:r>
        <w:continuationSeparator/>
      </w:r>
    </w:p>
  </w:endnote>
  <w:endnote w:type="continuationNotice" w:id="1">
    <w:p w14:paraId="23109EA9" w14:textId="77777777" w:rsidR="00963EF9" w:rsidRDefault="00963E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BCCDE" w14:textId="4D4B9A82" w:rsidR="00514421" w:rsidRPr="00297CFA" w:rsidRDefault="00297CFA" w:rsidP="00297CFA">
    <w:pPr>
      <w:pStyle w:val="Footer"/>
      <w:rPr>
        <w:rFonts w:ascii="Arial" w:hAnsi="Arial" w:cs="Arial"/>
        <w:b/>
        <w:sz w:val="48"/>
      </w:rPr>
    </w:pPr>
    <w:r w:rsidRPr="00297CFA">
      <w:rPr>
        <w:rFonts w:ascii="Arial" w:hAnsi="Arial" w:cs="Arial"/>
        <w:b/>
        <w:sz w:val="48"/>
      </w:rPr>
      <w:t>EN</w:t>
    </w:r>
    <w:r w:rsidRPr="00297CFA">
      <w:rPr>
        <w:rFonts w:ascii="Arial" w:hAnsi="Arial" w:cs="Arial"/>
        <w:b/>
        <w:sz w:val="48"/>
      </w:rPr>
      <w:tab/>
    </w:r>
    <w:r w:rsidRPr="00297CFA">
      <w:rPr>
        <w:rFonts w:ascii="Arial" w:hAnsi="Arial" w:cs="Arial"/>
        <w:b/>
        <w:sz w:val="48"/>
      </w:rPr>
      <w:tab/>
    </w:r>
    <w:r w:rsidRPr="00297CFA">
      <w:tab/>
    </w:r>
    <w:r w:rsidRPr="00297CF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81052" w14:textId="25D341B7" w:rsidR="00297CFA" w:rsidRPr="00297CFA" w:rsidRDefault="00297CFA" w:rsidP="00297CFA">
    <w:pPr>
      <w:pStyle w:val="Footer"/>
      <w:rPr>
        <w:rFonts w:ascii="Arial" w:hAnsi="Arial" w:cs="Arial"/>
        <w:b/>
        <w:sz w:val="48"/>
      </w:rPr>
    </w:pPr>
    <w:r w:rsidRPr="00297CFA">
      <w:rPr>
        <w:rFonts w:ascii="Arial" w:hAnsi="Arial" w:cs="Arial"/>
        <w:b/>
        <w:sz w:val="48"/>
      </w:rPr>
      <w:t>EN</w:t>
    </w:r>
    <w:r w:rsidRPr="00297CFA">
      <w:rPr>
        <w:rFonts w:ascii="Arial" w:hAnsi="Arial" w:cs="Arial"/>
        <w:b/>
        <w:sz w:val="48"/>
      </w:rPr>
      <w:tab/>
    </w:r>
    <w:r>
      <w:fldChar w:fldCharType="begin"/>
    </w:r>
    <w:r>
      <w:instrText xml:space="preserve"> PAGE  \* MERGEFORMAT </w:instrText>
    </w:r>
    <w:r>
      <w:fldChar w:fldCharType="separate"/>
    </w:r>
    <w:r w:rsidR="00015BB8">
      <w:rPr>
        <w:noProof/>
      </w:rPr>
      <w:t>31</w:t>
    </w:r>
    <w:r>
      <w:fldChar w:fldCharType="end"/>
    </w:r>
    <w:r>
      <w:tab/>
    </w:r>
    <w:r w:rsidRPr="00297CFA">
      <w:tab/>
    </w:r>
    <w:r w:rsidRPr="00297CF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6513" w14:textId="77777777" w:rsidR="00297CFA" w:rsidRPr="00297CFA" w:rsidRDefault="00297CFA" w:rsidP="0029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A0BB" w14:textId="77777777" w:rsidR="00963EF9" w:rsidRDefault="00963EF9" w:rsidP="0066307E">
      <w:pPr>
        <w:spacing w:before="0" w:after="0"/>
      </w:pPr>
      <w:r>
        <w:separator/>
      </w:r>
    </w:p>
  </w:footnote>
  <w:footnote w:type="continuationSeparator" w:id="0">
    <w:p w14:paraId="2498F5F5" w14:textId="77777777" w:rsidR="00963EF9" w:rsidRDefault="00963EF9" w:rsidP="0066307E">
      <w:pPr>
        <w:spacing w:before="0" w:after="0"/>
      </w:pPr>
      <w:r>
        <w:continuationSeparator/>
      </w:r>
    </w:p>
  </w:footnote>
  <w:footnote w:type="continuationNotice" w:id="1">
    <w:p w14:paraId="4AE124A4" w14:textId="77777777" w:rsidR="00963EF9" w:rsidRDefault="00963EF9">
      <w:pPr>
        <w:spacing w:before="0" w:after="0"/>
      </w:pPr>
    </w:p>
  </w:footnote>
  <w:footnote w:id="2">
    <w:p w14:paraId="587F88FF" w14:textId="77777777" w:rsidR="00771565" w:rsidRDefault="00771565" w:rsidP="00603CB4">
      <w:pPr>
        <w:pStyle w:val="FootnoteText"/>
      </w:pPr>
      <w:r w:rsidRPr="007E10BB">
        <w:rPr>
          <w:rStyle w:val="FootnoteReference"/>
        </w:rPr>
        <w:footnoteRef/>
      </w:r>
      <w:r>
        <w:tab/>
        <w:t>Frontex, Risk Analyses for 2023/2024.</w:t>
      </w:r>
    </w:p>
  </w:footnote>
  <w:footnote w:id="3">
    <w:p w14:paraId="2FB78238" w14:textId="77777777" w:rsidR="00771565" w:rsidRDefault="00771565" w:rsidP="00603CB4">
      <w:pPr>
        <w:pStyle w:val="FootnoteText"/>
      </w:pPr>
      <w:r w:rsidRPr="007E10BB">
        <w:rPr>
          <w:rStyle w:val="FootnoteReference"/>
        </w:rPr>
        <w:footnoteRef/>
      </w:r>
      <w:r>
        <w:tab/>
      </w:r>
      <w:r w:rsidRPr="00701E8A">
        <w:rPr>
          <w:rFonts w:eastAsia="Times New Roman"/>
        </w:rPr>
        <w:t>Frontex</w:t>
      </w:r>
      <w:r>
        <w:rPr>
          <w:rFonts w:eastAsia="Times New Roman"/>
        </w:rPr>
        <w:t>,</w:t>
      </w:r>
      <w:r w:rsidRPr="00701E8A">
        <w:rPr>
          <w:rFonts w:eastAsia="Times New Roman"/>
        </w:rPr>
        <w:t xml:space="preserve"> Risk analyses for 20</w:t>
      </w:r>
      <w:r>
        <w:rPr>
          <w:rFonts w:eastAsia="Times New Roman"/>
        </w:rPr>
        <w:t>2</w:t>
      </w:r>
      <w:r w:rsidRPr="00701E8A">
        <w:rPr>
          <w:rFonts w:eastAsia="Times New Roman"/>
        </w:rPr>
        <w:t>3/20</w:t>
      </w:r>
      <w:r>
        <w:rPr>
          <w:rFonts w:eastAsia="Times New Roman"/>
        </w:rPr>
        <w:t>2</w:t>
      </w:r>
      <w:r w:rsidRPr="00701E8A">
        <w:rPr>
          <w:rFonts w:eastAsia="Times New Roman"/>
        </w:rPr>
        <w:t>4</w:t>
      </w:r>
      <w:r>
        <w:rPr>
          <w:rFonts w:eastAsia="Times New Roman"/>
        </w:rPr>
        <w:t>.</w:t>
      </w:r>
    </w:p>
  </w:footnote>
  <w:footnote w:id="4">
    <w:p w14:paraId="2E0B612E" w14:textId="77777777" w:rsidR="00771565" w:rsidRDefault="00771565" w:rsidP="00603CB4">
      <w:pPr>
        <w:pStyle w:val="FootnoteText"/>
      </w:pPr>
      <w:r w:rsidRPr="007E10BB">
        <w:rPr>
          <w:rStyle w:val="FootnoteReference"/>
        </w:rPr>
        <w:footnoteRef/>
      </w:r>
      <w:r>
        <w:tab/>
        <w:t>Frontex, Risk Analysis for 2023/2024.</w:t>
      </w:r>
    </w:p>
  </w:footnote>
  <w:footnote w:id="5">
    <w:p w14:paraId="059BFC74" w14:textId="77777777" w:rsidR="00771565" w:rsidRDefault="00771565" w:rsidP="00826808">
      <w:pPr>
        <w:pStyle w:val="FootnoteText"/>
      </w:pPr>
      <w:r w:rsidRPr="007E10BB">
        <w:rPr>
          <w:rStyle w:val="FootnoteReference"/>
        </w:rPr>
        <w:footnoteRef/>
      </w:r>
      <w:r>
        <w:tab/>
        <w:t>Estimates by Europol.</w:t>
      </w:r>
    </w:p>
  </w:footnote>
  <w:footnote w:id="6">
    <w:p w14:paraId="4C30A058" w14:textId="77777777" w:rsidR="00771565" w:rsidRDefault="00771565" w:rsidP="00603CB4">
      <w:pPr>
        <w:pStyle w:val="FootnoteText"/>
      </w:pPr>
      <w:r w:rsidRPr="007E10BB">
        <w:rPr>
          <w:rStyle w:val="FootnoteReference"/>
        </w:rPr>
        <w:footnoteRef/>
      </w:r>
      <w:r>
        <w:tab/>
        <w:t>United Nations Office on Drugs and Crime, Global study on smuggling of migrants,</w:t>
      </w:r>
      <w:r w:rsidDel="00AB009B">
        <w:t xml:space="preserve"> </w:t>
      </w:r>
      <w:r>
        <w:t>2018.</w:t>
      </w:r>
    </w:p>
  </w:footnote>
  <w:footnote w:id="7">
    <w:p w14:paraId="00841E46" w14:textId="72C0D6C6" w:rsidR="00771565" w:rsidRDefault="00771565" w:rsidP="00603CB4">
      <w:pPr>
        <w:pStyle w:val="FootnoteText"/>
      </w:pPr>
      <w:r w:rsidRPr="007E10BB">
        <w:rPr>
          <w:rStyle w:val="FootnoteReference"/>
        </w:rPr>
        <w:footnoteRef/>
      </w:r>
      <w:r>
        <w:tab/>
        <w:t xml:space="preserve">International Organisation for Migration, Missing migrants project, available at: </w:t>
      </w:r>
      <w:hyperlink r:id="rId1" w:history="1">
        <w:r w:rsidRPr="00CB2C17">
          <w:rPr>
            <w:rStyle w:val="Hyperlink"/>
          </w:rPr>
          <w:t>https://missingmigrants.iom.int/region/mediterranean</w:t>
        </w:r>
      </w:hyperlink>
      <w:r>
        <w:t>.</w:t>
      </w:r>
    </w:p>
  </w:footnote>
  <w:footnote w:id="8">
    <w:p w14:paraId="678A0FC9" w14:textId="77777777" w:rsidR="00771565" w:rsidRDefault="00771565" w:rsidP="00603CB4">
      <w:pPr>
        <w:pStyle w:val="FootnoteText"/>
        <w:rPr>
          <w:rFonts w:eastAsia="Times New Roman"/>
        </w:rPr>
      </w:pPr>
      <w:r w:rsidRPr="007E10BB">
        <w:rPr>
          <w:rStyle w:val="FootnoteReference"/>
        </w:rPr>
        <w:footnoteRef/>
      </w:r>
      <w:r>
        <w:tab/>
      </w:r>
      <w:r w:rsidRPr="00701E8A">
        <w:rPr>
          <w:rFonts w:eastAsia="Times New Roman"/>
        </w:rPr>
        <w:t>Europol, Criminal Networks in Migrant Smuggling, Europol Spotlight</w:t>
      </w:r>
      <w:r>
        <w:rPr>
          <w:rFonts w:eastAsia="Times New Roman"/>
        </w:rPr>
        <w:t>, 2023.</w:t>
      </w:r>
    </w:p>
  </w:footnote>
  <w:footnote w:id="9">
    <w:p w14:paraId="368C803E" w14:textId="77777777" w:rsidR="00771565" w:rsidRDefault="00771565" w:rsidP="00603CB4">
      <w:pPr>
        <w:pStyle w:val="FootnoteText"/>
      </w:pPr>
      <w:r w:rsidRPr="007E10BB">
        <w:rPr>
          <w:rStyle w:val="FootnoteReference"/>
        </w:rPr>
        <w:footnoteRef/>
      </w:r>
      <w:r>
        <w:tab/>
        <w:t>Frontex, Risk Analyses for 2023/2024.</w:t>
      </w:r>
    </w:p>
  </w:footnote>
  <w:footnote w:id="10">
    <w:p w14:paraId="472090E2" w14:textId="77777777" w:rsidR="00771565" w:rsidRDefault="00771565" w:rsidP="00603CB4">
      <w:pPr>
        <w:pStyle w:val="FootnoteText"/>
        <w:rPr>
          <w:rFonts w:eastAsia="Times New Roman"/>
          <w:szCs w:val="24"/>
        </w:rPr>
      </w:pPr>
      <w:r w:rsidRPr="007E10BB">
        <w:rPr>
          <w:rStyle w:val="FootnoteReference"/>
        </w:rPr>
        <w:footnoteRef/>
      </w:r>
      <w:r>
        <w:tab/>
      </w:r>
      <w:r w:rsidRPr="00701E8A">
        <w:rPr>
          <w:rFonts w:eastAsia="Times New Roman"/>
        </w:rPr>
        <w:t>Europol (2023), Criminal Networks in Migrant Smuggling, Europol Spotlight</w:t>
      </w:r>
      <w:r>
        <w:rPr>
          <w:rFonts w:eastAsia="Times New Roman"/>
        </w:rPr>
        <w:t>.</w:t>
      </w:r>
    </w:p>
  </w:footnote>
  <w:footnote w:id="11">
    <w:p w14:paraId="4762F715" w14:textId="77777777" w:rsidR="00771565" w:rsidRPr="009E0A6F" w:rsidRDefault="00771565" w:rsidP="00725A65">
      <w:pPr>
        <w:pStyle w:val="FootnoteText"/>
      </w:pPr>
      <w:r w:rsidRPr="00611690">
        <w:rPr>
          <w:rStyle w:val="FootnoteReference"/>
        </w:rPr>
        <w:footnoteRef/>
      </w:r>
      <w:r>
        <w:tab/>
        <w:t>COM(2020) 609 final.</w:t>
      </w:r>
    </w:p>
  </w:footnote>
  <w:footnote w:id="12">
    <w:p w14:paraId="3AADB752" w14:textId="77777777" w:rsidR="00771565" w:rsidRPr="00A26F95" w:rsidRDefault="00771565">
      <w:pPr>
        <w:pStyle w:val="FootnoteText"/>
        <w:rPr>
          <w:lang w:val="en-IE"/>
        </w:rPr>
      </w:pPr>
      <w:r w:rsidRPr="00611690">
        <w:rPr>
          <w:rStyle w:val="FootnoteReference"/>
        </w:rPr>
        <w:footnoteRef/>
      </w:r>
      <w:r>
        <w:tab/>
      </w:r>
      <w:r w:rsidRPr="000A273A">
        <w:t>OJ L 328, 5.12.2002, p. 17</w:t>
      </w:r>
      <w:r>
        <w:t>.</w:t>
      </w:r>
    </w:p>
  </w:footnote>
  <w:footnote w:id="13">
    <w:p w14:paraId="355EA4B3" w14:textId="77777777" w:rsidR="00771565" w:rsidRPr="00DE2DCA" w:rsidRDefault="00771565">
      <w:pPr>
        <w:pStyle w:val="FootnoteText"/>
        <w:rPr>
          <w:lang w:val="en-IE"/>
        </w:rPr>
      </w:pPr>
      <w:r w:rsidRPr="00611690">
        <w:rPr>
          <w:rStyle w:val="FootnoteReference"/>
        </w:rPr>
        <w:footnoteRef/>
      </w:r>
      <w:r>
        <w:tab/>
      </w:r>
      <w:r w:rsidRPr="008F77D2">
        <w:t>OJ L 328, 5.12.2002, p. 1</w:t>
      </w:r>
      <w:r>
        <w:t>.</w:t>
      </w:r>
    </w:p>
  </w:footnote>
  <w:footnote w:id="14">
    <w:p w14:paraId="0AE12DB0" w14:textId="2D6684FD" w:rsidR="00771565" w:rsidRPr="00DE2DCA" w:rsidRDefault="00771565">
      <w:pPr>
        <w:pStyle w:val="FootnoteText"/>
        <w:rPr>
          <w:lang w:val="en-IE"/>
        </w:rPr>
      </w:pPr>
      <w:r w:rsidRPr="00611690">
        <w:rPr>
          <w:rStyle w:val="FootnoteReference"/>
        </w:rPr>
        <w:footnoteRef/>
      </w:r>
      <w:r>
        <w:tab/>
      </w:r>
      <w:r w:rsidRPr="00DE2DCA">
        <w:rPr>
          <w:lang w:val="en-IE"/>
        </w:rPr>
        <w:t xml:space="preserve">COM(2023) </w:t>
      </w:r>
      <w:r w:rsidR="005E125E">
        <w:rPr>
          <w:lang w:val="en-IE"/>
        </w:rPr>
        <w:t>754</w:t>
      </w:r>
      <w:r w:rsidR="005E125E" w:rsidRPr="00DE2DCA">
        <w:rPr>
          <w:lang w:val="en-IE"/>
        </w:rPr>
        <w:t xml:space="preserve"> </w:t>
      </w:r>
      <w:r w:rsidRPr="00DE2DCA">
        <w:rPr>
          <w:lang w:val="en-IE"/>
        </w:rPr>
        <w:t>final.</w:t>
      </w:r>
    </w:p>
  </w:footnote>
  <w:footnote w:id="15">
    <w:p w14:paraId="7BA2776D" w14:textId="77777777" w:rsidR="00771565" w:rsidRPr="006E20C7" w:rsidRDefault="00771565" w:rsidP="0070662F">
      <w:pPr>
        <w:pStyle w:val="FootnoteText"/>
        <w:rPr>
          <w:lang w:val="en-IE"/>
        </w:rPr>
      </w:pPr>
      <w:r w:rsidRPr="00611690">
        <w:rPr>
          <w:rStyle w:val="FootnoteReference"/>
        </w:rPr>
        <w:footnoteRef/>
      </w:r>
      <w:r>
        <w:tab/>
      </w:r>
      <w:r w:rsidRPr="002A73E0">
        <w:t>COM(2021) 591 final</w:t>
      </w:r>
      <w:r>
        <w:t>.</w:t>
      </w:r>
    </w:p>
  </w:footnote>
  <w:footnote w:id="16">
    <w:p w14:paraId="22CC7D2C" w14:textId="77777777" w:rsidR="00771565" w:rsidRPr="00532A79" w:rsidRDefault="00771565">
      <w:pPr>
        <w:pStyle w:val="FootnoteText"/>
      </w:pPr>
      <w:r w:rsidRPr="007E10BB">
        <w:rPr>
          <w:rStyle w:val="FootnoteReference"/>
        </w:rPr>
        <w:footnoteRef/>
      </w:r>
      <w:r>
        <w:tab/>
      </w:r>
      <w:r w:rsidRPr="6D1D7D8F">
        <w:t>SWD(2017) 117 final</w:t>
      </w:r>
      <w:r>
        <w:t>.</w:t>
      </w:r>
    </w:p>
  </w:footnote>
  <w:footnote w:id="17">
    <w:p w14:paraId="19EABC1B" w14:textId="77777777" w:rsidR="00771565" w:rsidRPr="006E20C7" w:rsidRDefault="00771565">
      <w:pPr>
        <w:pStyle w:val="FootnoteText"/>
        <w:rPr>
          <w:lang w:val="en-IE"/>
        </w:rPr>
      </w:pPr>
      <w:r w:rsidRPr="00611690">
        <w:rPr>
          <w:rStyle w:val="FootnoteReference"/>
        </w:rPr>
        <w:footnoteRef/>
      </w:r>
      <w:r>
        <w:tab/>
      </w:r>
      <w:r w:rsidRPr="002A73E0">
        <w:t>COM(2021) 591 final</w:t>
      </w:r>
      <w:r>
        <w:t>.</w:t>
      </w:r>
    </w:p>
  </w:footnote>
  <w:footnote w:id="18">
    <w:p w14:paraId="5D3F1759" w14:textId="65C28324" w:rsidR="00771565" w:rsidRPr="002D648C" w:rsidRDefault="00771565">
      <w:pPr>
        <w:pStyle w:val="FootnoteText"/>
        <w:rPr>
          <w:lang w:val="en-IE"/>
        </w:rPr>
      </w:pPr>
      <w:r w:rsidRPr="007E10BB">
        <w:rPr>
          <w:rStyle w:val="FootnoteReference"/>
        </w:rPr>
        <w:footnoteRef/>
      </w:r>
      <w:r>
        <w:tab/>
      </w:r>
      <w:r w:rsidRPr="002D648C">
        <w:rPr>
          <w:lang w:val="en-IE"/>
        </w:rPr>
        <w:t xml:space="preserve">Available at: </w:t>
      </w:r>
      <w:hyperlink r:id="rId2" w:history="1">
        <w:r w:rsidRPr="00CB2C17">
          <w:rPr>
            <w:rStyle w:val="Hyperlink"/>
          </w:rPr>
          <w:t>https://ec.europa.eu/commission/presscorner/detail/en/ip_23_3057</w:t>
        </w:r>
      </w:hyperlink>
      <w:r>
        <w:rPr>
          <w:lang w:val="en-IE"/>
        </w:rPr>
        <w:t>.</w:t>
      </w:r>
      <w:r w:rsidRPr="002D648C">
        <w:rPr>
          <w:lang w:val="en-IE"/>
        </w:rPr>
        <w:t xml:space="preserve"> </w:t>
      </w:r>
    </w:p>
  </w:footnote>
  <w:footnote w:id="19">
    <w:p w14:paraId="586F8C5E" w14:textId="77777777" w:rsidR="00771565" w:rsidRPr="006E20C7" w:rsidRDefault="00771565">
      <w:pPr>
        <w:pStyle w:val="FootnoteText"/>
        <w:rPr>
          <w:lang w:val="en-IE"/>
        </w:rPr>
      </w:pPr>
      <w:r w:rsidRPr="00611690">
        <w:rPr>
          <w:rStyle w:val="FootnoteReference"/>
        </w:rPr>
        <w:footnoteRef/>
      </w:r>
      <w:r>
        <w:tab/>
        <w:t>COM(2021) 753 final.</w:t>
      </w:r>
    </w:p>
  </w:footnote>
  <w:footnote w:id="20">
    <w:p w14:paraId="4A68E696" w14:textId="77777777" w:rsidR="00771565" w:rsidRPr="00EA0756" w:rsidRDefault="00771565">
      <w:pPr>
        <w:pStyle w:val="FootnoteText"/>
        <w:rPr>
          <w:lang w:val="en-IE"/>
        </w:rPr>
      </w:pPr>
      <w:r w:rsidRPr="00611690">
        <w:rPr>
          <w:rStyle w:val="FootnoteReference"/>
        </w:rPr>
        <w:footnoteRef/>
      </w:r>
      <w:r>
        <w:tab/>
      </w:r>
      <w:r w:rsidRPr="002F14D7">
        <w:t>COM(2020)</w:t>
      </w:r>
      <w:r>
        <w:t xml:space="preserve"> </w:t>
      </w:r>
      <w:r w:rsidRPr="002F14D7">
        <w:t>605 final</w:t>
      </w:r>
      <w:r>
        <w:t>.</w:t>
      </w:r>
    </w:p>
  </w:footnote>
  <w:footnote w:id="21">
    <w:p w14:paraId="3562ECAC" w14:textId="77777777" w:rsidR="00771565" w:rsidRPr="00EA0756" w:rsidRDefault="00771565">
      <w:pPr>
        <w:pStyle w:val="FootnoteText"/>
        <w:rPr>
          <w:lang w:val="en-IE"/>
        </w:rPr>
      </w:pPr>
      <w:r w:rsidRPr="00611690">
        <w:rPr>
          <w:rStyle w:val="FootnoteReference"/>
        </w:rPr>
        <w:footnoteRef/>
      </w:r>
      <w:r>
        <w:tab/>
        <w:t>COM(2021) 170 final.</w:t>
      </w:r>
    </w:p>
  </w:footnote>
  <w:footnote w:id="22">
    <w:p w14:paraId="2F1E56B5" w14:textId="77777777" w:rsidR="00771565" w:rsidRPr="00EA0756" w:rsidRDefault="00771565">
      <w:pPr>
        <w:pStyle w:val="FootnoteText"/>
        <w:rPr>
          <w:lang w:val="en-IE"/>
        </w:rPr>
      </w:pPr>
      <w:r w:rsidRPr="00611690">
        <w:rPr>
          <w:rStyle w:val="FootnoteReference"/>
        </w:rPr>
        <w:footnoteRef/>
      </w:r>
      <w:r>
        <w:tab/>
      </w:r>
      <w:r w:rsidRPr="0094223D">
        <w:t>COM(2021)</w:t>
      </w:r>
      <w:r>
        <w:t xml:space="preserve"> </w:t>
      </w:r>
      <w:r w:rsidRPr="0094223D">
        <w:t>171 final.</w:t>
      </w:r>
    </w:p>
  </w:footnote>
  <w:footnote w:id="23">
    <w:p w14:paraId="0919C27F" w14:textId="487FE270" w:rsidR="00436EB4" w:rsidRPr="001B1C7C" w:rsidRDefault="00436EB4">
      <w:pPr>
        <w:pStyle w:val="FootnoteText"/>
        <w:rPr>
          <w:lang w:val="en-IE"/>
        </w:rPr>
      </w:pPr>
      <w:r>
        <w:rPr>
          <w:rStyle w:val="FootnoteReference"/>
        </w:rPr>
        <w:footnoteRef/>
      </w:r>
      <w:r>
        <w:rPr>
          <w:lang w:val="en-IE"/>
        </w:rPr>
        <w:tab/>
      </w:r>
      <w:r w:rsidRPr="00F952A0">
        <w:rPr>
          <w:szCs w:val="24"/>
          <w:lang w:val="en-IE" w:eastAsia="en-IE"/>
        </w:rPr>
        <w:t>Council Conclusions 14280/23 of 24 October 2023 on the Revised EU Maritime Security Strategy (EUMSS) and its Action Plan</w:t>
      </w:r>
      <w:r>
        <w:rPr>
          <w:szCs w:val="24"/>
          <w:lang w:val="en-IE" w:eastAsia="en-IE"/>
        </w:rPr>
        <w:t>.</w:t>
      </w:r>
    </w:p>
  </w:footnote>
  <w:footnote w:id="24">
    <w:p w14:paraId="39F11786" w14:textId="77777777" w:rsidR="00771565" w:rsidRPr="002D648C" w:rsidRDefault="00771565">
      <w:pPr>
        <w:pStyle w:val="FootnoteText"/>
        <w:rPr>
          <w:lang w:val="en-IE"/>
        </w:rPr>
      </w:pPr>
      <w:r w:rsidRPr="007E10BB">
        <w:rPr>
          <w:rStyle w:val="FootnoteReference"/>
        </w:rPr>
        <w:footnoteRef/>
      </w:r>
      <w:r>
        <w:tab/>
      </w:r>
      <w:r w:rsidRPr="002D648C">
        <w:rPr>
          <w:lang w:val="en-IE"/>
        </w:rPr>
        <w:t>OJ C 323, 1.10.2020, p. 1.</w:t>
      </w:r>
    </w:p>
  </w:footnote>
  <w:footnote w:id="25">
    <w:p w14:paraId="71204B3D" w14:textId="77777777" w:rsidR="00771565" w:rsidRPr="00132320" w:rsidRDefault="00771565">
      <w:pPr>
        <w:pStyle w:val="FootnoteText"/>
      </w:pPr>
      <w:r w:rsidRPr="007E10BB">
        <w:rPr>
          <w:rStyle w:val="FootnoteReference"/>
        </w:rPr>
        <w:footnoteRef/>
      </w:r>
      <w:r>
        <w:tab/>
      </w:r>
      <w:r w:rsidRPr="00174A71">
        <w:rPr>
          <w:lang w:val="en-IE"/>
        </w:rPr>
        <w:t>COM(2022) 245 final.</w:t>
      </w:r>
    </w:p>
  </w:footnote>
  <w:footnote w:id="26">
    <w:p w14:paraId="7EF36203" w14:textId="77777777" w:rsidR="00771565" w:rsidRPr="00132320" w:rsidRDefault="00771565" w:rsidP="008A3204">
      <w:pPr>
        <w:pStyle w:val="FootnoteText"/>
      </w:pPr>
      <w:r w:rsidRPr="007E10BB">
        <w:rPr>
          <w:rStyle w:val="FootnoteReference"/>
        </w:rPr>
        <w:footnoteRef/>
      </w:r>
      <w:r>
        <w:tab/>
      </w:r>
      <w:r w:rsidRPr="00A837FA">
        <w:t>COM</w:t>
      </w:r>
      <w:r>
        <w:t>(</w:t>
      </w:r>
      <w:r w:rsidRPr="00A837FA">
        <w:t>2023</w:t>
      </w:r>
      <w:r>
        <w:t xml:space="preserve">) </w:t>
      </w:r>
      <w:r w:rsidRPr="00A837FA">
        <w:t>185 final</w:t>
      </w:r>
      <w:r>
        <w:t>.</w:t>
      </w:r>
    </w:p>
  </w:footnote>
  <w:footnote w:id="27">
    <w:p w14:paraId="5A03FADC" w14:textId="77777777" w:rsidR="00771565" w:rsidRPr="00815982" w:rsidRDefault="00771565">
      <w:pPr>
        <w:pStyle w:val="FootnoteText"/>
      </w:pPr>
      <w:r w:rsidRPr="007E10BB">
        <w:rPr>
          <w:rStyle w:val="FootnoteReference"/>
        </w:rPr>
        <w:footnoteRef/>
      </w:r>
      <w:r>
        <w:tab/>
      </w:r>
      <w:r w:rsidRPr="00A837FA">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w:t>
      </w:r>
      <w:r>
        <w:t>,</w:t>
      </w:r>
      <w:r w:rsidRPr="00A837FA">
        <w:t xml:space="preserve"> OJ L 158, 30.4.2004, p. 77.</w:t>
      </w:r>
    </w:p>
  </w:footnote>
  <w:footnote w:id="28">
    <w:p w14:paraId="65BBA7CE" w14:textId="77777777" w:rsidR="00771565" w:rsidRPr="00815982" w:rsidRDefault="00771565">
      <w:pPr>
        <w:pStyle w:val="FootnoteText"/>
      </w:pPr>
      <w:r w:rsidRPr="007E10BB">
        <w:rPr>
          <w:rStyle w:val="FootnoteReference"/>
        </w:rPr>
        <w:footnoteRef/>
      </w:r>
      <w:r>
        <w:tab/>
      </w:r>
      <w:r w:rsidRPr="3EA49CC5">
        <w:rPr>
          <w:rFonts w:eastAsia="Times New Roman"/>
          <w:lang w:val="en-US"/>
        </w:rPr>
        <w:t>Agreement on the withdrawal of the United Kingdom of Great Britain and Northern Ireland from the European Union and the European Atomic Energy Community 2019/C 384 I/01, OJ C 384 I, 12.11.2019, p. 1.</w:t>
      </w:r>
    </w:p>
  </w:footnote>
  <w:footnote w:id="29">
    <w:p w14:paraId="6B217A87" w14:textId="77777777" w:rsidR="00771565" w:rsidRPr="009E1687" w:rsidRDefault="00771565">
      <w:pPr>
        <w:pStyle w:val="FootnoteText"/>
      </w:pPr>
      <w:r w:rsidRPr="007E10BB">
        <w:rPr>
          <w:rStyle w:val="FootnoteReference"/>
        </w:rPr>
        <w:footnoteRef/>
      </w:r>
      <w:r>
        <w:tab/>
      </w:r>
      <w:r w:rsidRPr="00594F36">
        <w:rPr>
          <w:rFonts w:eastAsia="Times New Roman"/>
        </w:rPr>
        <w:t>Belgium, Bulgaria, Cyprus, Greece, France, Croatia, Hungary, Ireland, Italy, Malta, the Netherlands, Poland, Portugal, Slovenia and Slovakia</w:t>
      </w:r>
      <w:r>
        <w:rPr>
          <w:rFonts w:eastAsia="Times New Roman"/>
        </w:rPr>
        <w:t>.</w:t>
      </w:r>
    </w:p>
  </w:footnote>
  <w:footnote w:id="30">
    <w:p w14:paraId="7E666E12" w14:textId="77777777" w:rsidR="00771565" w:rsidRPr="0046014A" w:rsidRDefault="00771565">
      <w:pPr>
        <w:pStyle w:val="FootnoteText"/>
        <w:rPr>
          <w:lang w:val="en-IE"/>
        </w:rPr>
      </w:pPr>
      <w:r w:rsidRPr="007E10BB">
        <w:rPr>
          <w:rStyle w:val="FootnoteReference"/>
        </w:rPr>
        <w:footnoteRef/>
      </w:r>
      <w:r>
        <w:tab/>
      </w:r>
      <w:r w:rsidRPr="0046014A">
        <w:rPr>
          <w:lang w:val="en-IE"/>
        </w:rPr>
        <w:t>France, the Netherlands, Slovakia.</w:t>
      </w:r>
    </w:p>
  </w:footnote>
  <w:footnote w:id="31">
    <w:p w14:paraId="3A99B16F" w14:textId="77777777" w:rsidR="00771565" w:rsidRPr="0046014A" w:rsidRDefault="00771565">
      <w:pPr>
        <w:pStyle w:val="FootnoteText"/>
        <w:rPr>
          <w:lang w:val="en-IE"/>
        </w:rPr>
      </w:pPr>
      <w:r w:rsidRPr="007E10BB">
        <w:rPr>
          <w:rStyle w:val="FootnoteReference"/>
        </w:rPr>
        <w:footnoteRef/>
      </w:r>
      <w:r>
        <w:tab/>
      </w:r>
      <w:r w:rsidRPr="00F870E3">
        <w:t>Cyprus, Italy, the Netherlands, Slovenia</w:t>
      </w:r>
      <w:r>
        <w:t>.</w:t>
      </w:r>
    </w:p>
  </w:footnote>
  <w:footnote w:id="32">
    <w:p w14:paraId="3538C3C5" w14:textId="77777777" w:rsidR="00771565" w:rsidRPr="0046014A" w:rsidRDefault="00771565">
      <w:pPr>
        <w:pStyle w:val="FootnoteText"/>
        <w:rPr>
          <w:lang w:val="en-IE"/>
        </w:rPr>
      </w:pPr>
      <w:r w:rsidRPr="007E10BB">
        <w:rPr>
          <w:rStyle w:val="FootnoteReference"/>
        </w:rPr>
        <w:footnoteRef/>
      </w:r>
      <w:r>
        <w:tab/>
      </w:r>
      <w:r w:rsidRPr="0046014A">
        <w:rPr>
          <w:lang w:val="en-IE"/>
        </w:rPr>
        <w:t>Belgium.</w:t>
      </w:r>
    </w:p>
  </w:footnote>
  <w:footnote w:id="33">
    <w:p w14:paraId="5DBB2B3D" w14:textId="77777777" w:rsidR="00771565" w:rsidRDefault="00771565" w:rsidP="007D7260">
      <w:pPr>
        <w:pStyle w:val="FootnoteText"/>
      </w:pPr>
      <w:r w:rsidRPr="007E10BB">
        <w:rPr>
          <w:rStyle w:val="FootnoteReference"/>
        </w:rPr>
        <w:footnoteRef/>
      </w:r>
      <w:r>
        <w:tab/>
        <w:t>France.</w:t>
      </w:r>
    </w:p>
  </w:footnote>
  <w:footnote w:id="34">
    <w:p w14:paraId="7076B8B8" w14:textId="77777777" w:rsidR="00771565" w:rsidRPr="005D763A" w:rsidRDefault="00771565">
      <w:pPr>
        <w:pStyle w:val="FootnoteText"/>
      </w:pPr>
      <w:r w:rsidRPr="007E10BB">
        <w:rPr>
          <w:rStyle w:val="FootnoteReference"/>
        </w:rPr>
        <w:footnoteRef/>
      </w:r>
      <w:r>
        <w:tab/>
      </w:r>
      <w:r w:rsidRPr="005D763A">
        <w:t>Directive 2010/64/EU of the European Parliament and of the Council of 20 October 2010 on the right to interpretation and translation in criminal proceedings</w:t>
      </w:r>
      <w:r>
        <w:t xml:space="preserve">, </w:t>
      </w:r>
      <w:r w:rsidRPr="005D763A">
        <w:t>OJ L 280, 26.10.2010, p. 1.</w:t>
      </w:r>
    </w:p>
  </w:footnote>
  <w:footnote w:id="35">
    <w:p w14:paraId="15996AD3" w14:textId="77777777" w:rsidR="00771565" w:rsidRPr="005D763A" w:rsidRDefault="00771565">
      <w:pPr>
        <w:pStyle w:val="FootnoteText"/>
      </w:pPr>
      <w:r w:rsidRPr="007E10BB">
        <w:rPr>
          <w:rStyle w:val="FootnoteReference"/>
        </w:rPr>
        <w:footnoteRef/>
      </w:r>
      <w:r>
        <w:tab/>
      </w:r>
      <w:r w:rsidRPr="005D763A">
        <w:t>Directive 2012/13/EU of the European Parliament and of the Council of 22 May 2012 on the right to information in criminal proceedings</w:t>
      </w:r>
      <w:r>
        <w:t xml:space="preserve">, </w:t>
      </w:r>
      <w:r w:rsidRPr="005D763A">
        <w:t>OJ L 142, 1.6.2012, p. 1</w:t>
      </w:r>
      <w:r>
        <w:t>.</w:t>
      </w:r>
    </w:p>
  </w:footnote>
  <w:footnote w:id="36">
    <w:p w14:paraId="39A3DD6B" w14:textId="77777777" w:rsidR="00771565" w:rsidRPr="005D763A" w:rsidRDefault="00771565">
      <w:pPr>
        <w:pStyle w:val="FootnoteText"/>
      </w:pPr>
      <w:r w:rsidRPr="007E10BB">
        <w:rPr>
          <w:rStyle w:val="FootnoteReference"/>
        </w:rPr>
        <w:footnoteRef/>
      </w:r>
      <w:r>
        <w:tab/>
      </w:r>
      <w:r w:rsidRPr="005D763A">
        <w:t>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 OJ L 294, 6.11.2013, p. 1.</w:t>
      </w:r>
    </w:p>
  </w:footnote>
  <w:footnote w:id="37">
    <w:p w14:paraId="5E72379F" w14:textId="77777777" w:rsidR="00771565" w:rsidRPr="005D763A" w:rsidRDefault="00771565">
      <w:pPr>
        <w:pStyle w:val="FootnoteText"/>
      </w:pPr>
      <w:r w:rsidRPr="007E10BB">
        <w:rPr>
          <w:rStyle w:val="FootnoteReference"/>
        </w:rPr>
        <w:footnoteRef/>
      </w:r>
      <w:r>
        <w:tab/>
      </w:r>
      <w:r w:rsidRPr="005D763A">
        <w:t>Directive (EU) 2016/343 of the European Parliament and of the Council of 9 March 2016 on the strengthening of certain aspects of the presumption of innocence and of the right to be present at the trial in criminal proceedings, OJ L 65, 11.3.2016, p. 1.</w:t>
      </w:r>
    </w:p>
  </w:footnote>
  <w:footnote w:id="38">
    <w:p w14:paraId="5ECCC23A" w14:textId="77777777" w:rsidR="00771565" w:rsidRPr="005D763A" w:rsidRDefault="00771565">
      <w:pPr>
        <w:pStyle w:val="FootnoteText"/>
      </w:pPr>
      <w:r w:rsidRPr="007E10BB">
        <w:rPr>
          <w:rStyle w:val="FootnoteReference"/>
        </w:rPr>
        <w:footnoteRef/>
      </w:r>
      <w:r>
        <w:tab/>
      </w:r>
      <w:r w:rsidRPr="005D763A">
        <w:t>Directive (EU) 2016/800 of the European Parliament and of the Council of 11 May 2016 on procedural safeguards for children who are suspects or accused persons in criminal proceedings, OJ L 132, 21.5.2016, p. 1.</w:t>
      </w:r>
    </w:p>
  </w:footnote>
  <w:footnote w:id="39">
    <w:p w14:paraId="70440163" w14:textId="77777777" w:rsidR="00771565" w:rsidRPr="005D763A" w:rsidRDefault="00771565">
      <w:pPr>
        <w:pStyle w:val="FootnoteText"/>
      </w:pPr>
      <w:r w:rsidRPr="007E10BB">
        <w:rPr>
          <w:rStyle w:val="FootnoteReference"/>
        </w:rPr>
        <w:footnoteRef/>
      </w:r>
      <w:r>
        <w:tab/>
      </w:r>
      <w:r w:rsidRPr="005D763A">
        <w:t>Directive (EU) 2016/1919 of the European Parliament and of the Council of 26 October 2016 on legal aid for suspects and accused persons in criminal proceedings and for requested persons in European arrest warrant proceedings, OJ L 297 4.11.2016, p. 1.</w:t>
      </w:r>
    </w:p>
  </w:footnote>
  <w:footnote w:id="40">
    <w:p w14:paraId="7BF61664" w14:textId="39AB31C2" w:rsidR="00771565" w:rsidRPr="00CA5179" w:rsidRDefault="00771565" w:rsidP="007F522A">
      <w:pPr>
        <w:pStyle w:val="FootnoteText"/>
        <w:rPr>
          <w:lang w:val="pl-PL"/>
        </w:rPr>
      </w:pPr>
      <w:r>
        <w:rPr>
          <w:rStyle w:val="FootnoteReference"/>
        </w:rPr>
        <w:footnoteRef/>
      </w:r>
      <w:r w:rsidRPr="00CA5179">
        <w:rPr>
          <w:lang w:val="pl-PL"/>
        </w:rPr>
        <w:tab/>
        <w:t>OJ C , , p. .</w:t>
      </w:r>
    </w:p>
  </w:footnote>
  <w:footnote w:id="41">
    <w:p w14:paraId="2AC5FC08" w14:textId="4DE76BF9" w:rsidR="00771565" w:rsidRPr="00CA5179" w:rsidRDefault="00771565" w:rsidP="00F72E97">
      <w:pPr>
        <w:pStyle w:val="FootnoteText"/>
        <w:rPr>
          <w:lang w:val="pl-PL"/>
        </w:rPr>
      </w:pPr>
      <w:r>
        <w:rPr>
          <w:rStyle w:val="FootnoteReference"/>
        </w:rPr>
        <w:footnoteRef/>
      </w:r>
      <w:r w:rsidRPr="00CA5179">
        <w:rPr>
          <w:lang w:val="pl-PL"/>
        </w:rPr>
        <w:tab/>
        <w:t>OJ C , , p. .</w:t>
      </w:r>
    </w:p>
  </w:footnote>
  <w:footnote w:id="42">
    <w:p w14:paraId="08628292" w14:textId="1B45098D" w:rsidR="00771565" w:rsidRPr="00312C1A" w:rsidRDefault="00771565" w:rsidP="008859A1">
      <w:pPr>
        <w:pStyle w:val="FootnoteText"/>
      </w:pPr>
      <w:r w:rsidRPr="007E10BB">
        <w:rPr>
          <w:rStyle w:val="FootnoteReference"/>
        </w:rPr>
        <w:footnoteRef/>
      </w:r>
      <w:r>
        <w:tab/>
      </w:r>
      <w:r w:rsidRPr="008859A1">
        <w:rPr>
          <w:lang w:val="en-IE"/>
        </w:rPr>
        <w:t>Council Directive 2002/90/EC of 28 November 2002 defining the facilitation of unauthorised entry, transit and residence</w:t>
      </w:r>
      <w:r>
        <w:rPr>
          <w:lang w:val="en-IE"/>
        </w:rPr>
        <w:t xml:space="preserve"> (</w:t>
      </w:r>
      <w:r w:rsidRPr="008859A1">
        <w:rPr>
          <w:lang w:val="en-IE"/>
        </w:rPr>
        <w:t>OJ L 328, 5.12.2002, p. 17</w:t>
      </w:r>
      <w:r>
        <w:rPr>
          <w:lang w:val="en-IE"/>
        </w:rPr>
        <w:t xml:space="preserve">., </w:t>
      </w:r>
      <w:r w:rsidRPr="008859A1">
        <w:rPr>
          <w:lang w:val="en-IE"/>
        </w:rPr>
        <w:t xml:space="preserve">ELI: </w:t>
      </w:r>
      <w:hyperlink r:id="rId3" w:history="1">
        <w:r w:rsidRPr="00CB2C17">
          <w:rPr>
            <w:rStyle w:val="Hyperlink"/>
            <w:lang w:val="en-IE"/>
          </w:rPr>
          <w:t>http://data.europa.eu/eli/dir/2002/90/oj</w:t>
        </w:r>
      </w:hyperlink>
      <w:r>
        <w:rPr>
          <w:lang w:val="en-IE"/>
        </w:rPr>
        <w:t>).</w:t>
      </w:r>
    </w:p>
  </w:footnote>
  <w:footnote w:id="43">
    <w:p w14:paraId="4637CF57" w14:textId="5595D497" w:rsidR="00771565" w:rsidRPr="00312C1A" w:rsidRDefault="00771565" w:rsidP="008859A1">
      <w:pPr>
        <w:pStyle w:val="FootnoteText"/>
      </w:pPr>
      <w:r w:rsidRPr="007E10BB">
        <w:rPr>
          <w:rStyle w:val="FootnoteReference"/>
        </w:rPr>
        <w:footnoteRef/>
      </w:r>
      <w:r>
        <w:tab/>
      </w:r>
      <w:r w:rsidRPr="008859A1">
        <w:rPr>
          <w:lang w:val="en-IE"/>
        </w:rPr>
        <w:t xml:space="preserve">Council </w:t>
      </w:r>
      <w:r>
        <w:rPr>
          <w:lang w:val="en-IE"/>
        </w:rPr>
        <w:t>F</w:t>
      </w:r>
      <w:r w:rsidRPr="008859A1">
        <w:rPr>
          <w:lang w:val="en-IE"/>
        </w:rPr>
        <w:t xml:space="preserve">ramework Decision </w:t>
      </w:r>
      <w:r>
        <w:rPr>
          <w:lang w:val="en-IE"/>
        </w:rPr>
        <w:t>2</w:t>
      </w:r>
      <w:r w:rsidRPr="008859A1">
        <w:rPr>
          <w:lang w:val="en-IE"/>
        </w:rPr>
        <w:t>002/946/JHA of 28 November 2002 on the strengthening of the penal framework to prevent the facilitation of unauthorised entry, transit and residence</w:t>
      </w:r>
      <w:r>
        <w:rPr>
          <w:lang w:val="en-IE"/>
        </w:rPr>
        <w:t xml:space="preserve"> (OJ L 328, 5.12.2002, p. 1.,</w:t>
      </w:r>
      <w:r w:rsidRPr="0040457F">
        <w:rPr>
          <w:lang w:val="en-IE"/>
        </w:rPr>
        <w:t xml:space="preserve"> </w:t>
      </w:r>
      <w:r w:rsidRPr="008859A1">
        <w:rPr>
          <w:lang w:val="en-IE"/>
        </w:rPr>
        <w:t xml:space="preserve">ELI: </w:t>
      </w:r>
      <w:hyperlink r:id="rId4" w:history="1">
        <w:r w:rsidRPr="00CB2C17">
          <w:rPr>
            <w:rStyle w:val="Hyperlink"/>
            <w:lang w:val="en-IE"/>
          </w:rPr>
          <w:t>http://data.europa.eu/eli/dec_framw/2002/946/oj</w:t>
        </w:r>
      </w:hyperlink>
      <w:r>
        <w:rPr>
          <w:lang w:val="en-IE"/>
        </w:rPr>
        <w:t>).</w:t>
      </w:r>
    </w:p>
  </w:footnote>
  <w:footnote w:id="44">
    <w:p w14:paraId="29F75904" w14:textId="73C4D60D" w:rsidR="00436EB4" w:rsidRPr="001B1C7C" w:rsidRDefault="00436EB4">
      <w:pPr>
        <w:pStyle w:val="FootnoteText"/>
        <w:rPr>
          <w:lang w:val="en-IE"/>
        </w:rPr>
      </w:pPr>
      <w:r>
        <w:rPr>
          <w:rStyle w:val="FootnoteReference"/>
        </w:rPr>
        <w:footnoteRef/>
      </w:r>
      <w:r>
        <w:rPr>
          <w:lang w:val="en-IE"/>
        </w:rPr>
        <w:tab/>
        <w:t>Directive 2008/115/EC of the European Parliament and of the Council of 16 December 2008 on common standards and procedures in Member States for returning illegally staying third-country nationals (OJ L 348, 24.12.2008, p. 98, ELI: http://data.europa.eu/eli/dir/2008/115/oj).</w:t>
      </w:r>
    </w:p>
  </w:footnote>
  <w:footnote w:id="45">
    <w:p w14:paraId="0D33F398" w14:textId="627538C3" w:rsidR="00771565" w:rsidRPr="00520794" w:rsidRDefault="00771565" w:rsidP="00AF335C">
      <w:pPr>
        <w:autoSpaceDE w:val="0"/>
        <w:autoSpaceDN w:val="0"/>
        <w:spacing w:before="40" w:after="40"/>
        <w:ind w:left="720" w:hanging="720"/>
        <w:rPr>
          <w:sz w:val="20"/>
          <w:szCs w:val="20"/>
        </w:rPr>
      </w:pPr>
      <w:r w:rsidRPr="00AF335C">
        <w:rPr>
          <w:rStyle w:val="FootnoteReference"/>
        </w:rPr>
        <w:footnoteRef/>
      </w:r>
      <w:r>
        <w:rPr>
          <w:sz w:val="20"/>
          <w:szCs w:val="20"/>
        </w:rPr>
        <w:tab/>
      </w:r>
      <w:r w:rsidRPr="00187F38">
        <w:rPr>
          <w:sz w:val="20"/>
          <w:szCs w:val="20"/>
        </w:rPr>
        <w:t>Directive 2014/42/EU of the European Parliament and of the Council of 3 April 2014 on the freezing and confiscation of instrumentalities and proceeds of crime in the European Union</w:t>
      </w:r>
      <w:r>
        <w:rPr>
          <w:sz w:val="20"/>
          <w:szCs w:val="20"/>
        </w:rPr>
        <w:t xml:space="preserve"> (</w:t>
      </w:r>
      <w:r w:rsidRPr="00187F38">
        <w:rPr>
          <w:sz w:val="20"/>
          <w:szCs w:val="20"/>
        </w:rPr>
        <w:t>OJ L 127, 29.4.2014, p. 39 ELI: </w:t>
      </w:r>
      <w:hyperlink r:id="rId5" w:history="1">
        <w:r w:rsidRPr="00CB2C17">
          <w:rPr>
            <w:rStyle w:val="Hyperlink"/>
            <w:sz w:val="20"/>
            <w:szCs w:val="20"/>
          </w:rPr>
          <w:t>http://data.europa.eu/eli/dir/2014/42/oj</w:t>
        </w:r>
      </w:hyperlink>
      <w:r>
        <w:rPr>
          <w:sz w:val="20"/>
          <w:szCs w:val="20"/>
        </w:rPr>
        <w:t>)</w:t>
      </w:r>
      <w:r>
        <w:rPr>
          <w:rFonts w:ascii="Segoe UI" w:hAnsi="Segoe UI" w:cs="Segoe UI"/>
          <w:color w:val="000000"/>
          <w:sz w:val="20"/>
          <w:szCs w:val="20"/>
        </w:rPr>
        <w:t>.</w:t>
      </w:r>
    </w:p>
  </w:footnote>
  <w:footnote w:id="46">
    <w:p w14:paraId="7E9BE99B" w14:textId="7E11BA7A" w:rsidR="00771565" w:rsidRPr="006A4B93" w:rsidRDefault="00771565" w:rsidP="006B0802">
      <w:pPr>
        <w:pStyle w:val="FootnoteText"/>
        <w:rPr>
          <w:lang w:val="en-IE"/>
        </w:rPr>
      </w:pPr>
      <w:r w:rsidRPr="007E10BB">
        <w:rPr>
          <w:rStyle w:val="FootnoteReference"/>
        </w:rPr>
        <w:footnoteRef/>
      </w:r>
      <w:r>
        <w:tab/>
      </w:r>
      <w:r w:rsidRPr="009D7DD5">
        <w:rPr>
          <w:lang w:val="en-IE"/>
        </w:rPr>
        <w:t>Council Framework Decision 2009/948/JHA of 30 November 2009 on prevention and settlement of conflicts of exercise of jurisdiction in criminal proceedings</w:t>
      </w:r>
      <w:r>
        <w:rPr>
          <w:lang w:val="en-IE"/>
        </w:rPr>
        <w:t xml:space="preserve"> (OJ L 328, 15.12.2009, p. 42, </w:t>
      </w:r>
      <w:r w:rsidRPr="009D7DD5">
        <w:rPr>
          <w:lang w:val="en-IE"/>
        </w:rPr>
        <w:t xml:space="preserve">ELI: </w:t>
      </w:r>
      <w:hyperlink r:id="rId6" w:history="1">
        <w:r w:rsidRPr="00CB2C17">
          <w:rPr>
            <w:rStyle w:val="Hyperlink"/>
            <w:lang w:val="en-IE"/>
          </w:rPr>
          <w:t>http://data.europa.eu/eli/dec_framw/2009/948/oj</w:t>
        </w:r>
      </w:hyperlink>
      <w:r>
        <w:rPr>
          <w:lang w:val="en-IE"/>
        </w:rPr>
        <w:t>).</w:t>
      </w:r>
    </w:p>
  </w:footnote>
  <w:footnote w:id="47">
    <w:p w14:paraId="109FB351" w14:textId="77777777" w:rsidR="00771565" w:rsidRDefault="00771565" w:rsidP="0005616F">
      <w:pPr>
        <w:pStyle w:val="FootnoteText"/>
        <w:rPr>
          <w:lang w:val="pl-PL"/>
        </w:rPr>
      </w:pPr>
      <w:r w:rsidRPr="570E4CCF">
        <w:rPr>
          <w:rStyle w:val="FootnoteReference"/>
        </w:rPr>
        <w:footnoteRef/>
      </w:r>
      <w:r w:rsidRPr="00CA5179">
        <w:rPr>
          <w:lang w:val="pl-PL"/>
        </w:rPr>
        <w:tab/>
      </w:r>
      <w:r>
        <w:rPr>
          <w:lang w:val="pl-PL"/>
        </w:rPr>
        <w:t>COM(2023) 185 final.</w:t>
      </w:r>
    </w:p>
  </w:footnote>
  <w:footnote w:id="48">
    <w:p w14:paraId="529D3B94" w14:textId="73793941" w:rsidR="00771565" w:rsidRPr="00CA5179" w:rsidRDefault="00771565" w:rsidP="006B0802">
      <w:pPr>
        <w:pStyle w:val="FootnoteText"/>
        <w:rPr>
          <w:lang w:val="pl-PL"/>
        </w:rPr>
      </w:pPr>
      <w:r>
        <w:rPr>
          <w:rStyle w:val="FootnoteReference"/>
        </w:rPr>
        <w:footnoteRef/>
      </w:r>
      <w:r w:rsidRPr="00CA5179">
        <w:rPr>
          <w:lang w:val="pl-PL"/>
        </w:rPr>
        <w:tab/>
      </w:r>
      <w:r w:rsidRPr="00D932D1">
        <w:t xml:space="preserve">Regulation (EU) 2022/2065 </w:t>
      </w:r>
      <w:bookmarkStart w:id="2" w:name="_Hlk151021434"/>
      <w:r w:rsidRPr="00D932D1">
        <w:t xml:space="preserve">of the European Parliament and of the Council </w:t>
      </w:r>
      <w:bookmarkEnd w:id="2"/>
      <w:r w:rsidRPr="00D932D1">
        <w:t xml:space="preserve">of 19 October 2022 on a Single Market </w:t>
      </w:r>
      <w:r>
        <w:t>f</w:t>
      </w:r>
      <w:r w:rsidRPr="00D932D1">
        <w:t>or Digital Services and amending Directive 2000/31/EC (Digital Services Act)</w:t>
      </w:r>
      <w:r w:rsidRPr="00D932D1" w:rsidDel="00BF7AF2">
        <w:t xml:space="preserve"> </w:t>
      </w:r>
      <w:r>
        <w:t>(</w:t>
      </w:r>
      <w:r w:rsidRPr="00D932D1">
        <w:t>OJ L 277, 27.10.2022, p. 1</w:t>
      </w:r>
      <w:r>
        <w:t xml:space="preserve">, </w:t>
      </w:r>
      <w:r w:rsidRPr="00DD6732">
        <w:rPr>
          <w:lang w:val="pl-PL"/>
        </w:rPr>
        <w:t xml:space="preserve">ELI: </w:t>
      </w:r>
      <w:hyperlink r:id="rId7" w:history="1">
        <w:r w:rsidRPr="00CB2C17">
          <w:rPr>
            <w:rStyle w:val="Hyperlink"/>
            <w:lang w:val="pl-PL"/>
          </w:rPr>
          <w:t>http://data.europa.eu/eli/reg/2022/2065/oj</w:t>
        </w:r>
      </w:hyperlink>
      <w:r>
        <w:rPr>
          <w:lang w:val="pl-PL"/>
        </w:rPr>
        <w:t>)</w:t>
      </w:r>
      <w:r w:rsidRPr="00D932D1">
        <w:t>.</w:t>
      </w:r>
    </w:p>
  </w:footnote>
  <w:footnote w:id="49">
    <w:p w14:paraId="74D256FD" w14:textId="3CC93B2B" w:rsidR="00436EB4" w:rsidRPr="001B1C7C" w:rsidRDefault="00436EB4">
      <w:pPr>
        <w:pStyle w:val="FootnoteText"/>
        <w:rPr>
          <w:lang w:val="en-IE"/>
        </w:rPr>
      </w:pPr>
      <w:r>
        <w:rPr>
          <w:rStyle w:val="FootnoteReference"/>
        </w:rPr>
        <w:footnoteRef/>
      </w:r>
      <w:r>
        <w:rPr>
          <w:lang w:val="en-IE"/>
        </w:rPr>
        <w:tab/>
      </w:r>
      <w:r w:rsidRPr="007E516D">
        <w:t xml:space="preserve">Directive 2004/38/EC of the European Parliament and of the Council of 29 April 2004 on the right of citizens of the Union and their family members to move and reside freely within the territory of the Member </w:t>
      </w:r>
      <w:r w:rsidRPr="007E516D">
        <w:rPr>
          <w:lang w:val="en-IE"/>
        </w:rPr>
        <w:t>States</w:t>
      </w:r>
      <w:r w:rsidRPr="007E516D">
        <w:t xml:space="preserve"> amending Regulation (EEC) No 1612/68 and repealing Directives 64/221/EEC, 68/360/EEC, 72/194/EEC, 73/148/EEC, 75/34/EEC, 75/35/EEC, 90/364/EEC, 90/365/EEC and 93/96/EEC</w:t>
      </w:r>
      <w:r>
        <w:t xml:space="preserve"> (</w:t>
      </w:r>
      <w:r w:rsidRPr="007E516D">
        <w:t>OJ L 158, 30.4.</w:t>
      </w:r>
      <w:r w:rsidRPr="007E516D">
        <w:rPr>
          <w:lang w:val="en-IE"/>
        </w:rPr>
        <w:t>2004</w:t>
      </w:r>
      <w:r w:rsidRPr="007E516D">
        <w:t>, p. 77</w:t>
      </w:r>
      <w:r>
        <w:t xml:space="preserve">, </w:t>
      </w:r>
      <w:r w:rsidRPr="0024343C">
        <w:t xml:space="preserve">ELI: </w:t>
      </w:r>
      <w:hyperlink r:id="rId8" w:history="1">
        <w:r w:rsidRPr="00392961">
          <w:rPr>
            <w:rStyle w:val="Hyperlink"/>
          </w:rPr>
          <w:t>http://data.europa.eu/eli/dir/2004/38/oj</w:t>
        </w:r>
      </w:hyperlink>
      <w:r>
        <w:t>)</w:t>
      </w:r>
      <w:r w:rsidRPr="007E516D">
        <w:t>.</w:t>
      </w:r>
    </w:p>
  </w:footnote>
  <w:footnote w:id="50">
    <w:p w14:paraId="6D191CE9" w14:textId="663A76C0" w:rsidR="00436EB4" w:rsidRPr="001B1C7C" w:rsidRDefault="00436EB4">
      <w:pPr>
        <w:pStyle w:val="FootnoteText"/>
        <w:rPr>
          <w:lang w:val="en-IE"/>
        </w:rPr>
      </w:pPr>
      <w:r>
        <w:rPr>
          <w:rStyle w:val="FootnoteReference"/>
        </w:rPr>
        <w:footnoteRef/>
      </w:r>
      <w:r>
        <w:rPr>
          <w:lang w:val="en-IE"/>
        </w:rPr>
        <w:tab/>
      </w:r>
      <w:r w:rsidRPr="007E516D">
        <w:rPr>
          <w:lang w:val="en-IE"/>
        </w:rPr>
        <w:t xml:space="preserve">Agreement on the withdrawal of the United Kingdom of Great Britain and Northern Ireland from the European Union and the European Atomic Energy Community 2019/C 384 I/01 </w:t>
      </w:r>
      <w:r>
        <w:rPr>
          <w:lang w:val="en-IE"/>
        </w:rPr>
        <w:t>(</w:t>
      </w:r>
      <w:r w:rsidRPr="007E516D">
        <w:rPr>
          <w:lang w:val="en-IE"/>
        </w:rPr>
        <w:t>OJ C 384 I, 12.11.2019, p. 1</w:t>
      </w:r>
      <w:r>
        <w:rPr>
          <w:lang w:val="en-IE"/>
        </w:rPr>
        <w:t xml:space="preserve">, </w:t>
      </w:r>
      <w:r w:rsidRPr="00CB1EE6">
        <w:rPr>
          <w:lang w:val="en-IE"/>
        </w:rPr>
        <w:t xml:space="preserve">ELI: </w:t>
      </w:r>
      <w:hyperlink r:id="rId9" w:history="1">
        <w:r w:rsidRPr="00392961">
          <w:rPr>
            <w:rStyle w:val="Hyperlink"/>
            <w:lang w:val="en-IE"/>
          </w:rPr>
          <w:t>http://data.europa.eu/eli/treaty/withd_2019(3)/oj</w:t>
        </w:r>
      </w:hyperlink>
      <w:r>
        <w:rPr>
          <w:lang w:val="en-IE"/>
        </w:rPr>
        <w:t>).</w:t>
      </w:r>
    </w:p>
  </w:footnote>
  <w:footnote w:id="51">
    <w:p w14:paraId="3128C28E" w14:textId="02FBEAE3" w:rsidR="00771565" w:rsidRPr="00F372EF" w:rsidRDefault="00771565" w:rsidP="006B0802">
      <w:pPr>
        <w:pStyle w:val="FootnoteText"/>
        <w:rPr>
          <w:lang w:val="en-IE"/>
        </w:rPr>
      </w:pPr>
      <w:r w:rsidRPr="007E10BB">
        <w:rPr>
          <w:rStyle w:val="FootnoteReference"/>
        </w:rPr>
        <w:footnoteRef/>
      </w:r>
      <w:r>
        <w:tab/>
      </w:r>
      <w:r w:rsidRPr="00ED2DB4">
        <w:rPr>
          <w:lang w:val="en-IE"/>
        </w:rPr>
        <w:t xml:space="preserve">Council Decision 2002/192/EC of 28 February 2002 concerning Ireland’s request to take part in some of the provisions of the Schengen acquis </w:t>
      </w:r>
      <w:r>
        <w:rPr>
          <w:lang w:val="en-IE"/>
        </w:rPr>
        <w:t>(</w:t>
      </w:r>
      <w:r w:rsidRPr="00ED2DB4">
        <w:rPr>
          <w:lang w:val="en-IE"/>
        </w:rPr>
        <w:t>OJ L 64, 7.3.2002, p. 20</w:t>
      </w:r>
      <w:r>
        <w:rPr>
          <w:lang w:val="en-IE"/>
        </w:rPr>
        <w:t xml:space="preserve">, </w:t>
      </w:r>
      <w:r w:rsidRPr="00F02CC4">
        <w:t>ELI: </w:t>
      </w:r>
      <w:hyperlink r:id="rId10" w:tooltip="Gives access to this document through its ELI URI." w:history="1">
        <w:r w:rsidRPr="00F02CC4">
          <w:rPr>
            <w:rStyle w:val="Hyperlink"/>
          </w:rPr>
          <w:t>http://data.europa.eu/eli/dec/2002/192/oj</w:t>
        </w:r>
      </w:hyperlink>
      <w:r>
        <w:t>)</w:t>
      </w:r>
      <w:r w:rsidRPr="00ED2DB4">
        <w:rPr>
          <w:lang w:val="en-IE"/>
        </w:rPr>
        <w:t>.</w:t>
      </w:r>
    </w:p>
  </w:footnote>
  <w:footnote w:id="52">
    <w:p w14:paraId="7D4C2593" w14:textId="552BE414" w:rsidR="00771565" w:rsidRPr="008A60B6" w:rsidRDefault="00771565" w:rsidP="006B0802">
      <w:pPr>
        <w:pStyle w:val="FootnoteText"/>
        <w:rPr>
          <w:lang w:val="nl-BE"/>
        </w:rPr>
      </w:pPr>
      <w:r w:rsidRPr="007E10BB">
        <w:rPr>
          <w:rStyle w:val="FootnoteReference"/>
        </w:rPr>
        <w:footnoteRef/>
      </w:r>
      <w:r>
        <w:rPr>
          <w:lang w:val="nl-BE"/>
        </w:rPr>
        <w:tab/>
      </w:r>
      <w:r w:rsidRPr="008A60B6">
        <w:rPr>
          <w:lang w:val="nl-BE"/>
        </w:rPr>
        <w:t>OJ L 176, 10.7.1999, p. 36</w:t>
      </w:r>
      <w:r>
        <w:rPr>
          <w:lang w:val="nl-BE"/>
        </w:rPr>
        <w:t xml:space="preserve">, </w:t>
      </w:r>
      <w:r w:rsidRPr="00F02CC4">
        <w:rPr>
          <w:lang w:val="pl-PL"/>
        </w:rPr>
        <w:t>ELI: </w:t>
      </w:r>
      <w:hyperlink r:id="rId11" w:tooltip="Gives access to this document through its ELI URI." w:history="1">
        <w:r w:rsidRPr="00F02CC4">
          <w:rPr>
            <w:rStyle w:val="Hyperlink"/>
            <w:lang w:val="pl-PL"/>
          </w:rPr>
          <w:t>http://data.europa.eu/eli/agree_internation/1999/439(1)/oj</w:t>
        </w:r>
      </w:hyperlink>
      <w:r w:rsidRPr="008A60B6">
        <w:rPr>
          <w:color w:val="000000"/>
          <w:shd w:val="clear" w:color="auto" w:fill="FFFFFF"/>
          <w:lang w:val="nl-BE"/>
        </w:rPr>
        <w:t>.</w:t>
      </w:r>
    </w:p>
  </w:footnote>
  <w:footnote w:id="53">
    <w:p w14:paraId="0EB08C67" w14:textId="4E03752F" w:rsidR="00771565" w:rsidRPr="00F372EF" w:rsidRDefault="00771565" w:rsidP="006B0802">
      <w:pPr>
        <w:pStyle w:val="FootnoteText"/>
        <w:rPr>
          <w:lang w:val="en-IE"/>
        </w:rPr>
      </w:pPr>
      <w:r w:rsidRPr="007E10BB">
        <w:rPr>
          <w:rStyle w:val="FootnoteReference"/>
        </w:rPr>
        <w:footnoteRef/>
      </w:r>
      <w:r>
        <w:tab/>
      </w:r>
      <w:r w:rsidRPr="00F372EF">
        <w:t>Council Decision 1999/437/EC of 17 May 1999 on certain arrangements for the application of the Agreement concluded by the Council of the European Union and the Republic of Iceland and the Kingdom of Norway concerning the association of those two States with the implementation, application and development of the Schengen acquis</w:t>
      </w:r>
      <w:r w:rsidRPr="00F372EF" w:rsidDel="00F372EF">
        <w:t xml:space="preserve"> </w:t>
      </w:r>
      <w:r>
        <w:t>(</w:t>
      </w:r>
      <w:r w:rsidRPr="00F372EF">
        <w:t>OJ L 176, 10.7.1999, p. 31</w:t>
      </w:r>
      <w:r>
        <w:t xml:space="preserve">, </w:t>
      </w:r>
      <w:r w:rsidRPr="00F02CC4">
        <w:t>ELI: </w:t>
      </w:r>
      <w:hyperlink r:id="rId12" w:tooltip="Gives access to this document through its ELI URI." w:history="1">
        <w:r w:rsidRPr="00F02CC4">
          <w:rPr>
            <w:rStyle w:val="Hyperlink"/>
          </w:rPr>
          <w:t>http://data.europa.eu/eli/dec/1999/437/oj</w:t>
        </w:r>
      </w:hyperlink>
      <w:r>
        <w:t>)</w:t>
      </w:r>
      <w:r w:rsidRPr="00F372EF">
        <w:t>.</w:t>
      </w:r>
    </w:p>
  </w:footnote>
  <w:footnote w:id="54">
    <w:p w14:paraId="74EB4863" w14:textId="77777777" w:rsidR="00771565" w:rsidRPr="008A60B6" w:rsidRDefault="00771565" w:rsidP="00CA36DF">
      <w:pPr>
        <w:pStyle w:val="FootnoteText"/>
        <w:rPr>
          <w:lang w:val="en-IE"/>
        </w:rPr>
      </w:pPr>
      <w:r w:rsidRPr="007E10BB">
        <w:rPr>
          <w:rStyle w:val="FootnoteReference"/>
        </w:rPr>
        <w:footnoteRef/>
      </w:r>
      <w:r>
        <w:tab/>
      </w:r>
      <w:r w:rsidRPr="00F372EF">
        <w:t>OJ L 53, 27.2.2008, p. 52.</w:t>
      </w:r>
    </w:p>
  </w:footnote>
  <w:footnote w:id="55">
    <w:p w14:paraId="78FE1BE5" w14:textId="51E2E95B" w:rsidR="00771565" w:rsidRPr="001F6951" w:rsidRDefault="00771565" w:rsidP="00A75C73">
      <w:pPr>
        <w:pStyle w:val="FootnoteText"/>
        <w:rPr>
          <w:lang w:val="en-IE"/>
        </w:rPr>
      </w:pPr>
      <w:r w:rsidRPr="007E10BB">
        <w:rPr>
          <w:rStyle w:val="FootnoteReference"/>
        </w:rPr>
        <w:footnoteRef/>
      </w:r>
      <w:r>
        <w:tab/>
      </w:r>
      <w:r w:rsidRPr="0081097B">
        <w:t>Council Decision 2011/350/EU 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 relating to the abolition of checks at internal borders and movement of persons</w:t>
      </w:r>
      <w:r w:rsidRPr="0081097B" w:rsidDel="003E4715">
        <w:t xml:space="preserve"> </w:t>
      </w:r>
      <w:r>
        <w:t>(</w:t>
      </w:r>
      <w:r w:rsidRPr="0081097B">
        <w:t>OJ L 160, 18.6.2011, p. 19</w:t>
      </w:r>
      <w:r>
        <w:t xml:space="preserve">, </w:t>
      </w:r>
      <w:r w:rsidRPr="00F02CC4">
        <w:t>ELI: </w:t>
      </w:r>
      <w:hyperlink r:id="rId13" w:tooltip="Gives access to this document through its ELI URI." w:history="1">
        <w:r w:rsidRPr="00F02CC4">
          <w:rPr>
            <w:rStyle w:val="Hyperlink"/>
          </w:rPr>
          <w:t>http://data.europa.eu/eli/dec/2011/350/oj</w:t>
        </w:r>
      </w:hyperlink>
      <w:r>
        <w:t>)</w:t>
      </w:r>
      <w:r w:rsidRPr="0081097B">
        <w:t>.</w:t>
      </w:r>
    </w:p>
  </w:footnote>
  <w:footnote w:id="56">
    <w:p w14:paraId="4B1A5482" w14:textId="77777777" w:rsidR="00771565" w:rsidRPr="008A60B6" w:rsidRDefault="00771565" w:rsidP="00CA36DF">
      <w:pPr>
        <w:pStyle w:val="FootnoteText"/>
        <w:rPr>
          <w:lang w:val="en-IE"/>
        </w:rPr>
      </w:pPr>
      <w:r w:rsidRPr="007E10BB">
        <w:rPr>
          <w:rStyle w:val="FootnoteReference"/>
        </w:rPr>
        <w:footnoteRef/>
      </w:r>
      <w:r>
        <w:tab/>
      </w:r>
      <w:r w:rsidRPr="0081097B">
        <w:t>OJ L 160, 18.6.2011, p. 21.</w:t>
      </w:r>
    </w:p>
  </w:footnote>
  <w:footnote w:id="57">
    <w:p w14:paraId="4C28DDC9" w14:textId="091F25F3" w:rsidR="00771565" w:rsidRPr="001F6951" w:rsidRDefault="00771565" w:rsidP="003E4715">
      <w:pPr>
        <w:pStyle w:val="FootnoteText"/>
        <w:rPr>
          <w:lang w:val="en-IE"/>
        </w:rPr>
      </w:pPr>
      <w:r w:rsidRPr="007E10BB">
        <w:rPr>
          <w:rStyle w:val="FootnoteReference"/>
        </w:rPr>
        <w:footnoteRef/>
      </w:r>
      <w:r>
        <w:tab/>
      </w:r>
      <w:r w:rsidRPr="0081097B">
        <w:t>Council Decision 2011/350/EU 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 relating to the abolition of checks at internal borders and movement of persons</w:t>
      </w:r>
      <w:r>
        <w:t>,</w:t>
      </w:r>
      <w:r w:rsidRPr="0081097B" w:rsidDel="003E4715">
        <w:t xml:space="preserve"> </w:t>
      </w:r>
      <w:r>
        <w:t>(</w:t>
      </w:r>
      <w:r w:rsidRPr="0081097B">
        <w:t>OJ L 160, 18.6.2011, p. 19</w:t>
      </w:r>
      <w:r>
        <w:t xml:space="preserve">, </w:t>
      </w:r>
      <w:r w:rsidRPr="00F02CC4">
        <w:t>ELI: </w:t>
      </w:r>
      <w:hyperlink r:id="rId14" w:tooltip="Gives access to this document through its ELI URI." w:history="1">
        <w:r w:rsidRPr="00F02CC4">
          <w:rPr>
            <w:rStyle w:val="Hyperlink"/>
          </w:rPr>
          <w:t>http://data.europa.eu/eli/dec/2011/350/oj</w:t>
        </w:r>
      </w:hyperlink>
      <w:r>
        <w:t>)</w:t>
      </w:r>
      <w:r w:rsidRPr="0081097B">
        <w:t>.</w:t>
      </w:r>
    </w:p>
  </w:footnote>
  <w:footnote w:id="58">
    <w:p w14:paraId="348FB337" w14:textId="77777777" w:rsidR="00771565" w:rsidRPr="004C537C" w:rsidRDefault="00771565" w:rsidP="00A75C73">
      <w:pPr>
        <w:pStyle w:val="FootnoteText"/>
        <w:rPr>
          <w:lang w:val="en-IE"/>
        </w:rPr>
      </w:pPr>
      <w:r>
        <w:rPr>
          <w:rStyle w:val="FootnoteReference"/>
        </w:rPr>
        <w:footnoteRef/>
      </w:r>
      <w:r>
        <w:rPr>
          <w:lang w:val="en-IE"/>
        </w:rPr>
        <w:tab/>
      </w:r>
      <w:r w:rsidRPr="00C97284">
        <w:rPr>
          <w:lang w:val="en-IE"/>
        </w:rPr>
        <w:t>Regulation (EU) 2016/399 of the European Parliament and of the Council of 9 March 2016 on a Union Code on the rules governing the movement of persons across borders (Schengen Borders Code)</w:t>
      </w:r>
      <w:r>
        <w:rPr>
          <w:lang w:val="en-IE"/>
        </w:rPr>
        <w:t xml:space="preserve"> </w:t>
      </w:r>
      <w:r w:rsidRPr="00C97284">
        <w:rPr>
          <w:rFonts w:hint="eastAsia"/>
        </w:rPr>
        <w:t>(OJ L 077 23.3.2016, p. 1</w:t>
      </w:r>
      <w:r>
        <w:t xml:space="preserve">, </w:t>
      </w:r>
      <w:r w:rsidRPr="00C97284">
        <w:t>ELI: </w:t>
      </w:r>
      <w:hyperlink r:id="rId15" w:tooltip="Gives access to this document through its ELI URI." w:history="1">
        <w:r w:rsidRPr="00C97284">
          <w:rPr>
            <w:rStyle w:val="Hyperlink"/>
          </w:rPr>
          <w:t>http://data.europa.eu/eli/reg/2016/399/oj</w:t>
        </w:r>
      </w:hyperlink>
      <w:r w:rsidRPr="00C97284">
        <w:rPr>
          <w:rFonts w:hint="eastAsia"/>
        </w:rPr>
        <w:t>)</w:t>
      </w:r>
      <w:r>
        <w:t>.</w:t>
      </w:r>
    </w:p>
  </w:footnote>
  <w:footnote w:id="59">
    <w:p w14:paraId="2ED5957B" w14:textId="06C14E8F" w:rsidR="00771565" w:rsidRPr="00D30E4E" w:rsidRDefault="00771565" w:rsidP="00A75C73">
      <w:pPr>
        <w:pStyle w:val="FootnoteText"/>
        <w:rPr>
          <w:lang w:val="en-IE"/>
        </w:rPr>
      </w:pPr>
      <w:r w:rsidRPr="00912D8A">
        <w:rPr>
          <w:rStyle w:val="FootnoteReference"/>
        </w:rPr>
        <w:footnoteRef/>
      </w:r>
      <w:r>
        <w:tab/>
        <w:t>Council Framework Decision 2008/841/JHA of 24 October 2008 on the fight against organised crime (</w:t>
      </w:r>
      <w:r w:rsidRPr="00D30E4E">
        <w:t>OJ L 300, 11.11.2008, p. 42</w:t>
      </w:r>
      <w:r>
        <w:t xml:space="preserve">, </w:t>
      </w:r>
      <w:r w:rsidRPr="004C537C">
        <w:rPr>
          <w:lang w:val="en-IE"/>
        </w:rPr>
        <w:t xml:space="preserve">ELI: </w:t>
      </w:r>
      <w:hyperlink r:id="rId16" w:history="1">
        <w:r w:rsidRPr="004C537C">
          <w:rPr>
            <w:rStyle w:val="Hyperlink"/>
            <w:lang w:val="en-IE"/>
          </w:rPr>
          <w:t>http://data.europa.eu/eli/dec_framw/2008/841/oj</w:t>
        </w:r>
      </w:hyperlink>
      <w:r w:rsidRPr="004C537C">
        <w:rPr>
          <w:lang w:val="en-IE"/>
        </w:rPr>
        <w:t>)</w:t>
      </w:r>
      <w:r w:rsidRPr="00D30E4E">
        <w:t>.</w:t>
      </w:r>
    </w:p>
  </w:footnote>
  <w:footnote w:id="60">
    <w:p w14:paraId="3F37DCA7" w14:textId="34C04A8B" w:rsidR="00771565" w:rsidRPr="00654067" w:rsidRDefault="00771565" w:rsidP="00AF335C">
      <w:pPr>
        <w:autoSpaceDE w:val="0"/>
        <w:autoSpaceDN w:val="0"/>
        <w:spacing w:before="40" w:after="40"/>
        <w:ind w:left="720" w:hanging="720"/>
        <w:rPr>
          <w:sz w:val="20"/>
          <w:szCs w:val="20"/>
        </w:rPr>
      </w:pPr>
      <w:r w:rsidRPr="00AF335C">
        <w:rPr>
          <w:rStyle w:val="FootnoteReference"/>
        </w:rPr>
        <w:footnoteRef/>
      </w:r>
      <w:r>
        <w:rPr>
          <w:sz w:val="20"/>
          <w:szCs w:val="20"/>
        </w:rPr>
        <w:tab/>
      </w:r>
      <w:r w:rsidRPr="00187F38">
        <w:rPr>
          <w:sz w:val="20"/>
          <w:szCs w:val="20"/>
        </w:rPr>
        <w:t>Directive 2014/42/EU of the European Parliament and of the Council of 3 April 2014 on the freezing and confiscation of instrumentalities and proceeds of crime in the European Union</w:t>
      </w:r>
      <w:r>
        <w:rPr>
          <w:sz w:val="20"/>
          <w:szCs w:val="20"/>
        </w:rPr>
        <w:t xml:space="preserve"> (</w:t>
      </w:r>
      <w:r w:rsidRPr="00187F38">
        <w:rPr>
          <w:sz w:val="20"/>
          <w:szCs w:val="20"/>
        </w:rPr>
        <w:t>OJ L 127, 29.4.2014, p. 39 ELI: </w:t>
      </w:r>
      <w:hyperlink r:id="rId17" w:history="1">
        <w:r w:rsidRPr="00CB2C17">
          <w:rPr>
            <w:rStyle w:val="Hyperlink"/>
            <w:sz w:val="20"/>
            <w:szCs w:val="20"/>
          </w:rPr>
          <w:t>http://data.europa.eu/eli/dir/2014/42/oj</w:t>
        </w:r>
      </w:hyperlink>
      <w:r>
        <w:rPr>
          <w:sz w:val="20"/>
          <w:szCs w:val="20"/>
        </w:rPr>
        <w:t>).</w:t>
      </w:r>
      <w:r>
        <w:rPr>
          <w:rFonts w:ascii="Segoe UI" w:hAnsi="Segoe UI" w:cs="Segoe UI"/>
          <w:color w:val="000000"/>
          <w:sz w:val="20"/>
          <w:szCs w:val="20"/>
        </w:rPr>
        <w:t xml:space="preserve"> </w:t>
      </w:r>
    </w:p>
  </w:footnote>
  <w:footnote w:id="61">
    <w:p w14:paraId="18BC8564" w14:textId="15607E9B" w:rsidR="00771565" w:rsidRPr="00654067" w:rsidRDefault="00771565" w:rsidP="00AF335C">
      <w:pPr>
        <w:autoSpaceDE w:val="0"/>
        <w:autoSpaceDN w:val="0"/>
        <w:spacing w:before="40" w:after="40"/>
        <w:ind w:left="709" w:hanging="709"/>
        <w:rPr>
          <w:sz w:val="20"/>
          <w:szCs w:val="20"/>
        </w:rPr>
      </w:pPr>
      <w:r w:rsidRPr="00AF335C">
        <w:rPr>
          <w:rStyle w:val="FootnoteReference"/>
        </w:rPr>
        <w:footnoteRef/>
      </w:r>
      <w:r>
        <w:rPr>
          <w:sz w:val="20"/>
          <w:szCs w:val="20"/>
        </w:rPr>
        <w:tab/>
      </w:r>
      <w:r w:rsidRPr="00187F38">
        <w:rPr>
          <w:sz w:val="20"/>
          <w:szCs w:val="20"/>
        </w:rPr>
        <w:t>Directive 2014/42/EU of the European Parliament and of the Council of 3 April 2014 on the freezing and confiscation of instrumentalities and proceeds of crime in the European Union</w:t>
      </w:r>
      <w:r>
        <w:rPr>
          <w:sz w:val="20"/>
          <w:szCs w:val="20"/>
        </w:rPr>
        <w:t xml:space="preserve"> (</w:t>
      </w:r>
      <w:r w:rsidRPr="00187F38">
        <w:rPr>
          <w:sz w:val="20"/>
          <w:szCs w:val="20"/>
        </w:rPr>
        <w:t>OJ L 127, 29.4.2014, p. 39 ELI: </w:t>
      </w:r>
      <w:hyperlink r:id="rId18" w:history="1">
        <w:r w:rsidRPr="00CB2C17">
          <w:rPr>
            <w:rStyle w:val="Hyperlink"/>
            <w:sz w:val="20"/>
            <w:szCs w:val="20"/>
          </w:rPr>
          <w:t>http://data.europa.eu/eli/dir/2014/42/oj</w:t>
        </w:r>
      </w:hyperlink>
      <w:r>
        <w:rPr>
          <w:rFonts w:ascii="Segoe UI" w:hAnsi="Segoe UI" w:cs="Segoe UI"/>
          <w:color w:val="000000"/>
          <w:sz w:val="20"/>
          <w:szCs w:val="20"/>
        </w:rPr>
        <w:t>).</w:t>
      </w:r>
    </w:p>
  </w:footnote>
  <w:footnote w:id="62">
    <w:p w14:paraId="296EC6FB" w14:textId="61F95BE1" w:rsidR="00771565" w:rsidRPr="00BC6826" w:rsidRDefault="00771565" w:rsidP="009D7DD5">
      <w:pPr>
        <w:pStyle w:val="FootnoteText"/>
        <w:rPr>
          <w:lang w:val="en-IE"/>
        </w:rPr>
      </w:pPr>
      <w:r w:rsidRPr="007E10BB">
        <w:rPr>
          <w:rStyle w:val="FootnoteReference"/>
        </w:rPr>
        <w:footnoteRef/>
      </w:r>
      <w:r>
        <w:tab/>
      </w:r>
      <w:r w:rsidRPr="009D7DD5">
        <w:rPr>
          <w:lang w:val="en-IE"/>
        </w:rPr>
        <w:t>Directive 2009/52/EC of the European Parliament and of the Council of 18 June 2009 providing for minimum standards on sanctions and measures against employers of illegally staying third-country nationals</w:t>
      </w:r>
      <w:r w:rsidDel="000050F1">
        <w:rPr>
          <w:lang w:val="en-IE"/>
        </w:rPr>
        <w:t xml:space="preserve"> </w:t>
      </w:r>
      <w:r>
        <w:rPr>
          <w:lang w:val="en-IE"/>
        </w:rPr>
        <w:t>(</w:t>
      </w:r>
      <w:r w:rsidRPr="009D7DD5">
        <w:rPr>
          <w:lang w:val="en-IE"/>
        </w:rPr>
        <w:t>OJ L 168, 30.6.2009, p. 24</w:t>
      </w:r>
      <w:r>
        <w:rPr>
          <w:lang w:val="en-IE"/>
        </w:rPr>
        <w:t xml:space="preserve">, </w:t>
      </w:r>
      <w:r w:rsidRPr="009D7DD5">
        <w:rPr>
          <w:lang w:val="en-IE"/>
        </w:rPr>
        <w:t xml:space="preserve">ELI: </w:t>
      </w:r>
      <w:hyperlink r:id="rId19" w:history="1">
        <w:r w:rsidRPr="00CB2C17">
          <w:rPr>
            <w:rStyle w:val="Hyperlink"/>
            <w:lang w:val="en-IE"/>
          </w:rPr>
          <w:t>http://data.europa.eu/eli/dir/2009/52/oj</w:t>
        </w:r>
      </w:hyperlink>
      <w:r>
        <w:rPr>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33A41F6"/>
    <w:lvl w:ilvl="0">
      <w:start w:val="1"/>
      <w:numFmt w:val="bullet"/>
      <w:pStyle w:val="ListBullet4"/>
      <w:lvlText w:val=""/>
      <w:lvlJc w:val="left"/>
      <w:pPr>
        <w:tabs>
          <w:tab w:val="num" w:pos="2267"/>
        </w:tabs>
        <w:ind w:left="2267" w:hanging="360"/>
      </w:pPr>
      <w:rPr>
        <w:rFonts w:ascii="Symbol" w:hAnsi="Symbol" w:hint="default"/>
      </w:rPr>
    </w:lvl>
  </w:abstractNum>
  <w:abstractNum w:abstractNumId="1" w15:restartNumberingAfterBreak="0">
    <w:nsid w:val="FFFFFF82"/>
    <w:multiLevelType w:val="singleLevel"/>
    <w:tmpl w:val="1ADA608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85A43B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A46DCA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1"/>
    <w:lvlOverride w:ilvl="0">
      <w:startOverride w:val="1"/>
    </w:lvlOverride>
  </w:num>
  <w:num w:numId="2">
    <w:abstractNumId w:val="3"/>
  </w:num>
  <w:num w:numId="3">
    <w:abstractNumId w:val="2"/>
  </w:num>
  <w:num w:numId="4">
    <w:abstractNumId w:val="1"/>
  </w:num>
  <w:num w:numId="5">
    <w:abstractNumId w:val="0"/>
  </w:num>
  <w:num w:numId="6">
    <w:abstractNumId w:val="15"/>
    <w:lvlOverride w:ilvl="0">
      <w:startOverride w:val="1"/>
    </w:lvlOverride>
  </w:num>
  <w:num w:numId="7">
    <w:abstractNumId w:val="18"/>
    <w:lvlOverride w:ilvl="0">
      <w:startOverride w:val="1"/>
    </w:lvlOverride>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 w:numId="23">
    <w:abstractNumId w:val="15"/>
  </w:num>
  <w:num w:numId="24">
    <w:abstractNumId w:val="8"/>
  </w:num>
  <w:num w:numId="25">
    <w:abstractNumId w:val="17"/>
  </w:num>
  <w:num w:numId="26">
    <w:abstractNumId w:val="7"/>
  </w:num>
  <w:num w:numId="27">
    <w:abstractNumId w:val="9"/>
  </w:num>
  <w:num w:numId="28">
    <w:abstractNumId w:val="10"/>
  </w:num>
  <w:num w:numId="29">
    <w:abstractNumId w:val="5"/>
  </w:num>
  <w:num w:numId="30">
    <w:abstractNumId w:val="16"/>
  </w:num>
  <w:num w:numId="31">
    <w:abstractNumId w:val="4"/>
  </w:num>
  <w:num w:numId="32">
    <w:abstractNumId w:val="11"/>
  </w:num>
  <w:num w:numId="33">
    <w:abstractNumId w:val="13"/>
  </w:num>
  <w:num w:numId="34">
    <w:abstractNumId w:val="14"/>
  </w:num>
  <w:num w:numId="35">
    <w:abstractNumId w:val="6"/>
  </w:num>
  <w:num w:numId="36">
    <w:abstractNumId w:val="12"/>
  </w:num>
  <w:num w:numId="37">
    <w:abstractNumId w:val="18"/>
  </w:num>
  <w:num w:numId="38">
    <w:abstractNumId w:val="16"/>
  </w:num>
  <w:num w:numId="39">
    <w:abstractNumId w:val="16"/>
  </w:num>
  <w:num w:numId="40">
    <w:abstractNumId w:val="16"/>
  </w:num>
  <w:num w:numId="41">
    <w:abstractNumId w:val="10"/>
  </w:num>
  <w:num w:numId="42">
    <w:abstractNumId w:val="5"/>
  </w:num>
  <w:num w:numId="43">
    <w:abstractNumId w:val="5"/>
  </w:num>
  <w:num w:numId="4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11-23 09:01: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F9C4CFCE-7791-4B3D-9B48-DF5134C29CCD"/>
    <w:docVar w:name="LW_COVERPAGE_TYPE" w:val="1"/>
    <w:docVar w:name="LW_CROSSREFERENCE" w:val="&lt;UNUSED&gt;"/>
    <w:docVar w:name="LW_DocType" w:val="COM"/>
    <w:docVar w:name="LW_EMISSION" w:val="28.11.2023"/>
    <w:docVar w:name="LW_EMISSION_ISODATE" w:val="2023-11-28"/>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439"/>
    <w:docVar w:name="LW_REF.II.NEW.CP_YEAR" w:val="2023"/>
    <w:docVar w:name="LW_REF.INST.NEW" w:val="COM"/>
    <w:docVar w:name="LW_REF.INST.NEW_ADOPTED" w:val="final"/>
    <w:docVar w:name="LW_REF.INST.NEW_TEXT" w:val="(2023) 75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laying down minimum rules to prevent and counter the facilitation of unauthorised entry, transit and stay in the Union, and replacing Council Directive 2002/90/EC and Council Framework Decision 2002/946 JHA"/>
    <w:docVar w:name="LW_TYPE.DOC.CP" w:val="DIRECTIVE OF THE EUROPEAN PARLIAMENT AND OF THE COUNCIL"/>
    <w:docVar w:name="LwApiVersions" w:val="LW4CoDe 1.23.2.0; LW 8.0, Build 20211117"/>
  </w:docVars>
  <w:rsids>
    <w:rsidRoot w:val="0066307E"/>
    <w:rsid w:val="00000574"/>
    <w:rsid w:val="00000BF6"/>
    <w:rsid w:val="00000E0B"/>
    <w:rsid w:val="0000133D"/>
    <w:rsid w:val="00001731"/>
    <w:rsid w:val="00001B52"/>
    <w:rsid w:val="00001E2A"/>
    <w:rsid w:val="00002677"/>
    <w:rsid w:val="00002741"/>
    <w:rsid w:val="000029E6"/>
    <w:rsid w:val="0000360C"/>
    <w:rsid w:val="0000366F"/>
    <w:rsid w:val="00004E7F"/>
    <w:rsid w:val="000050F1"/>
    <w:rsid w:val="000050FF"/>
    <w:rsid w:val="000058D0"/>
    <w:rsid w:val="000059BD"/>
    <w:rsid w:val="00006607"/>
    <w:rsid w:val="00006B09"/>
    <w:rsid w:val="00006EE6"/>
    <w:rsid w:val="00006FF9"/>
    <w:rsid w:val="00007056"/>
    <w:rsid w:val="00007067"/>
    <w:rsid w:val="000070A6"/>
    <w:rsid w:val="000107C2"/>
    <w:rsid w:val="00010CE7"/>
    <w:rsid w:val="0001187D"/>
    <w:rsid w:val="00011A2A"/>
    <w:rsid w:val="00012215"/>
    <w:rsid w:val="000137BD"/>
    <w:rsid w:val="00013848"/>
    <w:rsid w:val="00014050"/>
    <w:rsid w:val="000141AF"/>
    <w:rsid w:val="0001437B"/>
    <w:rsid w:val="000147BF"/>
    <w:rsid w:val="00015BB8"/>
    <w:rsid w:val="00016191"/>
    <w:rsid w:val="00016C22"/>
    <w:rsid w:val="00016D55"/>
    <w:rsid w:val="00017066"/>
    <w:rsid w:val="00017518"/>
    <w:rsid w:val="00020384"/>
    <w:rsid w:val="0002052F"/>
    <w:rsid w:val="00020977"/>
    <w:rsid w:val="00021092"/>
    <w:rsid w:val="0002179D"/>
    <w:rsid w:val="00021982"/>
    <w:rsid w:val="000219C1"/>
    <w:rsid w:val="0002200F"/>
    <w:rsid w:val="0002234C"/>
    <w:rsid w:val="00022970"/>
    <w:rsid w:val="00022EE6"/>
    <w:rsid w:val="00022EFD"/>
    <w:rsid w:val="00022FB8"/>
    <w:rsid w:val="0002345E"/>
    <w:rsid w:val="000234A9"/>
    <w:rsid w:val="00024550"/>
    <w:rsid w:val="00024A4D"/>
    <w:rsid w:val="00024DCA"/>
    <w:rsid w:val="00024DFC"/>
    <w:rsid w:val="00024EF8"/>
    <w:rsid w:val="000252FC"/>
    <w:rsid w:val="00025491"/>
    <w:rsid w:val="00025D5D"/>
    <w:rsid w:val="00026800"/>
    <w:rsid w:val="00027527"/>
    <w:rsid w:val="00027F84"/>
    <w:rsid w:val="00030303"/>
    <w:rsid w:val="00030356"/>
    <w:rsid w:val="0003134C"/>
    <w:rsid w:val="000314A5"/>
    <w:rsid w:val="00031734"/>
    <w:rsid w:val="000317AD"/>
    <w:rsid w:val="00031A81"/>
    <w:rsid w:val="00031DB4"/>
    <w:rsid w:val="0003225A"/>
    <w:rsid w:val="00032C0C"/>
    <w:rsid w:val="00033163"/>
    <w:rsid w:val="00033DC8"/>
    <w:rsid w:val="00034D1D"/>
    <w:rsid w:val="00035544"/>
    <w:rsid w:val="000358B0"/>
    <w:rsid w:val="000363D5"/>
    <w:rsid w:val="0003682A"/>
    <w:rsid w:val="00036CEA"/>
    <w:rsid w:val="00037283"/>
    <w:rsid w:val="00037A79"/>
    <w:rsid w:val="00037B1F"/>
    <w:rsid w:val="00040435"/>
    <w:rsid w:val="000413A7"/>
    <w:rsid w:val="00041D43"/>
    <w:rsid w:val="00042038"/>
    <w:rsid w:val="000421C2"/>
    <w:rsid w:val="0004234E"/>
    <w:rsid w:val="00042D35"/>
    <w:rsid w:val="00043532"/>
    <w:rsid w:val="00043C7F"/>
    <w:rsid w:val="000440DF"/>
    <w:rsid w:val="0004428F"/>
    <w:rsid w:val="000448FD"/>
    <w:rsid w:val="00044D3C"/>
    <w:rsid w:val="00045BB5"/>
    <w:rsid w:val="00045DA3"/>
    <w:rsid w:val="00046652"/>
    <w:rsid w:val="000469D6"/>
    <w:rsid w:val="00046BDA"/>
    <w:rsid w:val="000475F0"/>
    <w:rsid w:val="00047A70"/>
    <w:rsid w:val="00047CED"/>
    <w:rsid w:val="00047E2E"/>
    <w:rsid w:val="00050308"/>
    <w:rsid w:val="00050683"/>
    <w:rsid w:val="0005082C"/>
    <w:rsid w:val="000508E6"/>
    <w:rsid w:val="00051113"/>
    <w:rsid w:val="0005117F"/>
    <w:rsid w:val="0005130F"/>
    <w:rsid w:val="0005135A"/>
    <w:rsid w:val="0005185F"/>
    <w:rsid w:val="000518EB"/>
    <w:rsid w:val="000521A2"/>
    <w:rsid w:val="000523A6"/>
    <w:rsid w:val="00053121"/>
    <w:rsid w:val="000531D6"/>
    <w:rsid w:val="00053D9D"/>
    <w:rsid w:val="000541BB"/>
    <w:rsid w:val="00054702"/>
    <w:rsid w:val="00054798"/>
    <w:rsid w:val="00054AE3"/>
    <w:rsid w:val="00054D47"/>
    <w:rsid w:val="000551BC"/>
    <w:rsid w:val="00055637"/>
    <w:rsid w:val="00055D12"/>
    <w:rsid w:val="00055EFF"/>
    <w:rsid w:val="00056071"/>
    <w:rsid w:val="0005616F"/>
    <w:rsid w:val="000565EB"/>
    <w:rsid w:val="00056D50"/>
    <w:rsid w:val="00056D8F"/>
    <w:rsid w:val="00057241"/>
    <w:rsid w:val="00057544"/>
    <w:rsid w:val="00060339"/>
    <w:rsid w:val="00060417"/>
    <w:rsid w:val="000608FB"/>
    <w:rsid w:val="00060F69"/>
    <w:rsid w:val="0006151B"/>
    <w:rsid w:val="00061AD1"/>
    <w:rsid w:val="00061BE7"/>
    <w:rsid w:val="000635D7"/>
    <w:rsid w:val="00063B67"/>
    <w:rsid w:val="00063D72"/>
    <w:rsid w:val="0006462B"/>
    <w:rsid w:val="000647EC"/>
    <w:rsid w:val="000648DC"/>
    <w:rsid w:val="000653C8"/>
    <w:rsid w:val="0006607B"/>
    <w:rsid w:val="00066272"/>
    <w:rsid w:val="00066C19"/>
    <w:rsid w:val="00066F2D"/>
    <w:rsid w:val="000670FE"/>
    <w:rsid w:val="000677F1"/>
    <w:rsid w:val="00067E55"/>
    <w:rsid w:val="00070DEA"/>
    <w:rsid w:val="00071B31"/>
    <w:rsid w:val="000735E3"/>
    <w:rsid w:val="0007391A"/>
    <w:rsid w:val="00073D17"/>
    <w:rsid w:val="000742B6"/>
    <w:rsid w:val="0007453A"/>
    <w:rsid w:val="00074722"/>
    <w:rsid w:val="000750E5"/>
    <w:rsid w:val="00076448"/>
    <w:rsid w:val="0007670B"/>
    <w:rsid w:val="00076FC2"/>
    <w:rsid w:val="00077332"/>
    <w:rsid w:val="00077397"/>
    <w:rsid w:val="000806C0"/>
    <w:rsid w:val="00080E8B"/>
    <w:rsid w:val="00080F58"/>
    <w:rsid w:val="0008144E"/>
    <w:rsid w:val="00081A39"/>
    <w:rsid w:val="00081C8E"/>
    <w:rsid w:val="00081DDC"/>
    <w:rsid w:val="00082918"/>
    <w:rsid w:val="00082B0B"/>
    <w:rsid w:val="00082B9A"/>
    <w:rsid w:val="000836DD"/>
    <w:rsid w:val="00084C2A"/>
    <w:rsid w:val="00084D85"/>
    <w:rsid w:val="000854E8"/>
    <w:rsid w:val="000859E6"/>
    <w:rsid w:val="000860A1"/>
    <w:rsid w:val="000866D3"/>
    <w:rsid w:val="000867CF"/>
    <w:rsid w:val="00086F19"/>
    <w:rsid w:val="00086F5C"/>
    <w:rsid w:val="00087048"/>
    <w:rsid w:val="000875A5"/>
    <w:rsid w:val="00087750"/>
    <w:rsid w:val="000878F0"/>
    <w:rsid w:val="00087C84"/>
    <w:rsid w:val="00090103"/>
    <w:rsid w:val="00090298"/>
    <w:rsid w:val="0009059E"/>
    <w:rsid w:val="00090E93"/>
    <w:rsid w:val="00091873"/>
    <w:rsid w:val="00091C9E"/>
    <w:rsid w:val="000925B1"/>
    <w:rsid w:val="000928AE"/>
    <w:rsid w:val="00092E89"/>
    <w:rsid w:val="000933DC"/>
    <w:rsid w:val="0009357E"/>
    <w:rsid w:val="0009360F"/>
    <w:rsid w:val="00093E4C"/>
    <w:rsid w:val="000943E2"/>
    <w:rsid w:val="00094446"/>
    <w:rsid w:val="0009470D"/>
    <w:rsid w:val="0009492F"/>
    <w:rsid w:val="00094E02"/>
    <w:rsid w:val="00094FE4"/>
    <w:rsid w:val="0009503B"/>
    <w:rsid w:val="000950F0"/>
    <w:rsid w:val="000952AB"/>
    <w:rsid w:val="00095B6D"/>
    <w:rsid w:val="00096A1D"/>
    <w:rsid w:val="00096BD9"/>
    <w:rsid w:val="000971D5"/>
    <w:rsid w:val="00097C33"/>
    <w:rsid w:val="00097D2B"/>
    <w:rsid w:val="000A0508"/>
    <w:rsid w:val="000A0603"/>
    <w:rsid w:val="000A0650"/>
    <w:rsid w:val="000A0C55"/>
    <w:rsid w:val="000A10A9"/>
    <w:rsid w:val="000A13EF"/>
    <w:rsid w:val="000A1DF1"/>
    <w:rsid w:val="000A24F0"/>
    <w:rsid w:val="000A273A"/>
    <w:rsid w:val="000A382E"/>
    <w:rsid w:val="000A403B"/>
    <w:rsid w:val="000A442F"/>
    <w:rsid w:val="000A4749"/>
    <w:rsid w:val="000A4785"/>
    <w:rsid w:val="000A4D3F"/>
    <w:rsid w:val="000A5373"/>
    <w:rsid w:val="000A53AC"/>
    <w:rsid w:val="000A5431"/>
    <w:rsid w:val="000A557E"/>
    <w:rsid w:val="000A609C"/>
    <w:rsid w:val="000A6483"/>
    <w:rsid w:val="000A64B8"/>
    <w:rsid w:val="000A6868"/>
    <w:rsid w:val="000A6CEB"/>
    <w:rsid w:val="000A6FBC"/>
    <w:rsid w:val="000A7C67"/>
    <w:rsid w:val="000B095A"/>
    <w:rsid w:val="000B0A62"/>
    <w:rsid w:val="000B0BED"/>
    <w:rsid w:val="000B15CB"/>
    <w:rsid w:val="000B18C7"/>
    <w:rsid w:val="000B19DE"/>
    <w:rsid w:val="000B2D44"/>
    <w:rsid w:val="000B311E"/>
    <w:rsid w:val="000B360D"/>
    <w:rsid w:val="000B385F"/>
    <w:rsid w:val="000B38DB"/>
    <w:rsid w:val="000B39AE"/>
    <w:rsid w:val="000B408E"/>
    <w:rsid w:val="000B4D0F"/>
    <w:rsid w:val="000B5207"/>
    <w:rsid w:val="000B54F8"/>
    <w:rsid w:val="000B599C"/>
    <w:rsid w:val="000B5CAA"/>
    <w:rsid w:val="000B5EEF"/>
    <w:rsid w:val="000B61CB"/>
    <w:rsid w:val="000B629B"/>
    <w:rsid w:val="000B6359"/>
    <w:rsid w:val="000B6616"/>
    <w:rsid w:val="000B6B77"/>
    <w:rsid w:val="000B6BDD"/>
    <w:rsid w:val="000B7AB7"/>
    <w:rsid w:val="000C0135"/>
    <w:rsid w:val="000C0999"/>
    <w:rsid w:val="000C0A98"/>
    <w:rsid w:val="000C0DEA"/>
    <w:rsid w:val="000C14FF"/>
    <w:rsid w:val="000C1814"/>
    <w:rsid w:val="000C214B"/>
    <w:rsid w:val="000C2396"/>
    <w:rsid w:val="000C2C38"/>
    <w:rsid w:val="000C3E8D"/>
    <w:rsid w:val="000C4ABE"/>
    <w:rsid w:val="000C4B43"/>
    <w:rsid w:val="000C4E81"/>
    <w:rsid w:val="000C5309"/>
    <w:rsid w:val="000C6366"/>
    <w:rsid w:val="000C6AB0"/>
    <w:rsid w:val="000C6C15"/>
    <w:rsid w:val="000C7309"/>
    <w:rsid w:val="000C73FF"/>
    <w:rsid w:val="000C743F"/>
    <w:rsid w:val="000C74F9"/>
    <w:rsid w:val="000C7649"/>
    <w:rsid w:val="000C76CB"/>
    <w:rsid w:val="000C7949"/>
    <w:rsid w:val="000C7CA1"/>
    <w:rsid w:val="000D00C7"/>
    <w:rsid w:val="000D05CA"/>
    <w:rsid w:val="000D0BF6"/>
    <w:rsid w:val="000D0EAC"/>
    <w:rsid w:val="000D1076"/>
    <w:rsid w:val="000D17E9"/>
    <w:rsid w:val="000D1947"/>
    <w:rsid w:val="000D1B6C"/>
    <w:rsid w:val="000D1F82"/>
    <w:rsid w:val="000D286C"/>
    <w:rsid w:val="000D2DEC"/>
    <w:rsid w:val="000D36F0"/>
    <w:rsid w:val="000D4A07"/>
    <w:rsid w:val="000D55D0"/>
    <w:rsid w:val="000D5867"/>
    <w:rsid w:val="000D588D"/>
    <w:rsid w:val="000D5938"/>
    <w:rsid w:val="000D69AB"/>
    <w:rsid w:val="000D6B2D"/>
    <w:rsid w:val="000D7434"/>
    <w:rsid w:val="000E0200"/>
    <w:rsid w:val="000E022C"/>
    <w:rsid w:val="000E0D3C"/>
    <w:rsid w:val="000E0DD1"/>
    <w:rsid w:val="000E181A"/>
    <w:rsid w:val="000E18A3"/>
    <w:rsid w:val="000E18EC"/>
    <w:rsid w:val="000E1D41"/>
    <w:rsid w:val="000E1FE9"/>
    <w:rsid w:val="000E23E9"/>
    <w:rsid w:val="000E2E59"/>
    <w:rsid w:val="000E3866"/>
    <w:rsid w:val="000E3A27"/>
    <w:rsid w:val="000E3EC1"/>
    <w:rsid w:val="000E47C5"/>
    <w:rsid w:val="000E4BCF"/>
    <w:rsid w:val="000E5230"/>
    <w:rsid w:val="000E5476"/>
    <w:rsid w:val="000E5FE5"/>
    <w:rsid w:val="000E637C"/>
    <w:rsid w:val="000E6A56"/>
    <w:rsid w:val="000E6C89"/>
    <w:rsid w:val="000E6F0F"/>
    <w:rsid w:val="000E7177"/>
    <w:rsid w:val="000E7CFF"/>
    <w:rsid w:val="000F1DBC"/>
    <w:rsid w:val="000F1EA9"/>
    <w:rsid w:val="000F28D7"/>
    <w:rsid w:val="000F29EC"/>
    <w:rsid w:val="000F2F2E"/>
    <w:rsid w:val="000F2FE3"/>
    <w:rsid w:val="000F30FE"/>
    <w:rsid w:val="000F32B5"/>
    <w:rsid w:val="000F3966"/>
    <w:rsid w:val="000F3D62"/>
    <w:rsid w:val="000F41C2"/>
    <w:rsid w:val="000F447E"/>
    <w:rsid w:val="000F4798"/>
    <w:rsid w:val="000F4882"/>
    <w:rsid w:val="000F5165"/>
    <w:rsid w:val="000F5247"/>
    <w:rsid w:val="000F538D"/>
    <w:rsid w:val="000F5948"/>
    <w:rsid w:val="000F5E02"/>
    <w:rsid w:val="000F678E"/>
    <w:rsid w:val="000F6D9D"/>
    <w:rsid w:val="000F7361"/>
    <w:rsid w:val="000F7830"/>
    <w:rsid w:val="000F7A33"/>
    <w:rsid w:val="000F7B3E"/>
    <w:rsid w:val="000F7BEB"/>
    <w:rsid w:val="000F7D8B"/>
    <w:rsid w:val="000F7E8C"/>
    <w:rsid w:val="000FB1EC"/>
    <w:rsid w:val="0010044F"/>
    <w:rsid w:val="0010141D"/>
    <w:rsid w:val="00101847"/>
    <w:rsid w:val="00101935"/>
    <w:rsid w:val="001019B4"/>
    <w:rsid w:val="00101B46"/>
    <w:rsid w:val="00101BE3"/>
    <w:rsid w:val="00101EFD"/>
    <w:rsid w:val="00101F66"/>
    <w:rsid w:val="001025DF"/>
    <w:rsid w:val="00102897"/>
    <w:rsid w:val="00102CED"/>
    <w:rsid w:val="00102F21"/>
    <w:rsid w:val="001031C5"/>
    <w:rsid w:val="00103877"/>
    <w:rsid w:val="0010388D"/>
    <w:rsid w:val="00104117"/>
    <w:rsid w:val="00104962"/>
    <w:rsid w:val="001050BC"/>
    <w:rsid w:val="001054B8"/>
    <w:rsid w:val="00105A93"/>
    <w:rsid w:val="00105EA7"/>
    <w:rsid w:val="001065F5"/>
    <w:rsid w:val="001069D4"/>
    <w:rsid w:val="001074C8"/>
    <w:rsid w:val="001075BE"/>
    <w:rsid w:val="00107ADF"/>
    <w:rsid w:val="00110FB7"/>
    <w:rsid w:val="00112479"/>
    <w:rsid w:val="00112656"/>
    <w:rsid w:val="00112F82"/>
    <w:rsid w:val="001132E5"/>
    <w:rsid w:val="00113536"/>
    <w:rsid w:val="001138FF"/>
    <w:rsid w:val="00113CEF"/>
    <w:rsid w:val="001144B2"/>
    <w:rsid w:val="001146E8"/>
    <w:rsid w:val="001152E8"/>
    <w:rsid w:val="0011558E"/>
    <w:rsid w:val="00115893"/>
    <w:rsid w:val="00115A89"/>
    <w:rsid w:val="00115BB9"/>
    <w:rsid w:val="00115CF0"/>
    <w:rsid w:val="0011696F"/>
    <w:rsid w:val="00116AF1"/>
    <w:rsid w:val="0011724F"/>
    <w:rsid w:val="0011729E"/>
    <w:rsid w:val="00117CB5"/>
    <w:rsid w:val="00117CC5"/>
    <w:rsid w:val="001204C7"/>
    <w:rsid w:val="00120ACB"/>
    <w:rsid w:val="00120C10"/>
    <w:rsid w:val="00120CFD"/>
    <w:rsid w:val="001210D0"/>
    <w:rsid w:val="00121B06"/>
    <w:rsid w:val="00121B75"/>
    <w:rsid w:val="001224FE"/>
    <w:rsid w:val="00122B0B"/>
    <w:rsid w:val="00122D8B"/>
    <w:rsid w:val="00122D9C"/>
    <w:rsid w:val="00122FE7"/>
    <w:rsid w:val="001238EF"/>
    <w:rsid w:val="00123B08"/>
    <w:rsid w:val="00123E4B"/>
    <w:rsid w:val="00123F92"/>
    <w:rsid w:val="00124612"/>
    <w:rsid w:val="00125209"/>
    <w:rsid w:val="0012542D"/>
    <w:rsid w:val="001259F0"/>
    <w:rsid w:val="00125A9B"/>
    <w:rsid w:val="00125ABA"/>
    <w:rsid w:val="00125AD2"/>
    <w:rsid w:val="00126B6C"/>
    <w:rsid w:val="001272A6"/>
    <w:rsid w:val="00127C18"/>
    <w:rsid w:val="00127C6A"/>
    <w:rsid w:val="00130CBE"/>
    <w:rsid w:val="00131534"/>
    <w:rsid w:val="00131940"/>
    <w:rsid w:val="00132320"/>
    <w:rsid w:val="00133114"/>
    <w:rsid w:val="00133339"/>
    <w:rsid w:val="0013406B"/>
    <w:rsid w:val="0013406C"/>
    <w:rsid w:val="00134087"/>
    <w:rsid w:val="00134575"/>
    <w:rsid w:val="00134EA4"/>
    <w:rsid w:val="00135E2D"/>
    <w:rsid w:val="001362FC"/>
    <w:rsid w:val="0013671A"/>
    <w:rsid w:val="00137FC6"/>
    <w:rsid w:val="00140872"/>
    <w:rsid w:val="00140BDD"/>
    <w:rsid w:val="00140FCE"/>
    <w:rsid w:val="001419E9"/>
    <w:rsid w:val="00141F65"/>
    <w:rsid w:val="0014300B"/>
    <w:rsid w:val="00143013"/>
    <w:rsid w:val="001432E4"/>
    <w:rsid w:val="00143F68"/>
    <w:rsid w:val="00144450"/>
    <w:rsid w:val="00145DC9"/>
    <w:rsid w:val="00146AD8"/>
    <w:rsid w:val="00146D06"/>
    <w:rsid w:val="00146ED0"/>
    <w:rsid w:val="001479EE"/>
    <w:rsid w:val="0015068B"/>
    <w:rsid w:val="00150703"/>
    <w:rsid w:val="00150728"/>
    <w:rsid w:val="00151058"/>
    <w:rsid w:val="001515FE"/>
    <w:rsid w:val="00151843"/>
    <w:rsid w:val="00151F12"/>
    <w:rsid w:val="00151F86"/>
    <w:rsid w:val="001530A3"/>
    <w:rsid w:val="001532BD"/>
    <w:rsid w:val="00153968"/>
    <w:rsid w:val="00153D2A"/>
    <w:rsid w:val="00153F4E"/>
    <w:rsid w:val="00154015"/>
    <w:rsid w:val="00154398"/>
    <w:rsid w:val="001546EA"/>
    <w:rsid w:val="00154DDA"/>
    <w:rsid w:val="00155212"/>
    <w:rsid w:val="00155EF5"/>
    <w:rsid w:val="001563D4"/>
    <w:rsid w:val="001564A6"/>
    <w:rsid w:val="00156765"/>
    <w:rsid w:val="001574FA"/>
    <w:rsid w:val="001604D5"/>
    <w:rsid w:val="0016097C"/>
    <w:rsid w:val="00161EBD"/>
    <w:rsid w:val="001625EF"/>
    <w:rsid w:val="00162833"/>
    <w:rsid w:val="00162848"/>
    <w:rsid w:val="00163713"/>
    <w:rsid w:val="001639AE"/>
    <w:rsid w:val="00163A99"/>
    <w:rsid w:val="001642BA"/>
    <w:rsid w:val="0016435F"/>
    <w:rsid w:val="001650CC"/>
    <w:rsid w:val="0016544C"/>
    <w:rsid w:val="0016597C"/>
    <w:rsid w:val="00165E6A"/>
    <w:rsid w:val="00165F6A"/>
    <w:rsid w:val="001661A9"/>
    <w:rsid w:val="00166336"/>
    <w:rsid w:val="00166473"/>
    <w:rsid w:val="00167239"/>
    <w:rsid w:val="00167B90"/>
    <w:rsid w:val="00167FD1"/>
    <w:rsid w:val="00170538"/>
    <w:rsid w:val="00170721"/>
    <w:rsid w:val="00171763"/>
    <w:rsid w:val="001718C7"/>
    <w:rsid w:val="00171AA2"/>
    <w:rsid w:val="00171C0F"/>
    <w:rsid w:val="001723E5"/>
    <w:rsid w:val="001726C5"/>
    <w:rsid w:val="00172D48"/>
    <w:rsid w:val="00172EDC"/>
    <w:rsid w:val="00173A49"/>
    <w:rsid w:val="00173BB2"/>
    <w:rsid w:val="001744EE"/>
    <w:rsid w:val="00174775"/>
    <w:rsid w:val="00174991"/>
    <w:rsid w:val="00174A71"/>
    <w:rsid w:val="00174B65"/>
    <w:rsid w:val="00175532"/>
    <w:rsid w:val="00175950"/>
    <w:rsid w:val="00176117"/>
    <w:rsid w:val="0017643B"/>
    <w:rsid w:val="001766A1"/>
    <w:rsid w:val="00176CF1"/>
    <w:rsid w:val="00177C70"/>
    <w:rsid w:val="0018028D"/>
    <w:rsid w:val="00180B7B"/>
    <w:rsid w:val="00180D20"/>
    <w:rsid w:val="00180EB0"/>
    <w:rsid w:val="00181BE5"/>
    <w:rsid w:val="001827D4"/>
    <w:rsid w:val="00182B01"/>
    <w:rsid w:val="001837A0"/>
    <w:rsid w:val="00183B06"/>
    <w:rsid w:val="001840B8"/>
    <w:rsid w:val="001842CD"/>
    <w:rsid w:val="00184773"/>
    <w:rsid w:val="0018491F"/>
    <w:rsid w:val="001849DE"/>
    <w:rsid w:val="00184D13"/>
    <w:rsid w:val="00185583"/>
    <w:rsid w:val="001867A0"/>
    <w:rsid w:val="001872D5"/>
    <w:rsid w:val="0018732E"/>
    <w:rsid w:val="001875CE"/>
    <w:rsid w:val="0018769B"/>
    <w:rsid w:val="00187C7D"/>
    <w:rsid w:val="00187D0C"/>
    <w:rsid w:val="00187F38"/>
    <w:rsid w:val="00190577"/>
    <w:rsid w:val="00190EB7"/>
    <w:rsid w:val="00191434"/>
    <w:rsid w:val="0019148C"/>
    <w:rsid w:val="00191EBB"/>
    <w:rsid w:val="001939EF"/>
    <w:rsid w:val="00193E73"/>
    <w:rsid w:val="001949AD"/>
    <w:rsid w:val="00194B18"/>
    <w:rsid w:val="0019520C"/>
    <w:rsid w:val="001952F3"/>
    <w:rsid w:val="001954F3"/>
    <w:rsid w:val="00195D63"/>
    <w:rsid w:val="001961C8"/>
    <w:rsid w:val="00196750"/>
    <w:rsid w:val="00197025"/>
    <w:rsid w:val="0019713E"/>
    <w:rsid w:val="00197613"/>
    <w:rsid w:val="00197614"/>
    <w:rsid w:val="00197752"/>
    <w:rsid w:val="001A01EC"/>
    <w:rsid w:val="001A0B08"/>
    <w:rsid w:val="001A0E8B"/>
    <w:rsid w:val="001A100C"/>
    <w:rsid w:val="001A1116"/>
    <w:rsid w:val="001A1684"/>
    <w:rsid w:val="001A1DAA"/>
    <w:rsid w:val="001A265F"/>
    <w:rsid w:val="001A2731"/>
    <w:rsid w:val="001A3B9A"/>
    <w:rsid w:val="001A3C2C"/>
    <w:rsid w:val="001A3DA5"/>
    <w:rsid w:val="001A3DAC"/>
    <w:rsid w:val="001A4299"/>
    <w:rsid w:val="001A4724"/>
    <w:rsid w:val="001A47F8"/>
    <w:rsid w:val="001A4BC2"/>
    <w:rsid w:val="001A5142"/>
    <w:rsid w:val="001A51E1"/>
    <w:rsid w:val="001A53CC"/>
    <w:rsid w:val="001A565B"/>
    <w:rsid w:val="001A56D6"/>
    <w:rsid w:val="001A5B99"/>
    <w:rsid w:val="001A654E"/>
    <w:rsid w:val="001A678C"/>
    <w:rsid w:val="001A679A"/>
    <w:rsid w:val="001A6C90"/>
    <w:rsid w:val="001A7510"/>
    <w:rsid w:val="001B091C"/>
    <w:rsid w:val="001B093E"/>
    <w:rsid w:val="001B0E45"/>
    <w:rsid w:val="001B171E"/>
    <w:rsid w:val="001B196B"/>
    <w:rsid w:val="001B19FE"/>
    <w:rsid w:val="001B1C7C"/>
    <w:rsid w:val="001B27A5"/>
    <w:rsid w:val="001B2A4A"/>
    <w:rsid w:val="001B2B09"/>
    <w:rsid w:val="001B33D6"/>
    <w:rsid w:val="001B39FF"/>
    <w:rsid w:val="001B421E"/>
    <w:rsid w:val="001B4800"/>
    <w:rsid w:val="001B4A86"/>
    <w:rsid w:val="001B4D04"/>
    <w:rsid w:val="001B5030"/>
    <w:rsid w:val="001B5175"/>
    <w:rsid w:val="001B5AF6"/>
    <w:rsid w:val="001B5E7B"/>
    <w:rsid w:val="001B6282"/>
    <w:rsid w:val="001B6E69"/>
    <w:rsid w:val="001B72AA"/>
    <w:rsid w:val="001B7CFB"/>
    <w:rsid w:val="001C03AF"/>
    <w:rsid w:val="001C082C"/>
    <w:rsid w:val="001C125E"/>
    <w:rsid w:val="001C1885"/>
    <w:rsid w:val="001C24CA"/>
    <w:rsid w:val="001C2603"/>
    <w:rsid w:val="001C26A9"/>
    <w:rsid w:val="001C27CA"/>
    <w:rsid w:val="001C2B14"/>
    <w:rsid w:val="001C2CCA"/>
    <w:rsid w:val="001C3431"/>
    <w:rsid w:val="001C3482"/>
    <w:rsid w:val="001C36D0"/>
    <w:rsid w:val="001C392E"/>
    <w:rsid w:val="001C39D2"/>
    <w:rsid w:val="001C452B"/>
    <w:rsid w:val="001C4B6F"/>
    <w:rsid w:val="001C5192"/>
    <w:rsid w:val="001C539E"/>
    <w:rsid w:val="001C53C3"/>
    <w:rsid w:val="001C54C8"/>
    <w:rsid w:val="001C5CB7"/>
    <w:rsid w:val="001C6647"/>
    <w:rsid w:val="001C6EE0"/>
    <w:rsid w:val="001C6F55"/>
    <w:rsid w:val="001C73C3"/>
    <w:rsid w:val="001C76A8"/>
    <w:rsid w:val="001C792D"/>
    <w:rsid w:val="001C7B1A"/>
    <w:rsid w:val="001D0060"/>
    <w:rsid w:val="001D0063"/>
    <w:rsid w:val="001D07A1"/>
    <w:rsid w:val="001D0804"/>
    <w:rsid w:val="001D0887"/>
    <w:rsid w:val="001D0D00"/>
    <w:rsid w:val="001D0F5A"/>
    <w:rsid w:val="001D13C0"/>
    <w:rsid w:val="001D17A2"/>
    <w:rsid w:val="001D1BEA"/>
    <w:rsid w:val="001D1E70"/>
    <w:rsid w:val="001D2052"/>
    <w:rsid w:val="001D26C2"/>
    <w:rsid w:val="001D2BAE"/>
    <w:rsid w:val="001D2D28"/>
    <w:rsid w:val="001D314B"/>
    <w:rsid w:val="001D3B49"/>
    <w:rsid w:val="001D3F4E"/>
    <w:rsid w:val="001D43C8"/>
    <w:rsid w:val="001D4566"/>
    <w:rsid w:val="001D4A7B"/>
    <w:rsid w:val="001D50D4"/>
    <w:rsid w:val="001D51B1"/>
    <w:rsid w:val="001D54F4"/>
    <w:rsid w:val="001D616B"/>
    <w:rsid w:val="001D682F"/>
    <w:rsid w:val="001D685A"/>
    <w:rsid w:val="001D6ACA"/>
    <w:rsid w:val="001D6C08"/>
    <w:rsid w:val="001D6DC4"/>
    <w:rsid w:val="001D7BBE"/>
    <w:rsid w:val="001E0131"/>
    <w:rsid w:val="001E0337"/>
    <w:rsid w:val="001E1DC0"/>
    <w:rsid w:val="001E2436"/>
    <w:rsid w:val="001E30FC"/>
    <w:rsid w:val="001E3414"/>
    <w:rsid w:val="001E3700"/>
    <w:rsid w:val="001E45EA"/>
    <w:rsid w:val="001E4959"/>
    <w:rsid w:val="001E4C19"/>
    <w:rsid w:val="001E53A8"/>
    <w:rsid w:val="001E541D"/>
    <w:rsid w:val="001E542D"/>
    <w:rsid w:val="001E56A2"/>
    <w:rsid w:val="001E5C4F"/>
    <w:rsid w:val="001E6756"/>
    <w:rsid w:val="001E6B23"/>
    <w:rsid w:val="001E749A"/>
    <w:rsid w:val="001E76E8"/>
    <w:rsid w:val="001E7BEB"/>
    <w:rsid w:val="001E7DD4"/>
    <w:rsid w:val="001EC3B6"/>
    <w:rsid w:val="001F1B2B"/>
    <w:rsid w:val="001F1DD4"/>
    <w:rsid w:val="001F2354"/>
    <w:rsid w:val="001F239B"/>
    <w:rsid w:val="001F2512"/>
    <w:rsid w:val="001F2820"/>
    <w:rsid w:val="001F3DAF"/>
    <w:rsid w:val="001F4380"/>
    <w:rsid w:val="001F4A6D"/>
    <w:rsid w:val="001F53E5"/>
    <w:rsid w:val="001F61A0"/>
    <w:rsid w:val="001F675D"/>
    <w:rsid w:val="001F6951"/>
    <w:rsid w:val="001F6EC0"/>
    <w:rsid w:val="001F773D"/>
    <w:rsid w:val="001F77C6"/>
    <w:rsid w:val="0020066A"/>
    <w:rsid w:val="00200AB9"/>
    <w:rsid w:val="0020115B"/>
    <w:rsid w:val="0020125B"/>
    <w:rsid w:val="00201524"/>
    <w:rsid w:val="00202021"/>
    <w:rsid w:val="00202694"/>
    <w:rsid w:val="0020272E"/>
    <w:rsid w:val="00203408"/>
    <w:rsid w:val="00203C1C"/>
    <w:rsid w:val="0020478F"/>
    <w:rsid w:val="002056C7"/>
    <w:rsid w:val="002058E0"/>
    <w:rsid w:val="002060E5"/>
    <w:rsid w:val="00206286"/>
    <w:rsid w:val="00206405"/>
    <w:rsid w:val="002069E7"/>
    <w:rsid w:val="002074B5"/>
    <w:rsid w:val="00207A05"/>
    <w:rsid w:val="00207E70"/>
    <w:rsid w:val="002106A0"/>
    <w:rsid w:val="0021186F"/>
    <w:rsid w:val="00211C19"/>
    <w:rsid w:val="00211D06"/>
    <w:rsid w:val="00212B05"/>
    <w:rsid w:val="0021381C"/>
    <w:rsid w:val="00213A47"/>
    <w:rsid w:val="00214832"/>
    <w:rsid w:val="00214933"/>
    <w:rsid w:val="00215427"/>
    <w:rsid w:val="002157A3"/>
    <w:rsid w:val="0021596A"/>
    <w:rsid w:val="00215DAD"/>
    <w:rsid w:val="002166D1"/>
    <w:rsid w:val="002167DE"/>
    <w:rsid w:val="00216A8C"/>
    <w:rsid w:val="00216C50"/>
    <w:rsid w:val="00217BA9"/>
    <w:rsid w:val="002202F7"/>
    <w:rsid w:val="002207FC"/>
    <w:rsid w:val="002209DB"/>
    <w:rsid w:val="00220B2C"/>
    <w:rsid w:val="00221730"/>
    <w:rsid w:val="002217F7"/>
    <w:rsid w:val="00221D77"/>
    <w:rsid w:val="002225AB"/>
    <w:rsid w:val="00222602"/>
    <w:rsid w:val="00222961"/>
    <w:rsid w:val="002229E9"/>
    <w:rsid w:val="00222AD6"/>
    <w:rsid w:val="00222B35"/>
    <w:rsid w:val="00222FBD"/>
    <w:rsid w:val="0022414F"/>
    <w:rsid w:val="002242FA"/>
    <w:rsid w:val="00224730"/>
    <w:rsid w:val="002256E3"/>
    <w:rsid w:val="00226D7E"/>
    <w:rsid w:val="002272DA"/>
    <w:rsid w:val="00227F55"/>
    <w:rsid w:val="00227FC3"/>
    <w:rsid w:val="00230241"/>
    <w:rsid w:val="0023062E"/>
    <w:rsid w:val="002306D2"/>
    <w:rsid w:val="0023078C"/>
    <w:rsid w:val="00230892"/>
    <w:rsid w:val="00230A5D"/>
    <w:rsid w:val="00230BB9"/>
    <w:rsid w:val="00230D0B"/>
    <w:rsid w:val="0023233E"/>
    <w:rsid w:val="002328CC"/>
    <w:rsid w:val="00232EBA"/>
    <w:rsid w:val="00232F8A"/>
    <w:rsid w:val="00233280"/>
    <w:rsid w:val="00233522"/>
    <w:rsid w:val="0023361C"/>
    <w:rsid w:val="00233DC7"/>
    <w:rsid w:val="00233F1D"/>
    <w:rsid w:val="00234490"/>
    <w:rsid w:val="002352DC"/>
    <w:rsid w:val="00235CD5"/>
    <w:rsid w:val="002360C5"/>
    <w:rsid w:val="0023642B"/>
    <w:rsid w:val="0023689C"/>
    <w:rsid w:val="00236AA1"/>
    <w:rsid w:val="002373A5"/>
    <w:rsid w:val="00237910"/>
    <w:rsid w:val="00238A26"/>
    <w:rsid w:val="002400D0"/>
    <w:rsid w:val="0024017C"/>
    <w:rsid w:val="0024031D"/>
    <w:rsid w:val="002403F6"/>
    <w:rsid w:val="00240AEF"/>
    <w:rsid w:val="00240D02"/>
    <w:rsid w:val="0024101A"/>
    <w:rsid w:val="0024152A"/>
    <w:rsid w:val="002418E1"/>
    <w:rsid w:val="0024229E"/>
    <w:rsid w:val="00243374"/>
    <w:rsid w:val="0024343C"/>
    <w:rsid w:val="00243D21"/>
    <w:rsid w:val="00243F98"/>
    <w:rsid w:val="002442C6"/>
    <w:rsid w:val="0024483A"/>
    <w:rsid w:val="00244CF1"/>
    <w:rsid w:val="00244E31"/>
    <w:rsid w:val="00244FAA"/>
    <w:rsid w:val="002451EC"/>
    <w:rsid w:val="00245BF8"/>
    <w:rsid w:val="00245EDF"/>
    <w:rsid w:val="002460AA"/>
    <w:rsid w:val="00246125"/>
    <w:rsid w:val="00246756"/>
    <w:rsid w:val="00247226"/>
    <w:rsid w:val="002472CA"/>
    <w:rsid w:val="00247779"/>
    <w:rsid w:val="00247842"/>
    <w:rsid w:val="00247B91"/>
    <w:rsid w:val="00247CA3"/>
    <w:rsid w:val="00247F53"/>
    <w:rsid w:val="00250E47"/>
    <w:rsid w:val="002516F9"/>
    <w:rsid w:val="00251776"/>
    <w:rsid w:val="00251920"/>
    <w:rsid w:val="00252029"/>
    <w:rsid w:val="002524F9"/>
    <w:rsid w:val="002525BE"/>
    <w:rsid w:val="002528BD"/>
    <w:rsid w:val="00252D92"/>
    <w:rsid w:val="00252E7A"/>
    <w:rsid w:val="002531C7"/>
    <w:rsid w:val="00253E85"/>
    <w:rsid w:val="00253EEE"/>
    <w:rsid w:val="00254509"/>
    <w:rsid w:val="00254DCF"/>
    <w:rsid w:val="00254FDF"/>
    <w:rsid w:val="00255052"/>
    <w:rsid w:val="00255677"/>
    <w:rsid w:val="00255D26"/>
    <w:rsid w:val="00256107"/>
    <w:rsid w:val="0025637E"/>
    <w:rsid w:val="00256481"/>
    <w:rsid w:val="00257174"/>
    <w:rsid w:val="0025781C"/>
    <w:rsid w:val="0026017C"/>
    <w:rsid w:val="00260245"/>
    <w:rsid w:val="00261303"/>
    <w:rsid w:val="00261CC2"/>
    <w:rsid w:val="002628A5"/>
    <w:rsid w:val="00262B45"/>
    <w:rsid w:val="002630A4"/>
    <w:rsid w:val="00263ACB"/>
    <w:rsid w:val="002641EF"/>
    <w:rsid w:val="00264340"/>
    <w:rsid w:val="00264668"/>
    <w:rsid w:val="00264C07"/>
    <w:rsid w:val="00265475"/>
    <w:rsid w:val="00265480"/>
    <w:rsid w:val="0026551D"/>
    <w:rsid w:val="00266067"/>
    <w:rsid w:val="00266183"/>
    <w:rsid w:val="00266412"/>
    <w:rsid w:val="00266DB9"/>
    <w:rsid w:val="00267A32"/>
    <w:rsid w:val="0027048B"/>
    <w:rsid w:val="00270A03"/>
    <w:rsid w:val="00271CCF"/>
    <w:rsid w:val="00271F24"/>
    <w:rsid w:val="00272988"/>
    <w:rsid w:val="00272F6B"/>
    <w:rsid w:val="00273080"/>
    <w:rsid w:val="00273357"/>
    <w:rsid w:val="002735CE"/>
    <w:rsid w:val="002739FB"/>
    <w:rsid w:val="00273F4C"/>
    <w:rsid w:val="0027441B"/>
    <w:rsid w:val="00274C3B"/>
    <w:rsid w:val="00275105"/>
    <w:rsid w:val="00275151"/>
    <w:rsid w:val="00275A64"/>
    <w:rsid w:val="00275B32"/>
    <w:rsid w:val="00276D18"/>
    <w:rsid w:val="002770B3"/>
    <w:rsid w:val="002774CC"/>
    <w:rsid w:val="002777DB"/>
    <w:rsid w:val="00277CA0"/>
    <w:rsid w:val="00277D2B"/>
    <w:rsid w:val="0028000E"/>
    <w:rsid w:val="00280324"/>
    <w:rsid w:val="0028044D"/>
    <w:rsid w:val="002808F5"/>
    <w:rsid w:val="00280AFC"/>
    <w:rsid w:val="00280BEE"/>
    <w:rsid w:val="002816B4"/>
    <w:rsid w:val="0028189F"/>
    <w:rsid w:val="00281D3C"/>
    <w:rsid w:val="002829EE"/>
    <w:rsid w:val="00282CFB"/>
    <w:rsid w:val="00282F3C"/>
    <w:rsid w:val="00283472"/>
    <w:rsid w:val="00283846"/>
    <w:rsid w:val="002838E4"/>
    <w:rsid w:val="00283B25"/>
    <w:rsid w:val="002849C5"/>
    <w:rsid w:val="0028585E"/>
    <w:rsid w:val="00285ADF"/>
    <w:rsid w:val="00285BEE"/>
    <w:rsid w:val="00285FC5"/>
    <w:rsid w:val="00285FFB"/>
    <w:rsid w:val="002864AE"/>
    <w:rsid w:val="0028667F"/>
    <w:rsid w:val="0028779E"/>
    <w:rsid w:val="00287BD5"/>
    <w:rsid w:val="00287F23"/>
    <w:rsid w:val="002907B0"/>
    <w:rsid w:val="002907BF"/>
    <w:rsid w:val="00290CAA"/>
    <w:rsid w:val="00290D64"/>
    <w:rsid w:val="00290DBB"/>
    <w:rsid w:val="00290ECD"/>
    <w:rsid w:val="002927C0"/>
    <w:rsid w:val="0029307D"/>
    <w:rsid w:val="00293EC9"/>
    <w:rsid w:val="0029486B"/>
    <w:rsid w:val="00294A86"/>
    <w:rsid w:val="00294EFF"/>
    <w:rsid w:val="0029533F"/>
    <w:rsid w:val="002967B7"/>
    <w:rsid w:val="00297056"/>
    <w:rsid w:val="0029719B"/>
    <w:rsid w:val="002971AB"/>
    <w:rsid w:val="00297821"/>
    <w:rsid w:val="00297AE6"/>
    <w:rsid w:val="00297C61"/>
    <w:rsid w:val="00297CFA"/>
    <w:rsid w:val="00297F42"/>
    <w:rsid w:val="0029BA5C"/>
    <w:rsid w:val="002A1387"/>
    <w:rsid w:val="002A1C5B"/>
    <w:rsid w:val="002A27C4"/>
    <w:rsid w:val="002A288D"/>
    <w:rsid w:val="002A2D2F"/>
    <w:rsid w:val="002A3241"/>
    <w:rsid w:val="002A39C9"/>
    <w:rsid w:val="002A4709"/>
    <w:rsid w:val="002A4912"/>
    <w:rsid w:val="002A51DD"/>
    <w:rsid w:val="002A5495"/>
    <w:rsid w:val="002A58D4"/>
    <w:rsid w:val="002A5E1F"/>
    <w:rsid w:val="002A62A0"/>
    <w:rsid w:val="002A65BD"/>
    <w:rsid w:val="002A6712"/>
    <w:rsid w:val="002A685C"/>
    <w:rsid w:val="002A6DF1"/>
    <w:rsid w:val="002A6EB0"/>
    <w:rsid w:val="002A73E0"/>
    <w:rsid w:val="002A7520"/>
    <w:rsid w:val="002A79DE"/>
    <w:rsid w:val="002A99EA"/>
    <w:rsid w:val="002B0BE2"/>
    <w:rsid w:val="002B0EFE"/>
    <w:rsid w:val="002B153E"/>
    <w:rsid w:val="002B173B"/>
    <w:rsid w:val="002B1AAD"/>
    <w:rsid w:val="002B2860"/>
    <w:rsid w:val="002B2C59"/>
    <w:rsid w:val="002B2DD5"/>
    <w:rsid w:val="002B30AF"/>
    <w:rsid w:val="002B5BF4"/>
    <w:rsid w:val="002B61C5"/>
    <w:rsid w:val="002B7267"/>
    <w:rsid w:val="002B747F"/>
    <w:rsid w:val="002B7A7D"/>
    <w:rsid w:val="002B7A9F"/>
    <w:rsid w:val="002C051A"/>
    <w:rsid w:val="002C059F"/>
    <w:rsid w:val="002C07B0"/>
    <w:rsid w:val="002C13CF"/>
    <w:rsid w:val="002C18C1"/>
    <w:rsid w:val="002C1A4A"/>
    <w:rsid w:val="002C1BB8"/>
    <w:rsid w:val="002C1CCC"/>
    <w:rsid w:val="002C21B5"/>
    <w:rsid w:val="002C2C49"/>
    <w:rsid w:val="002C32A9"/>
    <w:rsid w:val="002C35C5"/>
    <w:rsid w:val="002C3BE6"/>
    <w:rsid w:val="002C4B10"/>
    <w:rsid w:val="002C51D4"/>
    <w:rsid w:val="002C55E9"/>
    <w:rsid w:val="002C5615"/>
    <w:rsid w:val="002C5A03"/>
    <w:rsid w:val="002C601B"/>
    <w:rsid w:val="002C6B21"/>
    <w:rsid w:val="002C7941"/>
    <w:rsid w:val="002C7E22"/>
    <w:rsid w:val="002D07A1"/>
    <w:rsid w:val="002D09E8"/>
    <w:rsid w:val="002D156D"/>
    <w:rsid w:val="002D1895"/>
    <w:rsid w:val="002D1D60"/>
    <w:rsid w:val="002D1FE1"/>
    <w:rsid w:val="002D2152"/>
    <w:rsid w:val="002D2703"/>
    <w:rsid w:val="002D2C53"/>
    <w:rsid w:val="002D3D2E"/>
    <w:rsid w:val="002D3FA5"/>
    <w:rsid w:val="002D3FFA"/>
    <w:rsid w:val="002D550B"/>
    <w:rsid w:val="002D6385"/>
    <w:rsid w:val="002D63BD"/>
    <w:rsid w:val="002D648C"/>
    <w:rsid w:val="002D6FF1"/>
    <w:rsid w:val="002D7754"/>
    <w:rsid w:val="002D7D8B"/>
    <w:rsid w:val="002D7EB3"/>
    <w:rsid w:val="002E0D7F"/>
    <w:rsid w:val="002E1414"/>
    <w:rsid w:val="002E173C"/>
    <w:rsid w:val="002E1A6D"/>
    <w:rsid w:val="002E1B15"/>
    <w:rsid w:val="002E1CE9"/>
    <w:rsid w:val="002E2059"/>
    <w:rsid w:val="002E20F4"/>
    <w:rsid w:val="002E2212"/>
    <w:rsid w:val="002E2339"/>
    <w:rsid w:val="002E3601"/>
    <w:rsid w:val="002E3918"/>
    <w:rsid w:val="002E3C80"/>
    <w:rsid w:val="002E3F20"/>
    <w:rsid w:val="002E427F"/>
    <w:rsid w:val="002E4C16"/>
    <w:rsid w:val="002E6232"/>
    <w:rsid w:val="002E6414"/>
    <w:rsid w:val="002E6576"/>
    <w:rsid w:val="002E6D90"/>
    <w:rsid w:val="002E71E9"/>
    <w:rsid w:val="002E7797"/>
    <w:rsid w:val="002E7B19"/>
    <w:rsid w:val="002E7C90"/>
    <w:rsid w:val="002E7DEC"/>
    <w:rsid w:val="002F05FE"/>
    <w:rsid w:val="002F14D7"/>
    <w:rsid w:val="002F15B2"/>
    <w:rsid w:val="002F1C2B"/>
    <w:rsid w:val="002F24D7"/>
    <w:rsid w:val="002F2689"/>
    <w:rsid w:val="002F26DB"/>
    <w:rsid w:val="002F2773"/>
    <w:rsid w:val="002F2A10"/>
    <w:rsid w:val="002F2B98"/>
    <w:rsid w:val="002F2DCF"/>
    <w:rsid w:val="002F2F78"/>
    <w:rsid w:val="002F32C1"/>
    <w:rsid w:val="002F41DF"/>
    <w:rsid w:val="002F4457"/>
    <w:rsid w:val="002F4FF7"/>
    <w:rsid w:val="002F595D"/>
    <w:rsid w:val="002F61A9"/>
    <w:rsid w:val="002F65DC"/>
    <w:rsid w:val="002F66A7"/>
    <w:rsid w:val="002F6887"/>
    <w:rsid w:val="002F6BA5"/>
    <w:rsid w:val="002F72EF"/>
    <w:rsid w:val="002F74E0"/>
    <w:rsid w:val="002F79B1"/>
    <w:rsid w:val="003000BA"/>
    <w:rsid w:val="003001A0"/>
    <w:rsid w:val="0030055C"/>
    <w:rsid w:val="00300A3F"/>
    <w:rsid w:val="00301430"/>
    <w:rsid w:val="00301794"/>
    <w:rsid w:val="0030274D"/>
    <w:rsid w:val="00303152"/>
    <w:rsid w:val="0030377F"/>
    <w:rsid w:val="00303ABB"/>
    <w:rsid w:val="00303C99"/>
    <w:rsid w:val="00304559"/>
    <w:rsid w:val="003046BE"/>
    <w:rsid w:val="00304F5B"/>
    <w:rsid w:val="003055D5"/>
    <w:rsid w:val="00305BA6"/>
    <w:rsid w:val="003062DD"/>
    <w:rsid w:val="003068DB"/>
    <w:rsid w:val="00306DCE"/>
    <w:rsid w:val="00307444"/>
    <w:rsid w:val="00310ACA"/>
    <w:rsid w:val="00310CC0"/>
    <w:rsid w:val="00310E03"/>
    <w:rsid w:val="003121FF"/>
    <w:rsid w:val="003123A3"/>
    <w:rsid w:val="003125E5"/>
    <w:rsid w:val="00312870"/>
    <w:rsid w:val="00312C1A"/>
    <w:rsid w:val="0031380C"/>
    <w:rsid w:val="0031395A"/>
    <w:rsid w:val="00314C1C"/>
    <w:rsid w:val="00314EAD"/>
    <w:rsid w:val="00315103"/>
    <w:rsid w:val="003159DA"/>
    <w:rsid w:val="00315B7E"/>
    <w:rsid w:val="00315E0D"/>
    <w:rsid w:val="0031658C"/>
    <w:rsid w:val="003170F6"/>
    <w:rsid w:val="00320185"/>
    <w:rsid w:val="003201D9"/>
    <w:rsid w:val="00320F5D"/>
    <w:rsid w:val="00321535"/>
    <w:rsid w:val="003215D8"/>
    <w:rsid w:val="00321DB9"/>
    <w:rsid w:val="00321FE1"/>
    <w:rsid w:val="00323040"/>
    <w:rsid w:val="00323D7E"/>
    <w:rsid w:val="0032445B"/>
    <w:rsid w:val="003245C2"/>
    <w:rsid w:val="00324A9F"/>
    <w:rsid w:val="003252C6"/>
    <w:rsid w:val="00325426"/>
    <w:rsid w:val="0032583C"/>
    <w:rsid w:val="003271EC"/>
    <w:rsid w:val="003279CD"/>
    <w:rsid w:val="0033091E"/>
    <w:rsid w:val="00330CA5"/>
    <w:rsid w:val="00331147"/>
    <w:rsid w:val="00331350"/>
    <w:rsid w:val="003319AF"/>
    <w:rsid w:val="00331F5E"/>
    <w:rsid w:val="003320FB"/>
    <w:rsid w:val="00332963"/>
    <w:rsid w:val="0033344A"/>
    <w:rsid w:val="0033444A"/>
    <w:rsid w:val="003344A1"/>
    <w:rsid w:val="003349E2"/>
    <w:rsid w:val="00335789"/>
    <w:rsid w:val="00335FFB"/>
    <w:rsid w:val="0033675F"/>
    <w:rsid w:val="00336771"/>
    <w:rsid w:val="003367B5"/>
    <w:rsid w:val="003367F2"/>
    <w:rsid w:val="003368A4"/>
    <w:rsid w:val="00336E1F"/>
    <w:rsid w:val="00337066"/>
    <w:rsid w:val="00337103"/>
    <w:rsid w:val="00337C01"/>
    <w:rsid w:val="00340171"/>
    <w:rsid w:val="003406BD"/>
    <w:rsid w:val="00341C61"/>
    <w:rsid w:val="00341CE6"/>
    <w:rsid w:val="003421B9"/>
    <w:rsid w:val="00342B2C"/>
    <w:rsid w:val="00342F22"/>
    <w:rsid w:val="00343122"/>
    <w:rsid w:val="00343399"/>
    <w:rsid w:val="00343568"/>
    <w:rsid w:val="00343B66"/>
    <w:rsid w:val="00343B7D"/>
    <w:rsid w:val="00345DE5"/>
    <w:rsid w:val="00346090"/>
    <w:rsid w:val="00346479"/>
    <w:rsid w:val="00346F45"/>
    <w:rsid w:val="00347A56"/>
    <w:rsid w:val="0035004D"/>
    <w:rsid w:val="00350136"/>
    <w:rsid w:val="0035068E"/>
    <w:rsid w:val="00351382"/>
    <w:rsid w:val="0035198F"/>
    <w:rsid w:val="00351BDB"/>
    <w:rsid w:val="00351BFC"/>
    <w:rsid w:val="0035238F"/>
    <w:rsid w:val="00352ABF"/>
    <w:rsid w:val="003530B8"/>
    <w:rsid w:val="00353494"/>
    <w:rsid w:val="00353569"/>
    <w:rsid w:val="00353621"/>
    <w:rsid w:val="0035455B"/>
    <w:rsid w:val="00354567"/>
    <w:rsid w:val="00354A93"/>
    <w:rsid w:val="003550DE"/>
    <w:rsid w:val="00355303"/>
    <w:rsid w:val="00355604"/>
    <w:rsid w:val="0035567F"/>
    <w:rsid w:val="00355C77"/>
    <w:rsid w:val="00355E62"/>
    <w:rsid w:val="003560B8"/>
    <w:rsid w:val="0035621A"/>
    <w:rsid w:val="00356220"/>
    <w:rsid w:val="00356CD3"/>
    <w:rsid w:val="003574BB"/>
    <w:rsid w:val="00357628"/>
    <w:rsid w:val="00357AC5"/>
    <w:rsid w:val="00360C87"/>
    <w:rsid w:val="0036159F"/>
    <w:rsid w:val="00361704"/>
    <w:rsid w:val="0036175F"/>
    <w:rsid w:val="00361A35"/>
    <w:rsid w:val="00361B1C"/>
    <w:rsid w:val="00361BBB"/>
    <w:rsid w:val="0036245C"/>
    <w:rsid w:val="00363288"/>
    <w:rsid w:val="00363447"/>
    <w:rsid w:val="00363511"/>
    <w:rsid w:val="003635A1"/>
    <w:rsid w:val="00363C74"/>
    <w:rsid w:val="00363F5E"/>
    <w:rsid w:val="003647FF"/>
    <w:rsid w:val="00365ADA"/>
    <w:rsid w:val="0036678B"/>
    <w:rsid w:val="00366871"/>
    <w:rsid w:val="00366B86"/>
    <w:rsid w:val="00367149"/>
    <w:rsid w:val="00367585"/>
    <w:rsid w:val="0036779C"/>
    <w:rsid w:val="003678DF"/>
    <w:rsid w:val="00367E2D"/>
    <w:rsid w:val="0036B3BF"/>
    <w:rsid w:val="003706FF"/>
    <w:rsid w:val="00370DCD"/>
    <w:rsid w:val="0037134C"/>
    <w:rsid w:val="003714CE"/>
    <w:rsid w:val="00371B9D"/>
    <w:rsid w:val="003726DA"/>
    <w:rsid w:val="0037316D"/>
    <w:rsid w:val="0037325E"/>
    <w:rsid w:val="003743D8"/>
    <w:rsid w:val="00375486"/>
    <w:rsid w:val="00375948"/>
    <w:rsid w:val="0037693E"/>
    <w:rsid w:val="003769DD"/>
    <w:rsid w:val="00376AFD"/>
    <w:rsid w:val="00377780"/>
    <w:rsid w:val="003779F2"/>
    <w:rsid w:val="00377B8B"/>
    <w:rsid w:val="00377D4B"/>
    <w:rsid w:val="00377DAB"/>
    <w:rsid w:val="00380128"/>
    <w:rsid w:val="00380965"/>
    <w:rsid w:val="00380B12"/>
    <w:rsid w:val="00380DA6"/>
    <w:rsid w:val="003812A6"/>
    <w:rsid w:val="00381758"/>
    <w:rsid w:val="003817F0"/>
    <w:rsid w:val="00381DE8"/>
    <w:rsid w:val="00382782"/>
    <w:rsid w:val="003828F1"/>
    <w:rsid w:val="00382DF8"/>
    <w:rsid w:val="0038388F"/>
    <w:rsid w:val="00383E7F"/>
    <w:rsid w:val="003850CC"/>
    <w:rsid w:val="003855B8"/>
    <w:rsid w:val="003858B7"/>
    <w:rsid w:val="00385BF8"/>
    <w:rsid w:val="00385E6F"/>
    <w:rsid w:val="00386764"/>
    <w:rsid w:val="003867D3"/>
    <w:rsid w:val="00386A14"/>
    <w:rsid w:val="00386EDB"/>
    <w:rsid w:val="003872B8"/>
    <w:rsid w:val="0038763C"/>
    <w:rsid w:val="003908E5"/>
    <w:rsid w:val="0039099B"/>
    <w:rsid w:val="00390C70"/>
    <w:rsid w:val="00391EC2"/>
    <w:rsid w:val="003922A0"/>
    <w:rsid w:val="003924D3"/>
    <w:rsid w:val="003931EF"/>
    <w:rsid w:val="00393241"/>
    <w:rsid w:val="00393DC2"/>
    <w:rsid w:val="003947BC"/>
    <w:rsid w:val="00394D48"/>
    <w:rsid w:val="003960C4"/>
    <w:rsid w:val="00396579"/>
    <w:rsid w:val="00396A8C"/>
    <w:rsid w:val="00397ECB"/>
    <w:rsid w:val="003A0608"/>
    <w:rsid w:val="003A0B9B"/>
    <w:rsid w:val="003A1118"/>
    <w:rsid w:val="003A1187"/>
    <w:rsid w:val="003A1228"/>
    <w:rsid w:val="003A1730"/>
    <w:rsid w:val="003A27DD"/>
    <w:rsid w:val="003A2CCD"/>
    <w:rsid w:val="003A3D56"/>
    <w:rsid w:val="003A3D6D"/>
    <w:rsid w:val="003A4152"/>
    <w:rsid w:val="003A43AC"/>
    <w:rsid w:val="003A4F4B"/>
    <w:rsid w:val="003A5570"/>
    <w:rsid w:val="003A5D77"/>
    <w:rsid w:val="003A5E08"/>
    <w:rsid w:val="003A656C"/>
    <w:rsid w:val="003A66E8"/>
    <w:rsid w:val="003A6826"/>
    <w:rsid w:val="003A688D"/>
    <w:rsid w:val="003A6E1C"/>
    <w:rsid w:val="003A6EAE"/>
    <w:rsid w:val="003A6FC2"/>
    <w:rsid w:val="003A72B3"/>
    <w:rsid w:val="003B0168"/>
    <w:rsid w:val="003B031C"/>
    <w:rsid w:val="003B0A2C"/>
    <w:rsid w:val="003B0D0A"/>
    <w:rsid w:val="003B1897"/>
    <w:rsid w:val="003B1C3A"/>
    <w:rsid w:val="003B1E07"/>
    <w:rsid w:val="003B203F"/>
    <w:rsid w:val="003B227C"/>
    <w:rsid w:val="003B22A8"/>
    <w:rsid w:val="003B2A28"/>
    <w:rsid w:val="003B3986"/>
    <w:rsid w:val="003B3DA4"/>
    <w:rsid w:val="003B42F5"/>
    <w:rsid w:val="003B54A1"/>
    <w:rsid w:val="003B569C"/>
    <w:rsid w:val="003B60FA"/>
    <w:rsid w:val="003B6470"/>
    <w:rsid w:val="003B6616"/>
    <w:rsid w:val="003B6735"/>
    <w:rsid w:val="003B6CD9"/>
    <w:rsid w:val="003B6FF7"/>
    <w:rsid w:val="003B76C5"/>
    <w:rsid w:val="003B7CD1"/>
    <w:rsid w:val="003B7D2A"/>
    <w:rsid w:val="003C00A3"/>
    <w:rsid w:val="003C03CE"/>
    <w:rsid w:val="003C133E"/>
    <w:rsid w:val="003C1A4C"/>
    <w:rsid w:val="003C1E31"/>
    <w:rsid w:val="003C2004"/>
    <w:rsid w:val="003C28FD"/>
    <w:rsid w:val="003C3064"/>
    <w:rsid w:val="003C3484"/>
    <w:rsid w:val="003C3F03"/>
    <w:rsid w:val="003C43BD"/>
    <w:rsid w:val="003C4A40"/>
    <w:rsid w:val="003C4D8B"/>
    <w:rsid w:val="003C4DEB"/>
    <w:rsid w:val="003C58C7"/>
    <w:rsid w:val="003C601A"/>
    <w:rsid w:val="003C634E"/>
    <w:rsid w:val="003C6496"/>
    <w:rsid w:val="003C6966"/>
    <w:rsid w:val="003C6AE3"/>
    <w:rsid w:val="003C739E"/>
    <w:rsid w:val="003C7479"/>
    <w:rsid w:val="003C78A4"/>
    <w:rsid w:val="003C7B87"/>
    <w:rsid w:val="003D0F0B"/>
    <w:rsid w:val="003D1877"/>
    <w:rsid w:val="003D4FA7"/>
    <w:rsid w:val="003D5269"/>
    <w:rsid w:val="003D6838"/>
    <w:rsid w:val="003D7439"/>
    <w:rsid w:val="003D7A36"/>
    <w:rsid w:val="003E034B"/>
    <w:rsid w:val="003E067A"/>
    <w:rsid w:val="003E089F"/>
    <w:rsid w:val="003E0AAD"/>
    <w:rsid w:val="003E1C0C"/>
    <w:rsid w:val="003E1CDE"/>
    <w:rsid w:val="003E23D6"/>
    <w:rsid w:val="003E25A7"/>
    <w:rsid w:val="003E299C"/>
    <w:rsid w:val="003E31D7"/>
    <w:rsid w:val="003E3C75"/>
    <w:rsid w:val="003E4715"/>
    <w:rsid w:val="003E4D46"/>
    <w:rsid w:val="003E5BD7"/>
    <w:rsid w:val="003E5C48"/>
    <w:rsid w:val="003E664C"/>
    <w:rsid w:val="003E6863"/>
    <w:rsid w:val="003E6F03"/>
    <w:rsid w:val="003E7B8A"/>
    <w:rsid w:val="003F021A"/>
    <w:rsid w:val="003F0A03"/>
    <w:rsid w:val="003F1111"/>
    <w:rsid w:val="003F1184"/>
    <w:rsid w:val="003F1540"/>
    <w:rsid w:val="003F16A5"/>
    <w:rsid w:val="003F18FE"/>
    <w:rsid w:val="003F1B01"/>
    <w:rsid w:val="003F1B4A"/>
    <w:rsid w:val="003F1C34"/>
    <w:rsid w:val="003F1CDC"/>
    <w:rsid w:val="003F1E82"/>
    <w:rsid w:val="003F2126"/>
    <w:rsid w:val="003F274C"/>
    <w:rsid w:val="003F2CBC"/>
    <w:rsid w:val="003F328C"/>
    <w:rsid w:val="003F38B5"/>
    <w:rsid w:val="003F3969"/>
    <w:rsid w:val="003F4822"/>
    <w:rsid w:val="003F4FBB"/>
    <w:rsid w:val="003F509F"/>
    <w:rsid w:val="003F52BD"/>
    <w:rsid w:val="003F6146"/>
    <w:rsid w:val="003F687E"/>
    <w:rsid w:val="00400ECF"/>
    <w:rsid w:val="00400FFB"/>
    <w:rsid w:val="0040108F"/>
    <w:rsid w:val="004014C1"/>
    <w:rsid w:val="00401DEA"/>
    <w:rsid w:val="00402A2B"/>
    <w:rsid w:val="00402AF3"/>
    <w:rsid w:val="00402E7A"/>
    <w:rsid w:val="00402F86"/>
    <w:rsid w:val="00403FA2"/>
    <w:rsid w:val="0040457F"/>
    <w:rsid w:val="00405AEF"/>
    <w:rsid w:val="00406132"/>
    <w:rsid w:val="00406F12"/>
    <w:rsid w:val="00407FE1"/>
    <w:rsid w:val="0041106D"/>
    <w:rsid w:val="00411250"/>
    <w:rsid w:val="00411598"/>
    <w:rsid w:val="004119D1"/>
    <w:rsid w:val="00411BD9"/>
    <w:rsid w:val="00412B43"/>
    <w:rsid w:val="00412CF9"/>
    <w:rsid w:val="00413287"/>
    <w:rsid w:val="00413FAE"/>
    <w:rsid w:val="00414E5C"/>
    <w:rsid w:val="00414E65"/>
    <w:rsid w:val="00414FF9"/>
    <w:rsid w:val="0041533F"/>
    <w:rsid w:val="00415908"/>
    <w:rsid w:val="00415B19"/>
    <w:rsid w:val="00415E4D"/>
    <w:rsid w:val="00416846"/>
    <w:rsid w:val="00416F08"/>
    <w:rsid w:val="00417132"/>
    <w:rsid w:val="00417270"/>
    <w:rsid w:val="00417957"/>
    <w:rsid w:val="00420659"/>
    <w:rsid w:val="00420B9B"/>
    <w:rsid w:val="004213F8"/>
    <w:rsid w:val="0042148A"/>
    <w:rsid w:val="00421C43"/>
    <w:rsid w:val="00422036"/>
    <w:rsid w:val="00422C4F"/>
    <w:rsid w:val="0042316F"/>
    <w:rsid w:val="004232F4"/>
    <w:rsid w:val="00423417"/>
    <w:rsid w:val="00423C01"/>
    <w:rsid w:val="004241B5"/>
    <w:rsid w:val="00424FCF"/>
    <w:rsid w:val="004250AF"/>
    <w:rsid w:val="004257CF"/>
    <w:rsid w:val="004259AA"/>
    <w:rsid w:val="0042648E"/>
    <w:rsid w:val="004271C4"/>
    <w:rsid w:val="0042752D"/>
    <w:rsid w:val="00427D26"/>
    <w:rsid w:val="00428917"/>
    <w:rsid w:val="00430AE1"/>
    <w:rsid w:val="00430BC8"/>
    <w:rsid w:val="00431205"/>
    <w:rsid w:val="004313B2"/>
    <w:rsid w:val="004315BF"/>
    <w:rsid w:val="0043179D"/>
    <w:rsid w:val="00431EC6"/>
    <w:rsid w:val="00432447"/>
    <w:rsid w:val="004324AB"/>
    <w:rsid w:val="0043265C"/>
    <w:rsid w:val="004328CA"/>
    <w:rsid w:val="00432D2C"/>
    <w:rsid w:val="004344C3"/>
    <w:rsid w:val="0043499E"/>
    <w:rsid w:val="00434A05"/>
    <w:rsid w:val="00434A70"/>
    <w:rsid w:val="00434C93"/>
    <w:rsid w:val="004351F1"/>
    <w:rsid w:val="004352BB"/>
    <w:rsid w:val="00435ECD"/>
    <w:rsid w:val="0043625B"/>
    <w:rsid w:val="004365AA"/>
    <w:rsid w:val="00436A11"/>
    <w:rsid w:val="00436A15"/>
    <w:rsid w:val="00436EB4"/>
    <w:rsid w:val="0043761A"/>
    <w:rsid w:val="00437885"/>
    <w:rsid w:val="00440323"/>
    <w:rsid w:val="00440876"/>
    <w:rsid w:val="00440A89"/>
    <w:rsid w:val="00440C4F"/>
    <w:rsid w:val="004410FE"/>
    <w:rsid w:val="004418C5"/>
    <w:rsid w:val="00441D09"/>
    <w:rsid w:val="00442045"/>
    <w:rsid w:val="0044224B"/>
    <w:rsid w:val="00442BFB"/>
    <w:rsid w:val="00442F56"/>
    <w:rsid w:val="00443378"/>
    <w:rsid w:val="00444211"/>
    <w:rsid w:val="00444257"/>
    <w:rsid w:val="0044462B"/>
    <w:rsid w:val="00444DF9"/>
    <w:rsid w:val="00446900"/>
    <w:rsid w:val="00447DDA"/>
    <w:rsid w:val="00447F3D"/>
    <w:rsid w:val="00450819"/>
    <w:rsid w:val="00450D65"/>
    <w:rsid w:val="00451330"/>
    <w:rsid w:val="004524C6"/>
    <w:rsid w:val="00452701"/>
    <w:rsid w:val="004535EF"/>
    <w:rsid w:val="004539EE"/>
    <w:rsid w:val="00453C5D"/>
    <w:rsid w:val="00453F32"/>
    <w:rsid w:val="00454761"/>
    <w:rsid w:val="004548AF"/>
    <w:rsid w:val="00454AD1"/>
    <w:rsid w:val="00454CA9"/>
    <w:rsid w:val="004550B0"/>
    <w:rsid w:val="004556A2"/>
    <w:rsid w:val="00456CB9"/>
    <w:rsid w:val="00457143"/>
    <w:rsid w:val="004572F3"/>
    <w:rsid w:val="0046014A"/>
    <w:rsid w:val="00460211"/>
    <w:rsid w:val="00460485"/>
    <w:rsid w:val="00460569"/>
    <w:rsid w:val="00460580"/>
    <w:rsid w:val="00461B3F"/>
    <w:rsid w:val="00461DE7"/>
    <w:rsid w:val="00461FAC"/>
    <w:rsid w:val="004628E3"/>
    <w:rsid w:val="004630F3"/>
    <w:rsid w:val="0046451E"/>
    <w:rsid w:val="00464BB5"/>
    <w:rsid w:val="0046577D"/>
    <w:rsid w:val="00465A29"/>
    <w:rsid w:val="00465B51"/>
    <w:rsid w:val="00465BD7"/>
    <w:rsid w:val="00465C8F"/>
    <w:rsid w:val="00466AAC"/>
    <w:rsid w:val="00466C39"/>
    <w:rsid w:val="004671A8"/>
    <w:rsid w:val="004672EF"/>
    <w:rsid w:val="004675A1"/>
    <w:rsid w:val="00467D9F"/>
    <w:rsid w:val="00470677"/>
    <w:rsid w:val="00470964"/>
    <w:rsid w:val="00470C03"/>
    <w:rsid w:val="004719F4"/>
    <w:rsid w:val="00472581"/>
    <w:rsid w:val="00472859"/>
    <w:rsid w:val="00472D91"/>
    <w:rsid w:val="0047364B"/>
    <w:rsid w:val="004739B0"/>
    <w:rsid w:val="00474239"/>
    <w:rsid w:val="0047423B"/>
    <w:rsid w:val="00474263"/>
    <w:rsid w:val="004748B7"/>
    <w:rsid w:val="00475082"/>
    <w:rsid w:val="00475308"/>
    <w:rsid w:val="0047544C"/>
    <w:rsid w:val="00475839"/>
    <w:rsid w:val="00475D96"/>
    <w:rsid w:val="00476C40"/>
    <w:rsid w:val="00477785"/>
    <w:rsid w:val="00477A18"/>
    <w:rsid w:val="00477F0D"/>
    <w:rsid w:val="004800A4"/>
    <w:rsid w:val="00480967"/>
    <w:rsid w:val="00480B73"/>
    <w:rsid w:val="00481209"/>
    <w:rsid w:val="00482038"/>
    <w:rsid w:val="0048236C"/>
    <w:rsid w:val="004826D2"/>
    <w:rsid w:val="0048280A"/>
    <w:rsid w:val="00482D70"/>
    <w:rsid w:val="00483166"/>
    <w:rsid w:val="00483C51"/>
    <w:rsid w:val="0048449A"/>
    <w:rsid w:val="00485142"/>
    <w:rsid w:val="004851B4"/>
    <w:rsid w:val="004859C6"/>
    <w:rsid w:val="00485DBC"/>
    <w:rsid w:val="0048607C"/>
    <w:rsid w:val="004861F3"/>
    <w:rsid w:val="00486752"/>
    <w:rsid w:val="00486D3C"/>
    <w:rsid w:val="00486E75"/>
    <w:rsid w:val="00487DBD"/>
    <w:rsid w:val="00487EC7"/>
    <w:rsid w:val="004907A9"/>
    <w:rsid w:val="00490912"/>
    <w:rsid w:val="0049168C"/>
    <w:rsid w:val="004922C4"/>
    <w:rsid w:val="0049251E"/>
    <w:rsid w:val="0049257F"/>
    <w:rsid w:val="0049277C"/>
    <w:rsid w:val="004929FA"/>
    <w:rsid w:val="00493350"/>
    <w:rsid w:val="004936D2"/>
    <w:rsid w:val="0049396A"/>
    <w:rsid w:val="00493EF1"/>
    <w:rsid w:val="0049432F"/>
    <w:rsid w:val="0049460C"/>
    <w:rsid w:val="00494D8D"/>
    <w:rsid w:val="004958D9"/>
    <w:rsid w:val="00495B7F"/>
    <w:rsid w:val="004960FB"/>
    <w:rsid w:val="00496A0B"/>
    <w:rsid w:val="00497140"/>
    <w:rsid w:val="004A048C"/>
    <w:rsid w:val="004A1958"/>
    <w:rsid w:val="004A1A5C"/>
    <w:rsid w:val="004A22CA"/>
    <w:rsid w:val="004A2505"/>
    <w:rsid w:val="004A2FB5"/>
    <w:rsid w:val="004A4B0A"/>
    <w:rsid w:val="004A510F"/>
    <w:rsid w:val="004A59EC"/>
    <w:rsid w:val="004A5ABC"/>
    <w:rsid w:val="004A619A"/>
    <w:rsid w:val="004A65FA"/>
    <w:rsid w:val="004A69D3"/>
    <w:rsid w:val="004A737B"/>
    <w:rsid w:val="004A75C3"/>
    <w:rsid w:val="004A7738"/>
    <w:rsid w:val="004A7FFD"/>
    <w:rsid w:val="004B0221"/>
    <w:rsid w:val="004B081B"/>
    <w:rsid w:val="004B11B5"/>
    <w:rsid w:val="004B1C6F"/>
    <w:rsid w:val="004B2A16"/>
    <w:rsid w:val="004B2FDB"/>
    <w:rsid w:val="004B3165"/>
    <w:rsid w:val="004B381C"/>
    <w:rsid w:val="004B5447"/>
    <w:rsid w:val="004B5739"/>
    <w:rsid w:val="004B5756"/>
    <w:rsid w:val="004B59B5"/>
    <w:rsid w:val="004B5A4B"/>
    <w:rsid w:val="004B7C94"/>
    <w:rsid w:val="004C0FB0"/>
    <w:rsid w:val="004C15F9"/>
    <w:rsid w:val="004C1663"/>
    <w:rsid w:val="004C1946"/>
    <w:rsid w:val="004C19E4"/>
    <w:rsid w:val="004C1D7B"/>
    <w:rsid w:val="004C279A"/>
    <w:rsid w:val="004C2DE5"/>
    <w:rsid w:val="004C3723"/>
    <w:rsid w:val="004C38A0"/>
    <w:rsid w:val="004C3AD6"/>
    <w:rsid w:val="004C4418"/>
    <w:rsid w:val="004C45F5"/>
    <w:rsid w:val="004C5498"/>
    <w:rsid w:val="004C5B72"/>
    <w:rsid w:val="004C5EF2"/>
    <w:rsid w:val="004C7FCA"/>
    <w:rsid w:val="004D0253"/>
    <w:rsid w:val="004D04DF"/>
    <w:rsid w:val="004D0915"/>
    <w:rsid w:val="004D1739"/>
    <w:rsid w:val="004D27AD"/>
    <w:rsid w:val="004D2C0B"/>
    <w:rsid w:val="004D2D41"/>
    <w:rsid w:val="004D35A4"/>
    <w:rsid w:val="004D4220"/>
    <w:rsid w:val="004D4367"/>
    <w:rsid w:val="004D47BC"/>
    <w:rsid w:val="004D47D0"/>
    <w:rsid w:val="004D48C9"/>
    <w:rsid w:val="004D4D50"/>
    <w:rsid w:val="004D521F"/>
    <w:rsid w:val="004D63F5"/>
    <w:rsid w:val="004D7E1D"/>
    <w:rsid w:val="004E008E"/>
    <w:rsid w:val="004E094D"/>
    <w:rsid w:val="004E0B95"/>
    <w:rsid w:val="004E10D6"/>
    <w:rsid w:val="004E1758"/>
    <w:rsid w:val="004E2520"/>
    <w:rsid w:val="004E3B12"/>
    <w:rsid w:val="004E3B64"/>
    <w:rsid w:val="004E4519"/>
    <w:rsid w:val="004E4834"/>
    <w:rsid w:val="004E4862"/>
    <w:rsid w:val="004E49E3"/>
    <w:rsid w:val="004E5482"/>
    <w:rsid w:val="004E5603"/>
    <w:rsid w:val="004E5F35"/>
    <w:rsid w:val="004E61D2"/>
    <w:rsid w:val="004E65EA"/>
    <w:rsid w:val="004E6EC5"/>
    <w:rsid w:val="004E7475"/>
    <w:rsid w:val="004E7F4E"/>
    <w:rsid w:val="004E7F6B"/>
    <w:rsid w:val="004EE02C"/>
    <w:rsid w:val="004F070D"/>
    <w:rsid w:val="004F0A94"/>
    <w:rsid w:val="004F1174"/>
    <w:rsid w:val="004F177B"/>
    <w:rsid w:val="004F2076"/>
    <w:rsid w:val="004F208D"/>
    <w:rsid w:val="004F37F7"/>
    <w:rsid w:val="004F3AA4"/>
    <w:rsid w:val="004F446F"/>
    <w:rsid w:val="004F471F"/>
    <w:rsid w:val="004F4A1E"/>
    <w:rsid w:val="004F4BCB"/>
    <w:rsid w:val="004F5349"/>
    <w:rsid w:val="004F561E"/>
    <w:rsid w:val="004F5956"/>
    <w:rsid w:val="004F5C30"/>
    <w:rsid w:val="004F5C84"/>
    <w:rsid w:val="004F5D9A"/>
    <w:rsid w:val="004F6AE9"/>
    <w:rsid w:val="004F7687"/>
    <w:rsid w:val="004F777E"/>
    <w:rsid w:val="004F7B28"/>
    <w:rsid w:val="004F7EBE"/>
    <w:rsid w:val="004F7EFC"/>
    <w:rsid w:val="005017BA"/>
    <w:rsid w:val="00502DBC"/>
    <w:rsid w:val="00503331"/>
    <w:rsid w:val="00503BC6"/>
    <w:rsid w:val="005040DC"/>
    <w:rsid w:val="00504405"/>
    <w:rsid w:val="00506A02"/>
    <w:rsid w:val="00506D83"/>
    <w:rsid w:val="00506DBB"/>
    <w:rsid w:val="00506DD6"/>
    <w:rsid w:val="0050702E"/>
    <w:rsid w:val="00507235"/>
    <w:rsid w:val="00507B88"/>
    <w:rsid w:val="00507EAC"/>
    <w:rsid w:val="0051071C"/>
    <w:rsid w:val="00510786"/>
    <w:rsid w:val="005114CC"/>
    <w:rsid w:val="0051162D"/>
    <w:rsid w:val="00512731"/>
    <w:rsid w:val="00512A3D"/>
    <w:rsid w:val="00512A79"/>
    <w:rsid w:val="00512BD4"/>
    <w:rsid w:val="00512E91"/>
    <w:rsid w:val="00513096"/>
    <w:rsid w:val="00513627"/>
    <w:rsid w:val="005142A4"/>
    <w:rsid w:val="00514421"/>
    <w:rsid w:val="005146AE"/>
    <w:rsid w:val="00514703"/>
    <w:rsid w:val="00514E3C"/>
    <w:rsid w:val="005150AF"/>
    <w:rsid w:val="00515E6D"/>
    <w:rsid w:val="00515FF2"/>
    <w:rsid w:val="00516B06"/>
    <w:rsid w:val="00516E63"/>
    <w:rsid w:val="00517164"/>
    <w:rsid w:val="005201AE"/>
    <w:rsid w:val="005201EB"/>
    <w:rsid w:val="005206CF"/>
    <w:rsid w:val="00520794"/>
    <w:rsid w:val="00520B21"/>
    <w:rsid w:val="00520BD2"/>
    <w:rsid w:val="00520F08"/>
    <w:rsid w:val="005216FE"/>
    <w:rsid w:val="0052187C"/>
    <w:rsid w:val="0052241D"/>
    <w:rsid w:val="00523F66"/>
    <w:rsid w:val="0052414B"/>
    <w:rsid w:val="00524569"/>
    <w:rsid w:val="00524AC6"/>
    <w:rsid w:val="00524B92"/>
    <w:rsid w:val="005254EE"/>
    <w:rsid w:val="00525669"/>
    <w:rsid w:val="005256BD"/>
    <w:rsid w:val="00525784"/>
    <w:rsid w:val="00526F31"/>
    <w:rsid w:val="005274E9"/>
    <w:rsid w:val="00527CF7"/>
    <w:rsid w:val="00527F69"/>
    <w:rsid w:val="00531258"/>
    <w:rsid w:val="00531727"/>
    <w:rsid w:val="00531E30"/>
    <w:rsid w:val="005324FF"/>
    <w:rsid w:val="0053258D"/>
    <w:rsid w:val="00532A79"/>
    <w:rsid w:val="00532AD2"/>
    <w:rsid w:val="00532CE5"/>
    <w:rsid w:val="00532FC9"/>
    <w:rsid w:val="005331E7"/>
    <w:rsid w:val="005333E3"/>
    <w:rsid w:val="00533453"/>
    <w:rsid w:val="00533D6F"/>
    <w:rsid w:val="00533E11"/>
    <w:rsid w:val="005340AD"/>
    <w:rsid w:val="005347C0"/>
    <w:rsid w:val="005354C8"/>
    <w:rsid w:val="00535741"/>
    <w:rsid w:val="00536715"/>
    <w:rsid w:val="005368EC"/>
    <w:rsid w:val="005374EA"/>
    <w:rsid w:val="00537CD4"/>
    <w:rsid w:val="00537D5C"/>
    <w:rsid w:val="00537D83"/>
    <w:rsid w:val="00540CF3"/>
    <w:rsid w:val="005414CA"/>
    <w:rsid w:val="00541CBB"/>
    <w:rsid w:val="00542696"/>
    <w:rsid w:val="005427BF"/>
    <w:rsid w:val="00543157"/>
    <w:rsid w:val="00543343"/>
    <w:rsid w:val="00543AAF"/>
    <w:rsid w:val="0054436A"/>
    <w:rsid w:val="0054451F"/>
    <w:rsid w:val="00544D2F"/>
    <w:rsid w:val="00544F6A"/>
    <w:rsid w:val="005450D1"/>
    <w:rsid w:val="00545194"/>
    <w:rsid w:val="00545C86"/>
    <w:rsid w:val="00545F27"/>
    <w:rsid w:val="0054614E"/>
    <w:rsid w:val="005463A5"/>
    <w:rsid w:val="00546597"/>
    <w:rsid w:val="00546797"/>
    <w:rsid w:val="00546E4E"/>
    <w:rsid w:val="005477F5"/>
    <w:rsid w:val="00547A60"/>
    <w:rsid w:val="00547DBA"/>
    <w:rsid w:val="00547EFB"/>
    <w:rsid w:val="00547FAF"/>
    <w:rsid w:val="005500C4"/>
    <w:rsid w:val="005500CD"/>
    <w:rsid w:val="00550851"/>
    <w:rsid w:val="00550C77"/>
    <w:rsid w:val="00550DCB"/>
    <w:rsid w:val="00551168"/>
    <w:rsid w:val="005518D5"/>
    <w:rsid w:val="00553C5F"/>
    <w:rsid w:val="00553F9F"/>
    <w:rsid w:val="00554BE6"/>
    <w:rsid w:val="00555298"/>
    <w:rsid w:val="00555B6A"/>
    <w:rsid w:val="00555D6C"/>
    <w:rsid w:val="00556B56"/>
    <w:rsid w:val="005571A1"/>
    <w:rsid w:val="005575DC"/>
    <w:rsid w:val="00560340"/>
    <w:rsid w:val="0056080D"/>
    <w:rsid w:val="00560C54"/>
    <w:rsid w:val="00561408"/>
    <w:rsid w:val="005614E7"/>
    <w:rsid w:val="00561E7D"/>
    <w:rsid w:val="00562063"/>
    <w:rsid w:val="005620E5"/>
    <w:rsid w:val="00562A0B"/>
    <w:rsid w:val="00564085"/>
    <w:rsid w:val="0056437C"/>
    <w:rsid w:val="00564688"/>
    <w:rsid w:val="005649B1"/>
    <w:rsid w:val="00565A56"/>
    <w:rsid w:val="005663FE"/>
    <w:rsid w:val="005669A9"/>
    <w:rsid w:val="00566AFE"/>
    <w:rsid w:val="00566B51"/>
    <w:rsid w:val="0056D495"/>
    <w:rsid w:val="00570578"/>
    <w:rsid w:val="0057061A"/>
    <w:rsid w:val="005711E6"/>
    <w:rsid w:val="00571215"/>
    <w:rsid w:val="00571919"/>
    <w:rsid w:val="0057281B"/>
    <w:rsid w:val="00572B97"/>
    <w:rsid w:val="00572F1D"/>
    <w:rsid w:val="005744D5"/>
    <w:rsid w:val="00575CFA"/>
    <w:rsid w:val="005768F8"/>
    <w:rsid w:val="00577F7E"/>
    <w:rsid w:val="00580230"/>
    <w:rsid w:val="005809EF"/>
    <w:rsid w:val="00580A12"/>
    <w:rsid w:val="00580A22"/>
    <w:rsid w:val="00580EF2"/>
    <w:rsid w:val="0058202D"/>
    <w:rsid w:val="00582B2E"/>
    <w:rsid w:val="00582C1E"/>
    <w:rsid w:val="005836FF"/>
    <w:rsid w:val="00583D5B"/>
    <w:rsid w:val="00584638"/>
    <w:rsid w:val="0058499B"/>
    <w:rsid w:val="00584A83"/>
    <w:rsid w:val="00585A26"/>
    <w:rsid w:val="00585BAC"/>
    <w:rsid w:val="00586802"/>
    <w:rsid w:val="00586A10"/>
    <w:rsid w:val="00587722"/>
    <w:rsid w:val="00587A70"/>
    <w:rsid w:val="005906C3"/>
    <w:rsid w:val="00590F65"/>
    <w:rsid w:val="00591320"/>
    <w:rsid w:val="00591E70"/>
    <w:rsid w:val="005920F5"/>
    <w:rsid w:val="00592941"/>
    <w:rsid w:val="00592D2B"/>
    <w:rsid w:val="00593264"/>
    <w:rsid w:val="005932A5"/>
    <w:rsid w:val="0059331C"/>
    <w:rsid w:val="0059354A"/>
    <w:rsid w:val="00593603"/>
    <w:rsid w:val="0059403F"/>
    <w:rsid w:val="00594156"/>
    <w:rsid w:val="005945DC"/>
    <w:rsid w:val="005947A7"/>
    <w:rsid w:val="00594966"/>
    <w:rsid w:val="00594F36"/>
    <w:rsid w:val="005958AA"/>
    <w:rsid w:val="00595931"/>
    <w:rsid w:val="00595BE0"/>
    <w:rsid w:val="005963E0"/>
    <w:rsid w:val="0059682B"/>
    <w:rsid w:val="00596BAA"/>
    <w:rsid w:val="005972EA"/>
    <w:rsid w:val="00597539"/>
    <w:rsid w:val="00597563"/>
    <w:rsid w:val="005976AB"/>
    <w:rsid w:val="005977CE"/>
    <w:rsid w:val="005979AD"/>
    <w:rsid w:val="00597D95"/>
    <w:rsid w:val="005A041C"/>
    <w:rsid w:val="005A0489"/>
    <w:rsid w:val="005A1596"/>
    <w:rsid w:val="005A22BB"/>
    <w:rsid w:val="005A3562"/>
    <w:rsid w:val="005A4399"/>
    <w:rsid w:val="005A48C5"/>
    <w:rsid w:val="005A4912"/>
    <w:rsid w:val="005A5343"/>
    <w:rsid w:val="005A58EB"/>
    <w:rsid w:val="005A5B05"/>
    <w:rsid w:val="005A61CC"/>
    <w:rsid w:val="005A64F0"/>
    <w:rsid w:val="005A650C"/>
    <w:rsid w:val="005A6E7F"/>
    <w:rsid w:val="005A7D83"/>
    <w:rsid w:val="005B0258"/>
    <w:rsid w:val="005B0458"/>
    <w:rsid w:val="005B05F7"/>
    <w:rsid w:val="005B08E5"/>
    <w:rsid w:val="005B0A3A"/>
    <w:rsid w:val="005B15E4"/>
    <w:rsid w:val="005B1877"/>
    <w:rsid w:val="005B1962"/>
    <w:rsid w:val="005B1DF8"/>
    <w:rsid w:val="005B1E14"/>
    <w:rsid w:val="005B1EB6"/>
    <w:rsid w:val="005B20EA"/>
    <w:rsid w:val="005B320C"/>
    <w:rsid w:val="005B3544"/>
    <w:rsid w:val="005B405B"/>
    <w:rsid w:val="005B40A7"/>
    <w:rsid w:val="005B4834"/>
    <w:rsid w:val="005B4846"/>
    <w:rsid w:val="005B4E2B"/>
    <w:rsid w:val="005B4FF7"/>
    <w:rsid w:val="005B5073"/>
    <w:rsid w:val="005B5BFC"/>
    <w:rsid w:val="005B627D"/>
    <w:rsid w:val="005B6646"/>
    <w:rsid w:val="005B743C"/>
    <w:rsid w:val="005B7D68"/>
    <w:rsid w:val="005C07D2"/>
    <w:rsid w:val="005C0BB9"/>
    <w:rsid w:val="005C0E10"/>
    <w:rsid w:val="005C108D"/>
    <w:rsid w:val="005C23CB"/>
    <w:rsid w:val="005C2811"/>
    <w:rsid w:val="005C3245"/>
    <w:rsid w:val="005C3576"/>
    <w:rsid w:val="005C36C4"/>
    <w:rsid w:val="005C380B"/>
    <w:rsid w:val="005C3F1A"/>
    <w:rsid w:val="005C3FDC"/>
    <w:rsid w:val="005C429B"/>
    <w:rsid w:val="005C4846"/>
    <w:rsid w:val="005C49E1"/>
    <w:rsid w:val="005C4DF9"/>
    <w:rsid w:val="005C50CD"/>
    <w:rsid w:val="005C5472"/>
    <w:rsid w:val="005C70D7"/>
    <w:rsid w:val="005C76DA"/>
    <w:rsid w:val="005C7A0C"/>
    <w:rsid w:val="005C7E5C"/>
    <w:rsid w:val="005C7FA6"/>
    <w:rsid w:val="005D0AA5"/>
    <w:rsid w:val="005D122D"/>
    <w:rsid w:val="005D1928"/>
    <w:rsid w:val="005D193C"/>
    <w:rsid w:val="005D1B40"/>
    <w:rsid w:val="005D2B72"/>
    <w:rsid w:val="005D2CFC"/>
    <w:rsid w:val="005D3004"/>
    <w:rsid w:val="005D3204"/>
    <w:rsid w:val="005D33F1"/>
    <w:rsid w:val="005D3B91"/>
    <w:rsid w:val="005D3E5D"/>
    <w:rsid w:val="005D4A23"/>
    <w:rsid w:val="005D4ADB"/>
    <w:rsid w:val="005D505A"/>
    <w:rsid w:val="005D5262"/>
    <w:rsid w:val="005D533D"/>
    <w:rsid w:val="005D5FC7"/>
    <w:rsid w:val="005D6366"/>
    <w:rsid w:val="005D6CB5"/>
    <w:rsid w:val="005D763A"/>
    <w:rsid w:val="005D78C6"/>
    <w:rsid w:val="005D7DB1"/>
    <w:rsid w:val="005E015A"/>
    <w:rsid w:val="005E125E"/>
    <w:rsid w:val="005E234F"/>
    <w:rsid w:val="005E36F0"/>
    <w:rsid w:val="005E3CF8"/>
    <w:rsid w:val="005E3FBD"/>
    <w:rsid w:val="005E4367"/>
    <w:rsid w:val="005E480E"/>
    <w:rsid w:val="005E583C"/>
    <w:rsid w:val="005E5B89"/>
    <w:rsid w:val="005E639C"/>
    <w:rsid w:val="005E6453"/>
    <w:rsid w:val="005E666D"/>
    <w:rsid w:val="005E6C6B"/>
    <w:rsid w:val="005E6E68"/>
    <w:rsid w:val="005E70A9"/>
    <w:rsid w:val="005E79FB"/>
    <w:rsid w:val="005F05B9"/>
    <w:rsid w:val="005F15C2"/>
    <w:rsid w:val="005F15D8"/>
    <w:rsid w:val="005F24CD"/>
    <w:rsid w:val="005F2588"/>
    <w:rsid w:val="005F2C16"/>
    <w:rsid w:val="005F2F61"/>
    <w:rsid w:val="005F3154"/>
    <w:rsid w:val="005F32EC"/>
    <w:rsid w:val="005F3D06"/>
    <w:rsid w:val="005F412C"/>
    <w:rsid w:val="005F48EC"/>
    <w:rsid w:val="005F4A1A"/>
    <w:rsid w:val="005F4B08"/>
    <w:rsid w:val="005F50D2"/>
    <w:rsid w:val="005F535A"/>
    <w:rsid w:val="005F55B9"/>
    <w:rsid w:val="005F58A4"/>
    <w:rsid w:val="005F5EC0"/>
    <w:rsid w:val="005F6DE5"/>
    <w:rsid w:val="005F6F27"/>
    <w:rsid w:val="005F73A7"/>
    <w:rsid w:val="005F79BF"/>
    <w:rsid w:val="005F79F7"/>
    <w:rsid w:val="005F7D07"/>
    <w:rsid w:val="0060090E"/>
    <w:rsid w:val="00600ABA"/>
    <w:rsid w:val="00600B61"/>
    <w:rsid w:val="0060236A"/>
    <w:rsid w:val="00602905"/>
    <w:rsid w:val="00602BC3"/>
    <w:rsid w:val="00602CCC"/>
    <w:rsid w:val="00603122"/>
    <w:rsid w:val="0060348B"/>
    <w:rsid w:val="006039C1"/>
    <w:rsid w:val="00603CB4"/>
    <w:rsid w:val="0060442C"/>
    <w:rsid w:val="00604D04"/>
    <w:rsid w:val="00605212"/>
    <w:rsid w:val="00605F66"/>
    <w:rsid w:val="006060CF"/>
    <w:rsid w:val="00606122"/>
    <w:rsid w:val="006062BA"/>
    <w:rsid w:val="006062BF"/>
    <w:rsid w:val="0060676C"/>
    <w:rsid w:val="00607387"/>
    <w:rsid w:val="00607B0B"/>
    <w:rsid w:val="00610161"/>
    <w:rsid w:val="00610195"/>
    <w:rsid w:val="0061058B"/>
    <w:rsid w:val="00610A16"/>
    <w:rsid w:val="00610DCE"/>
    <w:rsid w:val="00610F62"/>
    <w:rsid w:val="00611690"/>
    <w:rsid w:val="00611926"/>
    <w:rsid w:val="00611C74"/>
    <w:rsid w:val="00611C8D"/>
    <w:rsid w:val="006122FE"/>
    <w:rsid w:val="00612365"/>
    <w:rsid w:val="00612EFA"/>
    <w:rsid w:val="00613373"/>
    <w:rsid w:val="006134CE"/>
    <w:rsid w:val="0061353C"/>
    <w:rsid w:val="0061357D"/>
    <w:rsid w:val="00613767"/>
    <w:rsid w:val="00614348"/>
    <w:rsid w:val="0061467E"/>
    <w:rsid w:val="00614780"/>
    <w:rsid w:val="00615072"/>
    <w:rsid w:val="006155E4"/>
    <w:rsid w:val="00615748"/>
    <w:rsid w:val="00615985"/>
    <w:rsid w:val="006160AB"/>
    <w:rsid w:val="00616190"/>
    <w:rsid w:val="0061624D"/>
    <w:rsid w:val="0061626E"/>
    <w:rsid w:val="006165B5"/>
    <w:rsid w:val="006169EC"/>
    <w:rsid w:val="00616E69"/>
    <w:rsid w:val="0061741D"/>
    <w:rsid w:val="00617F4F"/>
    <w:rsid w:val="00620287"/>
    <w:rsid w:val="00620F4A"/>
    <w:rsid w:val="00621080"/>
    <w:rsid w:val="0062144A"/>
    <w:rsid w:val="006215C4"/>
    <w:rsid w:val="00622776"/>
    <w:rsid w:val="006235AE"/>
    <w:rsid w:val="00623C01"/>
    <w:rsid w:val="00623C9B"/>
    <w:rsid w:val="00623F2D"/>
    <w:rsid w:val="00623FF4"/>
    <w:rsid w:val="006242FE"/>
    <w:rsid w:val="00624E2A"/>
    <w:rsid w:val="00625290"/>
    <w:rsid w:val="006253C8"/>
    <w:rsid w:val="0062568B"/>
    <w:rsid w:val="00626230"/>
    <w:rsid w:val="0062625D"/>
    <w:rsid w:val="00626B75"/>
    <w:rsid w:val="00626D95"/>
    <w:rsid w:val="00627831"/>
    <w:rsid w:val="00627870"/>
    <w:rsid w:val="00627E21"/>
    <w:rsid w:val="00630D4E"/>
    <w:rsid w:val="00630E0D"/>
    <w:rsid w:val="006313C7"/>
    <w:rsid w:val="00631455"/>
    <w:rsid w:val="00631552"/>
    <w:rsid w:val="006319D4"/>
    <w:rsid w:val="00631FE2"/>
    <w:rsid w:val="006322A3"/>
    <w:rsid w:val="00632B36"/>
    <w:rsid w:val="00633177"/>
    <w:rsid w:val="006332EE"/>
    <w:rsid w:val="0063345F"/>
    <w:rsid w:val="00633990"/>
    <w:rsid w:val="00633A6E"/>
    <w:rsid w:val="0063436D"/>
    <w:rsid w:val="0063454D"/>
    <w:rsid w:val="006345ED"/>
    <w:rsid w:val="0063487C"/>
    <w:rsid w:val="006348E1"/>
    <w:rsid w:val="006349B8"/>
    <w:rsid w:val="00634A97"/>
    <w:rsid w:val="00635963"/>
    <w:rsid w:val="00635C5D"/>
    <w:rsid w:val="0063629F"/>
    <w:rsid w:val="00636652"/>
    <w:rsid w:val="006368F2"/>
    <w:rsid w:val="00636E3C"/>
    <w:rsid w:val="006379B6"/>
    <w:rsid w:val="006379F8"/>
    <w:rsid w:val="00637A03"/>
    <w:rsid w:val="00637C80"/>
    <w:rsid w:val="0064010D"/>
    <w:rsid w:val="00641778"/>
    <w:rsid w:val="006419E3"/>
    <w:rsid w:val="00641BC7"/>
    <w:rsid w:val="0064222D"/>
    <w:rsid w:val="00642A3A"/>
    <w:rsid w:val="00643390"/>
    <w:rsid w:val="00643C77"/>
    <w:rsid w:val="00643F0D"/>
    <w:rsid w:val="0064437C"/>
    <w:rsid w:val="006448F8"/>
    <w:rsid w:val="00644E5C"/>
    <w:rsid w:val="00644E80"/>
    <w:rsid w:val="006457EC"/>
    <w:rsid w:val="006458C7"/>
    <w:rsid w:val="006461CF"/>
    <w:rsid w:val="00646377"/>
    <w:rsid w:val="0064642C"/>
    <w:rsid w:val="006466BA"/>
    <w:rsid w:val="00651F12"/>
    <w:rsid w:val="00652382"/>
    <w:rsid w:val="0065273F"/>
    <w:rsid w:val="00652882"/>
    <w:rsid w:val="00653061"/>
    <w:rsid w:val="00653448"/>
    <w:rsid w:val="00653469"/>
    <w:rsid w:val="00653B65"/>
    <w:rsid w:val="00653FCB"/>
    <w:rsid w:val="00654067"/>
    <w:rsid w:val="0065439B"/>
    <w:rsid w:val="00654621"/>
    <w:rsid w:val="00654C88"/>
    <w:rsid w:val="00654FDC"/>
    <w:rsid w:val="0065500F"/>
    <w:rsid w:val="006559C6"/>
    <w:rsid w:val="00655E25"/>
    <w:rsid w:val="00655F02"/>
    <w:rsid w:val="00656182"/>
    <w:rsid w:val="0065621C"/>
    <w:rsid w:val="00656384"/>
    <w:rsid w:val="0065653A"/>
    <w:rsid w:val="00656BCF"/>
    <w:rsid w:val="00657CA3"/>
    <w:rsid w:val="00657EE1"/>
    <w:rsid w:val="00660250"/>
    <w:rsid w:val="00660F2F"/>
    <w:rsid w:val="00661629"/>
    <w:rsid w:val="00661BF3"/>
    <w:rsid w:val="00661F3B"/>
    <w:rsid w:val="006620CB"/>
    <w:rsid w:val="00662B40"/>
    <w:rsid w:val="0066307E"/>
    <w:rsid w:val="00663543"/>
    <w:rsid w:val="00663CEF"/>
    <w:rsid w:val="006642C4"/>
    <w:rsid w:val="006647F6"/>
    <w:rsid w:val="0066487D"/>
    <w:rsid w:val="006652B1"/>
    <w:rsid w:val="00666854"/>
    <w:rsid w:val="00666BB9"/>
    <w:rsid w:val="00667531"/>
    <w:rsid w:val="00667E72"/>
    <w:rsid w:val="00670252"/>
    <w:rsid w:val="0067087D"/>
    <w:rsid w:val="0067168B"/>
    <w:rsid w:val="00671E23"/>
    <w:rsid w:val="0067230E"/>
    <w:rsid w:val="00672596"/>
    <w:rsid w:val="0067384A"/>
    <w:rsid w:val="00673F0E"/>
    <w:rsid w:val="006745CE"/>
    <w:rsid w:val="00675164"/>
    <w:rsid w:val="006753AC"/>
    <w:rsid w:val="006766F1"/>
    <w:rsid w:val="00676FDA"/>
    <w:rsid w:val="00677C7B"/>
    <w:rsid w:val="00677DD2"/>
    <w:rsid w:val="00680248"/>
    <w:rsid w:val="006807BB"/>
    <w:rsid w:val="00680821"/>
    <w:rsid w:val="00680979"/>
    <w:rsid w:val="006817A2"/>
    <w:rsid w:val="0068188B"/>
    <w:rsid w:val="0068202D"/>
    <w:rsid w:val="00682E01"/>
    <w:rsid w:val="00683391"/>
    <w:rsid w:val="006833EB"/>
    <w:rsid w:val="006834D5"/>
    <w:rsid w:val="00683AD4"/>
    <w:rsid w:val="00683CFA"/>
    <w:rsid w:val="00684E85"/>
    <w:rsid w:val="00685C06"/>
    <w:rsid w:val="0068621A"/>
    <w:rsid w:val="0068642B"/>
    <w:rsid w:val="00686511"/>
    <w:rsid w:val="006869DC"/>
    <w:rsid w:val="00686C65"/>
    <w:rsid w:val="00686CAF"/>
    <w:rsid w:val="006871A6"/>
    <w:rsid w:val="00687AAE"/>
    <w:rsid w:val="00687D50"/>
    <w:rsid w:val="006904F5"/>
    <w:rsid w:val="006911B8"/>
    <w:rsid w:val="00691272"/>
    <w:rsid w:val="00692FB2"/>
    <w:rsid w:val="0069305C"/>
    <w:rsid w:val="006933CD"/>
    <w:rsid w:val="006935A8"/>
    <w:rsid w:val="0069371E"/>
    <w:rsid w:val="0069375D"/>
    <w:rsid w:val="00693869"/>
    <w:rsid w:val="00694878"/>
    <w:rsid w:val="00694E50"/>
    <w:rsid w:val="00695E87"/>
    <w:rsid w:val="00695EF2"/>
    <w:rsid w:val="00697177"/>
    <w:rsid w:val="006971F1"/>
    <w:rsid w:val="00697416"/>
    <w:rsid w:val="00697ADA"/>
    <w:rsid w:val="006A0891"/>
    <w:rsid w:val="006A0FF6"/>
    <w:rsid w:val="006A1428"/>
    <w:rsid w:val="006A1FA2"/>
    <w:rsid w:val="006A2564"/>
    <w:rsid w:val="006A26C5"/>
    <w:rsid w:val="006A27D3"/>
    <w:rsid w:val="006A28A7"/>
    <w:rsid w:val="006A34F0"/>
    <w:rsid w:val="006A34F4"/>
    <w:rsid w:val="006A3863"/>
    <w:rsid w:val="006A3894"/>
    <w:rsid w:val="006A4B93"/>
    <w:rsid w:val="006A4C88"/>
    <w:rsid w:val="006A4E2C"/>
    <w:rsid w:val="006A51C9"/>
    <w:rsid w:val="006A59E0"/>
    <w:rsid w:val="006A61E8"/>
    <w:rsid w:val="006A658E"/>
    <w:rsid w:val="006A6911"/>
    <w:rsid w:val="006A72A8"/>
    <w:rsid w:val="006A73B4"/>
    <w:rsid w:val="006B0543"/>
    <w:rsid w:val="006B0802"/>
    <w:rsid w:val="006B103F"/>
    <w:rsid w:val="006B1127"/>
    <w:rsid w:val="006B1180"/>
    <w:rsid w:val="006B1258"/>
    <w:rsid w:val="006B141C"/>
    <w:rsid w:val="006B2768"/>
    <w:rsid w:val="006B29F1"/>
    <w:rsid w:val="006B2C97"/>
    <w:rsid w:val="006B30D6"/>
    <w:rsid w:val="006B4A20"/>
    <w:rsid w:val="006B4B73"/>
    <w:rsid w:val="006B523A"/>
    <w:rsid w:val="006B5647"/>
    <w:rsid w:val="006B63CE"/>
    <w:rsid w:val="006B68A2"/>
    <w:rsid w:val="006B69A2"/>
    <w:rsid w:val="006B6AAA"/>
    <w:rsid w:val="006B723C"/>
    <w:rsid w:val="006B75E3"/>
    <w:rsid w:val="006B785C"/>
    <w:rsid w:val="006B79A3"/>
    <w:rsid w:val="006B7C72"/>
    <w:rsid w:val="006C0C72"/>
    <w:rsid w:val="006C0CD8"/>
    <w:rsid w:val="006C1892"/>
    <w:rsid w:val="006C1A65"/>
    <w:rsid w:val="006C1DFE"/>
    <w:rsid w:val="006C2063"/>
    <w:rsid w:val="006C2819"/>
    <w:rsid w:val="006C35EC"/>
    <w:rsid w:val="006C3F26"/>
    <w:rsid w:val="006C3F98"/>
    <w:rsid w:val="006C4227"/>
    <w:rsid w:val="006C4261"/>
    <w:rsid w:val="006C4412"/>
    <w:rsid w:val="006C46B0"/>
    <w:rsid w:val="006C5CAD"/>
    <w:rsid w:val="006C608E"/>
    <w:rsid w:val="006C66F5"/>
    <w:rsid w:val="006C6AB3"/>
    <w:rsid w:val="006C6E0C"/>
    <w:rsid w:val="006C71C6"/>
    <w:rsid w:val="006C7B0F"/>
    <w:rsid w:val="006C7E26"/>
    <w:rsid w:val="006CF1C7"/>
    <w:rsid w:val="006D02E8"/>
    <w:rsid w:val="006D0A80"/>
    <w:rsid w:val="006D11FF"/>
    <w:rsid w:val="006D1AF3"/>
    <w:rsid w:val="006D1B23"/>
    <w:rsid w:val="006D25F0"/>
    <w:rsid w:val="006D2864"/>
    <w:rsid w:val="006D2C3D"/>
    <w:rsid w:val="006D2F4E"/>
    <w:rsid w:val="006D30E4"/>
    <w:rsid w:val="006D31F2"/>
    <w:rsid w:val="006D3499"/>
    <w:rsid w:val="006D3C61"/>
    <w:rsid w:val="006D42E7"/>
    <w:rsid w:val="006D4BD8"/>
    <w:rsid w:val="006D4E1F"/>
    <w:rsid w:val="006D5159"/>
    <w:rsid w:val="006D579D"/>
    <w:rsid w:val="006D6A2D"/>
    <w:rsid w:val="006D7E45"/>
    <w:rsid w:val="006D7EA1"/>
    <w:rsid w:val="006E003D"/>
    <w:rsid w:val="006E01D7"/>
    <w:rsid w:val="006E05C1"/>
    <w:rsid w:val="006E0642"/>
    <w:rsid w:val="006E0681"/>
    <w:rsid w:val="006E0CD1"/>
    <w:rsid w:val="006E0DD5"/>
    <w:rsid w:val="006E12EE"/>
    <w:rsid w:val="006E1627"/>
    <w:rsid w:val="006E20C7"/>
    <w:rsid w:val="006E306A"/>
    <w:rsid w:val="006E30DC"/>
    <w:rsid w:val="006E33AF"/>
    <w:rsid w:val="006E4569"/>
    <w:rsid w:val="006E4587"/>
    <w:rsid w:val="006E4F4F"/>
    <w:rsid w:val="006E4FED"/>
    <w:rsid w:val="006E56DF"/>
    <w:rsid w:val="006E59DC"/>
    <w:rsid w:val="006E5BC4"/>
    <w:rsid w:val="006E5E27"/>
    <w:rsid w:val="006E618C"/>
    <w:rsid w:val="006E62B4"/>
    <w:rsid w:val="006E648D"/>
    <w:rsid w:val="006E652A"/>
    <w:rsid w:val="006E68ED"/>
    <w:rsid w:val="006E6A1C"/>
    <w:rsid w:val="006E720A"/>
    <w:rsid w:val="006E7651"/>
    <w:rsid w:val="006E768F"/>
    <w:rsid w:val="006E7C1C"/>
    <w:rsid w:val="006E7DC2"/>
    <w:rsid w:val="006EDEF0"/>
    <w:rsid w:val="006F007B"/>
    <w:rsid w:val="006F02C6"/>
    <w:rsid w:val="006F0619"/>
    <w:rsid w:val="006F0CCD"/>
    <w:rsid w:val="006F0EFD"/>
    <w:rsid w:val="006F10FF"/>
    <w:rsid w:val="006F1283"/>
    <w:rsid w:val="006F172E"/>
    <w:rsid w:val="006F1FDD"/>
    <w:rsid w:val="006F20DD"/>
    <w:rsid w:val="006F248A"/>
    <w:rsid w:val="006F25B0"/>
    <w:rsid w:val="006F299A"/>
    <w:rsid w:val="006F2C84"/>
    <w:rsid w:val="006F300E"/>
    <w:rsid w:val="006F317D"/>
    <w:rsid w:val="006F383D"/>
    <w:rsid w:val="006F434D"/>
    <w:rsid w:val="006F4BC2"/>
    <w:rsid w:val="006F4C56"/>
    <w:rsid w:val="006F4D41"/>
    <w:rsid w:val="006F4F26"/>
    <w:rsid w:val="006F5423"/>
    <w:rsid w:val="006F57DB"/>
    <w:rsid w:val="006F5A8A"/>
    <w:rsid w:val="006F6411"/>
    <w:rsid w:val="006F6413"/>
    <w:rsid w:val="006F677A"/>
    <w:rsid w:val="006F6839"/>
    <w:rsid w:val="006F6B45"/>
    <w:rsid w:val="006F6B8A"/>
    <w:rsid w:val="006F7064"/>
    <w:rsid w:val="006F73AD"/>
    <w:rsid w:val="006F7433"/>
    <w:rsid w:val="006F7699"/>
    <w:rsid w:val="006F7F4A"/>
    <w:rsid w:val="006F7F80"/>
    <w:rsid w:val="007005F1"/>
    <w:rsid w:val="00701E8A"/>
    <w:rsid w:val="00701F5C"/>
    <w:rsid w:val="007021A3"/>
    <w:rsid w:val="007026C7"/>
    <w:rsid w:val="00702918"/>
    <w:rsid w:val="00702CD9"/>
    <w:rsid w:val="007034A7"/>
    <w:rsid w:val="00703536"/>
    <w:rsid w:val="007042E8"/>
    <w:rsid w:val="00704AEC"/>
    <w:rsid w:val="00704C1A"/>
    <w:rsid w:val="007055C7"/>
    <w:rsid w:val="007064C6"/>
    <w:rsid w:val="0070662F"/>
    <w:rsid w:val="00706724"/>
    <w:rsid w:val="00707A98"/>
    <w:rsid w:val="00707F52"/>
    <w:rsid w:val="0071096A"/>
    <w:rsid w:val="00711070"/>
    <w:rsid w:val="0071114A"/>
    <w:rsid w:val="007113EC"/>
    <w:rsid w:val="007121CB"/>
    <w:rsid w:val="0071267B"/>
    <w:rsid w:val="00712EE6"/>
    <w:rsid w:val="00713661"/>
    <w:rsid w:val="00713FE9"/>
    <w:rsid w:val="00715AFC"/>
    <w:rsid w:val="00715D28"/>
    <w:rsid w:val="00715F6C"/>
    <w:rsid w:val="007170D2"/>
    <w:rsid w:val="007177C7"/>
    <w:rsid w:val="00720522"/>
    <w:rsid w:val="007209E4"/>
    <w:rsid w:val="00720A19"/>
    <w:rsid w:val="00720EAC"/>
    <w:rsid w:val="00721D55"/>
    <w:rsid w:val="007220A9"/>
    <w:rsid w:val="007223B4"/>
    <w:rsid w:val="00722511"/>
    <w:rsid w:val="007225F4"/>
    <w:rsid w:val="007225FB"/>
    <w:rsid w:val="00722BD1"/>
    <w:rsid w:val="00722F5B"/>
    <w:rsid w:val="00723118"/>
    <w:rsid w:val="0072320D"/>
    <w:rsid w:val="007233B5"/>
    <w:rsid w:val="00723B42"/>
    <w:rsid w:val="00723F78"/>
    <w:rsid w:val="007252E0"/>
    <w:rsid w:val="007258BF"/>
    <w:rsid w:val="00725A65"/>
    <w:rsid w:val="00726342"/>
    <w:rsid w:val="0072663F"/>
    <w:rsid w:val="00726C58"/>
    <w:rsid w:val="007273A9"/>
    <w:rsid w:val="00727708"/>
    <w:rsid w:val="00727CDC"/>
    <w:rsid w:val="007305D6"/>
    <w:rsid w:val="00730A18"/>
    <w:rsid w:val="00730A5B"/>
    <w:rsid w:val="00730EFD"/>
    <w:rsid w:val="00731AC4"/>
    <w:rsid w:val="00732E4D"/>
    <w:rsid w:val="0073326D"/>
    <w:rsid w:val="00733973"/>
    <w:rsid w:val="00733DF7"/>
    <w:rsid w:val="00734118"/>
    <w:rsid w:val="00734A14"/>
    <w:rsid w:val="007357B4"/>
    <w:rsid w:val="00736786"/>
    <w:rsid w:val="0073796F"/>
    <w:rsid w:val="00737A30"/>
    <w:rsid w:val="00740921"/>
    <w:rsid w:val="00741BF5"/>
    <w:rsid w:val="007422CC"/>
    <w:rsid w:val="0074257E"/>
    <w:rsid w:val="0074315E"/>
    <w:rsid w:val="007432F8"/>
    <w:rsid w:val="0074395E"/>
    <w:rsid w:val="0074397E"/>
    <w:rsid w:val="0074444B"/>
    <w:rsid w:val="00744544"/>
    <w:rsid w:val="0074462C"/>
    <w:rsid w:val="00745496"/>
    <w:rsid w:val="00745AD3"/>
    <w:rsid w:val="00745CD9"/>
    <w:rsid w:val="00746085"/>
    <w:rsid w:val="0074644D"/>
    <w:rsid w:val="00746FB4"/>
    <w:rsid w:val="00747D04"/>
    <w:rsid w:val="00747F2A"/>
    <w:rsid w:val="007506E0"/>
    <w:rsid w:val="00750E04"/>
    <w:rsid w:val="00751FD1"/>
    <w:rsid w:val="0075231E"/>
    <w:rsid w:val="00752331"/>
    <w:rsid w:val="00753247"/>
    <w:rsid w:val="00753260"/>
    <w:rsid w:val="00753913"/>
    <w:rsid w:val="00753AC9"/>
    <w:rsid w:val="00753AFC"/>
    <w:rsid w:val="00753D4F"/>
    <w:rsid w:val="00754F4A"/>
    <w:rsid w:val="007552F8"/>
    <w:rsid w:val="0075680F"/>
    <w:rsid w:val="00756888"/>
    <w:rsid w:val="00756D31"/>
    <w:rsid w:val="00757241"/>
    <w:rsid w:val="0075748F"/>
    <w:rsid w:val="00757540"/>
    <w:rsid w:val="007577A5"/>
    <w:rsid w:val="00757B94"/>
    <w:rsid w:val="00760756"/>
    <w:rsid w:val="007607D5"/>
    <w:rsid w:val="007616AB"/>
    <w:rsid w:val="007616D3"/>
    <w:rsid w:val="00762211"/>
    <w:rsid w:val="0076223E"/>
    <w:rsid w:val="00762AAD"/>
    <w:rsid w:val="0076368A"/>
    <w:rsid w:val="00763C38"/>
    <w:rsid w:val="00764620"/>
    <w:rsid w:val="007650AC"/>
    <w:rsid w:val="00766026"/>
    <w:rsid w:val="00766397"/>
    <w:rsid w:val="00766C47"/>
    <w:rsid w:val="007670D8"/>
    <w:rsid w:val="007674CE"/>
    <w:rsid w:val="007675DE"/>
    <w:rsid w:val="007678FB"/>
    <w:rsid w:val="00767F47"/>
    <w:rsid w:val="0077003F"/>
    <w:rsid w:val="00770118"/>
    <w:rsid w:val="00771390"/>
    <w:rsid w:val="00771565"/>
    <w:rsid w:val="0077159E"/>
    <w:rsid w:val="00772585"/>
    <w:rsid w:val="00772846"/>
    <w:rsid w:val="00772BD4"/>
    <w:rsid w:val="00772E72"/>
    <w:rsid w:val="00772F36"/>
    <w:rsid w:val="00772FA6"/>
    <w:rsid w:val="00773331"/>
    <w:rsid w:val="0077336A"/>
    <w:rsid w:val="00773995"/>
    <w:rsid w:val="00773F18"/>
    <w:rsid w:val="00774321"/>
    <w:rsid w:val="00774453"/>
    <w:rsid w:val="00774551"/>
    <w:rsid w:val="00774B65"/>
    <w:rsid w:val="00775404"/>
    <w:rsid w:val="00775639"/>
    <w:rsid w:val="007765B2"/>
    <w:rsid w:val="00776737"/>
    <w:rsid w:val="007775E0"/>
    <w:rsid w:val="00777835"/>
    <w:rsid w:val="00777FC3"/>
    <w:rsid w:val="0078097D"/>
    <w:rsid w:val="00780A20"/>
    <w:rsid w:val="00780E1F"/>
    <w:rsid w:val="0078198F"/>
    <w:rsid w:val="00781A35"/>
    <w:rsid w:val="00781EA1"/>
    <w:rsid w:val="00781F7A"/>
    <w:rsid w:val="00782448"/>
    <w:rsid w:val="0078282C"/>
    <w:rsid w:val="00782A2A"/>
    <w:rsid w:val="0078395E"/>
    <w:rsid w:val="00783A7A"/>
    <w:rsid w:val="00783D1A"/>
    <w:rsid w:val="0078452E"/>
    <w:rsid w:val="0078453B"/>
    <w:rsid w:val="00784A0C"/>
    <w:rsid w:val="00785373"/>
    <w:rsid w:val="00785729"/>
    <w:rsid w:val="00785ECF"/>
    <w:rsid w:val="00786488"/>
    <w:rsid w:val="007871FE"/>
    <w:rsid w:val="007876BF"/>
    <w:rsid w:val="007879DA"/>
    <w:rsid w:val="007900A0"/>
    <w:rsid w:val="00790271"/>
    <w:rsid w:val="0079085E"/>
    <w:rsid w:val="00790864"/>
    <w:rsid w:val="007916AF"/>
    <w:rsid w:val="00791778"/>
    <w:rsid w:val="00791B18"/>
    <w:rsid w:val="00791F07"/>
    <w:rsid w:val="007932EF"/>
    <w:rsid w:val="00793701"/>
    <w:rsid w:val="00793B09"/>
    <w:rsid w:val="00793D0F"/>
    <w:rsid w:val="00794162"/>
    <w:rsid w:val="007950ED"/>
    <w:rsid w:val="0079529D"/>
    <w:rsid w:val="0079554F"/>
    <w:rsid w:val="007955E6"/>
    <w:rsid w:val="007956BA"/>
    <w:rsid w:val="00795776"/>
    <w:rsid w:val="00796106"/>
    <w:rsid w:val="00796D0D"/>
    <w:rsid w:val="0079727E"/>
    <w:rsid w:val="00797855"/>
    <w:rsid w:val="00797DCD"/>
    <w:rsid w:val="007A15C5"/>
    <w:rsid w:val="007A15EA"/>
    <w:rsid w:val="007A18A2"/>
    <w:rsid w:val="007A1ECE"/>
    <w:rsid w:val="007A1F1B"/>
    <w:rsid w:val="007A2042"/>
    <w:rsid w:val="007A42F4"/>
    <w:rsid w:val="007A47A5"/>
    <w:rsid w:val="007A48D1"/>
    <w:rsid w:val="007A5007"/>
    <w:rsid w:val="007A599F"/>
    <w:rsid w:val="007A6238"/>
    <w:rsid w:val="007A688C"/>
    <w:rsid w:val="007A6D62"/>
    <w:rsid w:val="007A735A"/>
    <w:rsid w:val="007A7610"/>
    <w:rsid w:val="007A7A2F"/>
    <w:rsid w:val="007A7DE8"/>
    <w:rsid w:val="007ABC32"/>
    <w:rsid w:val="007B16EC"/>
    <w:rsid w:val="007B1BD7"/>
    <w:rsid w:val="007B2862"/>
    <w:rsid w:val="007B2D87"/>
    <w:rsid w:val="007B3823"/>
    <w:rsid w:val="007B482F"/>
    <w:rsid w:val="007B4EE0"/>
    <w:rsid w:val="007B5B84"/>
    <w:rsid w:val="007B5E5D"/>
    <w:rsid w:val="007B70FF"/>
    <w:rsid w:val="007B78A2"/>
    <w:rsid w:val="007B7DD2"/>
    <w:rsid w:val="007C0434"/>
    <w:rsid w:val="007C04D4"/>
    <w:rsid w:val="007C0C51"/>
    <w:rsid w:val="007C11A8"/>
    <w:rsid w:val="007C15AC"/>
    <w:rsid w:val="007C25B4"/>
    <w:rsid w:val="007C2B2C"/>
    <w:rsid w:val="007C3A0B"/>
    <w:rsid w:val="007C4176"/>
    <w:rsid w:val="007C467B"/>
    <w:rsid w:val="007C46FE"/>
    <w:rsid w:val="007C4991"/>
    <w:rsid w:val="007C4E15"/>
    <w:rsid w:val="007C57DA"/>
    <w:rsid w:val="007C5B59"/>
    <w:rsid w:val="007C639F"/>
    <w:rsid w:val="007C6BFE"/>
    <w:rsid w:val="007C7BDD"/>
    <w:rsid w:val="007D1492"/>
    <w:rsid w:val="007D16E3"/>
    <w:rsid w:val="007D2BB4"/>
    <w:rsid w:val="007D2DE5"/>
    <w:rsid w:val="007D35C9"/>
    <w:rsid w:val="007D35D5"/>
    <w:rsid w:val="007D3828"/>
    <w:rsid w:val="007D3FA9"/>
    <w:rsid w:val="007D4AE9"/>
    <w:rsid w:val="007D4D48"/>
    <w:rsid w:val="007D5192"/>
    <w:rsid w:val="007D6680"/>
    <w:rsid w:val="007D67AF"/>
    <w:rsid w:val="007D6B69"/>
    <w:rsid w:val="007D6BC8"/>
    <w:rsid w:val="007D7260"/>
    <w:rsid w:val="007D73EF"/>
    <w:rsid w:val="007D7D6B"/>
    <w:rsid w:val="007E02B6"/>
    <w:rsid w:val="007E036D"/>
    <w:rsid w:val="007E05B0"/>
    <w:rsid w:val="007E0602"/>
    <w:rsid w:val="007E10BB"/>
    <w:rsid w:val="007E125E"/>
    <w:rsid w:val="007E1EFB"/>
    <w:rsid w:val="007E2333"/>
    <w:rsid w:val="007E2DD3"/>
    <w:rsid w:val="007E30F3"/>
    <w:rsid w:val="007E36CF"/>
    <w:rsid w:val="007E3E67"/>
    <w:rsid w:val="007E459F"/>
    <w:rsid w:val="007E49FD"/>
    <w:rsid w:val="007E516D"/>
    <w:rsid w:val="007E615B"/>
    <w:rsid w:val="007E61B1"/>
    <w:rsid w:val="007E6256"/>
    <w:rsid w:val="007E75C6"/>
    <w:rsid w:val="007E778F"/>
    <w:rsid w:val="007F01F2"/>
    <w:rsid w:val="007F1A4D"/>
    <w:rsid w:val="007F1AC5"/>
    <w:rsid w:val="007F1C5A"/>
    <w:rsid w:val="007F1C69"/>
    <w:rsid w:val="007F1CDF"/>
    <w:rsid w:val="007F1D0F"/>
    <w:rsid w:val="007F1D14"/>
    <w:rsid w:val="007F1FC3"/>
    <w:rsid w:val="007F321A"/>
    <w:rsid w:val="007F323B"/>
    <w:rsid w:val="007F356C"/>
    <w:rsid w:val="007F374A"/>
    <w:rsid w:val="007F383B"/>
    <w:rsid w:val="007F3872"/>
    <w:rsid w:val="007F4228"/>
    <w:rsid w:val="007F4F6B"/>
    <w:rsid w:val="007F51C9"/>
    <w:rsid w:val="007F522A"/>
    <w:rsid w:val="007F54BF"/>
    <w:rsid w:val="007F59CF"/>
    <w:rsid w:val="007F5D77"/>
    <w:rsid w:val="007F660D"/>
    <w:rsid w:val="007F69E0"/>
    <w:rsid w:val="007F75BA"/>
    <w:rsid w:val="007F75EA"/>
    <w:rsid w:val="007F7825"/>
    <w:rsid w:val="00800297"/>
    <w:rsid w:val="008002EA"/>
    <w:rsid w:val="00800650"/>
    <w:rsid w:val="00800837"/>
    <w:rsid w:val="00800A5B"/>
    <w:rsid w:val="00800D12"/>
    <w:rsid w:val="0080108A"/>
    <w:rsid w:val="008017F7"/>
    <w:rsid w:val="00801810"/>
    <w:rsid w:val="00801BA5"/>
    <w:rsid w:val="00801BEB"/>
    <w:rsid w:val="00802BCC"/>
    <w:rsid w:val="00802C45"/>
    <w:rsid w:val="008032FF"/>
    <w:rsid w:val="008036ED"/>
    <w:rsid w:val="00803DB6"/>
    <w:rsid w:val="0080453F"/>
    <w:rsid w:val="00804671"/>
    <w:rsid w:val="00804DD8"/>
    <w:rsid w:val="00805905"/>
    <w:rsid w:val="00805B85"/>
    <w:rsid w:val="008060A3"/>
    <w:rsid w:val="00806EA6"/>
    <w:rsid w:val="008100C3"/>
    <w:rsid w:val="0081022D"/>
    <w:rsid w:val="008106D8"/>
    <w:rsid w:val="00810CE8"/>
    <w:rsid w:val="00811203"/>
    <w:rsid w:val="00811357"/>
    <w:rsid w:val="00811C47"/>
    <w:rsid w:val="00812087"/>
    <w:rsid w:val="00812291"/>
    <w:rsid w:val="00812402"/>
    <w:rsid w:val="00812BEC"/>
    <w:rsid w:val="008133EE"/>
    <w:rsid w:val="00813C15"/>
    <w:rsid w:val="00813FBD"/>
    <w:rsid w:val="00814A32"/>
    <w:rsid w:val="00814F30"/>
    <w:rsid w:val="00815114"/>
    <w:rsid w:val="00815982"/>
    <w:rsid w:val="00815FED"/>
    <w:rsid w:val="008177B0"/>
    <w:rsid w:val="00817832"/>
    <w:rsid w:val="00817B86"/>
    <w:rsid w:val="00817D6C"/>
    <w:rsid w:val="00817FB8"/>
    <w:rsid w:val="0081CC8F"/>
    <w:rsid w:val="0081ECFF"/>
    <w:rsid w:val="0082002B"/>
    <w:rsid w:val="00820113"/>
    <w:rsid w:val="008203D5"/>
    <w:rsid w:val="00820755"/>
    <w:rsid w:val="00820A3E"/>
    <w:rsid w:val="00820B60"/>
    <w:rsid w:val="00820E59"/>
    <w:rsid w:val="00820E6C"/>
    <w:rsid w:val="008217DA"/>
    <w:rsid w:val="008223D0"/>
    <w:rsid w:val="00822F0E"/>
    <w:rsid w:val="00823097"/>
    <w:rsid w:val="008231C5"/>
    <w:rsid w:val="0082363A"/>
    <w:rsid w:val="008239D8"/>
    <w:rsid w:val="008241FF"/>
    <w:rsid w:val="008242D6"/>
    <w:rsid w:val="00824D8F"/>
    <w:rsid w:val="008250B3"/>
    <w:rsid w:val="00825268"/>
    <w:rsid w:val="00825A72"/>
    <w:rsid w:val="0082662F"/>
    <w:rsid w:val="0082672E"/>
    <w:rsid w:val="00826808"/>
    <w:rsid w:val="00826840"/>
    <w:rsid w:val="008273AA"/>
    <w:rsid w:val="008276A5"/>
    <w:rsid w:val="00827E59"/>
    <w:rsid w:val="00827F57"/>
    <w:rsid w:val="00827F7B"/>
    <w:rsid w:val="00827F81"/>
    <w:rsid w:val="00827FC8"/>
    <w:rsid w:val="0083003F"/>
    <w:rsid w:val="00830453"/>
    <w:rsid w:val="00830DAE"/>
    <w:rsid w:val="008318FF"/>
    <w:rsid w:val="00831B08"/>
    <w:rsid w:val="00831F35"/>
    <w:rsid w:val="00832134"/>
    <w:rsid w:val="00832E36"/>
    <w:rsid w:val="0083481D"/>
    <w:rsid w:val="00834F69"/>
    <w:rsid w:val="00835529"/>
    <w:rsid w:val="008357C0"/>
    <w:rsid w:val="0083583C"/>
    <w:rsid w:val="008358D7"/>
    <w:rsid w:val="00836CDF"/>
    <w:rsid w:val="00836E99"/>
    <w:rsid w:val="00836F07"/>
    <w:rsid w:val="0083786E"/>
    <w:rsid w:val="008400DF"/>
    <w:rsid w:val="008401E2"/>
    <w:rsid w:val="0084149F"/>
    <w:rsid w:val="00841A05"/>
    <w:rsid w:val="00841E0A"/>
    <w:rsid w:val="00842FB8"/>
    <w:rsid w:val="008440A6"/>
    <w:rsid w:val="0084412B"/>
    <w:rsid w:val="008446C2"/>
    <w:rsid w:val="0084493B"/>
    <w:rsid w:val="00844B8A"/>
    <w:rsid w:val="00844DF9"/>
    <w:rsid w:val="00845AFB"/>
    <w:rsid w:val="008467BE"/>
    <w:rsid w:val="00846ADB"/>
    <w:rsid w:val="00846B4F"/>
    <w:rsid w:val="00846D07"/>
    <w:rsid w:val="00847020"/>
    <w:rsid w:val="00847895"/>
    <w:rsid w:val="008479A3"/>
    <w:rsid w:val="00847E03"/>
    <w:rsid w:val="008503CE"/>
    <w:rsid w:val="00850889"/>
    <w:rsid w:val="008510C5"/>
    <w:rsid w:val="00851995"/>
    <w:rsid w:val="00851B42"/>
    <w:rsid w:val="00851D5B"/>
    <w:rsid w:val="00854523"/>
    <w:rsid w:val="008545F3"/>
    <w:rsid w:val="008546B1"/>
    <w:rsid w:val="00854A4D"/>
    <w:rsid w:val="00854D44"/>
    <w:rsid w:val="00854E3C"/>
    <w:rsid w:val="00855297"/>
    <w:rsid w:val="00856653"/>
    <w:rsid w:val="008569AE"/>
    <w:rsid w:val="00856ABA"/>
    <w:rsid w:val="00857016"/>
    <w:rsid w:val="008570C3"/>
    <w:rsid w:val="00860445"/>
    <w:rsid w:val="00860776"/>
    <w:rsid w:val="00860A5D"/>
    <w:rsid w:val="008612C0"/>
    <w:rsid w:val="00861B63"/>
    <w:rsid w:val="00861E47"/>
    <w:rsid w:val="00862184"/>
    <w:rsid w:val="0086231D"/>
    <w:rsid w:val="00862328"/>
    <w:rsid w:val="008627F1"/>
    <w:rsid w:val="008634CC"/>
    <w:rsid w:val="00864252"/>
    <w:rsid w:val="00864AFE"/>
    <w:rsid w:val="00864E3E"/>
    <w:rsid w:val="00864E4C"/>
    <w:rsid w:val="00865354"/>
    <w:rsid w:val="00865840"/>
    <w:rsid w:val="00865CF3"/>
    <w:rsid w:val="00866433"/>
    <w:rsid w:val="0086712C"/>
    <w:rsid w:val="0086729B"/>
    <w:rsid w:val="008675D1"/>
    <w:rsid w:val="00867E7D"/>
    <w:rsid w:val="0087015C"/>
    <w:rsid w:val="00870ABB"/>
    <w:rsid w:val="00870C8C"/>
    <w:rsid w:val="008712B9"/>
    <w:rsid w:val="0087287A"/>
    <w:rsid w:val="00873120"/>
    <w:rsid w:val="0087342D"/>
    <w:rsid w:val="00873FD5"/>
    <w:rsid w:val="0087443B"/>
    <w:rsid w:val="00874D22"/>
    <w:rsid w:val="00875708"/>
    <w:rsid w:val="00875742"/>
    <w:rsid w:val="008757DC"/>
    <w:rsid w:val="0087706C"/>
    <w:rsid w:val="00877271"/>
    <w:rsid w:val="00877793"/>
    <w:rsid w:val="00880437"/>
    <w:rsid w:val="008804B4"/>
    <w:rsid w:val="008808D3"/>
    <w:rsid w:val="00881628"/>
    <w:rsid w:val="008818E5"/>
    <w:rsid w:val="00881B38"/>
    <w:rsid w:val="00881C6F"/>
    <w:rsid w:val="00882238"/>
    <w:rsid w:val="00882689"/>
    <w:rsid w:val="008834A5"/>
    <w:rsid w:val="008835D4"/>
    <w:rsid w:val="008835F3"/>
    <w:rsid w:val="00883801"/>
    <w:rsid w:val="00883D8D"/>
    <w:rsid w:val="00883E3C"/>
    <w:rsid w:val="0088457C"/>
    <w:rsid w:val="00884A48"/>
    <w:rsid w:val="008853A5"/>
    <w:rsid w:val="008856AA"/>
    <w:rsid w:val="008859A1"/>
    <w:rsid w:val="00885B4B"/>
    <w:rsid w:val="00885FC7"/>
    <w:rsid w:val="008860D7"/>
    <w:rsid w:val="008869C1"/>
    <w:rsid w:val="00886F71"/>
    <w:rsid w:val="00887213"/>
    <w:rsid w:val="00887F29"/>
    <w:rsid w:val="008903E1"/>
    <w:rsid w:val="00890560"/>
    <w:rsid w:val="00890668"/>
    <w:rsid w:val="008906A2"/>
    <w:rsid w:val="00890D79"/>
    <w:rsid w:val="00891C46"/>
    <w:rsid w:val="00891E59"/>
    <w:rsid w:val="00891F43"/>
    <w:rsid w:val="00892BE1"/>
    <w:rsid w:val="00892D11"/>
    <w:rsid w:val="00892E4F"/>
    <w:rsid w:val="00892EF5"/>
    <w:rsid w:val="00893006"/>
    <w:rsid w:val="00894273"/>
    <w:rsid w:val="00895358"/>
    <w:rsid w:val="00895375"/>
    <w:rsid w:val="008953C8"/>
    <w:rsid w:val="008954E8"/>
    <w:rsid w:val="00895C45"/>
    <w:rsid w:val="00895F18"/>
    <w:rsid w:val="008970F4"/>
    <w:rsid w:val="0089711E"/>
    <w:rsid w:val="00897790"/>
    <w:rsid w:val="008A01E6"/>
    <w:rsid w:val="008A1F42"/>
    <w:rsid w:val="008A2049"/>
    <w:rsid w:val="008A221B"/>
    <w:rsid w:val="008A2401"/>
    <w:rsid w:val="008A24DF"/>
    <w:rsid w:val="008A2914"/>
    <w:rsid w:val="008A294F"/>
    <w:rsid w:val="008A30CC"/>
    <w:rsid w:val="008A3204"/>
    <w:rsid w:val="008A3A14"/>
    <w:rsid w:val="008A4150"/>
    <w:rsid w:val="008A4C83"/>
    <w:rsid w:val="008A4DFD"/>
    <w:rsid w:val="008A5210"/>
    <w:rsid w:val="008A5470"/>
    <w:rsid w:val="008A58B8"/>
    <w:rsid w:val="008A5C02"/>
    <w:rsid w:val="008A5D5C"/>
    <w:rsid w:val="008A5F37"/>
    <w:rsid w:val="008A600C"/>
    <w:rsid w:val="008A60B6"/>
    <w:rsid w:val="008A69EE"/>
    <w:rsid w:val="008A71C0"/>
    <w:rsid w:val="008A77C6"/>
    <w:rsid w:val="008A7DCC"/>
    <w:rsid w:val="008B0FC7"/>
    <w:rsid w:val="008B2A46"/>
    <w:rsid w:val="008B2EF7"/>
    <w:rsid w:val="008B461A"/>
    <w:rsid w:val="008B4720"/>
    <w:rsid w:val="008B5D46"/>
    <w:rsid w:val="008B66B5"/>
    <w:rsid w:val="008B682B"/>
    <w:rsid w:val="008B73AB"/>
    <w:rsid w:val="008B7789"/>
    <w:rsid w:val="008B78EA"/>
    <w:rsid w:val="008B79AA"/>
    <w:rsid w:val="008C0881"/>
    <w:rsid w:val="008C09B4"/>
    <w:rsid w:val="008C0C78"/>
    <w:rsid w:val="008C0CDA"/>
    <w:rsid w:val="008C0D71"/>
    <w:rsid w:val="008C0EE4"/>
    <w:rsid w:val="008C1546"/>
    <w:rsid w:val="008C25E9"/>
    <w:rsid w:val="008C27F4"/>
    <w:rsid w:val="008C3773"/>
    <w:rsid w:val="008C4D24"/>
    <w:rsid w:val="008C532B"/>
    <w:rsid w:val="008C57D2"/>
    <w:rsid w:val="008C5938"/>
    <w:rsid w:val="008C5BC1"/>
    <w:rsid w:val="008C5EC5"/>
    <w:rsid w:val="008C6D72"/>
    <w:rsid w:val="008C6EC9"/>
    <w:rsid w:val="008D0368"/>
    <w:rsid w:val="008D06BF"/>
    <w:rsid w:val="008D0DA4"/>
    <w:rsid w:val="008D0F96"/>
    <w:rsid w:val="008D1176"/>
    <w:rsid w:val="008D18C3"/>
    <w:rsid w:val="008D1B94"/>
    <w:rsid w:val="008D1BF7"/>
    <w:rsid w:val="008D294D"/>
    <w:rsid w:val="008D366B"/>
    <w:rsid w:val="008D3B3E"/>
    <w:rsid w:val="008D3E1A"/>
    <w:rsid w:val="008D4C8B"/>
    <w:rsid w:val="008D4CE7"/>
    <w:rsid w:val="008D4F4C"/>
    <w:rsid w:val="008D5424"/>
    <w:rsid w:val="008D6E03"/>
    <w:rsid w:val="008D721D"/>
    <w:rsid w:val="008D7900"/>
    <w:rsid w:val="008D79AA"/>
    <w:rsid w:val="008E0646"/>
    <w:rsid w:val="008E09A9"/>
    <w:rsid w:val="008E0A8A"/>
    <w:rsid w:val="008E15DF"/>
    <w:rsid w:val="008E18C9"/>
    <w:rsid w:val="008E26A0"/>
    <w:rsid w:val="008E2A12"/>
    <w:rsid w:val="008E2FBD"/>
    <w:rsid w:val="008E3457"/>
    <w:rsid w:val="008E41AB"/>
    <w:rsid w:val="008E4730"/>
    <w:rsid w:val="008E48C4"/>
    <w:rsid w:val="008E4BF1"/>
    <w:rsid w:val="008E4D8E"/>
    <w:rsid w:val="008E6B9B"/>
    <w:rsid w:val="008E71AE"/>
    <w:rsid w:val="008E7868"/>
    <w:rsid w:val="008E7BB4"/>
    <w:rsid w:val="008E7C24"/>
    <w:rsid w:val="008E7EDB"/>
    <w:rsid w:val="008F061B"/>
    <w:rsid w:val="008F0D51"/>
    <w:rsid w:val="008F0FC8"/>
    <w:rsid w:val="008F1A8F"/>
    <w:rsid w:val="008F2172"/>
    <w:rsid w:val="008F2533"/>
    <w:rsid w:val="008F27CE"/>
    <w:rsid w:val="008F2B28"/>
    <w:rsid w:val="008F38F8"/>
    <w:rsid w:val="008F409A"/>
    <w:rsid w:val="008F47CE"/>
    <w:rsid w:val="008F48D2"/>
    <w:rsid w:val="008F4E4D"/>
    <w:rsid w:val="008F4E58"/>
    <w:rsid w:val="008F4F3F"/>
    <w:rsid w:val="008F572C"/>
    <w:rsid w:val="008F5B0C"/>
    <w:rsid w:val="008F5F69"/>
    <w:rsid w:val="008F5FD9"/>
    <w:rsid w:val="008F7565"/>
    <w:rsid w:val="008F77D2"/>
    <w:rsid w:val="00900120"/>
    <w:rsid w:val="009004A5"/>
    <w:rsid w:val="00900CB7"/>
    <w:rsid w:val="0090107E"/>
    <w:rsid w:val="00902C6B"/>
    <w:rsid w:val="009030F6"/>
    <w:rsid w:val="00903972"/>
    <w:rsid w:val="00903B88"/>
    <w:rsid w:val="00904499"/>
    <w:rsid w:val="0090507D"/>
    <w:rsid w:val="009053B8"/>
    <w:rsid w:val="00905439"/>
    <w:rsid w:val="009069E3"/>
    <w:rsid w:val="00906C98"/>
    <w:rsid w:val="009071C5"/>
    <w:rsid w:val="009072B4"/>
    <w:rsid w:val="009078A0"/>
    <w:rsid w:val="00910047"/>
    <w:rsid w:val="009107D9"/>
    <w:rsid w:val="00911462"/>
    <w:rsid w:val="00911554"/>
    <w:rsid w:val="00911A7A"/>
    <w:rsid w:val="00911DE1"/>
    <w:rsid w:val="00911FE7"/>
    <w:rsid w:val="009124B2"/>
    <w:rsid w:val="00912D8A"/>
    <w:rsid w:val="00912D91"/>
    <w:rsid w:val="00912E7B"/>
    <w:rsid w:val="00912F89"/>
    <w:rsid w:val="00914643"/>
    <w:rsid w:val="00914ADD"/>
    <w:rsid w:val="00914B33"/>
    <w:rsid w:val="00914E5B"/>
    <w:rsid w:val="00914FC3"/>
    <w:rsid w:val="00915299"/>
    <w:rsid w:val="00915EE6"/>
    <w:rsid w:val="00916740"/>
    <w:rsid w:val="00916B5C"/>
    <w:rsid w:val="00916D73"/>
    <w:rsid w:val="009175E5"/>
    <w:rsid w:val="00920281"/>
    <w:rsid w:val="00920BC4"/>
    <w:rsid w:val="0092247A"/>
    <w:rsid w:val="0092293B"/>
    <w:rsid w:val="00922C6B"/>
    <w:rsid w:val="00922F7D"/>
    <w:rsid w:val="009234D2"/>
    <w:rsid w:val="0092361E"/>
    <w:rsid w:val="00923830"/>
    <w:rsid w:val="00924BBE"/>
    <w:rsid w:val="009251DD"/>
    <w:rsid w:val="00925CD3"/>
    <w:rsid w:val="00925D68"/>
    <w:rsid w:val="009264F3"/>
    <w:rsid w:val="00926807"/>
    <w:rsid w:val="00926D58"/>
    <w:rsid w:val="00927588"/>
    <w:rsid w:val="0092765E"/>
    <w:rsid w:val="009279C5"/>
    <w:rsid w:val="00927D07"/>
    <w:rsid w:val="00927DFD"/>
    <w:rsid w:val="00930586"/>
    <w:rsid w:val="00930A03"/>
    <w:rsid w:val="00931362"/>
    <w:rsid w:val="00931D3C"/>
    <w:rsid w:val="0093239A"/>
    <w:rsid w:val="009323F7"/>
    <w:rsid w:val="00932695"/>
    <w:rsid w:val="0093284A"/>
    <w:rsid w:val="00933AAD"/>
    <w:rsid w:val="00933AFE"/>
    <w:rsid w:val="009345C9"/>
    <w:rsid w:val="0093490F"/>
    <w:rsid w:val="00934A14"/>
    <w:rsid w:val="00935015"/>
    <w:rsid w:val="009363FD"/>
    <w:rsid w:val="009364E7"/>
    <w:rsid w:val="00937200"/>
    <w:rsid w:val="00937F57"/>
    <w:rsid w:val="00937FDD"/>
    <w:rsid w:val="00940174"/>
    <w:rsid w:val="00940186"/>
    <w:rsid w:val="009402C2"/>
    <w:rsid w:val="00940EBB"/>
    <w:rsid w:val="009410BF"/>
    <w:rsid w:val="009411A9"/>
    <w:rsid w:val="0094223D"/>
    <w:rsid w:val="0094330C"/>
    <w:rsid w:val="00943589"/>
    <w:rsid w:val="00944184"/>
    <w:rsid w:val="00944280"/>
    <w:rsid w:val="009442A1"/>
    <w:rsid w:val="00944AC7"/>
    <w:rsid w:val="00945798"/>
    <w:rsid w:val="00945B1F"/>
    <w:rsid w:val="00945F2A"/>
    <w:rsid w:val="00946112"/>
    <w:rsid w:val="00946BD3"/>
    <w:rsid w:val="00947F62"/>
    <w:rsid w:val="00950749"/>
    <w:rsid w:val="009511A0"/>
    <w:rsid w:val="00951282"/>
    <w:rsid w:val="009514A8"/>
    <w:rsid w:val="0095176E"/>
    <w:rsid w:val="0095183D"/>
    <w:rsid w:val="00951A72"/>
    <w:rsid w:val="00951ADA"/>
    <w:rsid w:val="009520C4"/>
    <w:rsid w:val="00952527"/>
    <w:rsid w:val="00952586"/>
    <w:rsid w:val="00952967"/>
    <w:rsid w:val="00952A44"/>
    <w:rsid w:val="009549B2"/>
    <w:rsid w:val="009549C6"/>
    <w:rsid w:val="00954B68"/>
    <w:rsid w:val="0095597C"/>
    <w:rsid w:val="009564ED"/>
    <w:rsid w:val="00956DA0"/>
    <w:rsid w:val="0095720D"/>
    <w:rsid w:val="00957479"/>
    <w:rsid w:val="00957F2A"/>
    <w:rsid w:val="00957F59"/>
    <w:rsid w:val="00960A62"/>
    <w:rsid w:val="00960BD3"/>
    <w:rsid w:val="00960CD4"/>
    <w:rsid w:val="00961227"/>
    <w:rsid w:val="009613B4"/>
    <w:rsid w:val="00961658"/>
    <w:rsid w:val="009628C1"/>
    <w:rsid w:val="00962CBA"/>
    <w:rsid w:val="00963EF9"/>
    <w:rsid w:val="00964284"/>
    <w:rsid w:val="009643B5"/>
    <w:rsid w:val="009657FF"/>
    <w:rsid w:val="009664F4"/>
    <w:rsid w:val="00966B06"/>
    <w:rsid w:val="009672B8"/>
    <w:rsid w:val="009678D2"/>
    <w:rsid w:val="00967E05"/>
    <w:rsid w:val="00967E4D"/>
    <w:rsid w:val="009708F2"/>
    <w:rsid w:val="0097091F"/>
    <w:rsid w:val="00970C8B"/>
    <w:rsid w:val="00970CA9"/>
    <w:rsid w:val="00971133"/>
    <w:rsid w:val="00971DD9"/>
    <w:rsid w:val="00972A3D"/>
    <w:rsid w:val="00973359"/>
    <w:rsid w:val="009733FA"/>
    <w:rsid w:val="009736FE"/>
    <w:rsid w:val="00973AB6"/>
    <w:rsid w:val="00973CB3"/>
    <w:rsid w:val="00973FF0"/>
    <w:rsid w:val="00974461"/>
    <w:rsid w:val="0097498C"/>
    <w:rsid w:val="009749F0"/>
    <w:rsid w:val="00976156"/>
    <w:rsid w:val="009762E7"/>
    <w:rsid w:val="009766DE"/>
    <w:rsid w:val="00976BEA"/>
    <w:rsid w:val="00976D25"/>
    <w:rsid w:val="00977015"/>
    <w:rsid w:val="00977354"/>
    <w:rsid w:val="00977614"/>
    <w:rsid w:val="00980043"/>
    <w:rsid w:val="00980369"/>
    <w:rsid w:val="0098050B"/>
    <w:rsid w:val="00980A09"/>
    <w:rsid w:val="0098121A"/>
    <w:rsid w:val="00981546"/>
    <w:rsid w:val="009817B0"/>
    <w:rsid w:val="00981F0F"/>
    <w:rsid w:val="0098202E"/>
    <w:rsid w:val="0098259A"/>
    <w:rsid w:val="0098275B"/>
    <w:rsid w:val="00982797"/>
    <w:rsid w:val="009828B8"/>
    <w:rsid w:val="00982E4F"/>
    <w:rsid w:val="00982EEE"/>
    <w:rsid w:val="009835E7"/>
    <w:rsid w:val="00983D95"/>
    <w:rsid w:val="00983DAF"/>
    <w:rsid w:val="009844EF"/>
    <w:rsid w:val="0098495D"/>
    <w:rsid w:val="00985362"/>
    <w:rsid w:val="00985667"/>
    <w:rsid w:val="0098785A"/>
    <w:rsid w:val="00990872"/>
    <w:rsid w:val="00990CF2"/>
    <w:rsid w:val="00991345"/>
    <w:rsid w:val="00991361"/>
    <w:rsid w:val="0099196A"/>
    <w:rsid w:val="009927E1"/>
    <w:rsid w:val="0099290D"/>
    <w:rsid w:val="00992F5A"/>
    <w:rsid w:val="00993256"/>
    <w:rsid w:val="00993269"/>
    <w:rsid w:val="0099334E"/>
    <w:rsid w:val="00993651"/>
    <w:rsid w:val="00993918"/>
    <w:rsid w:val="00993D19"/>
    <w:rsid w:val="009948C6"/>
    <w:rsid w:val="00994FA8"/>
    <w:rsid w:val="00996974"/>
    <w:rsid w:val="00996C21"/>
    <w:rsid w:val="00996FD0"/>
    <w:rsid w:val="00997363"/>
    <w:rsid w:val="00997426"/>
    <w:rsid w:val="009974F8"/>
    <w:rsid w:val="00997DF2"/>
    <w:rsid w:val="009A01B7"/>
    <w:rsid w:val="009A038E"/>
    <w:rsid w:val="009A0A88"/>
    <w:rsid w:val="009A0E10"/>
    <w:rsid w:val="009A11F8"/>
    <w:rsid w:val="009A144B"/>
    <w:rsid w:val="009A17F6"/>
    <w:rsid w:val="009A1B37"/>
    <w:rsid w:val="009A216C"/>
    <w:rsid w:val="009A263C"/>
    <w:rsid w:val="009A2925"/>
    <w:rsid w:val="009A4100"/>
    <w:rsid w:val="009A4A43"/>
    <w:rsid w:val="009A5098"/>
    <w:rsid w:val="009A5F27"/>
    <w:rsid w:val="009A60C5"/>
    <w:rsid w:val="009A61DF"/>
    <w:rsid w:val="009A661D"/>
    <w:rsid w:val="009A692F"/>
    <w:rsid w:val="009A6FB4"/>
    <w:rsid w:val="009A73C0"/>
    <w:rsid w:val="009B0342"/>
    <w:rsid w:val="009B0706"/>
    <w:rsid w:val="009B1748"/>
    <w:rsid w:val="009B1A1A"/>
    <w:rsid w:val="009B1EF1"/>
    <w:rsid w:val="009B1F81"/>
    <w:rsid w:val="009B1FC6"/>
    <w:rsid w:val="009B2330"/>
    <w:rsid w:val="009B258E"/>
    <w:rsid w:val="009B2890"/>
    <w:rsid w:val="009B2C99"/>
    <w:rsid w:val="009B3004"/>
    <w:rsid w:val="009B33C3"/>
    <w:rsid w:val="009B33FB"/>
    <w:rsid w:val="009B4954"/>
    <w:rsid w:val="009B4F44"/>
    <w:rsid w:val="009B4F7E"/>
    <w:rsid w:val="009B53A9"/>
    <w:rsid w:val="009B5976"/>
    <w:rsid w:val="009B6079"/>
    <w:rsid w:val="009B6562"/>
    <w:rsid w:val="009B720C"/>
    <w:rsid w:val="009B7217"/>
    <w:rsid w:val="009B73A1"/>
    <w:rsid w:val="009B778F"/>
    <w:rsid w:val="009B784C"/>
    <w:rsid w:val="009B7AE8"/>
    <w:rsid w:val="009BDC72"/>
    <w:rsid w:val="009C0056"/>
    <w:rsid w:val="009C0423"/>
    <w:rsid w:val="009C0611"/>
    <w:rsid w:val="009C0A09"/>
    <w:rsid w:val="009C16C5"/>
    <w:rsid w:val="009C228A"/>
    <w:rsid w:val="009C243E"/>
    <w:rsid w:val="009C3887"/>
    <w:rsid w:val="009C394C"/>
    <w:rsid w:val="009C3ACB"/>
    <w:rsid w:val="009C48F9"/>
    <w:rsid w:val="009C4EE0"/>
    <w:rsid w:val="009C52DF"/>
    <w:rsid w:val="009C5301"/>
    <w:rsid w:val="009C6F69"/>
    <w:rsid w:val="009C77BC"/>
    <w:rsid w:val="009C7940"/>
    <w:rsid w:val="009C7968"/>
    <w:rsid w:val="009C7CED"/>
    <w:rsid w:val="009D0C4E"/>
    <w:rsid w:val="009D0D7C"/>
    <w:rsid w:val="009D10C0"/>
    <w:rsid w:val="009D1428"/>
    <w:rsid w:val="009D21F7"/>
    <w:rsid w:val="009D231B"/>
    <w:rsid w:val="009D3E9A"/>
    <w:rsid w:val="009D421E"/>
    <w:rsid w:val="009D4480"/>
    <w:rsid w:val="009D6651"/>
    <w:rsid w:val="009D6DCA"/>
    <w:rsid w:val="009D70FB"/>
    <w:rsid w:val="009D7B15"/>
    <w:rsid w:val="009D7B22"/>
    <w:rsid w:val="009D7DD5"/>
    <w:rsid w:val="009E007F"/>
    <w:rsid w:val="009E0698"/>
    <w:rsid w:val="009E07B1"/>
    <w:rsid w:val="009E0A6F"/>
    <w:rsid w:val="009E0AE7"/>
    <w:rsid w:val="009E0EA8"/>
    <w:rsid w:val="009E1687"/>
    <w:rsid w:val="009E2448"/>
    <w:rsid w:val="009E248B"/>
    <w:rsid w:val="009E26FB"/>
    <w:rsid w:val="009E2758"/>
    <w:rsid w:val="009E281A"/>
    <w:rsid w:val="009E2E65"/>
    <w:rsid w:val="009E3330"/>
    <w:rsid w:val="009E3F69"/>
    <w:rsid w:val="009E5922"/>
    <w:rsid w:val="009E5FA6"/>
    <w:rsid w:val="009E6317"/>
    <w:rsid w:val="009E662E"/>
    <w:rsid w:val="009E688B"/>
    <w:rsid w:val="009E6F0F"/>
    <w:rsid w:val="009E7DA7"/>
    <w:rsid w:val="009F0063"/>
    <w:rsid w:val="009F06C5"/>
    <w:rsid w:val="009F07FA"/>
    <w:rsid w:val="009F0E59"/>
    <w:rsid w:val="009F10F5"/>
    <w:rsid w:val="009F11FD"/>
    <w:rsid w:val="009F12E2"/>
    <w:rsid w:val="009F14CA"/>
    <w:rsid w:val="009F1782"/>
    <w:rsid w:val="009F20D7"/>
    <w:rsid w:val="009F2119"/>
    <w:rsid w:val="009F24ED"/>
    <w:rsid w:val="009F3199"/>
    <w:rsid w:val="009F3F43"/>
    <w:rsid w:val="009F3F98"/>
    <w:rsid w:val="009F42DA"/>
    <w:rsid w:val="009F525B"/>
    <w:rsid w:val="009F52BD"/>
    <w:rsid w:val="009F58CA"/>
    <w:rsid w:val="009F634B"/>
    <w:rsid w:val="009F65EB"/>
    <w:rsid w:val="009F6D74"/>
    <w:rsid w:val="009F70D1"/>
    <w:rsid w:val="009F7563"/>
    <w:rsid w:val="009F7E7A"/>
    <w:rsid w:val="00A00870"/>
    <w:rsid w:val="00A025D2"/>
    <w:rsid w:val="00A038BF"/>
    <w:rsid w:val="00A03AC6"/>
    <w:rsid w:val="00A04173"/>
    <w:rsid w:val="00A044A0"/>
    <w:rsid w:val="00A04661"/>
    <w:rsid w:val="00A046C0"/>
    <w:rsid w:val="00A04825"/>
    <w:rsid w:val="00A049D8"/>
    <w:rsid w:val="00A04C08"/>
    <w:rsid w:val="00A04DB9"/>
    <w:rsid w:val="00A051B7"/>
    <w:rsid w:val="00A051F6"/>
    <w:rsid w:val="00A053AB"/>
    <w:rsid w:val="00A05474"/>
    <w:rsid w:val="00A057F5"/>
    <w:rsid w:val="00A06101"/>
    <w:rsid w:val="00A0629C"/>
    <w:rsid w:val="00A06E20"/>
    <w:rsid w:val="00A07265"/>
    <w:rsid w:val="00A07E9B"/>
    <w:rsid w:val="00A10386"/>
    <w:rsid w:val="00A10523"/>
    <w:rsid w:val="00A10D1E"/>
    <w:rsid w:val="00A10FA3"/>
    <w:rsid w:val="00A116CC"/>
    <w:rsid w:val="00A1187B"/>
    <w:rsid w:val="00A1191D"/>
    <w:rsid w:val="00A11E19"/>
    <w:rsid w:val="00A120FB"/>
    <w:rsid w:val="00A1216D"/>
    <w:rsid w:val="00A1245E"/>
    <w:rsid w:val="00A12512"/>
    <w:rsid w:val="00A13487"/>
    <w:rsid w:val="00A1383E"/>
    <w:rsid w:val="00A1450E"/>
    <w:rsid w:val="00A14C4D"/>
    <w:rsid w:val="00A14EAC"/>
    <w:rsid w:val="00A152AA"/>
    <w:rsid w:val="00A156ED"/>
    <w:rsid w:val="00A1592F"/>
    <w:rsid w:val="00A15E2F"/>
    <w:rsid w:val="00A16278"/>
    <w:rsid w:val="00A16368"/>
    <w:rsid w:val="00A169FD"/>
    <w:rsid w:val="00A16D88"/>
    <w:rsid w:val="00A16D9C"/>
    <w:rsid w:val="00A174D7"/>
    <w:rsid w:val="00A20355"/>
    <w:rsid w:val="00A204AC"/>
    <w:rsid w:val="00A206AC"/>
    <w:rsid w:val="00A20767"/>
    <w:rsid w:val="00A20F65"/>
    <w:rsid w:val="00A21144"/>
    <w:rsid w:val="00A2215D"/>
    <w:rsid w:val="00A2230F"/>
    <w:rsid w:val="00A22BC3"/>
    <w:rsid w:val="00A22C94"/>
    <w:rsid w:val="00A22FD2"/>
    <w:rsid w:val="00A23344"/>
    <w:rsid w:val="00A2362D"/>
    <w:rsid w:val="00A23886"/>
    <w:rsid w:val="00A247AC"/>
    <w:rsid w:val="00A2532C"/>
    <w:rsid w:val="00A253CE"/>
    <w:rsid w:val="00A260DB"/>
    <w:rsid w:val="00A26701"/>
    <w:rsid w:val="00A26F95"/>
    <w:rsid w:val="00A27086"/>
    <w:rsid w:val="00A27164"/>
    <w:rsid w:val="00A27249"/>
    <w:rsid w:val="00A2797B"/>
    <w:rsid w:val="00A27AD8"/>
    <w:rsid w:val="00A2E177"/>
    <w:rsid w:val="00A30FF3"/>
    <w:rsid w:val="00A31511"/>
    <w:rsid w:val="00A31E2F"/>
    <w:rsid w:val="00A3257E"/>
    <w:rsid w:val="00A326D2"/>
    <w:rsid w:val="00A32D50"/>
    <w:rsid w:val="00A33606"/>
    <w:rsid w:val="00A33713"/>
    <w:rsid w:val="00A33858"/>
    <w:rsid w:val="00A33B8B"/>
    <w:rsid w:val="00A33D29"/>
    <w:rsid w:val="00A348BB"/>
    <w:rsid w:val="00A34979"/>
    <w:rsid w:val="00A34CDA"/>
    <w:rsid w:val="00A3502D"/>
    <w:rsid w:val="00A357CA"/>
    <w:rsid w:val="00A35B08"/>
    <w:rsid w:val="00A35B0E"/>
    <w:rsid w:val="00A35F7E"/>
    <w:rsid w:val="00A36818"/>
    <w:rsid w:val="00A36951"/>
    <w:rsid w:val="00A369BA"/>
    <w:rsid w:val="00A36EA8"/>
    <w:rsid w:val="00A37E8A"/>
    <w:rsid w:val="00A40F35"/>
    <w:rsid w:val="00A41252"/>
    <w:rsid w:val="00A41B47"/>
    <w:rsid w:val="00A41EA0"/>
    <w:rsid w:val="00A41FB3"/>
    <w:rsid w:val="00A421AD"/>
    <w:rsid w:val="00A42524"/>
    <w:rsid w:val="00A42612"/>
    <w:rsid w:val="00A42C2C"/>
    <w:rsid w:val="00A42C4B"/>
    <w:rsid w:val="00A43298"/>
    <w:rsid w:val="00A4329A"/>
    <w:rsid w:val="00A43E91"/>
    <w:rsid w:val="00A44CD4"/>
    <w:rsid w:val="00A45B74"/>
    <w:rsid w:val="00A45C26"/>
    <w:rsid w:val="00A4654E"/>
    <w:rsid w:val="00A466C0"/>
    <w:rsid w:val="00A4676D"/>
    <w:rsid w:val="00A46AB8"/>
    <w:rsid w:val="00A46DBD"/>
    <w:rsid w:val="00A47625"/>
    <w:rsid w:val="00A51694"/>
    <w:rsid w:val="00A520E3"/>
    <w:rsid w:val="00A525A0"/>
    <w:rsid w:val="00A53533"/>
    <w:rsid w:val="00A53A41"/>
    <w:rsid w:val="00A5451B"/>
    <w:rsid w:val="00A54B56"/>
    <w:rsid w:val="00A54D3B"/>
    <w:rsid w:val="00A55244"/>
    <w:rsid w:val="00A55328"/>
    <w:rsid w:val="00A55590"/>
    <w:rsid w:val="00A5576D"/>
    <w:rsid w:val="00A5626E"/>
    <w:rsid w:val="00A56462"/>
    <w:rsid w:val="00A56B3D"/>
    <w:rsid w:val="00A56C69"/>
    <w:rsid w:val="00A571D8"/>
    <w:rsid w:val="00A57736"/>
    <w:rsid w:val="00A5799E"/>
    <w:rsid w:val="00A6025F"/>
    <w:rsid w:val="00A60659"/>
    <w:rsid w:val="00A60F16"/>
    <w:rsid w:val="00A61690"/>
    <w:rsid w:val="00A61E9F"/>
    <w:rsid w:val="00A62915"/>
    <w:rsid w:val="00A62AAA"/>
    <w:rsid w:val="00A637B9"/>
    <w:rsid w:val="00A64145"/>
    <w:rsid w:val="00A6429E"/>
    <w:rsid w:val="00A644E3"/>
    <w:rsid w:val="00A644EB"/>
    <w:rsid w:val="00A65829"/>
    <w:rsid w:val="00A65AFD"/>
    <w:rsid w:val="00A66A90"/>
    <w:rsid w:val="00A66BAB"/>
    <w:rsid w:val="00A66DCA"/>
    <w:rsid w:val="00A6717B"/>
    <w:rsid w:val="00A67382"/>
    <w:rsid w:val="00A67DFE"/>
    <w:rsid w:val="00A67F66"/>
    <w:rsid w:val="00A703ED"/>
    <w:rsid w:val="00A715FD"/>
    <w:rsid w:val="00A71AE5"/>
    <w:rsid w:val="00A71C1F"/>
    <w:rsid w:val="00A7214B"/>
    <w:rsid w:val="00A722B4"/>
    <w:rsid w:val="00A728CD"/>
    <w:rsid w:val="00A72C26"/>
    <w:rsid w:val="00A7393A"/>
    <w:rsid w:val="00A73B7C"/>
    <w:rsid w:val="00A73BE2"/>
    <w:rsid w:val="00A73D2F"/>
    <w:rsid w:val="00A73F17"/>
    <w:rsid w:val="00A74007"/>
    <w:rsid w:val="00A741B0"/>
    <w:rsid w:val="00A7422D"/>
    <w:rsid w:val="00A742D0"/>
    <w:rsid w:val="00A745E5"/>
    <w:rsid w:val="00A7552B"/>
    <w:rsid w:val="00A75C73"/>
    <w:rsid w:val="00A76219"/>
    <w:rsid w:val="00A76748"/>
    <w:rsid w:val="00A76832"/>
    <w:rsid w:val="00A76B2A"/>
    <w:rsid w:val="00A76E1E"/>
    <w:rsid w:val="00A77853"/>
    <w:rsid w:val="00A77EC6"/>
    <w:rsid w:val="00A80531"/>
    <w:rsid w:val="00A80565"/>
    <w:rsid w:val="00A806A6"/>
    <w:rsid w:val="00A80971"/>
    <w:rsid w:val="00A80CD2"/>
    <w:rsid w:val="00A80E6C"/>
    <w:rsid w:val="00A80F78"/>
    <w:rsid w:val="00A81589"/>
    <w:rsid w:val="00A81DF5"/>
    <w:rsid w:val="00A837FA"/>
    <w:rsid w:val="00A8397C"/>
    <w:rsid w:val="00A84562"/>
    <w:rsid w:val="00A84DBE"/>
    <w:rsid w:val="00A84FEF"/>
    <w:rsid w:val="00A850E8"/>
    <w:rsid w:val="00A85265"/>
    <w:rsid w:val="00A856BD"/>
    <w:rsid w:val="00A86293"/>
    <w:rsid w:val="00A869A6"/>
    <w:rsid w:val="00A86F43"/>
    <w:rsid w:val="00A8740A"/>
    <w:rsid w:val="00A87B24"/>
    <w:rsid w:val="00A901B2"/>
    <w:rsid w:val="00A90377"/>
    <w:rsid w:val="00A90842"/>
    <w:rsid w:val="00A91463"/>
    <w:rsid w:val="00A91464"/>
    <w:rsid w:val="00A91480"/>
    <w:rsid w:val="00A91A1A"/>
    <w:rsid w:val="00A91B10"/>
    <w:rsid w:val="00A92E42"/>
    <w:rsid w:val="00A92E5D"/>
    <w:rsid w:val="00A93082"/>
    <w:rsid w:val="00A9348B"/>
    <w:rsid w:val="00A9368F"/>
    <w:rsid w:val="00A93729"/>
    <w:rsid w:val="00A94897"/>
    <w:rsid w:val="00A949EC"/>
    <w:rsid w:val="00A94D6A"/>
    <w:rsid w:val="00A94F1A"/>
    <w:rsid w:val="00A9539A"/>
    <w:rsid w:val="00A95EBB"/>
    <w:rsid w:val="00A9654D"/>
    <w:rsid w:val="00A972BF"/>
    <w:rsid w:val="00A97629"/>
    <w:rsid w:val="00A97800"/>
    <w:rsid w:val="00A9792F"/>
    <w:rsid w:val="00A97D42"/>
    <w:rsid w:val="00AA0463"/>
    <w:rsid w:val="00AA079B"/>
    <w:rsid w:val="00AA09A7"/>
    <w:rsid w:val="00AA0A6A"/>
    <w:rsid w:val="00AA0C97"/>
    <w:rsid w:val="00AA1F0E"/>
    <w:rsid w:val="00AA2421"/>
    <w:rsid w:val="00AA3223"/>
    <w:rsid w:val="00AA34D8"/>
    <w:rsid w:val="00AA37E5"/>
    <w:rsid w:val="00AA4560"/>
    <w:rsid w:val="00AA4573"/>
    <w:rsid w:val="00AA4619"/>
    <w:rsid w:val="00AA482D"/>
    <w:rsid w:val="00AA4A4D"/>
    <w:rsid w:val="00AA4AA2"/>
    <w:rsid w:val="00AA5739"/>
    <w:rsid w:val="00AA576A"/>
    <w:rsid w:val="00AA6024"/>
    <w:rsid w:val="00AA6211"/>
    <w:rsid w:val="00AA69D3"/>
    <w:rsid w:val="00AA727E"/>
    <w:rsid w:val="00AA72E4"/>
    <w:rsid w:val="00AA7D32"/>
    <w:rsid w:val="00AA7EC2"/>
    <w:rsid w:val="00AA93CB"/>
    <w:rsid w:val="00AAF1AA"/>
    <w:rsid w:val="00AB009B"/>
    <w:rsid w:val="00AB0FAB"/>
    <w:rsid w:val="00AB14D5"/>
    <w:rsid w:val="00AB1625"/>
    <w:rsid w:val="00AB1A21"/>
    <w:rsid w:val="00AB1AF9"/>
    <w:rsid w:val="00AB1F44"/>
    <w:rsid w:val="00AB2757"/>
    <w:rsid w:val="00AB368D"/>
    <w:rsid w:val="00AB41E5"/>
    <w:rsid w:val="00AB5212"/>
    <w:rsid w:val="00AB5F75"/>
    <w:rsid w:val="00AB62D9"/>
    <w:rsid w:val="00AB69AE"/>
    <w:rsid w:val="00AB76FE"/>
    <w:rsid w:val="00AB77F8"/>
    <w:rsid w:val="00AB7867"/>
    <w:rsid w:val="00AB7D4F"/>
    <w:rsid w:val="00AB7E88"/>
    <w:rsid w:val="00AC03E7"/>
    <w:rsid w:val="00AC0648"/>
    <w:rsid w:val="00AC06C3"/>
    <w:rsid w:val="00AC0CBF"/>
    <w:rsid w:val="00AC1318"/>
    <w:rsid w:val="00AC13B4"/>
    <w:rsid w:val="00AC1463"/>
    <w:rsid w:val="00AC1540"/>
    <w:rsid w:val="00AC1BB8"/>
    <w:rsid w:val="00AC21C7"/>
    <w:rsid w:val="00AC2211"/>
    <w:rsid w:val="00AC2363"/>
    <w:rsid w:val="00AC359B"/>
    <w:rsid w:val="00AC414A"/>
    <w:rsid w:val="00AC42D6"/>
    <w:rsid w:val="00AC44A0"/>
    <w:rsid w:val="00AC4771"/>
    <w:rsid w:val="00AC4E41"/>
    <w:rsid w:val="00AC62CA"/>
    <w:rsid w:val="00AC6A96"/>
    <w:rsid w:val="00AC6EDA"/>
    <w:rsid w:val="00AC7225"/>
    <w:rsid w:val="00AC7488"/>
    <w:rsid w:val="00AC77CB"/>
    <w:rsid w:val="00AC7F5C"/>
    <w:rsid w:val="00AD039B"/>
    <w:rsid w:val="00AD061A"/>
    <w:rsid w:val="00AD0707"/>
    <w:rsid w:val="00AD13F5"/>
    <w:rsid w:val="00AD2FF3"/>
    <w:rsid w:val="00AD385F"/>
    <w:rsid w:val="00AD4A2F"/>
    <w:rsid w:val="00AD4BAE"/>
    <w:rsid w:val="00AD5702"/>
    <w:rsid w:val="00AD5721"/>
    <w:rsid w:val="00AD6001"/>
    <w:rsid w:val="00AD6197"/>
    <w:rsid w:val="00AD6556"/>
    <w:rsid w:val="00AD655A"/>
    <w:rsid w:val="00AD6829"/>
    <w:rsid w:val="00AD6E4B"/>
    <w:rsid w:val="00AD7373"/>
    <w:rsid w:val="00AD73DF"/>
    <w:rsid w:val="00AD7712"/>
    <w:rsid w:val="00AD7B1A"/>
    <w:rsid w:val="00AE0BF5"/>
    <w:rsid w:val="00AE1A5B"/>
    <w:rsid w:val="00AE2025"/>
    <w:rsid w:val="00AE235E"/>
    <w:rsid w:val="00AE2594"/>
    <w:rsid w:val="00AE3278"/>
    <w:rsid w:val="00AE33A6"/>
    <w:rsid w:val="00AE3AC4"/>
    <w:rsid w:val="00AE432E"/>
    <w:rsid w:val="00AE4799"/>
    <w:rsid w:val="00AE4942"/>
    <w:rsid w:val="00AE5006"/>
    <w:rsid w:val="00AE5454"/>
    <w:rsid w:val="00AE5BBF"/>
    <w:rsid w:val="00AE5CF6"/>
    <w:rsid w:val="00AE5D1A"/>
    <w:rsid w:val="00AE5FD6"/>
    <w:rsid w:val="00AE757A"/>
    <w:rsid w:val="00AE7E9C"/>
    <w:rsid w:val="00AE7F95"/>
    <w:rsid w:val="00AF0073"/>
    <w:rsid w:val="00AF0E4F"/>
    <w:rsid w:val="00AF11D6"/>
    <w:rsid w:val="00AF165F"/>
    <w:rsid w:val="00AF1A12"/>
    <w:rsid w:val="00AF244D"/>
    <w:rsid w:val="00AF2BF6"/>
    <w:rsid w:val="00AF335C"/>
    <w:rsid w:val="00AF370A"/>
    <w:rsid w:val="00AF4A63"/>
    <w:rsid w:val="00AF4D1B"/>
    <w:rsid w:val="00AF5890"/>
    <w:rsid w:val="00AF595F"/>
    <w:rsid w:val="00AF5C0F"/>
    <w:rsid w:val="00AF5DA3"/>
    <w:rsid w:val="00AF5F00"/>
    <w:rsid w:val="00AF691F"/>
    <w:rsid w:val="00AF72A3"/>
    <w:rsid w:val="00AF73D1"/>
    <w:rsid w:val="00AF7471"/>
    <w:rsid w:val="00AF7743"/>
    <w:rsid w:val="00B0008B"/>
    <w:rsid w:val="00B00DDB"/>
    <w:rsid w:val="00B012D9"/>
    <w:rsid w:val="00B0270D"/>
    <w:rsid w:val="00B0336C"/>
    <w:rsid w:val="00B03829"/>
    <w:rsid w:val="00B04010"/>
    <w:rsid w:val="00B0439D"/>
    <w:rsid w:val="00B04E1E"/>
    <w:rsid w:val="00B04FFF"/>
    <w:rsid w:val="00B05461"/>
    <w:rsid w:val="00B055CE"/>
    <w:rsid w:val="00B06060"/>
    <w:rsid w:val="00B06FBC"/>
    <w:rsid w:val="00B0719D"/>
    <w:rsid w:val="00B07C39"/>
    <w:rsid w:val="00B07F75"/>
    <w:rsid w:val="00B10A76"/>
    <w:rsid w:val="00B11337"/>
    <w:rsid w:val="00B11361"/>
    <w:rsid w:val="00B117A7"/>
    <w:rsid w:val="00B11D82"/>
    <w:rsid w:val="00B11FE1"/>
    <w:rsid w:val="00B1223C"/>
    <w:rsid w:val="00B12CCE"/>
    <w:rsid w:val="00B13365"/>
    <w:rsid w:val="00B1347F"/>
    <w:rsid w:val="00B135AD"/>
    <w:rsid w:val="00B13BE8"/>
    <w:rsid w:val="00B1402F"/>
    <w:rsid w:val="00B14914"/>
    <w:rsid w:val="00B14A50"/>
    <w:rsid w:val="00B14DCE"/>
    <w:rsid w:val="00B15523"/>
    <w:rsid w:val="00B1579C"/>
    <w:rsid w:val="00B1581F"/>
    <w:rsid w:val="00B16650"/>
    <w:rsid w:val="00B16874"/>
    <w:rsid w:val="00B169B5"/>
    <w:rsid w:val="00B16DF6"/>
    <w:rsid w:val="00B16EFB"/>
    <w:rsid w:val="00B1754E"/>
    <w:rsid w:val="00B20164"/>
    <w:rsid w:val="00B20191"/>
    <w:rsid w:val="00B202CD"/>
    <w:rsid w:val="00B20465"/>
    <w:rsid w:val="00B2046E"/>
    <w:rsid w:val="00B20BC2"/>
    <w:rsid w:val="00B211C3"/>
    <w:rsid w:val="00B214E3"/>
    <w:rsid w:val="00B2220D"/>
    <w:rsid w:val="00B226F4"/>
    <w:rsid w:val="00B22A5C"/>
    <w:rsid w:val="00B24B86"/>
    <w:rsid w:val="00B25334"/>
    <w:rsid w:val="00B253B4"/>
    <w:rsid w:val="00B25EC8"/>
    <w:rsid w:val="00B261CA"/>
    <w:rsid w:val="00B262F6"/>
    <w:rsid w:val="00B266F5"/>
    <w:rsid w:val="00B26730"/>
    <w:rsid w:val="00B267EA"/>
    <w:rsid w:val="00B26F60"/>
    <w:rsid w:val="00B27179"/>
    <w:rsid w:val="00B271ED"/>
    <w:rsid w:val="00B279D6"/>
    <w:rsid w:val="00B27CCC"/>
    <w:rsid w:val="00B27EFC"/>
    <w:rsid w:val="00B31D7E"/>
    <w:rsid w:val="00B3347E"/>
    <w:rsid w:val="00B33AC5"/>
    <w:rsid w:val="00B34668"/>
    <w:rsid w:val="00B349A8"/>
    <w:rsid w:val="00B352CB"/>
    <w:rsid w:val="00B356C2"/>
    <w:rsid w:val="00B35C04"/>
    <w:rsid w:val="00B362A3"/>
    <w:rsid w:val="00B36E13"/>
    <w:rsid w:val="00B37599"/>
    <w:rsid w:val="00B37AB3"/>
    <w:rsid w:val="00B37C54"/>
    <w:rsid w:val="00B41C1D"/>
    <w:rsid w:val="00B420FB"/>
    <w:rsid w:val="00B42182"/>
    <w:rsid w:val="00B42749"/>
    <w:rsid w:val="00B42D32"/>
    <w:rsid w:val="00B430E1"/>
    <w:rsid w:val="00B43D7A"/>
    <w:rsid w:val="00B44276"/>
    <w:rsid w:val="00B446A3"/>
    <w:rsid w:val="00B44866"/>
    <w:rsid w:val="00B4590F"/>
    <w:rsid w:val="00B45D15"/>
    <w:rsid w:val="00B478CB"/>
    <w:rsid w:val="00B47B91"/>
    <w:rsid w:val="00B47BD2"/>
    <w:rsid w:val="00B47D6F"/>
    <w:rsid w:val="00B4BFB0"/>
    <w:rsid w:val="00B5154B"/>
    <w:rsid w:val="00B51D14"/>
    <w:rsid w:val="00B51DDF"/>
    <w:rsid w:val="00B51E00"/>
    <w:rsid w:val="00B52634"/>
    <w:rsid w:val="00B526DE"/>
    <w:rsid w:val="00B52AF9"/>
    <w:rsid w:val="00B52E7F"/>
    <w:rsid w:val="00B53335"/>
    <w:rsid w:val="00B53EE3"/>
    <w:rsid w:val="00B545B2"/>
    <w:rsid w:val="00B54A85"/>
    <w:rsid w:val="00B5556A"/>
    <w:rsid w:val="00B557BC"/>
    <w:rsid w:val="00B55F95"/>
    <w:rsid w:val="00B56589"/>
    <w:rsid w:val="00B566DB"/>
    <w:rsid w:val="00B56942"/>
    <w:rsid w:val="00B56BFA"/>
    <w:rsid w:val="00B5766E"/>
    <w:rsid w:val="00B57944"/>
    <w:rsid w:val="00B57A0F"/>
    <w:rsid w:val="00B6055C"/>
    <w:rsid w:val="00B60AD9"/>
    <w:rsid w:val="00B60EB8"/>
    <w:rsid w:val="00B611E3"/>
    <w:rsid w:val="00B61F11"/>
    <w:rsid w:val="00B623DC"/>
    <w:rsid w:val="00B62433"/>
    <w:rsid w:val="00B628A9"/>
    <w:rsid w:val="00B628B5"/>
    <w:rsid w:val="00B6378E"/>
    <w:rsid w:val="00B63935"/>
    <w:rsid w:val="00B63D02"/>
    <w:rsid w:val="00B640B7"/>
    <w:rsid w:val="00B6491B"/>
    <w:rsid w:val="00B64E36"/>
    <w:rsid w:val="00B66143"/>
    <w:rsid w:val="00B6631E"/>
    <w:rsid w:val="00B66369"/>
    <w:rsid w:val="00B66841"/>
    <w:rsid w:val="00B669F9"/>
    <w:rsid w:val="00B671AA"/>
    <w:rsid w:val="00B67C8F"/>
    <w:rsid w:val="00B70270"/>
    <w:rsid w:val="00B70B3D"/>
    <w:rsid w:val="00B70C40"/>
    <w:rsid w:val="00B71116"/>
    <w:rsid w:val="00B71724"/>
    <w:rsid w:val="00B7245C"/>
    <w:rsid w:val="00B724F1"/>
    <w:rsid w:val="00B724F8"/>
    <w:rsid w:val="00B72922"/>
    <w:rsid w:val="00B72E03"/>
    <w:rsid w:val="00B7343A"/>
    <w:rsid w:val="00B73698"/>
    <w:rsid w:val="00B73A00"/>
    <w:rsid w:val="00B75247"/>
    <w:rsid w:val="00B76181"/>
    <w:rsid w:val="00B7619E"/>
    <w:rsid w:val="00B76304"/>
    <w:rsid w:val="00B76450"/>
    <w:rsid w:val="00B7686B"/>
    <w:rsid w:val="00B76962"/>
    <w:rsid w:val="00B76EA1"/>
    <w:rsid w:val="00B76FC9"/>
    <w:rsid w:val="00B77604"/>
    <w:rsid w:val="00B77887"/>
    <w:rsid w:val="00B779FC"/>
    <w:rsid w:val="00B77BA0"/>
    <w:rsid w:val="00B802AC"/>
    <w:rsid w:val="00B80532"/>
    <w:rsid w:val="00B80ADB"/>
    <w:rsid w:val="00B80CD4"/>
    <w:rsid w:val="00B80FBB"/>
    <w:rsid w:val="00B8154F"/>
    <w:rsid w:val="00B81832"/>
    <w:rsid w:val="00B81BFD"/>
    <w:rsid w:val="00B81E24"/>
    <w:rsid w:val="00B81F64"/>
    <w:rsid w:val="00B8243C"/>
    <w:rsid w:val="00B8251E"/>
    <w:rsid w:val="00B8273E"/>
    <w:rsid w:val="00B82A03"/>
    <w:rsid w:val="00B82A52"/>
    <w:rsid w:val="00B82AB8"/>
    <w:rsid w:val="00B82ACA"/>
    <w:rsid w:val="00B835E3"/>
    <w:rsid w:val="00B83A4B"/>
    <w:rsid w:val="00B84D94"/>
    <w:rsid w:val="00B84F66"/>
    <w:rsid w:val="00B85631"/>
    <w:rsid w:val="00B860B5"/>
    <w:rsid w:val="00B86A9D"/>
    <w:rsid w:val="00B86EE2"/>
    <w:rsid w:val="00B87866"/>
    <w:rsid w:val="00B87A66"/>
    <w:rsid w:val="00B87E8D"/>
    <w:rsid w:val="00B90F9B"/>
    <w:rsid w:val="00B91578"/>
    <w:rsid w:val="00B9212A"/>
    <w:rsid w:val="00B9266D"/>
    <w:rsid w:val="00B92B58"/>
    <w:rsid w:val="00B9310B"/>
    <w:rsid w:val="00B932BE"/>
    <w:rsid w:val="00B939E6"/>
    <w:rsid w:val="00B94674"/>
    <w:rsid w:val="00B94738"/>
    <w:rsid w:val="00B95350"/>
    <w:rsid w:val="00B957AE"/>
    <w:rsid w:val="00B95868"/>
    <w:rsid w:val="00B95A96"/>
    <w:rsid w:val="00B96176"/>
    <w:rsid w:val="00B96773"/>
    <w:rsid w:val="00B96A17"/>
    <w:rsid w:val="00B96D3B"/>
    <w:rsid w:val="00B97AB5"/>
    <w:rsid w:val="00BA0082"/>
    <w:rsid w:val="00BA088C"/>
    <w:rsid w:val="00BA15CC"/>
    <w:rsid w:val="00BA17B5"/>
    <w:rsid w:val="00BA20A2"/>
    <w:rsid w:val="00BA25BF"/>
    <w:rsid w:val="00BA27C2"/>
    <w:rsid w:val="00BA2870"/>
    <w:rsid w:val="00BA2C7D"/>
    <w:rsid w:val="00BA340B"/>
    <w:rsid w:val="00BA3648"/>
    <w:rsid w:val="00BA3799"/>
    <w:rsid w:val="00BA4203"/>
    <w:rsid w:val="00BA443A"/>
    <w:rsid w:val="00BA48D4"/>
    <w:rsid w:val="00BA4FB7"/>
    <w:rsid w:val="00BA6157"/>
    <w:rsid w:val="00BA6165"/>
    <w:rsid w:val="00BA6D11"/>
    <w:rsid w:val="00BA72AA"/>
    <w:rsid w:val="00BA75A6"/>
    <w:rsid w:val="00BA7A2F"/>
    <w:rsid w:val="00BA7A7F"/>
    <w:rsid w:val="00BB02EC"/>
    <w:rsid w:val="00BB088B"/>
    <w:rsid w:val="00BB0D4A"/>
    <w:rsid w:val="00BB23F4"/>
    <w:rsid w:val="00BB25FE"/>
    <w:rsid w:val="00BB2A14"/>
    <w:rsid w:val="00BB2F78"/>
    <w:rsid w:val="00BB305B"/>
    <w:rsid w:val="00BB38F3"/>
    <w:rsid w:val="00BB391A"/>
    <w:rsid w:val="00BB3BE8"/>
    <w:rsid w:val="00BB3C8E"/>
    <w:rsid w:val="00BB42E3"/>
    <w:rsid w:val="00BB4321"/>
    <w:rsid w:val="00BB4E11"/>
    <w:rsid w:val="00BB612A"/>
    <w:rsid w:val="00BB69AE"/>
    <w:rsid w:val="00BB6ADB"/>
    <w:rsid w:val="00BB715B"/>
    <w:rsid w:val="00BB7BFD"/>
    <w:rsid w:val="00BC01C8"/>
    <w:rsid w:val="00BC0438"/>
    <w:rsid w:val="00BC09F7"/>
    <w:rsid w:val="00BC0A08"/>
    <w:rsid w:val="00BC165B"/>
    <w:rsid w:val="00BC16B1"/>
    <w:rsid w:val="00BC18E5"/>
    <w:rsid w:val="00BC2110"/>
    <w:rsid w:val="00BC2295"/>
    <w:rsid w:val="00BC2309"/>
    <w:rsid w:val="00BC2B85"/>
    <w:rsid w:val="00BC2C0B"/>
    <w:rsid w:val="00BC36D2"/>
    <w:rsid w:val="00BC391D"/>
    <w:rsid w:val="00BC3AC5"/>
    <w:rsid w:val="00BC4424"/>
    <w:rsid w:val="00BC47ED"/>
    <w:rsid w:val="00BC5040"/>
    <w:rsid w:val="00BC5581"/>
    <w:rsid w:val="00BC59CE"/>
    <w:rsid w:val="00BC6120"/>
    <w:rsid w:val="00BC6173"/>
    <w:rsid w:val="00BC624E"/>
    <w:rsid w:val="00BC6826"/>
    <w:rsid w:val="00BC68F2"/>
    <w:rsid w:val="00BC6C0B"/>
    <w:rsid w:val="00BC6D46"/>
    <w:rsid w:val="00BC7307"/>
    <w:rsid w:val="00BC77FE"/>
    <w:rsid w:val="00BC79F0"/>
    <w:rsid w:val="00BD0C24"/>
    <w:rsid w:val="00BD152C"/>
    <w:rsid w:val="00BD1547"/>
    <w:rsid w:val="00BD16BC"/>
    <w:rsid w:val="00BD1D5D"/>
    <w:rsid w:val="00BD2A10"/>
    <w:rsid w:val="00BD4463"/>
    <w:rsid w:val="00BD47B7"/>
    <w:rsid w:val="00BD4C14"/>
    <w:rsid w:val="00BD51F2"/>
    <w:rsid w:val="00BD52EB"/>
    <w:rsid w:val="00BD562B"/>
    <w:rsid w:val="00BD5E10"/>
    <w:rsid w:val="00BD6B48"/>
    <w:rsid w:val="00BD6D57"/>
    <w:rsid w:val="00BD7062"/>
    <w:rsid w:val="00BD782E"/>
    <w:rsid w:val="00BD7EDA"/>
    <w:rsid w:val="00BD7FD2"/>
    <w:rsid w:val="00BE0F7B"/>
    <w:rsid w:val="00BE1113"/>
    <w:rsid w:val="00BE1996"/>
    <w:rsid w:val="00BE1C9D"/>
    <w:rsid w:val="00BE1DC6"/>
    <w:rsid w:val="00BE1E52"/>
    <w:rsid w:val="00BE2104"/>
    <w:rsid w:val="00BE21CE"/>
    <w:rsid w:val="00BE295E"/>
    <w:rsid w:val="00BE2C32"/>
    <w:rsid w:val="00BE308C"/>
    <w:rsid w:val="00BE30DA"/>
    <w:rsid w:val="00BE3EA4"/>
    <w:rsid w:val="00BE421F"/>
    <w:rsid w:val="00BE4A9F"/>
    <w:rsid w:val="00BE4BBB"/>
    <w:rsid w:val="00BE4D64"/>
    <w:rsid w:val="00BE5255"/>
    <w:rsid w:val="00BE525E"/>
    <w:rsid w:val="00BE613D"/>
    <w:rsid w:val="00BE6599"/>
    <w:rsid w:val="00BE6879"/>
    <w:rsid w:val="00BE7258"/>
    <w:rsid w:val="00BE7603"/>
    <w:rsid w:val="00BE7D17"/>
    <w:rsid w:val="00BE7FF6"/>
    <w:rsid w:val="00BF07AD"/>
    <w:rsid w:val="00BF0D2A"/>
    <w:rsid w:val="00BF12FE"/>
    <w:rsid w:val="00BF1437"/>
    <w:rsid w:val="00BF1D3B"/>
    <w:rsid w:val="00BF212B"/>
    <w:rsid w:val="00BF21B9"/>
    <w:rsid w:val="00BF271E"/>
    <w:rsid w:val="00BF2821"/>
    <w:rsid w:val="00BF2BB5"/>
    <w:rsid w:val="00BF2E09"/>
    <w:rsid w:val="00BF3921"/>
    <w:rsid w:val="00BF50CD"/>
    <w:rsid w:val="00BF548D"/>
    <w:rsid w:val="00BF642B"/>
    <w:rsid w:val="00BF649B"/>
    <w:rsid w:val="00BF684E"/>
    <w:rsid w:val="00BF6A1C"/>
    <w:rsid w:val="00BF71BE"/>
    <w:rsid w:val="00BF781B"/>
    <w:rsid w:val="00BF7AF2"/>
    <w:rsid w:val="00BF7BEE"/>
    <w:rsid w:val="00BF7DCA"/>
    <w:rsid w:val="00C003C3"/>
    <w:rsid w:val="00C00417"/>
    <w:rsid w:val="00C008AF"/>
    <w:rsid w:val="00C01818"/>
    <w:rsid w:val="00C01E31"/>
    <w:rsid w:val="00C02040"/>
    <w:rsid w:val="00C0208A"/>
    <w:rsid w:val="00C03554"/>
    <w:rsid w:val="00C03894"/>
    <w:rsid w:val="00C041D8"/>
    <w:rsid w:val="00C045C9"/>
    <w:rsid w:val="00C04864"/>
    <w:rsid w:val="00C04CF5"/>
    <w:rsid w:val="00C05179"/>
    <w:rsid w:val="00C05D12"/>
    <w:rsid w:val="00C069C1"/>
    <w:rsid w:val="00C06B12"/>
    <w:rsid w:val="00C07520"/>
    <w:rsid w:val="00C07D40"/>
    <w:rsid w:val="00C106B3"/>
    <w:rsid w:val="00C1105C"/>
    <w:rsid w:val="00C11D70"/>
    <w:rsid w:val="00C11FE8"/>
    <w:rsid w:val="00C12301"/>
    <w:rsid w:val="00C1255A"/>
    <w:rsid w:val="00C12F02"/>
    <w:rsid w:val="00C12FE7"/>
    <w:rsid w:val="00C13043"/>
    <w:rsid w:val="00C13AFC"/>
    <w:rsid w:val="00C14426"/>
    <w:rsid w:val="00C14737"/>
    <w:rsid w:val="00C1550B"/>
    <w:rsid w:val="00C15621"/>
    <w:rsid w:val="00C15BA9"/>
    <w:rsid w:val="00C15D5B"/>
    <w:rsid w:val="00C1617B"/>
    <w:rsid w:val="00C16564"/>
    <w:rsid w:val="00C16696"/>
    <w:rsid w:val="00C16EA4"/>
    <w:rsid w:val="00C17324"/>
    <w:rsid w:val="00C1793B"/>
    <w:rsid w:val="00C17988"/>
    <w:rsid w:val="00C2025B"/>
    <w:rsid w:val="00C20893"/>
    <w:rsid w:val="00C20A1A"/>
    <w:rsid w:val="00C20CF0"/>
    <w:rsid w:val="00C219C9"/>
    <w:rsid w:val="00C21F2C"/>
    <w:rsid w:val="00C2207B"/>
    <w:rsid w:val="00C227F0"/>
    <w:rsid w:val="00C23605"/>
    <w:rsid w:val="00C23BDB"/>
    <w:rsid w:val="00C23E02"/>
    <w:rsid w:val="00C240AA"/>
    <w:rsid w:val="00C24BCC"/>
    <w:rsid w:val="00C24F69"/>
    <w:rsid w:val="00C25066"/>
    <w:rsid w:val="00C25968"/>
    <w:rsid w:val="00C261F1"/>
    <w:rsid w:val="00C26DF0"/>
    <w:rsid w:val="00C270A3"/>
    <w:rsid w:val="00C278C9"/>
    <w:rsid w:val="00C27AF3"/>
    <w:rsid w:val="00C27DDD"/>
    <w:rsid w:val="00C3037B"/>
    <w:rsid w:val="00C30518"/>
    <w:rsid w:val="00C307A8"/>
    <w:rsid w:val="00C30A8A"/>
    <w:rsid w:val="00C30DDB"/>
    <w:rsid w:val="00C30F00"/>
    <w:rsid w:val="00C3107E"/>
    <w:rsid w:val="00C31B14"/>
    <w:rsid w:val="00C329CA"/>
    <w:rsid w:val="00C331A7"/>
    <w:rsid w:val="00C333FB"/>
    <w:rsid w:val="00C34D6B"/>
    <w:rsid w:val="00C34E64"/>
    <w:rsid w:val="00C35BD0"/>
    <w:rsid w:val="00C35F09"/>
    <w:rsid w:val="00C36147"/>
    <w:rsid w:val="00C364E7"/>
    <w:rsid w:val="00C366A3"/>
    <w:rsid w:val="00C366B9"/>
    <w:rsid w:val="00C36B15"/>
    <w:rsid w:val="00C36C07"/>
    <w:rsid w:val="00C36FF6"/>
    <w:rsid w:val="00C3735C"/>
    <w:rsid w:val="00C374CF"/>
    <w:rsid w:val="00C3754E"/>
    <w:rsid w:val="00C3758B"/>
    <w:rsid w:val="00C377CE"/>
    <w:rsid w:val="00C37B67"/>
    <w:rsid w:val="00C37EE1"/>
    <w:rsid w:val="00C40375"/>
    <w:rsid w:val="00C406D5"/>
    <w:rsid w:val="00C40741"/>
    <w:rsid w:val="00C40F3B"/>
    <w:rsid w:val="00C40F65"/>
    <w:rsid w:val="00C41808"/>
    <w:rsid w:val="00C42C61"/>
    <w:rsid w:val="00C42FB8"/>
    <w:rsid w:val="00C43273"/>
    <w:rsid w:val="00C43747"/>
    <w:rsid w:val="00C43757"/>
    <w:rsid w:val="00C4427C"/>
    <w:rsid w:val="00C44680"/>
    <w:rsid w:val="00C4480A"/>
    <w:rsid w:val="00C44A43"/>
    <w:rsid w:val="00C451B3"/>
    <w:rsid w:val="00C4565C"/>
    <w:rsid w:val="00C46827"/>
    <w:rsid w:val="00C46D92"/>
    <w:rsid w:val="00C47CDC"/>
    <w:rsid w:val="00C50005"/>
    <w:rsid w:val="00C5020B"/>
    <w:rsid w:val="00C503C3"/>
    <w:rsid w:val="00C51899"/>
    <w:rsid w:val="00C51C8F"/>
    <w:rsid w:val="00C51FDD"/>
    <w:rsid w:val="00C521D5"/>
    <w:rsid w:val="00C52A85"/>
    <w:rsid w:val="00C52DC7"/>
    <w:rsid w:val="00C53D94"/>
    <w:rsid w:val="00C54223"/>
    <w:rsid w:val="00C55577"/>
    <w:rsid w:val="00C5584D"/>
    <w:rsid w:val="00C56327"/>
    <w:rsid w:val="00C56BC9"/>
    <w:rsid w:val="00C56C07"/>
    <w:rsid w:val="00C57025"/>
    <w:rsid w:val="00C57AED"/>
    <w:rsid w:val="00C57EE6"/>
    <w:rsid w:val="00C60181"/>
    <w:rsid w:val="00C60D38"/>
    <w:rsid w:val="00C61040"/>
    <w:rsid w:val="00C61628"/>
    <w:rsid w:val="00C61978"/>
    <w:rsid w:val="00C61B9E"/>
    <w:rsid w:val="00C62003"/>
    <w:rsid w:val="00C62407"/>
    <w:rsid w:val="00C62986"/>
    <w:rsid w:val="00C63679"/>
    <w:rsid w:val="00C63A7A"/>
    <w:rsid w:val="00C63E64"/>
    <w:rsid w:val="00C641C3"/>
    <w:rsid w:val="00C64336"/>
    <w:rsid w:val="00C647CD"/>
    <w:rsid w:val="00C653C8"/>
    <w:rsid w:val="00C656DD"/>
    <w:rsid w:val="00C66270"/>
    <w:rsid w:val="00C66FE1"/>
    <w:rsid w:val="00C67338"/>
    <w:rsid w:val="00C6746B"/>
    <w:rsid w:val="00C70339"/>
    <w:rsid w:val="00C711E9"/>
    <w:rsid w:val="00C71337"/>
    <w:rsid w:val="00C715D2"/>
    <w:rsid w:val="00C729A0"/>
    <w:rsid w:val="00C741BD"/>
    <w:rsid w:val="00C7445F"/>
    <w:rsid w:val="00C7457D"/>
    <w:rsid w:val="00C761C8"/>
    <w:rsid w:val="00C765D3"/>
    <w:rsid w:val="00C7698C"/>
    <w:rsid w:val="00C76BAC"/>
    <w:rsid w:val="00C76D3C"/>
    <w:rsid w:val="00C76E9C"/>
    <w:rsid w:val="00C774A4"/>
    <w:rsid w:val="00C80234"/>
    <w:rsid w:val="00C8064E"/>
    <w:rsid w:val="00C80A2E"/>
    <w:rsid w:val="00C81779"/>
    <w:rsid w:val="00C81CB9"/>
    <w:rsid w:val="00C81E42"/>
    <w:rsid w:val="00C81E90"/>
    <w:rsid w:val="00C81F18"/>
    <w:rsid w:val="00C82EE3"/>
    <w:rsid w:val="00C83173"/>
    <w:rsid w:val="00C8399F"/>
    <w:rsid w:val="00C83D2A"/>
    <w:rsid w:val="00C843A0"/>
    <w:rsid w:val="00C85136"/>
    <w:rsid w:val="00C853D4"/>
    <w:rsid w:val="00C85932"/>
    <w:rsid w:val="00C86371"/>
    <w:rsid w:val="00C869B0"/>
    <w:rsid w:val="00C86EA3"/>
    <w:rsid w:val="00C876CF"/>
    <w:rsid w:val="00C90AB7"/>
    <w:rsid w:val="00C90B2F"/>
    <w:rsid w:val="00C90C09"/>
    <w:rsid w:val="00C92480"/>
    <w:rsid w:val="00C92705"/>
    <w:rsid w:val="00C92BAE"/>
    <w:rsid w:val="00C9363F"/>
    <w:rsid w:val="00C939C6"/>
    <w:rsid w:val="00C939EF"/>
    <w:rsid w:val="00C93DA2"/>
    <w:rsid w:val="00C95AC2"/>
    <w:rsid w:val="00C960AA"/>
    <w:rsid w:val="00C976F9"/>
    <w:rsid w:val="00C97AA7"/>
    <w:rsid w:val="00C97DE0"/>
    <w:rsid w:val="00C97E1A"/>
    <w:rsid w:val="00CA13AF"/>
    <w:rsid w:val="00CA1477"/>
    <w:rsid w:val="00CA1771"/>
    <w:rsid w:val="00CA1777"/>
    <w:rsid w:val="00CA1CC4"/>
    <w:rsid w:val="00CA2245"/>
    <w:rsid w:val="00CA25F5"/>
    <w:rsid w:val="00CA2AF3"/>
    <w:rsid w:val="00CA2BBD"/>
    <w:rsid w:val="00CA2E98"/>
    <w:rsid w:val="00CA3134"/>
    <w:rsid w:val="00CA322E"/>
    <w:rsid w:val="00CA362D"/>
    <w:rsid w:val="00CA36A1"/>
    <w:rsid w:val="00CA36DF"/>
    <w:rsid w:val="00CA3B12"/>
    <w:rsid w:val="00CA466F"/>
    <w:rsid w:val="00CA470E"/>
    <w:rsid w:val="00CA48DF"/>
    <w:rsid w:val="00CA4D71"/>
    <w:rsid w:val="00CA52A3"/>
    <w:rsid w:val="00CA5BE7"/>
    <w:rsid w:val="00CA6584"/>
    <w:rsid w:val="00CA6A17"/>
    <w:rsid w:val="00CA6A9C"/>
    <w:rsid w:val="00CA6CF8"/>
    <w:rsid w:val="00CA70D5"/>
    <w:rsid w:val="00CA71C1"/>
    <w:rsid w:val="00CA795C"/>
    <w:rsid w:val="00CA7CFC"/>
    <w:rsid w:val="00CB0001"/>
    <w:rsid w:val="00CB00B6"/>
    <w:rsid w:val="00CB0455"/>
    <w:rsid w:val="00CB05C3"/>
    <w:rsid w:val="00CB0D9B"/>
    <w:rsid w:val="00CB0E38"/>
    <w:rsid w:val="00CB1031"/>
    <w:rsid w:val="00CB1800"/>
    <w:rsid w:val="00CB1AD0"/>
    <w:rsid w:val="00CB1E35"/>
    <w:rsid w:val="00CB1EE6"/>
    <w:rsid w:val="00CB23BF"/>
    <w:rsid w:val="00CB273E"/>
    <w:rsid w:val="00CB3D5C"/>
    <w:rsid w:val="00CB45DF"/>
    <w:rsid w:val="00CB482A"/>
    <w:rsid w:val="00CB491E"/>
    <w:rsid w:val="00CB4FF0"/>
    <w:rsid w:val="00CB58C1"/>
    <w:rsid w:val="00CB5A23"/>
    <w:rsid w:val="00CB5B0F"/>
    <w:rsid w:val="00CB5E5C"/>
    <w:rsid w:val="00CB6059"/>
    <w:rsid w:val="00CB69A4"/>
    <w:rsid w:val="00CB6D7E"/>
    <w:rsid w:val="00CB72CE"/>
    <w:rsid w:val="00CB74D6"/>
    <w:rsid w:val="00CB7700"/>
    <w:rsid w:val="00CB78BD"/>
    <w:rsid w:val="00CC00C7"/>
    <w:rsid w:val="00CC02CF"/>
    <w:rsid w:val="00CC1C9B"/>
    <w:rsid w:val="00CC1F73"/>
    <w:rsid w:val="00CC2319"/>
    <w:rsid w:val="00CC2B38"/>
    <w:rsid w:val="00CC2EE2"/>
    <w:rsid w:val="00CC3728"/>
    <w:rsid w:val="00CC3990"/>
    <w:rsid w:val="00CC4290"/>
    <w:rsid w:val="00CC460A"/>
    <w:rsid w:val="00CC4940"/>
    <w:rsid w:val="00CC5A50"/>
    <w:rsid w:val="00CC6511"/>
    <w:rsid w:val="00CC6797"/>
    <w:rsid w:val="00CC6D35"/>
    <w:rsid w:val="00CC6FDC"/>
    <w:rsid w:val="00CC7C5E"/>
    <w:rsid w:val="00CD0324"/>
    <w:rsid w:val="00CD092D"/>
    <w:rsid w:val="00CD0BC3"/>
    <w:rsid w:val="00CD1D6C"/>
    <w:rsid w:val="00CD225A"/>
    <w:rsid w:val="00CD26CD"/>
    <w:rsid w:val="00CD2892"/>
    <w:rsid w:val="00CD2AE0"/>
    <w:rsid w:val="00CD2CA1"/>
    <w:rsid w:val="00CD39D3"/>
    <w:rsid w:val="00CD3D62"/>
    <w:rsid w:val="00CD4149"/>
    <w:rsid w:val="00CD4624"/>
    <w:rsid w:val="00CD4C43"/>
    <w:rsid w:val="00CD626D"/>
    <w:rsid w:val="00CD62B4"/>
    <w:rsid w:val="00CD7600"/>
    <w:rsid w:val="00CD7948"/>
    <w:rsid w:val="00CD7C2D"/>
    <w:rsid w:val="00CE01B4"/>
    <w:rsid w:val="00CE0375"/>
    <w:rsid w:val="00CE047F"/>
    <w:rsid w:val="00CE0C64"/>
    <w:rsid w:val="00CE1332"/>
    <w:rsid w:val="00CE1743"/>
    <w:rsid w:val="00CE20CE"/>
    <w:rsid w:val="00CE23C0"/>
    <w:rsid w:val="00CE251A"/>
    <w:rsid w:val="00CE28CD"/>
    <w:rsid w:val="00CE28D8"/>
    <w:rsid w:val="00CE2D64"/>
    <w:rsid w:val="00CE2E53"/>
    <w:rsid w:val="00CE2E63"/>
    <w:rsid w:val="00CE32AF"/>
    <w:rsid w:val="00CE3A84"/>
    <w:rsid w:val="00CE4245"/>
    <w:rsid w:val="00CE4798"/>
    <w:rsid w:val="00CE4D38"/>
    <w:rsid w:val="00CE558D"/>
    <w:rsid w:val="00CE5D96"/>
    <w:rsid w:val="00CE5F7E"/>
    <w:rsid w:val="00CE640F"/>
    <w:rsid w:val="00CE683E"/>
    <w:rsid w:val="00CE6C69"/>
    <w:rsid w:val="00CE6C6D"/>
    <w:rsid w:val="00CE7481"/>
    <w:rsid w:val="00CF0192"/>
    <w:rsid w:val="00CF0612"/>
    <w:rsid w:val="00CF067F"/>
    <w:rsid w:val="00CF0BEF"/>
    <w:rsid w:val="00CF1018"/>
    <w:rsid w:val="00CF11FC"/>
    <w:rsid w:val="00CF1E93"/>
    <w:rsid w:val="00CF23DE"/>
    <w:rsid w:val="00CF296A"/>
    <w:rsid w:val="00CF2CF6"/>
    <w:rsid w:val="00CF313A"/>
    <w:rsid w:val="00CF32AD"/>
    <w:rsid w:val="00CF3647"/>
    <w:rsid w:val="00CF36FF"/>
    <w:rsid w:val="00CF37FC"/>
    <w:rsid w:val="00CF38B1"/>
    <w:rsid w:val="00CF3AFA"/>
    <w:rsid w:val="00CF3D53"/>
    <w:rsid w:val="00CF4284"/>
    <w:rsid w:val="00CF4967"/>
    <w:rsid w:val="00CF4ACE"/>
    <w:rsid w:val="00CF4C40"/>
    <w:rsid w:val="00CF501F"/>
    <w:rsid w:val="00CF5757"/>
    <w:rsid w:val="00CF6284"/>
    <w:rsid w:val="00CF62F6"/>
    <w:rsid w:val="00CF65D2"/>
    <w:rsid w:val="00CF66FB"/>
    <w:rsid w:val="00CF78B4"/>
    <w:rsid w:val="00D00041"/>
    <w:rsid w:val="00D00B42"/>
    <w:rsid w:val="00D00B62"/>
    <w:rsid w:val="00D00FD8"/>
    <w:rsid w:val="00D0125E"/>
    <w:rsid w:val="00D013BB"/>
    <w:rsid w:val="00D02964"/>
    <w:rsid w:val="00D02E58"/>
    <w:rsid w:val="00D03BF1"/>
    <w:rsid w:val="00D03CB6"/>
    <w:rsid w:val="00D03F0F"/>
    <w:rsid w:val="00D04630"/>
    <w:rsid w:val="00D04B5B"/>
    <w:rsid w:val="00D04C31"/>
    <w:rsid w:val="00D0512E"/>
    <w:rsid w:val="00D06611"/>
    <w:rsid w:val="00D06CA2"/>
    <w:rsid w:val="00D06ED1"/>
    <w:rsid w:val="00D06F6B"/>
    <w:rsid w:val="00D07753"/>
    <w:rsid w:val="00D100AE"/>
    <w:rsid w:val="00D10180"/>
    <w:rsid w:val="00D10362"/>
    <w:rsid w:val="00D10389"/>
    <w:rsid w:val="00D10903"/>
    <w:rsid w:val="00D10F14"/>
    <w:rsid w:val="00D1220F"/>
    <w:rsid w:val="00D1360F"/>
    <w:rsid w:val="00D13F6F"/>
    <w:rsid w:val="00D148D6"/>
    <w:rsid w:val="00D14F02"/>
    <w:rsid w:val="00D14F28"/>
    <w:rsid w:val="00D15FCE"/>
    <w:rsid w:val="00D163E9"/>
    <w:rsid w:val="00D16670"/>
    <w:rsid w:val="00D16A63"/>
    <w:rsid w:val="00D16DF4"/>
    <w:rsid w:val="00D16FF0"/>
    <w:rsid w:val="00D172AD"/>
    <w:rsid w:val="00D17628"/>
    <w:rsid w:val="00D17699"/>
    <w:rsid w:val="00D179DF"/>
    <w:rsid w:val="00D17B71"/>
    <w:rsid w:val="00D20220"/>
    <w:rsid w:val="00D20381"/>
    <w:rsid w:val="00D20A26"/>
    <w:rsid w:val="00D20E45"/>
    <w:rsid w:val="00D212FD"/>
    <w:rsid w:val="00D21AD0"/>
    <w:rsid w:val="00D22039"/>
    <w:rsid w:val="00D2229F"/>
    <w:rsid w:val="00D2241E"/>
    <w:rsid w:val="00D22445"/>
    <w:rsid w:val="00D22E9A"/>
    <w:rsid w:val="00D233A9"/>
    <w:rsid w:val="00D236D1"/>
    <w:rsid w:val="00D23727"/>
    <w:rsid w:val="00D237E7"/>
    <w:rsid w:val="00D238EF"/>
    <w:rsid w:val="00D243DE"/>
    <w:rsid w:val="00D25CA6"/>
    <w:rsid w:val="00D26BDA"/>
    <w:rsid w:val="00D26C36"/>
    <w:rsid w:val="00D26D11"/>
    <w:rsid w:val="00D27371"/>
    <w:rsid w:val="00D27C2D"/>
    <w:rsid w:val="00D27EAC"/>
    <w:rsid w:val="00D27EC7"/>
    <w:rsid w:val="00D27F1C"/>
    <w:rsid w:val="00D301DD"/>
    <w:rsid w:val="00D308F3"/>
    <w:rsid w:val="00D30DEE"/>
    <w:rsid w:val="00D30E22"/>
    <w:rsid w:val="00D30E4E"/>
    <w:rsid w:val="00D30F76"/>
    <w:rsid w:val="00D310BC"/>
    <w:rsid w:val="00D3142A"/>
    <w:rsid w:val="00D31E7E"/>
    <w:rsid w:val="00D31FFA"/>
    <w:rsid w:val="00D33448"/>
    <w:rsid w:val="00D33701"/>
    <w:rsid w:val="00D34B97"/>
    <w:rsid w:val="00D34D3C"/>
    <w:rsid w:val="00D34FF9"/>
    <w:rsid w:val="00D3531D"/>
    <w:rsid w:val="00D357BF"/>
    <w:rsid w:val="00D36699"/>
    <w:rsid w:val="00D368E9"/>
    <w:rsid w:val="00D370DF"/>
    <w:rsid w:val="00D403A5"/>
    <w:rsid w:val="00D404EE"/>
    <w:rsid w:val="00D4183C"/>
    <w:rsid w:val="00D41BEC"/>
    <w:rsid w:val="00D41C2D"/>
    <w:rsid w:val="00D42063"/>
    <w:rsid w:val="00D4237C"/>
    <w:rsid w:val="00D426AD"/>
    <w:rsid w:val="00D4288E"/>
    <w:rsid w:val="00D42D9F"/>
    <w:rsid w:val="00D43C33"/>
    <w:rsid w:val="00D440C1"/>
    <w:rsid w:val="00D4442C"/>
    <w:rsid w:val="00D4465A"/>
    <w:rsid w:val="00D44CC6"/>
    <w:rsid w:val="00D44CEB"/>
    <w:rsid w:val="00D455B5"/>
    <w:rsid w:val="00D4662D"/>
    <w:rsid w:val="00D467DD"/>
    <w:rsid w:val="00D46D49"/>
    <w:rsid w:val="00D5091B"/>
    <w:rsid w:val="00D50DC7"/>
    <w:rsid w:val="00D511E8"/>
    <w:rsid w:val="00D517B1"/>
    <w:rsid w:val="00D52201"/>
    <w:rsid w:val="00D52525"/>
    <w:rsid w:val="00D52675"/>
    <w:rsid w:val="00D52751"/>
    <w:rsid w:val="00D52799"/>
    <w:rsid w:val="00D52EE4"/>
    <w:rsid w:val="00D540B7"/>
    <w:rsid w:val="00D541D8"/>
    <w:rsid w:val="00D54648"/>
    <w:rsid w:val="00D55189"/>
    <w:rsid w:val="00D55741"/>
    <w:rsid w:val="00D561B3"/>
    <w:rsid w:val="00D56670"/>
    <w:rsid w:val="00D5690F"/>
    <w:rsid w:val="00D56B5D"/>
    <w:rsid w:val="00D57636"/>
    <w:rsid w:val="00D57A5E"/>
    <w:rsid w:val="00D57F3B"/>
    <w:rsid w:val="00D60679"/>
    <w:rsid w:val="00D606E0"/>
    <w:rsid w:val="00D60791"/>
    <w:rsid w:val="00D61244"/>
    <w:rsid w:val="00D62141"/>
    <w:rsid w:val="00D6239C"/>
    <w:rsid w:val="00D625E2"/>
    <w:rsid w:val="00D625F3"/>
    <w:rsid w:val="00D628CE"/>
    <w:rsid w:val="00D62E92"/>
    <w:rsid w:val="00D63044"/>
    <w:rsid w:val="00D63094"/>
    <w:rsid w:val="00D64796"/>
    <w:rsid w:val="00D6480E"/>
    <w:rsid w:val="00D64881"/>
    <w:rsid w:val="00D653D8"/>
    <w:rsid w:val="00D6658E"/>
    <w:rsid w:val="00D6666A"/>
    <w:rsid w:val="00D6686A"/>
    <w:rsid w:val="00D669C3"/>
    <w:rsid w:val="00D71138"/>
    <w:rsid w:val="00D7142B"/>
    <w:rsid w:val="00D71539"/>
    <w:rsid w:val="00D71967"/>
    <w:rsid w:val="00D72006"/>
    <w:rsid w:val="00D720DF"/>
    <w:rsid w:val="00D722D0"/>
    <w:rsid w:val="00D724B8"/>
    <w:rsid w:val="00D7349A"/>
    <w:rsid w:val="00D73B56"/>
    <w:rsid w:val="00D74FE9"/>
    <w:rsid w:val="00D754A0"/>
    <w:rsid w:val="00D760BE"/>
    <w:rsid w:val="00D7689E"/>
    <w:rsid w:val="00D76C03"/>
    <w:rsid w:val="00D76D23"/>
    <w:rsid w:val="00D77C5F"/>
    <w:rsid w:val="00D77D44"/>
    <w:rsid w:val="00D804D7"/>
    <w:rsid w:val="00D80C52"/>
    <w:rsid w:val="00D80C6B"/>
    <w:rsid w:val="00D815E7"/>
    <w:rsid w:val="00D819C1"/>
    <w:rsid w:val="00D81A66"/>
    <w:rsid w:val="00D81ED8"/>
    <w:rsid w:val="00D8273B"/>
    <w:rsid w:val="00D829A1"/>
    <w:rsid w:val="00D82CD1"/>
    <w:rsid w:val="00D83239"/>
    <w:rsid w:val="00D83A78"/>
    <w:rsid w:val="00D83A7F"/>
    <w:rsid w:val="00D83B10"/>
    <w:rsid w:val="00D83D38"/>
    <w:rsid w:val="00D84410"/>
    <w:rsid w:val="00D84E7F"/>
    <w:rsid w:val="00D850B9"/>
    <w:rsid w:val="00D85816"/>
    <w:rsid w:val="00D86A38"/>
    <w:rsid w:val="00D86F7E"/>
    <w:rsid w:val="00D87C13"/>
    <w:rsid w:val="00D87FBA"/>
    <w:rsid w:val="00D90429"/>
    <w:rsid w:val="00D907DB"/>
    <w:rsid w:val="00D90857"/>
    <w:rsid w:val="00D90BA1"/>
    <w:rsid w:val="00D91B2E"/>
    <w:rsid w:val="00D929B0"/>
    <w:rsid w:val="00D92D2E"/>
    <w:rsid w:val="00D92FC2"/>
    <w:rsid w:val="00D93277"/>
    <w:rsid w:val="00D932D1"/>
    <w:rsid w:val="00D93B9D"/>
    <w:rsid w:val="00D94402"/>
    <w:rsid w:val="00D94C24"/>
    <w:rsid w:val="00D955FD"/>
    <w:rsid w:val="00D95611"/>
    <w:rsid w:val="00D95BFC"/>
    <w:rsid w:val="00D95C06"/>
    <w:rsid w:val="00D95CF9"/>
    <w:rsid w:val="00D95DAE"/>
    <w:rsid w:val="00D95EF5"/>
    <w:rsid w:val="00D9646F"/>
    <w:rsid w:val="00D965A0"/>
    <w:rsid w:val="00D9682A"/>
    <w:rsid w:val="00D97234"/>
    <w:rsid w:val="00D9757D"/>
    <w:rsid w:val="00D9796C"/>
    <w:rsid w:val="00D97E2B"/>
    <w:rsid w:val="00DA00DB"/>
    <w:rsid w:val="00DA06EB"/>
    <w:rsid w:val="00DA10AB"/>
    <w:rsid w:val="00DA10B0"/>
    <w:rsid w:val="00DA1781"/>
    <w:rsid w:val="00DA1900"/>
    <w:rsid w:val="00DA1C19"/>
    <w:rsid w:val="00DA1C99"/>
    <w:rsid w:val="00DA2BE5"/>
    <w:rsid w:val="00DA4364"/>
    <w:rsid w:val="00DA4677"/>
    <w:rsid w:val="00DA50F0"/>
    <w:rsid w:val="00DA5A30"/>
    <w:rsid w:val="00DA5D9E"/>
    <w:rsid w:val="00DA6A82"/>
    <w:rsid w:val="00DA6D7C"/>
    <w:rsid w:val="00DA7A86"/>
    <w:rsid w:val="00DA7DAA"/>
    <w:rsid w:val="00DB039C"/>
    <w:rsid w:val="00DB0A4A"/>
    <w:rsid w:val="00DB0D15"/>
    <w:rsid w:val="00DB0DC6"/>
    <w:rsid w:val="00DB12FF"/>
    <w:rsid w:val="00DB1E56"/>
    <w:rsid w:val="00DB1EC8"/>
    <w:rsid w:val="00DB2084"/>
    <w:rsid w:val="00DB20D1"/>
    <w:rsid w:val="00DB2C7C"/>
    <w:rsid w:val="00DB312A"/>
    <w:rsid w:val="00DB39F9"/>
    <w:rsid w:val="00DB4F05"/>
    <w:rsid w:val="00DB6041"/>
    <w:rsid w:val="00DB6282"/>
    <w:rsid w:val="00DB6455"/>
    <w:rsid w:val="00DB74D2"/>
    <w:rsid w:val="00DB7688"/>
    <w:rsid w:val="00DB7712"/>
    <w:rsid w:val="00DB772C"/>
    <w:rsid w:val="00DB792E"/>
    <w:rsid w:val="00DC0964"/>
    <w:rsid w:val="00DC0FB9"/>
    <w:rsid w:val="00DC17C9"/>
    <w:rsid w:val="00DC1A7E"/>
    <w:rsid w:val="00DC23A7"/>
    <w:rsid w:val="00DC2AC1"/>
    <w:rsid w:val="00DC2B84"/>
    <w:rsid w:val="00DC3477"/>
    <w:rsid w:val="00DC3659"/>
    <w:rsid w:val="00DC424D"/>
    <w:rsid w:val="00DC4784"/>
    <w:rsid w:val="00DC5016"/>
    <w:rsid w:val="00DC5CD5"/>
    <w:rsid w:val="00DC6651"/>
    <w:rsid w:val="00DC6856"/>
    <w:rsid w:val="00DC6D97"/>
    <w:rsid w:val="00DC70C7"/>
    <w:rsid w:val="00DC7F80"/>
    <w:rsid w:val="00DC7FA3"/>
    <w:rsid w:val="00DD0133"/>
    <w:rsid w:val="00DD0846"/>
    <w:rsid w:val="00DD0ED5"/>
    <w:rsid w:val="00DD1073"/>
    <w:rsid w:val="00DD11D8"/>
    <w:rsid w:val="00DD141C"/>
    <w:rsid w:val="00DD1AD1"/>
    <w:rsid w:val="00DD1E98"/>
    <w:rsid w:val="00DD1EDB"/>
    <w:rsid w:val="00DD2287"/>
    <w:rsid w:val="00DD2851"/>
    <w:rsid w:val="00DD2D18"/>
    <w:rsid w:val="00DD2EC5"/>
    <w:rsid w:val="00DD3902"/>
    <w:rsid w:val="00DD428E"/>
    <w:rsid w:val="00DD42A6"/>
    <w:rsid w:val="00DD4A77"/>
    <w:rsid w:val="00DD5491"/>
    <w:rsid w:val="00DD6723"/>
    <w:rsid w:val="00DD6732"/>
    <w:rsid w:val="00DD6915"/>
    <w:rsid w:val="00DD6CF3"/>
    <w:rsid w:val="00DD7336"/>
    <w:rsid w:val="00DD774F"/>
    <w:rsid w:val="00DD7B0D"/>
    <w:rsid w:val="00DE05C5"/>
    <w:rsid w:val="00DE1084"/>
    <w:rsid w:val="00DE10B9"/>
    <w:rsid w:val="00DE135F"/>
    <w:rsid w:val="00DE13ED"/>
    <w:rsid w:val="00DE1F98"/>
    <w:rsid w:val="00DE26DE"/>
    <w:rsid w:val="00DE2D1D"/>
    <w:rsid w:val="00DE2DCA"/>
    <w:rsid w:val="00DE2E48"/>
    <w:rsid w:val="00DE333A"/>
    <w:rsid w:val="00DE4497"/>
    <w:rsid w:val="00DE52EB"/>
    <w:rsid w:val="00DE5304"/>
    <w:rsid w:val="00DE55F5"/>
    <w:rsid w:val="00DE56CE"/>
    <w:rsid w:val="00DE64E4"/>
    <w:rsid w:val="00DE6B54"/>
    <w:rsid w:val="00DE7351"/>
    <w:rsid w:val="00DE770C"/>
    <w:rsid w:val="00DE79F7"/>
    <w:rsid w:val="00DE7C15"/>
    <w:rsid w:val="00DE7D87"/>
    <w:rsid w:val="00DE7F19"/>
    <w:rsid w:val="00DF01F8"/>
    <w:rsid w:val="00DF04A9"/>
    <w:rsid w:val="00DF2060"/>
    <w:rsid w:val="00DF211C"/>
    <w:rsid w:val="00DF2545"/>
    <w:rsid w:val="00DF2586"/>
    <w:rsid w:val="00DF40AA"/>
    <w:rsid w:val="00DF4BB2"/>
    <w:rsid w:val="00DF4F99"/>
    <w:rsid w:val="00DF5720"/>
    <w:rsid w:val="00DF5B94"/>
    <w:rsid w:val="00DF6274"/>
    <w:rsid w:val="00DF63F2"/>
    <w:rsid w:val="00DF63FE"/>
    <w:rsid w:val="00DF6A82"/>
    <w:rsid w:val="00DF6B16"/>
    <w:rsid w:val="00DF6F66"/>
    <w:rsid w:val="00DF6FA7"/>
    <w:rsid w:val="00DF777B"/>
    <w:rsid w:val="00DF781F"/>
    <w:rsid w:val="00E000B3"/>
    <w:rsid w:val="00E00114"/>
    <w:rsid w:val="00E00223"/>
    <w:rsid w:val="00E00538"/>
    <w:rsid w:val="00E01861"/>
    <w:rsid w:val="00E028BF"/>
    <w:rsid w:val="00E02960"/>
    <w:rsid w:val="00E0320B"/>
    <w:rsid w:val="00E0348D"/>
    <w:rsid w:val="00E035F5"/>
    <w:rsid w:val="00E03602"/>
    <w:rsid w:val="00E037DA"/>
    <w:rsid w:val="00E04023"/>
    <w:rsid w:val="00E04071"/>
    <w:rsid w:val="00E04496"/>
    <w:rsid w:val="00E04746"/>
    <w:rsid w:val="00E048A8"/>
    <w:rsid w:val="00E054CD"/>
    <w:rsid w:val="00E05C72"/>
    <w:rsid w:val="00E06174"/>
    <w:rsid w:val="00E061D4"/>
    <w:rsid w:val="00E07514"/>
    <w:rsid w:val="00E07A05"/>
    <w:rsid w:val="00E07AED"/>
    <w:rsid w:val="00E07D1D"/>
    <w:rsid w:val="00E07FCD"/>
    <w:rsid w:val="00E10036"/>
    <w:rsid w:val="00E10054"/>
    <w:rsid w:val="00E1037B"/>
    <w:rsid w:val="00E10700"/>
    <w:rsid w:val="00E10766"/>
    <w:rsid w:val="00E10A19"/>
    <w:rsid w:val="00E10E4D"/>
    <w:rsid w:val="00E10FC1"/>
    <w:rsid w:val="00E11789"/>
    <w:rsid w:val="00E11C99"/>
    <w:rsid w:val="00E12875"/>
    <w:rsid w:val="00E1335B"/>
    <w:rsid w:val="00E13F3E"/>
    <w:rsid w:val="00E1423E"/>
    <w:rsid w:val="00E147B1"/>
    <w:rsid w:val="00E152B4"/>
    <w:rsid w:val="00E157E1"/>
    <w:rsid w:val="00E15B03"/>
    <w:rsid w:val="00E15C3C"/>
    <w:rsid w:val="00E15C88"/>
    <w:rsid w:val="00E15D6D"/>
    <w:rsid w:val="00E162E3"/>
    <w:rsid w:val="00E163DE"/>
    <w:rsid w:val="00E164DB"/>
    <w:rsid w:val="00E165AA"/>
    <w:rsid w:val="00E172CE"/>
    <w:rsid w:val="00E20032"/>
    <w:rsid w:val="00E2065A"/>
    <w:rsid w:val="00E20720"/>
    <w:rsid w:val="00E20E68"/>
    <w:rsid w:val="00E213DF"/>
    <w:rsid w:val="00E2188C"/>
    <w:rsid w:val="00E218B3"/>
    <w:rsid w:val="00E221C7"/>
    <w:rsid w:val="00E2287B"/>
    <w:rsid w:val="00E22A59"/>
    <w:rsid w:val="00E22CE9"/>
    <w:rsid w:val="00E23943"/>
    <w:rsid w:val="00E23BB5"/>
    <w:rsid w:val="00E23FE4"/>
    <w:rsid w:val="00E24EFC"/>
    <w:rsid w:val="00E2505F"/>
    <w:rsid w:val="00E25192"/>
    <w:rsid w:val="00E25464"/>
    <w:rsid w:val="00E25D1E"/>
    <w:rsid w:val="00E25D32"/>
    <w:rsid w:val="00E25F1F"/>
    <w:rsid w:val="00E261B4"/>
    <w:rsid w:val="00E263F6"/>
    <w:rsid w:val="00E268E9"/>
    <w:rsid w:val="00E26A36"/>
    <w:rsid w:val="00E270ED"/>
    <w:rsid w:val="00E27535"/>
    <w:rsid w:val="00E301D5"/>
    <w:rsid w:val="00E302D4"/>
    <w:rsid w:val="00E31525"/>
    <w:rsid w:val="00E3240C"/>
    <w:rsid w:val="00E32869"/>
    <w:rsid w:val="00E32E67"/>
    <w:rsid w:val="00E32F48"/>
    <w:rsid w:val="00E330FA"/>
    <w:rsid w:val="00E332F2"/>
    <w:rsid w:val="00E3352C"/>
    <w:rsid w:val="00E3411B"/>
    <w:rsid w:val="00E3416C"/>
    <w:rsid w:val="00E35725"/>
    <w:rsid w:val="00E35E52"/>
    <w:rsid w:val="00E36DF5"/>
    <w:rsid w:val="00E40697"/>
    <w:rsid w:val="00E40A32"/>
    <w:rsid w:val="00E40FAD"/>
    <w:rsid w:val="00E41002"/>
    <w:rsid w:val="00E411C7"/>
    <w:rsid w:val="00E4191D"/>
    <w:rsid w:val="00E42A59"/>
    <w:rsid w:val="00E4328F"/>
    <w:rsid w:val="00E4330A"/>
    <w:rsid w:val="00E43B6C"/>
    <w:rsid w:val="00E4413F"/>
    <w:rsid w:val="00E44CF2"/>
    <w:rsid w:val="00E44D1A"/>
    <w:rsid w:val="00E44E07"/>
    <w:rsid w:val="00E451A1"/>
    <w:rsid w:val="00E4522D"/>
    <w:rsid w:val="00E45383"/>
    <w:rsid w:val="00E4609E"/>
    <w:rsid w:val="00E46615"/>
    <w:rsid w:val="00E46863"/>
    <w:rsid w:val="00E46AD5"/>
    <w:rsid w:val="00E47748"/>
    <w:rsid w:val="00E5015F"/>
    <w:rsid w:val="00E507EA"/>
    <w:rsid w:val="00E53045"/>
    <w:rsid w:val="00E53A14"/>
    <w:rsid w:val="00E53A6F"/>
    <w:rsid w:val="00E54C1B"/>
    <w:rsid w:val="00E54EA0"/>
    <w:rsid w:val="00E5517D"/>
    <w:rsid w:val="00E55405"/>
    <w:rsid w:val="00E55564"/>
    <w:rsid w:val="00E559FB"/>
    <w:rsid w:val="00E55A54"/>
    <w:rsid w:val="00E56BD4"/>
    <w:rsid w:val="00E56E18"/>
    <w:rsid w:val="00E56E70"/>
    <w:rsid w:val="00E57807"/>
    <w:rsid w:val="00E60F99"/>
    <w:rsid w:val="00E61805"/>
    <w:rsid w:val="00E624CF"/>
    <w:rsid w:val="00E629F2"/>
    <w:rsid w:val="00E62E20"/>
    <w:rsid w:val="00E63050"/>
    <w:rsid w:val="00E64D8F"/>
    <w:rsid w:val="00E6507A"/>
    <w:rsid w:val="00E665F7"/>
    <w:rsid w:val="00E6760C"/>
    <w:rsid w:val="00E702FA"/>
    <w:rsid w:val="00E70A8B"/>
    <w:rsid w:val="00E716E2"/>
    <w:rsid w:val="00E71CC1"/>
    <w:rsid w:val="00E71D63"/>
    <w:rsid w:val="00E71E50"/>
    <w:rsid w:val="00E7267B"/>
    <w:rsid w:val="00E72911"/>
    <w:rsid w:val="00E72C86"/>
    <w:rsid w:val="00E7387F"/>
    <w:rsid w:val="00E739FA"/>
    <w:rsid w:val="00E73FFD"/>
    <w:rsid w:val="00E74341"/>
    <w:rsid w:val="00E74A60"/>
    <w:rsid w:val="00E74C2C"/>
    <w:rsid w:val="00E74FEC"/>
    <w:rsid w:val="00E75054"/>
    <w:rsid w:val="00E752F5"/>
    <w:rsid w:val="00E75776"/>
    <w:rsid w:val="00E75A8D"/>
    <w:rsid w:val="00E75D59"/>
    <w:rsid w:val="00E762A0"/>
    <w:rsid w:val="00E76C58"/>
    <w:rsid w:val="00E77040"/>
    <w:rsid w:val="00E77776"/>
    <w:rsid w:val="00E77A27"/>
    <w:rsid w:val="00E81060"/>
    <w:rsid w:val="00E81917"/>
    <w:rsid w:val="00E81C31"/>
    <w:rsid w:val="00E82302"/>
    <w:rsid w:val="00E82C35"/>
    <w:rsid w:val="00E833E7"/>
    <w:rsid w:val="00E83B68"/>
    <w:rsid w:val="00E84B7B"/>
    <w:rsid w:val="00E84D64"/>
    <w:rsid w:val="00E85096"/>
    <w:rsid w:val="00E85676"/>
    <w:rsid w:val="00E8594D"/>
    <w:rsid w:val="00E85A3C"/>
    <w:rsid w:val="00E85E35"/>
    <w:rsid w:val="00E862B2"/>
    <w:rsid w:val="00E867E4"/>
    <w:rsid w:val="00E86D3E"/>
    <w:rsid w:val="00E86F1E"/>
    <w:rsid w:val="00E87155"/>
    <w:rsid w:val="00E87340"/>
    <w:rsid w:val="00E8798F"/>
    <w:rsid w:val="00E87A82"/>
    <w:rsid w:val="00E90067"/>
    <w:rsid w:val="00E904F2"/>
    <w:rsid w:val="00E90865"/>
    <w:rsid w:val="00E916C4"/>
    <w:rsid w:val="00E91874"/>
    <w:rsid w:val="00E91C17"/>
    <w:rsid w:val="00E9215C"/>
    <w:rsid w:val="00E926F8"/>
    <w:rsid w:val="00E934BC"/>
    <w:rsid w:val="00E93F57"/>
    <w:rsid w:val="00E94581"/>
    <w:rsid w:val="00E94A41"/>
    <w:rsid w:val="00E94F0B"/>
    <w:rsid w:val="00E952E3"/>
    <w:rsid w:val="00E95B10"/>
    <w:rsid w:val="00E96090"/>
    <w:rsid w:val="00E961BA"/>
    <w:rsid w:val="00E963D3"/>
    <w:rsid w:val="00E96BC3"/>
    <w:rsid w:val="00E970B2"/>
    <w:rsid w:val="00E9739B"/>
    <w:rsid w:val="00E976C8"/>
    <w:rsid w:val="00E97BA8"/>
    <w:rsid w:val="00E97D6E"/>
    <w:rsid w:val="00EA003D"/>
    <w:rsid w:val="00EA017A"/>
    <w:rsid w:val="00EA0627"/>
    <w:rsid w:val="00EA0756"/>
    <w:rsid w:val="00EA1222"/>
    <w:rsid w:val="00EA2089"/>
    <w:rsid w:val="00EA22ED"/>
    <w:rsid w:val="00EA2724"/>
    <w:rsid w:val="00EA2DCE"/>
    <w:rsid w:val="00EA313C"/>
    <w:rsid w:val="00EA329B"/>
    <w:rsid w:val="00EA32AB"/>
    <w:rsid w:val="00EA38E5"/>
    <w:rsid w:val="00EA3B46"/>
    <w:rsid w:val="00EA3E2F"/>
    <w:rsid w:val="00EA421B"/>
    <w:rsid w:val="00EA4B3D"/>
    <w:rsid w:val="00EA522F"/>
    <w:rsid w:val="00EA53B1"/>
    <w:rsid w:val="00EA5AED"/>
    <w:rsid w:val="00EA6880"/>
    <w:rsid w:val="00EA69F5"/>
    <w:rsid w:val="00EA75F5"/>
    <w:rsid w:val="00EA7C46"/>
    <w:rsid w:val="00EA7D9E"/>
    <w:rsid w:val="00EA7E25"/>
    <w:rsid w:val="00EB0432"/>
    <w:rsid w:val="00EB0B4A"/>
    <w:rsid w:val="00EB0D16"/>
    <w:rsid w:val="00EB0F0E"/>
    <w:rsid w:val="00EB1031"/>
    <w:rsid w:val="00EB13B7"/>
    <w:rsid w:val="00EB1EC1"/>
    <w:rsid w:val="00EB2C48"/>
    <w:rsid w:val="00EB2F1E"/>
    <w:rsid w:val="00EB305C"/>
    <w:rsid w:val="00EB3BAA"/>
    <w:rsid w:val="00EB42C0"/>
    <w:rsid w:val="00EB4BFD"/>
    <w:rsid w:val="00EB51E7"/>
    <w:rsid w:val="00EB5B15"/>
    <w:rsid w:val="00EB66B7"/>
    <w:rsid w:val="00EB6D73"/>
    <w:rsid w:val="00EB6EA2"/>
    <w:rsid w:val="00EB73EB"/>
    <w:rsid w:val="00EB74D8"/>
    <w:rsid w:val="00EB7679"/>
    <w:rsid w:val="00EB78F4"/>
    <w:rsid w:val="00EB7FDE"/>
    <w:rsid w:val="00EC0537"/>
    <w:rsid w:val="00EC07D9"/>
    <w:rsid w:val="00EC0981"/>
    <w:rsid w:val="00EC0B45"/>
    <w:rsid w:val="00EC105D"/>
    <w:rsid w:val="00EC1D54"/>
    <w:rsid w:val="00EC261E"/>
    <w:rsid w:val="00EC2A21"/>
    <w:rsid w:val="00EC2B9D"/>
    <w:rsid w:val="00EC2D54"/>
    <w:rsid w:val="00EC2F6C"/>
    <w:rsid w:val="00EC3093"/>
    <w:rsid w:val="00EC30FD"/>
    <w:rsid w:val="00EC34CC"/>
    <w:rsid w:val="00EC38B9"/>
    <w:rsid w:val="00EC3DD1"/>
    <w:rsid w:val="00EC3FCE"/>
    <w:rsid w:val="00EC407A"/>
    <w:rsid w:val="00EC4795"/>
    <w:rsid w:val="00EC495A"/>
    <w:rsid w:val="00EC4F28"/>
    <w:rsid w:val="00EC565E"/>
    <w:rsid w:val="00EC570C"/>
    <w:rsid w:val="00EC5754"/>
    <w:rsid w:val="00EC66F7"/>
    <w:rsid w:val="00EC697A"/>
    <w:rsid w:val="00EC73D3"/>
    <w:rsid w:val="00EC7878"/>
    <w:rsid w:val="00ED06F7"/>
    <w:rsid w:val="00ED0A95"/>
    <w:rsid w:val="00ED0D4E"/>
    <w:rsid w:val="00ED2241"/>
    <w:rsid w:val="00ED2A51"/>
    <w:rsid w:val="00ED2B00"/>
    <w:rsid w:val="00ED2DB4"/>
    <w:rsid w:val="00ED356B"/>
    <w:rsid w:val="00ED38E4"/>
    <w:rsid w:val="00ED4315"/>
    <w:rsid w:val="00ED432A"/>
    <w:rsid w:val="00ED4CD0"/>
    <w:rsid w:val="00ED52CC"/>
    <w:rsid w:val="00ED534F"/>
    <w:rsid w:val="00ED54B5"/>
    <w:rsid w:val="00ED55C4"/>
    <w:rsid w:val="00ED58AC"/>
    <w:rsid w:val="00ED61E8"/>
    <w:rsid w:val="00ED6AAD"/>
    <w:rsid w:val="00ED7198"/>
    <w:rsid w:val="00ED71F8"/>
    <w:rsid w:val="00ED71FA"/>
    <w:rsid w:val="00ED73E3"/>
    <w:rsid w:val="00ED7933"/>
    <w:rsid w:val="00EE045F"/>
    <w:rsid w:val="00EE0CA8"/>
    <w:rsid w:val="00EE14E7"/>
    <w:rsid w:val="00EE309A"/>
    <w:rsid w:val="00EE3606"/>
    <w:rsid w:val="00EE3883"/>
    <w:rsid w:val="00EE3F3A"/>
    <w:rsid w:val="00EE41F8"/>
    <w:rsid w:val="00EE4E1D"/>
    <w:rsid w:val="00EE4F09"/>
    <w:rsid w:val="00EE50B2"/>
    <w:rsid w:val="00EE5603"/>
    <w:rsid w:val="00EE6AB9"/>
    <w:rsid w:val="00EE6BEB"/>
    <w:rsid w:val="00EE71D5"/>
    <w:rsid w:val="00EE72D5"/>
    <w:rsid w:val="00EE76A9"/>
    <w:rsid w:val="00EE7C67"/>
    <w:rsid w:val="00EE7E7B"/>
    <w:rsid w:val="00EF0937"/>
    <w:rsid w:val="00EF0B6B"/>
    <w:rsid w:val="00EF0D11"/>
    <w:rsid w:val="00EF124A"/>
    <w:rsid w:val="00EF1478"/>
    <w:rsid w:val="00EF1FD9"/>
    <w:rsid w:val="00EF2177"/>
    <w:rsid w:val="00EF269B"/>
    <w:rsid w:val="00EF2D0F"/>
    <w:rsid w:val="00EF2F9B"/>
    <w:rsid w:val="00EF33F1"/>
    <w:rsid w:val="00EF3630"/>
    <w:rsid w:val="00EF3915"/>
    <w:rsid w:val="00EF39F7"/>
    <w:rsid w:val="00EF4492"/>
    <w:rsid w:val="00EF4E66"/>
    <w:rsid w:val="00EF4E75"/>
    <w:rsid w:val="00EF6382"/>
    <w:rsid w:val="00EF68C7"/>
    <w:rsid w:val="00EF6AEF"/>
    <w:rsid w:val="00EF6C79"/>
    <w:rsid w:val="00EF6CF4"/>
    <w:rsid w:val="00EF6DE1"/>
    <w:rsid w:val="00EF7F7A"/>
    <w:rsid w:val="00F00860"/>
    <w:rsid w:val="00F0091C"/>
    <w:rsid w:val="00F024A6"/>
    <w:rsid w:val="00F024DC"/>
    <w:rsid w:val="00F02A8E"/>
    <w:rsid w:val="00F02CFC"/>
    <w:rsid w:val="00F03670"/>
    <w:rsid w:val="00F03C3B"/>
    <w:rsid w:val="00F03F1C"/>
    <w:rsid w:val="00F047AA"/>
    <w:rsid w:val="00F04C3A"/>
    <w:rsid w:val="00F04DE3"/>
    <w:rsid w:val="00F05355"/>
    <w:rsid w:val="00F0548E"/>
    <w:rsid w:val="00F05D88"/>
    <w:rsid w:val="00F05E3F"/>
    <w:rsid w:val="00F05E78"/>
    <w:rsid w:val="00F05F0A"/>
    <w:rsid w:val="00F0656B"/>
    <w:rsid w:val="00F06D2D"/>
    <w:rsid w:val="00F07BCB"/>
    <w:rsid w:val="00F10023"/>
    <w:rsid w:val="00F102F2"/>
    <w:rsid w:val="00F10AC6"/>
    <w:rsid w:val="00F10D2F"/>
    <w:rsid w:val="00F116B6"/>
    <w:rsid w:val="00F118BE"/>
    <w:rsid w:val="00F120AB"/>
    <w:rsid w:val="00F1281F"/>
    <w:rsid w:val="00F12B6C"/>
    <w:rsid w:val="00F12CD7"/>
    <w:rsid w:val="00F12E0B"/>
    <w:rsid w:val="00F1339F"/>
    <w:rsid w:val="00F13519"/>
    <w:rsid w:val="00F13E83"/>
    <w:rsid w:val="00F14EBA"/>
    <w:rsid w:val="00F15B47"/>
    <w:rsid w:val="00F15BD0"/>
    <w:rsid w:val="00F15CF4"/>
    <w:rsid w:val="00F16A65"/>
    <w:rsid w:val="00F17612"/>
    <w:rsid w:val="00F17691"/>
    <w:rsid w:val="00F17C28"/>
    <w:rsid w:val="00F20744"/>
    <w:rsid w:val="00F20F13"/>
    <w:rsid w:val="00F2342D"/>
    <w:rsid w:val="00F23AC5"/>
    <w:rsid w:val="00F245A0"/>
    <w:rsid w:val="00F24C07"/>
    <w:rsid w:val="00F24E43"/>
    <w:rsid w:val="00F2529B"/>
    <w:rsid w:val="00F25518"/>
    <w:rsid w:val="00F2580C"/>
    <w:rsid w:val="00F25922"/>
    <w:rsid w:val="00F25D38"/>
    <w:rsid w:val="00F26224"/>
    <w:rsid w:val="00F26A89"/>
    <w:rsid w:val="00F2727B"/>
    <w:rsid w:val="00F27717"/>
    <w:rsid w:val="00F30012"/>
    <w:rsid w:val="00F3004C"/>
    <w:rsid w:val="00F30601"/>
    <w:rsid w:val="00F30A40"/>
    <w:rsid w:val="00F30AAD"/>
    <w:rsid w:val="00F30C80"/>
    <w:rsid w:val="00F30E1A"/>
    <w:rsid w:val="00F311AC"/>
    <w:rsid w:val="00F312CE"/>
    <w:rsid w:val="00F31752"/>
    <w:rsid w:val="00F319CE"/>
    <w:rsid w:val="00F31BC4"/>
    <w:rsid w:val="00F3226E"/>
    <w:rsid w:val="00F3227B"/>
    <w:rsid w:val="00F32563"/>
    <w:rsid w:val="00F332BF"/>
    <w:rsid w:val="00F333D6"/>
    <w:rsid w:val="00F335C6"/>
    <w:rsid w:val="00F34A5D"/>
    <w:rsid w:val="00F34B03"/>
    <w:rsid w:val="00F3506E"/>
    <w:rsid w:val="00F356C7"/>
    <w:rsid w:val="00F35AA3"/>
    <w:rsid w:val="00F36643"/>
    <w:rsid w:val="00F3665C"/>
    <w:rsid w:val="00F36C40"/>
    <w:rsid w:val="00F372BC"/>
    <w:rsid w:val="00F372EF"/>
    <w:rsid w:val="00F376E2"/>
    <w:rsid w:val="00F401AC"/>
    <w:rsid w:val="00F405A0"/>
    <w:rsid w:val="00F41341"/>
    <w:rsid w:val="00F416B8"/>
    <w:rsid w:val="00F416E0"/>
    <w:rsid w:val="00F419DD"/>
    <w:rsid w:val="00F41BF4"/>
    <w:rsid w:val="00F42604"/>
    <w:rsid w:val="00F42661"/>
    <w:rsid w:val="00F43256"/>
    <w:rsid w:val="00F43F9F"/>
    <w:rsid w:val="00F44195"/>
    <w:rsid w:val="00F442C3"/>
    <w:rsid w:val="00F4430A"/>
    <w:rsid w:val="00F443F8"/>
    <w:rsid w:val="00F447CD"/>
    <w:rsid w:val="00F44816"/>
    <w:rsid w:val="00F44F26"/>
    <w:rsid w:val="00F457AE"/>
    <w:rsid w:val="00F46A74"/>
    <w:rsid w:val="00F46B15"/>
    <w:rsid w:val="00F47B68"/>
    <w:rsid w:val="00F504B2"/>
    <w:rsid w:val="00F510E0"/>
    <w:rsid w:val="00F514BD"/>
    <w:rsid w:val="00F52042"/>
    <w:rsid w:val="00F5205B"/>
    <w:rsid w:val="00F52241"/>
    <w:rsid w:val="00F523DF"/>
    <w:rsid w:val="00F523E8"/>
    <w:rsid w:val="00F549AF"/>
    <w:rsid w:val="00F54A47"/>
    <w:rsid w:val="00F54BCB"/>
    <w:rsid w:val="00F54E6C"/>
    <w:rsid w:val="00F55E12"/>
    <w:rsid w:val="00F563BF"/>
    <w:rsid w:val="00F56E7F"/>
    <w:rsid w:val="00F57B41"/>
    <w:rsid w:val="00F57F0E"/>
    <w:rsid w:val="00F57F29"/>
    <w:rsid w:val="00F60692"/>
    <w:rsid w:val="00F60950"/>
    <w:rsid w:val="00F61E3C"/>
    <w:rsid w:val="00F6212F"/>
    <w:rsid w:val="00F62402"/>
    <w:rsid w:val="00F62935"/>
    <w:rsid w:val="00F62E2F"/>
    <w:rsid w:val="00F63F70"/>
    <w:rsid w:val="00F64188"/>
    <w:rsid w:val="00F64656"/>
    <w:rsid w:val="00F64A02"/>
    <w:rsid w:val="00F64C27"/>
    <w:rsid w:val="00F64FFD"/>
    <w:rsid w:val="00F6502D"/>
    <w:rsid w:val="00F650CC"/>
    <w:rsid w:val="00F658B5"/>
    <w:rsid w:val="00F6598D"/>
    <w:rsid w:val="00F65CDD"/>
    <w:rsid w:val="00F66245"/>
    <w:rsid w:val="00F66B8C"/>
    <w:rsid w:val="00F66BB3"/>
    <w:rsid w:val="00F66C97"/>
    <w:rsid w:val="00F66DB5"/>
    <w:rsid w:val="00F676C8"/>
    <w:rsid w:val="00F67806"/>
    <w:rsid w:val="00F70512"/>
    <w:rsid w:val="00F705D9"/>
    <w:rsid w:val="00F70AEF"/>
    <w:rsid w:val="00F71C2E"/>
    <w:rsid w:val="00F72E28"/>
    <w:rsid w:val="00F72E97"/>
    <w:rsid w:val="00F72F81"/>
    <w:rsid w:val="00F73D49"/>
    <w:rsid w:val="00F7490E"/>
    <w:rsid w:val="00F7491E"/>
    <w:rsid w:val="00F74944"/>
    <w:rsid w:val="00F75142"/>
    <w:rsid w:val="00F76199"/>
    <w:rsid w:val="00F76AEE"/>
    <w:rsid w:val="00F77136"/>
    <w:rsid w:val="00F7737F"/>
    <w:rsid w:val="00F77468"/>
    <w:rsid w:val="00F77637"/>
    <w:rsid w:val="00F777F3"/>
    <w:rsid w:val="00F779D8"/>
    <w:rsid w:val="00F77B05"/>
    <w:rsid w:val="00F77B4B"/>
    <w:rsid w:val="00F77C42"/>
    <w:rsid w:val="00F803BA"/>
    <w:rsid w:val="00F8124C"/>
    <w:rsid w:val="00F81677"/>
    <w:rsid w:val="00F81912"/>
    <w:rsid w:val="00F81CB8"/>
    <w:rsid w:val="00F8242A"/>
    <w:rsid w:val="00F824D5"/>
    <w:rsid w:val="00F82507"/>
    <w:rsid w:val="00F8336C"/>
    <w:rsid w:val="00F83737"/>
    <w:rsid w:val="00F83CB1"/>
    <w:rsid w:val="00F83FC9"/>
    <w:rsid w:val="00F843D3"/>
    <w:rsid w:val="00F844A7"/>
    <w:rsid w:val="00F84C7B"/>
    <w:rsid w:val="00F85413"/>
    <w:rsid w:val="00F85C52"/>
    <w:rsid w:val="00F862C0"/>
    <w:rsid w:val="00F86A99"/>
    <w:rsid w:val="00F86AE3"/>
    <w:rsid w:val="00F86B34"/>
    <w:rsid w:val="00F86C0C"/>
    <w:rsid w:val="00F86C8E"/>
    <w:rsid w:val="00F86D9F"/>
    <w:rsid w:val="00F870E3"/>
    <w:rsid w:val="00F87765"/>
    <w:rsid w:val="00F87EEB"/>
    <w:rsid w:val="00F901EA"/>
    <w:rsid w:val="00F906A0"/>
    <w:rsid w:val="00F909DF"/>
    <w:rsid w:val="00F91933"/>
    <w:rsid w:val="00F91B9E"/>
    <w:rsid w:val="00F9355A"/>
    <w:rsid w:val="00F9365F"/>
    <w:rsid w:val="00F93B3E"/>
    <w:rsid w:val="00F93C7C"/>
    <w:rsid w:val="00F93F31"/>
    <w:rsid w:val="00F947C2"/>
    <w:rsid w:val="00F95028"/>
    <w:rsid w:val="00F95411"/>
    <w:rsid w:val="00F95AA1"/>
    <w:rsid w:val="00F95E51"/>
    <w:rsid w:val="00F96209"/>
    <w:rsid w:val="00F9649C"/>
    <w:rsid w:val="00F97B31"/>
    <w:rsid w:val="00F97EB1"/>
    <w:rsid w:val="00FA06D2"/>
    <w:rsid w:val="00FA0B56"/>
    <w:rsid w:val="00FA0B8F"/>
    <w:rsid w:val="00FA0EBE"/>
    <w:rsid w:val="00FA151C"/>
    <w:rsid w:val="00FA1DDF"/>
    <w:rsid w:val="00FA1F61"/>
    <w:rsid w:val="00FA2439"/>
    <w:rsid w:val="00FA2606"/>
    <w:rsid w:val="00FA26CD"/>
    <w:rsid w:val="00FA3DCA"/>
    <w:rsid w:val="00FA427B"/>
    <w:rsid w:val="00FA481E"/>
    <w:rsid w:val="00FA4C88"/>
    <w:rsid w:val="00FA5438"/>
    <w:rsid w:val="00FA5C0C"/>
    <w:rsid w:val="00FA65D9"/>
    <w:rsid w:val="00FA6743"/>
    <w:rsid w:val="00FA70F2"/>
    <w:rsid w:val="00FA71C1"/>
    <w:rsid w:val="00FA7C33"/>
    <w:rsid w:val="00FA7DD7"/>
    <w:rsid w:val="00FA7F2F"/>
    <w:rsid w:val="00FB0394"/>
    <w:rsid w:val="00FB0729"/>
    <w:rsid w:val="00FB07A1"/>
    <w:rsid w:val="00FB0D1B"/>
    <w:rsid w:val="00FB0D5C"/>
    <w:rsid w:val="00FB0D64"/>
    <w:rsid w:val="00FB0F94"/>
    <w:rsid w:val="00FB1C2D"/>
    <w:rsid w:val="00FB1C79"/>
    <w:rsid w:val="00FB1E43"/>
    <w:rsid w:val="00FB2B87"/>
    <w:rsid w:val="00FB2D25"/>
    <w:rsid w:val="00FB3A70"/>
    <w:rsid w:val="00FB3DB5"/>
    <w:rsid w:val="00FB440F"/>
    <w:rsid w:val="00FB444D"/>
    <w:rsid w:val="00FB4713"/>
    <w:rsid w:val="00FB5A0B"/>
    <w:rsid w:val="00FB67BA"/>
    <w:rsid w:val="00FB7171"/>
    <w:rsid w:val="00FB7933"/>
    <w:rsid w:val="00FC08D9"/>
    <w:rsid w:val="00FC0D1D"/>
    <w:rsid w:val="00FC1011"/>
    <w:rsid w:val="00FC1123"/>
    <w:rsid w:val="00FC118C"/>
    <w:rsid w:val="00FC18F7"/>
    <w:rsid w:val="00FC1B1C"/>
    <w:rsid w:val="00FC254A"/>
    <w:rsid w:val="00FC2CE5"/>
    <w:rsid w:val="00FC38F8"/>
    <w:rsid w:val="00FC3B04"/>
    <w:rsid w:val="00FC3BFB"/>
    <w:rsid w:val="00FC511D"/>
    <w:rsid w:val="00FC5640"/>
    <w:rsid w:val="00FC5922"/>
    <w:rsid w:val="00FC5EFF"/>
    <w:rsid w:val="00FC606A"/>
    <w:rsid w:val="00FC66F4"/>
    <w:rsid w:val="00FC6B29"/>
    <w:rsid w:val="00FC6D8C"/>
    <w:rsid w:val="00FC7044"/>
    <w:rsid w:val="00FC720D"/>
    <w:rsid w:val="00FC732F"/>
    <w:rsid w:val="00FC77B7"/>
    <w:rsid w:val="00FC7844"/>
    <w:rsid w:val="00FC799A"/>
    <w:rsid w:val="00FD005B"/>
    <w:rsid w:val="00FD02DC"/>
    <w:rsid w:val="00FD06A6"/>
    <w:rsid w:val="00FD1394"/>
    <w:rsid w:val="00FD26A7"/>
    <w:rsid w:val="00FD299F"/>
    <w:rsid w:val="00FD2CEB"/>
    <w:rsid w:val="00FD3E73"/>
    <w:rsid w:val="00FD4A1D"/>
    <w:rsid w:val="00FD62BA"/>
    <w:rsid w:val="00FD62CD"/>
    <w:rsid w:val="00FD64BC"/>
    <w:rsid w:val="00FD66AA"/>
    <w:rsid w:val="00FD6D87"/>
    <w:rsid w:val="00FD6E08"/>
    <w:rsid w:val="00FD715F"/>
    <w:rsid w:val="00FD73AE"/>
    <w:rsid w:val="00FD761A"/>
    <w:rsid w:val="00FD7B3A"/>
    <w:rsid w:val="00FD7EBB"/>
    <w:rsid w:val="00FE01A2"/>
    <w:rsid w:val="00FE0258"/>
    <w:rsid w:val="00FE04AF"/>
    <w:rsid w:val="00FE0CB5"/>
    <w:rsid w:val="00FE1510"/>
    <w:rsid w:val="00FE190B"/>
    <w:rsid w:val="00FE1BCB"/>
    <w:rsid w:val="00FE25F0"/>
    <w:rsid w:val="00FE264C"/>
    <w:rsid w:val="00FE2C03"/>
    <w:rsid w:val="00FE2CCA"/>
    <w:rsid w:val="00FE2FF6"/>
    <w:rsid w:val="00FE3DBE"/>
    <w:rsid w:val="00FE3E38"/>
    <w:rsid w:val="00FE3E81"/>
    <w:rsid w:val="00FE4296"/>
    <w:rsid w:val="00FE4391"/>
    <w:rsid w:val="00FE46D7"/>
    <w:rsid w:val="00FE4BA6"/>
    <w:rsid w:val="00FE4D99"/>
    <w:rsid w:val="00FE55ED"/>
    <w:rsid w:val="00FE56BE"/>
    <w:rsid w:val="00FE660B"/>
    <w:rsid w:val="00FE661D"/>
    <w:rsid w:val="00FE6CF4"/>
    <w:rsid w:val="00FE7572"/>
    <w:rsid w:val="00FE7C56"/>
    <w:rsid w:val="00FF04E1"/>
    <w:rsid w:val="00FF082D"/>
    <w:rsid w:val="00FF158B"/>
    <w:rsid w:val="00FF1994"/>
    <w:rsid w:val="00FF2126"/>
    <w:rsid w:val="00FF227B"/>
    <w:rsid w:val="00FF2A89"/>
    <w:rsid w:val="00FF2C17"/>
    <w:rsid w:val="00FF309C"/>
    <w:rsid w:val="00FF3608"/>
    <w:rsid w:val="00FF4478"/>
    <w:rsid w:val="00FF48C7"/>
    <w:rsid w:val="00FF4996"/>
    <w:rsid w:val="00FF5017"/>
    <w:rsid w:val="00FF5362"/>
    <w:rsid w:val="00FF5AE8"/>
    <w:rsid w:val="00FF614F"/>
    <w:rsid w:val="00FF6468"/>
    <w:rsid w:val="00FF648A"/>
    <w:rsid w:val="00FF683F"/>
    <w:rsid w:val="00FF704F"/>
    <w:rsid w:val="0106A1C9"/>
    <w:rsid w:val="010ADA64"/>
    <w:rsid w:val="010FFD58"/>
    <w:rsid w:val="01122097"/>
    <w:rsid w:val="0122A0AF"/>
    <w:rsid w:val="012651AB"/>
    <w:rsid w:val="01333AC8"/>
    <w:rsid w:val="014226A2"/>
    <w:rsid w:val="01427817"/>
    <w:rsid w:val="014A5E0C"/>
    <w:rsid w:val="014F64B6"/>
    <w:rsid w:val="01529B95"/>
    <w:rsid w:val="015760F2"/>
    <w:rsid w:val="0157E5FA"/>
    <w:rsid w:val="0189C68D"/>
    <w:rsid w:val="0189DC1C"/>
    <w:rsid w:val="018C9A06"/>
    <w:rsid w:val="019433F5"/>
    <w:rsid w:val="0199E620"/>
    <w:rsid w:val="01A3405C"/>
    <w:rsid w:val="01A6049C"/>
    <w:rsid w:val="01AAF56D"/>
    <w:rsid w:val="01B3EBAC"/>
    <w:rsid w:val="01B58E43"/>
    <w:rsid w:val="01C58ABD"/>
    <w:rsid w:val="01D2D585"/>
    <w:rsid w:val="01DEB31A"/>
    <w:rsid w:val="01E82E10"/>
    <w:rsid w:val="01EF2FA8"/>
    <w:rsid w:val="01F0E87B"/>
    <w:rsid w:val="01FAF471"/>
    <w:rsid w:val="01FD10E4"/>
    <w:rsid w:val="0206D86E"/>
    <w:rsid w:val="020E8E7A"/>
    <w:rsid w:val="0224CE1E"/>
    <w:rsid w:val="0227DB3D"/>
    <w:rsid w:val="02301951"/>
    <w:rsid w:val="023A1EE7"/>
    <w:rsid w:val="02412CF5"/>
    <w:rsid w:val="0246EF6C"/>
    <w:rsid w:val="024D3761"/>
    <w:rsid w:val="02560379"/>
    <w:rsid w:val="025C15E9"/>
    <w:rsid w:val="027121BB"/>
    <w:rsid w:val="0290D3AD"/>
    <w:rsid w:val="02944A5E"/>
    <w:rsid w:val="0298D361"/>
    <w:rsid w:val="02A08B62"/>
    <w:rsid w:val="02A34A3C"/>
    <w:rsid w:val="02A59D55"/>
    <w:rsid w:val="02ABCDB9"/>
    <w:rsid w:val="02AF1FE8"/>
    <w:rsid w:val="02B7CE17"/>
    <w:rsid w:val="02BA22FE"/>
    <w:rsid w:val="02CD35EF"/>
    <w:rsid w:val="02D60A78"/>
    <w:rsid w:val="02EE45EE"/>
    <w:rsid w:val="03082BED"/>
    <w:rsid w:val="0315BE22"/>
    <w:rsid w:val="031740D0"/>
    <w:rsid w:val="0329E1C8"/>
    <w:rsid w:val="033074FA"/>
    <w:rsid w:val="033931DF"/>
    <w:rsid w:val="03493F48"/>
    <w:rsid w:val="035B500C"/>
    <w:rsid w:val="036C92B7"/>
    <w:rsid w:val="036D5493"/>
    <w:rsid w:val="037DE4D2"/>
    <w:rsid w:val="0382A97C"/>
    <w:rsid w:val="038841DB"/>
    <w:rsid w:val="0389E5F8"/>
    <w:rsid w:val="039A689B"/>
    <w:rsid w:val="03A123DE"/>
    <w:rsid w:val="03A9CDCD"/>
    <w:rsid w:val="03B28F8A"/>
    <w:rsid w:val="03B8FEAB"/>
    <w:rsid w:val="03B92C7B"/>
    <w:rsid w:val="03C543B3"/>
    <w:rsid w:val="03CCF27B"/>
    <w:rsid w:val="03DBCF72"/>
    <w:rsid w:val="03E8C655"/>
    <w:rsid w:val="03F24A97"/>
    <w:rsid w:val="0410D89F"/>
    <w:rsid w:val="0419D7D0"/>
    <w:rsid w:val="041BCB2D"/>
    <w:rsid w:val="041C0981"/>
    <w:rsid w:val="043D3383"/>
    <w:rsid w:val="04501BBD"/>
    <w:rsid w:val="04595905"/>
    <w:rsid w:val="045D2374"/>
    <w:rsid w:val="045FAF2E"/>
    <w:rsid w:val="0465F565"/>
    <w:rsid w:val="046BEFE9"/>
    <w:rsid w:val="04808847"/>
    <w:rsid w:val="048287DA"/>
    <w:rsid w:val="0483903F"/>
    <w:rsid w:val="0495C04A"/>
    <w:rsid w:val="04982C86"/>
    <w:rsid w:val="049CF997"/>
    <w:rsid w:val="049D2603"/>
    <w:rsid w:val="04BB28B3"/>
    <w:rsid w:val="04BEEB3A"/>
    <w:rsid w:val="04CB8DD9"/>
    <w:rsid w:val="04D0DBD4"/>
    <w:rsid w:val="04D44DDF"/>
    <w:rsid w:val="04DEA5F1"/>
    <w:rsid w:val="04E10BCD"/>
    <w:rsid w:val="04E3230F"/>
    <w:rsid w:val="04E67B07"/>
    <w:rsid w:val="04E97505"/>
    <w:rsid w:val="04F04827"/>
    <w:rsid w:val="04F17E28"/>
    <w:rsid w:val="04FD717E"/>
    <w:rsid w:val="0506E801"/>
    <w:rsid w:val="050F12C7"/>
    <w:rsid w:val="05340B58"/>
    <w:rsid w:val="05349A56"/>
    <w:rsid w:val="053C01C2"/>
    <w:rsid w:val="053FB37C"/>
    <w:rsid w:val="054786E3"/>
    <w:rsid w:val="0547CE24"/>
    <w:rsid w:val="0548E171"/>
    <w:rsid w:val="054C4994"/>
    <w:rsid w:val="0552ACD3"/>
    <w:rsid w:val="05588318"/>
    <w:rsid w:val="0560861C"/>
    <w:rsid w:val="0585E86B"/>
    <w:rsid w:val="058EF069"/>
    <w:rsid w:val="05912EF5"/>
    <w:rsid w:val="05ACA229"/>
    <w:rsid w:val="05ACB4EA"/>
    <w:rsid w:val="05AEF96A"/>
    <w:rsid w:val="05BEE5A4"/>
    <w:rsid w:val="05CD832A"/>
    <w:rsid w:val="05CE148A"/>
    <w:rsid w:val="05D8C39C"/>
    <w:rsid w:val="05F47E1C"/>
    <w:rsid w:val="05FB0BD4"/>
    <w:rsid w:val="05FE650A"/>
    <w:rsid w:val="06043B8C"/>
    <w:rsid w:val="0604C3B9"/>
    <w:rsid w:val="061B6779"/>
    <w:rsid w:val="061E9D71"/>
    <w:rsid w:val="061F2284"/>
    <w:rsid w:val="062F2B69"/>
    <w:rsid w:val="0633344C"/>
    <w:rsid w:val="065764B8"/>
    <w:rsid w:val="06617B01"/>
    <w:rsid w:val="06675E3A"/>
    <w:rsid w:val="0674BCA1"/>
    <w:rsid w:val="06763DE9"/>
    <w:rsid w:val="067D5839"/>
    <w:rsid w:val="0685C300"/>
    <w:rsid w:val="069D0A1B"/>
    <w:rsid w:val="069F441A"/>
    <w:rsid w:val="06A47BBC"/>
    <w:rsid w:val="06A836F6"/>
    <w:rsid w:val="06AA3C5B"/>
    <w:rsid w:val="06B8B06F"/>
    <w:rsid w:val="06BC419F"/>
    <w:rsid w:val="06BE07AB"/>
    <w:rsid w:val="06C684F9"/>
    <w:rsid w:val="06C8C389"/>
    <w:rsid w:val="06CA295E"/>
    <w:rsid w:val="06CFCA63"/>
    <w:rsid w:val="06CFDBB9"/>
    <w:rsid w:val="06D23F1E"/>
    <w:rsid w:val="06D8CF70"/>
    <w:rsid w:val="06DAD8B0"/>
    <w:rsid w:val="06F28F72"/>
    <w:rsid w:val="06F55416"/>
    <w:rsid w:val="07044CBB"/>
    <w:rsid w:val="071A8D0D"/>
    <w:rsid w:val="07223E47"/>
    <w:rsid w:val="07229845"/>
    <w:rsid w:val="0725E5BB"/>
    <w:rsid w:val="07335F64"/>
    <w:rsid w:val="07336F10"/>
    <w:rsid w:val="073CFF29"/>
    <w:rsid w:val="07442C0D"/>
    <w:rsid w:val="074DF12C"/>
    <w:rsid w:val="07578276"/>
    <w:rsid w:val="076A4925"/>
    <w:rsid w:val="077AB5FE"/>
    <w:rsid w:val="078E64CE"/>
    <w:rsid w:val="07B7C20A"/>
    <w:rsid w:val="07C9A5D3"/>
    <w:rsid w:val="07CBB2BF"/>
    <w:rsid w:val="07DBFA05"/>
    <w:rsid w:val="07DD7AF8"/>
    <w:rsid w:val="07E0C6F2"/>
    <w:rsid w:val="0809A875"/>
    <w:rsid w:val="0828B4EF"/>
    <w:rsid w:val="08294583"/>
    <w:rsid w:val="0829C2E9"/>
    <w:rsid w:val="082C49A6"/>
    <w:rsid w:val="0841F3BA"/>
    <w:rsid w:val="084A4803"/>
    <w:rsid w:val="084AA1C9"/>
    <w:rsid w:val="0860BDE0"/>
    <w:rsid w:val="08616684"/>
    <w:rsid w:val="0866B07B"/>
    <w:rsid w:val="0871FC4E"/>
    <w:rsid w:val="0873C834"/>
    <w:rsid w:val="087B83CD"/>
    <w:rsid w:val="0890BE3D"/>
    <w:rsid w:val="08972551"/>
    <w:rsid w:val="08994BB3"/>
    <w:rsid w:val="089E2C88"/>
    <w:rsid w:val="08ACFE8D"/>
    <w:rsid w:val="08AEA2A5"/>
    <w:rsid w:val="08B7AFFC"/>
    <w:rsid w:val="08BF9E6D"/>
    <w:rsid w:val="08D3E4D8"/>
    <w:rsid w:val="08DC481B"/>
    <w:rsid w:val="08F15955"/>
    <w:rsid w:val="08F1EE83"/>
    <w:rsid w:val="08FBBF68"/>
    <w:rsid w:val="09016E3F"/>
    <w:rsid w:val="0906F510"/>
    <w:rsid w:val="09075A05"/>
    <w:rsid w:val="09128C00"/>
    <w:rsid w:val="09203134"/>
    <w:rsid w:val="09211565"/>
    <w:rsid w:val="093D2E4E"/>
    <w:rsid w:val="094F0EBF"/>
    <w:rsid w:val="096558E7"/>
    <w:rsid w:val="096888C9"/>
    <w:rsid w:val="097A3540"/>
    <w:rsid w:val="09872E7E"/>
    <w:rsid w:val="098C6BDC"/>
    <w:rsid w:val="099F8FCC"/>
    <w:rsid w:val="09A039A5"/>
    <w:rsid w:val="09A18E16"/>
    <w:rsid w:val="09A22CD1"/>
    <w:rsid w:val="09A63676"/>
    <w:rsid w:val="09A9E0E9"/>
    <w:rsid w:val="09AD8F96"/>
    <w:rsid w:val="09B78504"/>
    <w:rsid w:val="09C0F5D1"/>
    <w:rsid w:val="09C515E4"/>
    <w:rsid w:val="09D21DAB"/>
    <w:rsid w:val="09D88A28"/>
    <w:rsid w:val="09DBB622"/>
    <w:rsid w:val="09E1E379"/>
    <w:rsid w:val="09E59EB5"/>
    <w:rsid w:val="09F21DC5"/>
    <w:rsid w:val="09F2E642"/>
    <w:rsid w:val="09F594CD"/>
    <w:rsid w:val="0A44776C"/>
    <w:rsid w:val="0A4FB447"/>
    <w:rsid w:val="0A680168"/>
    <w:rsid w:val="0A6EF52E"/>
    <w:rsid w:val="0A70BAFA"/>
    <w:rsid w:val="0A721316"/>
    <w:rsid w:val="0A7D1A33"/>
    <w:rsid w:val="0A8129E2"/>
    <w:rsid w:val="0A833C28"/>
    <w:rsid w:val="0A9690C6"/>
    <w:rsid w:val="0A9EE4CB"/>
    <w:rsid w:val="0AA016CB"/>
    <w:rsid w:val="0AA1E9E7"/>
    <w:rsid w:val="0AA779FA"/>
    <w:rsid w:val="0AA8EC61"/>
    <w:rsid w:val="0ABD84CF"/>
    <w:rsid w:val="0ABE16C9"/>
    <w:rsid w:val="0ABE4DEF"/>
    <w:rsid w:val="0AC45F95"/>
    <w:rsid w:val="0AC55D1C"/>
    <w:rsid w:val="0AC7E69A"/>
    <w:rsid w:val="0AC98850"/>
    <w:rsid w:val="0AE288F9"/>
    <w:rsid w:val="0AECA9D9"/>
    <w:rsid w:val="0AF6335C"/>
    <w:rsid w:val="0AFB602D"/>
    <w:rsid w:val="0AFEF959"/>
    <w:rsid w:val="0B174884"/>
    <w:rsid w:val="0B1BD1B1"/>
    <w:rsid w:val="0B33B391"/>
    <w:rsid w:val="0B4471F1"/>
    <w:rsid w:val="0B628A26"/>
    <w:rsid w:val="0B6A5BF9"/>
    <w:rsid w:val="0B724C20"/>
    <w:rsid w:val="0B748733"/>
    <w:rsid w:val="0B77FB72"/>
    <w:rsid w:val="0B79214E"/>
    <w:rsid w:val="0B859560"/>
    <w:rsid w:val="0B8D7F70"/>
    <w:rsid w:val="0BAB9CAB"/>
    <w:rsid w:val="0BB62AB7"/>
    <w:rsid w:val="0BB9DB97"/>
    <w:rsid w:val="0BBA5C03"/>
    <w:rsid w:val="0BBCED27"/>
    <w:rsid w:val="0BC89114"/>
    <w:rsid w:val="0BCA7125"/>
    <w:rsid w:val="0BCBC03C"/>
    <w:rsid w:val="0BDFC9DA"/>
    <w:rsid w:val="0BE14447"/>
    <w:rsid w:val="0BE433AF"/>
    <w:rsid w:val="0BE50F51"/>
    <w:rsid w:val="0BE9DF52"/>
    <w:rsid w:val="0BEC2AD7"/>
    <w:rsid w:val="0C0D3F8D"/>
    <w:rsid w:val="0C10AC07"/>
    <w:rsid w:val="0C141394"/>
    <w:rsid w:val="0C1494DA"/>
    <w:rsid w:val="0C14DB09"/>
    <w:rsid w:val="0C374B26"/>
    <w:rsid w:val="0C3CF07A"/>
    <w:rsid w:val="0C43773A"/>
    <w:rsid w:val="0C43DEFA"/>
    <w:rsid w:val="0C5B0ABF"/>
    <w:rsid w:val="0C5DA0AD"/>
    <w:rsid w:val="0C6190A3"/>
    <w:rsid w:val="0C69B9B3"/>
    <w:rsid w:val="0C6D04EB"/>
    <w:rsid w:val="0C6F16C1"/>
    <w:rsid w:val="0C7168C8"/>
    <w:rsid w:val="0C741488"/>
    <w:rsid w:val="0C778CBF"/>
    <w:rsid w:val="0C77F44D"/>
    <w:rsid w:val="0C7DEC47"/>
    <w:rsid w:val="0C8007F2"/>
    <w:rsid w:val="0C8DAC24"/>
    <w:rsid w:val="0C96DB3F"/>
    <w:rsid w:val="0C9EE902"/>
    <w:rsid w:val="0CAF26AE"/>
    <w:rsid w:val="0CBAE78E"/>
    <w:rsid w:val="0CBB73EF"/>
    <w:rsid w:val="0CD69FBE"/>
    <w:rsid w:val="0CE032E4"/>
    <w:rsid w:val="0CE9A921"/>
    <w:rsid w:val="0CF991BB"/>
    <w:rsid w:val="0D000941"/>
    <w:rsid w:val="0D2755EE"/>
    <w:rsid w:val="0D433F26"/>
    <w:rsid w:val="0D52DE9A"/>
    <w:rsid w:val="0D5C3EEF"/>
    <w:rsid w:val="0D630221"/>
    <w:rsid w:val="0D78295A"/>
    <w:rsid w:val="0D82B0AC"/>
    <w:rsid w:val="0D844575"/>
    <w:rsid w:val="0D877003"/>
    <w:rsid w:val="0D93887A"/>
    <w:rsid w:val="0D96CE8D"/>
    <w:rsid w:val="0D9AC185"/>
    <w:rsid w:val="0D9AF7DB"/>
    <w:rsid w:val="0D9EFDF0"/>
    <w:rsid w:val="0DA1B327"/>
    <w:rsid w:val="0DBBF1D2"/>
    <w:rsid w:val="0DC04189"/>
    <w:rsid w:val="0DC5F488"/>
    <w:rsid w:val="0DCD77D4"/>
    <w:rsid w:val="0DD98AA9"/>
    <w:rsid w:val="0DD9C0A0"/>
    <w:rsid w:val="0DDF8905"/>
    <w:rsid w:val="0DEDDD79"/>
    <w:rsid w:val="0DF08404"/>
    <w:rsid w:val="0DF7A678"/>
    <w:rsid w:val="0E00296C"/>
    <w:rsid w:val="0E048215"/>
    <w:rsid w:val="0E0F6668"/>
    <w:rsid w:val="0E138EF6"/>
    <w:rsid w:val="0E201997"/>
    <w:rsid w:val="0E2AA980"/>
    <w:rsid w:val="0E4C088D"/>
    <w:rsid w:val="0E580FA5"/>
    <w:rsid w:val="0E5B9545"/>
    <w:rsid w:val="0E70B5BA"/>
    <w:rsid w:val="0E8585BA"/>
    <w:rsid w:val="0E865444"/>
    <w:rsid w:val="0E8FAF56"/>
    <w:rsid w:val="0E97DE02"/>
    <w:rsid w:val="0EB0D015"/>
    <w:rsid w:val="0EB78F3A"/>
    <w:rsid w:val="0EB99422"/>
    <w:rsid w:val="0EBB94A8"/>
    <w:rsid w:val="0EBBF402"/>
    <w:rsid w:val="0ED8B0FF"/>
    <w:rsid w:val="0EE2F272"/>
    <w:rsid w:val="0EF88D4C"/>
    <w:rsid w:val="0EFE6977"/>
    <w:rsid w:val="0F0766A8"/>
    <w:rsid w:val="0F094326"/>
    <w:rsid w:val="0F143447"/>
    <w:rsid w:val="0F1795CD"/>
    <w:rsid w:val="0F19CCDC"/>
    <w:rsid w:val="0F1DCB3C"/>
    <w:rsid w:val="0F3E26AD"/>
    <w:rsid w:val="0F44554C"/>
    <w:rsid w:val="0F4F31D4"/>
    <w:rsid w:val="0F5BA2E0"/>
    <w:rsid w:val="0F60D72F"/>
    <w:rsid w:val="0F73F691"/>
    <w:rsid w:val="0F755B0A"/>
    <w:rsid w:val="0F788F26"/>
    <w:rsid w:val="0F8294A6"/>
    <w:rsid w:val="0F85F3FA"/>
    <w:rsid w:val="0F99BAA5"/>
    <w:rsid w:val="0F9EB586"/>
    <w:rsid w:val="0FBAC6F1"/>
    <w:rsid w:val="0FBB90FA"/>
    <w:rsid w:val="0FBC0AC9"/>
    <w:rsid w:val="0FBE2418"/>
    <w:rsid w:val="0FCE3D8E"/>
    <w:rsid w:val="0FE6953B"/>
    <w:rsid w:val="0FF974C3"/>
    <w:rsid w:val="0FFABADB"/>
    <w:rsid w:val="10152B53"/>
    <w:rsid w:val="1022E75F"/>
    <w:rsid w:val="1023EEB5"/>
    <w:rsid w:val="102CDAE5"/>
    <w:rsid w:val="1044DDC7"/>
    <w:rsid w:val="104855FC"/>
    <w:rsid w:val="10543DE6"/>
    <w:rsid w:val="1058CE86"/>
    <w:rsid w:val="10612BA7"/>
    <w:rsid w:val="106298B0"/>
    <w:rsid w:val="1070C284"/>
    <w:rsid w:val="10772375"/>
    <w:rsid w:val="107FAFDE"/>
    <w:rsid w:val="1085F92B"/>
    <w:rsid w:val="108CEF45"/>
    <w:rsid w:val="10A171CD"/>
    <w:rsid w:val="10A8D0E5"/>
    <w:rsid w:val="10B74B6F"/>
    <w:rsid w:val="10CF23AD"/>
    <w:rsid w:val="10D4B3F2"/>
    <w:rsid w:val="10E0190E"/>
    <w:rsid w:val="10E506A4"/>
    <w:rsid w:val="10EE7BF3"/>
    <w:rsid w:val="10EEACE7"/>
    <w:rsid w:val="111B1FA1"/>
    <w:rsid w:val="1132BDE8"/>
    <w:rsid w:val="114610A8"/>
    <w:rsid w:val="11465558"/>
    <w:rsid w:val="1155ACF4"/>
    <w:rsid w:val="115BAC35"/>
    <w:rsid w:val="115FFA78"/>
    <w:rsid w:val="1162E4EA"/>
    <w:rsid w:val="11734733"/>
    <w:rsid w:val="1174D795"/>
    <w:rsid w:val="118E806B"/>
    <w:rsid w:val="11B10EE5"/>
    <w:rsid w:val="11C90B14"/>
    <w:rsid w:val="11D0B7E1"/>
    <w:rsid w:val="11D15FFC"/>
    <w:rsid w:val="11E317C3"/>
    <w:rsid w:val="11E6C1A6"/>
    <w:rsid w:val="1201792F"/>
    <w:rsid w:val="120F92A4"/>
    <w:rsid w:val="121A05DE"/>
    <w:rsid w:val="124B9834"/>
    <w:rsid w:val="1262A482"/>
    <w:rsid w:val="126AD728"/>
    <w:rsid w:val="127F95B0"/>
    <w:rsid w:val="12928F1A"/>
    <w:rsid w:val="1294D0F6"/>
    <w:rsid w:val="12A0B530"/>
    <w:rsid w:val="12B9FF8C"/>
    <w:rsid w:val="12C47AD4"/>
    <w:rsid w:val="12D3B9C0"/>
    <w:rsid w:val="12D4D09F"/>
    <w:rsid w:val="12EA47BB"/>
    <w:rsid w:val="12F6824F"/>
    <w:rsid w:val="130BDA31"/>
    <w:rsid w:val="13116DE5"/>
    <w:rsid w:val="13148059"/>
    <w:rsid w:val="131E35FD"/>
    <w:rsid w:val="132D03CB"/>
    <w:rsid w:val="1331C69A"/>
    <w:rsid w:val="13327B2B"/>
    <w:rsid w:val="133F3C8A"/>
    <w:rsid w:val="1342A7B0"/>
    <w:rsid w:val="1345E142"/>
    <w:rsid w:val="1351988D"/>
    <w:rsid w:val="1356F474"/>
    <w:rsid w:val="1358F48A"/>
    <w:rsid w:val="135B8F77"/>
    <w:rsid w:val="135D29FE"/>
    <w:rsid w:val="13704F76"/>
    <w:rsid w:val="137584A8"/>
    <w:rsid w:val="1377CC3A"/>
    <w:rsid w:val="137F5FAA"/>
    <w:rsid w:val="1394183D"/>
    <w:rsid w:val="13995137"/>
    <w:rsid w:val="13A46F80"/>
    <w:rsid w:val="13AB9B59"/>
    <w:rsid w:val="13BF0D2D"/>
    <w:rsid w:val="13C35A5C"/>
    <w:rsid w:val="13CADD32"/>
    <w:rsid w:val="13F1A28C"/>
    <w:rsid w:val="13F1AE0C"/>
    <w:rsid w:val="13F93C57"/>
    <w:rsid w:val="14099381"/>
    <w:rsid w:val="1419DFB6"/>
    <w:rsid w:val="141B3BB3"/>
    <w:rsid w:val="141BAA52"/>
    <w:rsid w:val="1430D071"/>
    <w:rsid w:val="144A4754"/>
    <w:rsid w:val="14577451"/>
    <w:rsid w:val="145D2BED"/>
    <w:rsid w:val="14673041"/>
    <w:rsid w:val="14676578"/>
    <w:rsid w:val="146C329A"/>
    <w:rsid w:val="146E4C17"/>
    <w:rsid w:val="1478A78D"/>
    <w:rsid w:val="148962D3"/>
    <w:rsid w:val="14899317"/>
    <w:rsid w:val="148D05BC"/>
    <w:rsid w:val="149CB221"/>
    <w:rsid w:val="14B5E29D"/>
    <w:rsid w:val="14B87F61"/>
    <w:rsid w:val="14BA235B"/>
    <w:rsid w:val="14BB932A"/>
    <w:rsid w:val="14BDD415"/>
    <w:rsid w:val="14C39283"/>
    <w:rsid w:val="14CDA6CE"/>
    <w:rsid w:val="14D44E11"/>
    <w:rsid w:val="14D652B6"/>
    <w:rsid w:val="14F7CBE2"/>
    <w:rsid w:val="14FBA2B2"/>
    <w:rsid w:val="14FC429A"/>
    <w:rsid w:val="1500A77F"/>
    <w:rsid w:val="150C4D51"/>
    <w:rsid w:val="15340A4D"/>
    <w:rsid w:val="1548C5BF"/>
    <w:rsid w:val="154E2C9C"/>
    <w:rsid w:val="154FCE7B"/>
    <w:rsid w:val="1550EBF9"/>
    <w:rsid w:val="155184D7"/>
    <w:rsid w:val="15656F06"/>
    <w:rsid w:val="15662878"/>
    <w:rsid w:val="156AB99F"/>
    <w:rsid w:val="1582DF7D"/>
    <w:rsid w:val="158B680D"/>
    <w:rsid w:val="15926AB1"/>
    <w:rsid w:val="15929D82"/>
    <w:rsid w:val="1595D9A0"/>
    <w:rsid w:val="159FF513"/>
    <w:rsid w:val="15BF7454"/>
    <w:rsid w:val="15C1D4DD"/>
    <w:rsid w:val="15CC6301"/>
    <w:rsid w:val="15D29EE2"/>
    <w:rsid w:val="15E95B8C"/>
    <w:rsid w:val="15FEBAE3"/>
    <w:rsid w:val="1612C304"/>
    <w:rsid w:val="1617C19B"/>
    <w:rsid w:val="16347BEF"/>
    <w:rsid w:val="1635F860"/>
    <w:rsid w:val="1641786B"/>
    <w:rsid w:val="1655D6BF"/>
    <w:rsid w:val="16589E16"/>
    <w:rsid w:val="1666F1C9"/>
    <w:rsid w:val="16750E3C"/>
    <w:rsid w:val="16AC8AC8"/>
    <w:rsid w:val="16AF1C06"/>
    <w:rsid w:val="16B0349C"/>
    <w:rsid w:val="16B471E7"/>
    <w:rsid w:val="16CEFB73"/>
    <w:rsid w:val="16D2A62C"/>
    <w:rsid w:val="16D9581A"/>
    <w:rsid w:val="16DAB44E"/>
    <w:rsid w:val="16EA4A22"/>
    <w:rsid w:val="16F542BE"/>
    <w:rsid w:val="16FCF7D7"/>
    <w:rsid w:val="170AED16"/>
    <w:rsid w:val="170E35E9"/>
    <w:rsid w:val="1712B5D0"/>
    <w:rsid w:val="1721FE1D"/>
    <w:rsid w:val="17245D1E"/>
    <w:rsid w:val="17277F63"/>
    <w:rsid w:val="172F6235"/>
    <w:rsid w:val="1768FECD"/>
    <w:rsid w:val="176FF696"/>
    <w:rsid w:val="17710ED6"/>
    <w:rsid w:val="1780ABD4"/>
    <w:rsid w:val="17A696A8"/>
    <w:rsid w:val="17B05CCC"/>
    <w:rsid w:val="17C33F1E"/>
    <w:rsid w:val="17CDDA09"/>
    <w:rsid w:val="17D87EC3"/>
    <w:rsid w:val="17D996D0"/>
    <w:rsid w:val="17D9C276"/>
    <w:rsid w:val="17E2D6C3"/>
    <w:rsid w:val="17E4A833"/>
    <w:rsid w:val="17E51EA5"/>
    <w:rsid w:val="17E5834C"/>
    <w:rsid w:val="17EF08B0"/>
    <w:rsid w:val="17F75D87"/>
    <w:rsid w:val="17F85059"/>
    <w:rsid w:val="181AEA46"/>
    <w:rsid w:val="1826600D"/>
    <w:rsid w:val="182C7F02"/>
    <w:rsid w:val="182C8EBE"/>
    <w:rsid w:val="18364E9B"/>
    <w:rsid w:val="183803B7"/>
    <w:rsid w:val="184697EB"/>
    <w:rsid w:val="184AF00B"/>
    <w:rsid w:val="18638CF0"/>
    <w:rsid w:val="186BFFC7"/>
    <w:rsid w:val="187DB92A"/>
    <w:rsid w:val="18826DCD"/>
    <w:rsid w:val="188FE42F"/>
    <w:rsid w:val="189D9D9C"/>
    <w:rsid w:val="18A0C2F2"/>
    <w:rsid w:val="18ACD690"/>
    <w:rsid w:val="18B61B4B"/>
    <w:rsid w:val="18BDC0BA"/>
    <w:rsid w:val="18C308CF"/>
    <w:rsid w:val="18CCEC32"/>
    <w:rsid w:val="18D89763"/>
    <w:rsid w:val="18E85F60"/>
    <w:rsid w:val="18E89598"/>
    <w:rsid w:val="18E8C3CD"/>
    <w:rsid w:val="18F9587F"/>
    <w:rsid w:val="18FA5B27"/>
    <w:rsid w:val="19160C4A"/>
    <w:rsid w:val="1928212E"/>
    <w:rsid w:val="192E3477"/>
    <w:rsid w:val="19596DA1"/>
    <w:rsid w:val="195998E8"/>
    <w:rsid w:val="195DB38B"/>
    <w:rsid w:val="196988FC"/>
    <w:rsid w:val="1971C27F"/>
    <w:rsid w:val="19745920"/>
    <w:rsid w:val="19791CED"/>
    <w:rsid w:val="198687CB"/>
    <w:rsid w:val="19999E3A"/>
    <w:rsid w:val="199CA541"/>
    <w:rsid w:val="19A25402"/>
    <w:rsid w:val="19A76890"/>
    <w:rsid w:val="19AC7363"/>
    <w:rsid w:val="19C25A56"/>
    <w:rsid w:val="19D9613F"/>
    <w:rsid w:val="19E41730"/>
    <w:rsid w:val="19EB6360"/>
    <w:rsid w:val="19EDDE7D"/>
    <w:rsid w:val="19EFB980"/>
    <w:rsid w:val="19FB2A18"/>
    <w:rsid w:val="1A0058AA"/>
    <w:rsid w:val="1A083B76"/>
    <w:rsid w:val="1A1D6646"/>
    <w:rsid w:val="1A2CA469"/>
    <w:rsid w:val="1A421F92"/>
    <w:rsid w:val="1A50D801"/>
    <w:rsid w:val="1A563735"/>
    <w:rsid w:val="1A5A4874"/>
    <w:rsid w:val="1A5ED71E"/>
    <w:rsid w:val="1A6342F5"/>
    <w:rsid w:val="1A67ACD4"/>
    <w:rsid w:val="1A688456"/>
    <w:rsid w:val="1A748DC9"/>
    <w:rsid w:val="1A7A0896"/>
    <w:rsid w:val="1A8B81E5"/>
    <w:rsid w:val="1A982489"/>
    <w:rsid w:val="1A98AFA2"/>
    <w:rsid w:val="1A98F9F8"/>
    <w:rsid w:val="1A996796"/>
    <w:rsid w:val="1A9D09BC"/>
    <w:rsid w:val="1AA75292"/>
    <w:rsid w:val="1AB15480"/>
    <w:rsid w:val="1ABBEC1B"/>
    <w:rsid w:val="1AC70449"/>
    <w:rsid w:val="1AC9B4CF"/>
    <w:rsid w:val="1AD1948E"/>
    <w:rsid w:val="1AE64E33"/>
    <w:rsid w:val="1AF009BC"/>
    <w:rsid w:val="1AF752E8"/>
    <w:rsid w:val="1B0FBA42"/>
    <w:rsid w:val="1B130F85"/>
    <w:rsid w:val="1B18B8ED"/>
    <w:rsid w:val="1B1D0637"/>
    <w:rsid w:val="1B1DE18B"/>
    <w:rsid w:val="1B1E5C1D"/>
    <w:rsid w:val="1B24640E"/>
    <w:rsid w:val="1B28C60D"/>
    <w:rsid w:val="1B313A81"/>
    <w:rsid w:val="1B387BDA"/>
    <w:rsid w:val="1B413B83"/>
    <w:rsid w:val="1B687BBE"/>
    <w:rsid w:val="1B726674"/>
    <w:rsid w:val="1B8F1375"/>
    <w:rsid w:val="1BA4E0C1"/>
    <w:rsid w:val="1BA9B407"/>
    <w:rsid w:val="1BAF6E4D"/>
    <w:rsid w:val="1BB7C902"/>
    <w:rsid w:val="1BCCFFEF"/>
    <w:rsid w:val="1BDA7552"/>
    <w:rsid w:val="1BEC62EF"/>
    <w:rsid w:val="1BF0C800"/>
    <w:rsid w:val="1BF4FE0E"/>
    <w:rsid w:val="1C02323E"/>
    <w:rsid w:val="1C048E11"/>
    <w:rsid w:val="1C0FA866"/>
    <w:rsid w:val="1C17080E"/>
    <w:rsid w:val="1C3C79D5"/>
    <w:rsid w:val="1C4322F3"/>
    <w:rsid w:val="1C4A9C74"/>
    <w:rsid w:val="1C511798"/>
    <w:rsid w:val="1C63204A"/>
    <w:rsid w:val="1C651956"/>
    <w:rsid w:val="1C7505E5"/>
    <w:rsid w:val="1C781B86"/>
    <w:rsid w:val="1C78FE43"/>
    <w:rsid w:val="1C89E230"/>
    <w:rsid w:val="1C8ABB31"/>
    <w:rsid w:val="1CA6E223"/>
    <w:rsid w:val="1CA7CC99"/>
    <w:rsid w:val="1CAF7C1A"/>
    <w:rsid w:val="1CB7893C"/>
    <w:rsid w:val="1CB9A410"/>
    <w:rsid w:val="1CC2D531"/>
    <w:rsid w:val="1CD83CFA"/>
    <w:rsid w:val="1CDC0FFE"/>
    <w:rsid w:val="1CE4F7D4"/>
    <w:rsid w:val="1CED4D6E"/>
    <w:rsid w:val="1CF0FAE5"/>
    <w:rsid w:val="1CFA9132"/>
    <w:rsid w:val="1CFBA37C"/>
    <w:rsid w:val="1CFD83CA"/>
    <w:rsid w:val="1D0E6C22"/>
    <w:rsid w:val="1D1776BA"/>
    <w:rsid w:val="1D27C456"/>
    <w:rsid w:val="1D40198E"/>
    <w:rsid w:val="1D4C5FF5"/>
    <w:rsid w:val="1D526A1C"/>
    <w:rsid w:val="1D5D2CDF"/>
    <w:rsid w:val="1D5D2E8D"/>
    <w:rsid w:val="1D6BD6F4"/>
    <w:rsid w:val="1D735890"/>
    <w:rsid w:val="1D77AF8A"/>
    <w:rsid w:val="1D7C998E"/>
    <w:rsid w:val="1D81B793"/>
    <w:rsid w:val="1DAA7EB1"/>
    <w:rsid w:val="1DAEB2EC"/>
    <w:rsid w:val="1DAFF247"/>
    <w:rsid w:val="1DC36A7B"/>
    <w:rsid w:val="1DC455BA"/>
    <w:rsid w:val="1DC94B28"/>
    <w:rsid w:val="1DD75DD1"/>
    <w:rsid w:val="1DE13690"/>
    <w:rsid w:val="1DF491DC"/>
    <w:rsid w:val="1E00E94A"/>
    <w:rsid w:val="1E0C91B0"/>
    <w:rsid w:val="1E15490A"/>
    <w:rsid w:val="1E20F401"/>
    <w:rsid w:val="1E249BCD"/>
    <w:rsid w:val="1E262FD8"/>
    <w:rsid w:val="1E2D0412"/>
    <w:rsid w:val="1E32638B"/>
    <w:rsid w:val="1E3AA027"/>
    <w:rsid w:val="1E3AB440"/>
    <w:rsid w:val="1E419F75"/>
    <w:rsid w:val="1E58EC7D"/>
    <w:rsid w:val="1E5ED1A5"/>
    <w:rsid w:val="1E603EA5"/>
    <w:rsid w:val="1E6721CB"/>
    <w:rsid w:val="1E677798"/>
    <w:rsid w:val="1E6BC21E"/>
    <w:rsid w:val="1E6D91DA"/>
    <w:rsid w:val="1E6E6417"/>
    <w:rsid w:val="1E756845"/>
    <w:rsid w:val="1E80BFFB"/>
    <w:rsid w:val="1E8DEF3D"/>
    <w:rsid w:val="1E911750"/>
    <w:rsid w:val="1E991E0F"/>
    <w:rsid w:val="1EAED334"/>
    <w:rsid w:val="1EB50C58"/>
    <w:rsid w:val="1EB52431"/>
    <w:rsid w:val="1EC7A64F"/>
    <w:rsid w:val="1EDF10A2"/>
    <w:rsid w:val="1EE8AA71"/>
    <w:rsid w:val="1EFF4F22"/>
    <w:rsid w:val="1F06DE07"/>
    <w:rsid w:val="1F17F739"/>
    <w:rsid w:val="1F2F5F39"/>
    <w:rsid w:val="1F2F806C"/>
    <w:rsid w:val="1F3ED30E"/>
    <w:rsid w:val="1F53BC12"/>
    <w:rsid w:val="1F6CE9DE"/>
    <w:rsid w:val="1F74FEC7"/>
    <w:rsid w:val="1F771DA1"/>
    <w:rsid w:val="1F772DDA"/>
    <w:rsid w:val="1F7AC3B5"/>
    <w:rsid w:val="1F8D04C2"/>
    <w:rsid w:val="1F94B86F"/>
    <w:rsid w:val="1F951F3C"/>
    <w:rsid w:val="1F975140"/>
    <w:rsid w:val="1FA0E2C0"/>
    <w:rsid w:val="1FB7162D"/>
    <w:rsid w:val="1FBBF32D"/>
    <w:rsid w:val="1FC98191"/>
    <w:rsid w:val="1FCFA7F3"/>
    <w:rsid w:val="1FCFCD8C"/>
    <w:rsid w:val="1FD19F98"/>
    <w:rsid w:val="20014519"/>
    <w:rsid w:val="2002FBBB"/>
    <w:rsid w:val="20119D0F"/>
    <w:rsid w:val="2013414A"/>
    <w:rsid w:val="202BDB2F"/>
    <w:rsid w:val="202CDD19"/>
    <w:rsid w:val="203329A5"/>
    <w:rsid w:val="20384CCF"/>
    <w:rsid w:val="203ECDA0"/>
    <w:rsid w:val="2040A66B"/>
    <w:rsid w:val="2046BFF3"/>
    <w:rsid w:val="2048D75F"/>
    <w:rsid w:val="2062E637"/>
    <w:rsid w:val="20659BF7"/>
    <w:rsid w:val="206CF0EF"/>
    <w:rsid w:val="207BDCB6"/>
    <w:rsid w:val="207D9872"/>
    <w:rsid w:val="207E4003"/>
    <w:rsid w:val="20928423"/>
    <w:rsid w:val="209B04DF"/>
    <w:rsid w:val="209B1F83"/>
    <w:rsid w:val="209BE5ED"/>
    <w:rsid w:val="209C2504"/>
    <w:rsid w:val="20A64531"/>
    <w:rsid w:val="20B0EE7B"/>
    <w:rsid w:val="20C9C18E"/>
    <w:rsid w:val="20D978CE"/>
    <w:rsid w:val="20F18213"/>
    <w:rsid w:val="20F1BEED"/>
    <w:rsid w:val="21076640"/>
    <w:rsid w:val="210D7D57"/>
    <w:rsid w:val="21305675"/>
    <w:rsid w:val="213A04D7"/>
    <w:rsid w:val="214321A4"/>
    <w:rsid w:val="2148A186"/>
    <w:rsid w:val="214C7CCF"/>
    <w:rsid w:val="215CC700"/>
    <w:rsid w:val="216A97E9"/>
    <w:rsid w:val="217953D5"/>
    <w:rsid w:val="217B3DBC"/>
    <w:rsid w:val="217E118A"/>
    <w:rsid w:val="21804E87"/>
    <w:rsid w:val="2186C2C1"/>
    <w:rsid w:val="21A3DDB2"/>
    <w:rsid w:val="21B1675F"/>
    <w:rsid w:val="21C1981D"/>
    <w:rsid w:val="21CAC3F0"/>
    <w:rsid w:val="21CEFF08"/>
    <w:rsid w:val="21D97BDD"/>
    <w:rsid w:val="21E4E86C"/>
    <w:rsid w:val="21E4EACD"/>
    <w:rsid w:val="21EB22C5"/>
    <w:rsid w:val="21F08B90"/>
    <w:rsid w:val="21F25581"/>
    <w:rsid w:val="21F7C855"/>
    <w:rsid w:val="21F8212D"/>
    <w:rsid w:val="21F9E667"/>
    <w:rsid w:val="21FE6322"/>
    <w:rsid w:val="21FF0301"/>
    <w:rsid w:val="2201E9CB"/>
    <w:rsid w:val="2208A8CE"/>
    <w:rsid w:val="220B795A"/>
    <w:rsid w:val="22215C11"/>
    <w:rsid w:val="2222ACA8"/>
    <w:rsid w:val="22564565"/>
    <w:rsid w:val="225A6DDE"/>
    <w:rsid w:val="22649922"/>
    <w:rsid w:val="2265B33D"/>
    <w:rsid w:val="22704E74"/>
    <w:rsid w:val="227527AE"/>
    <w:rsid w:val="22848D95"/>
    <w:rsid w:val="2287B03C"/>
    <w:rsid w:val="2289EF2F"/>
    <w:rsid w:val="228CF294"/>
    <w:rsid w:val="2290A59C"/>
    <w:rsid w:val="22A2BEE9"/>
    <w:rsid w:val="22A8B311"/>
    <w:rsid w:val="22AC5586"/>
    <w:rsid w:val="22B97B15"/>
    <w:rsid w:val="22C25AA3"/>
    <w:rsid w:val="22C2B942"/>
    <w:rsid w:val="22C3707D"/>
    <w:rsid w:val="22C3BD86"/>
    <w:rsid w:val="22CC0A1C"/>
    <w:rsid w:val="22D89F09"/>
    <w:rsid w:val="22E0FC36"/>
    <w:rsid w:val="22F37E1D"/>
    <w:rsid w:val="22FC79C6"/>
    <w:rsid w:val="230DC2CE"/>
    <w:rsid w:val="2314D57C"/>
    <w:rsid w:val="2315C5F4"/>
    <w:rsid w:val="2330BADE"/>
    <w:rsid w:val="23332512"/>
    <w:rsid w:val="233ACB48"/>
    <w:rsid w:val="233E5151"/>
    <w:rsid w:val="234D37C0"/>
    <w:rsid w:val="234E2F3C"/>
    <w:rsid w:val="2356D49B"/>
    <w:rsid w:val="23588B9C"/>
    <w:rsid w:val="23691733"/>
    <w:rsid w:val="236B3947"/>
    <w:rsid w:val="2374557E"/>
    <w:rsid w:val="2380C574"/>
    <w:rsid w:val="23834228"/>
    <w:rsid w:val="23845367"/>
    <w:rsid w:val="2386B800"/>
    <w:rsid w:val="23958F1D"/>
    <w:rsid w:val="23A7AD3A"/>
    <w:rsid w:val="23B1DA1D"/>
    <w:rsid w:val="23C34C6D"/>
    <w:rsid w:val="23C9982B"/>
    <w:rsid w:val="23D2C045"/>
    <w:rsid w:val="23D386AF"/>
    <w:rsid w:val="23E7E249"/>
    <w:rsid w:val="23F84447"/>
    <w:rsid w:val="23FA6F0C"/>
    <w:rsid w:val="24118F11"/>
    <w:rsid w:val="241C3F28"/>
    <w:rsid w:val="24333129"/>
    <w:rsid w:val="243545B8"/>
    <w:rsid w:val="24411753"/>
    <w:rsid w:val="24416F7A"/>
    <w:rsid w:val="244C1BBE"/>
    <w:rsid w:val="2456AD37"/>
    <w:rsid w:val="247838B5"/>
    <w:rsid w:val="247A866F"/>
    <w:rsid w:val="24856262"/>
    <w:rsid w:val="2488F0A1"/>
    <w:rsid w:val="2490BE3D"/>
    <w:rsid w:val="2495610D"/>
    <w:rsid w:val="249CDEBA"/>
    <w:rsid w:val="24A06E5A"/>
    <w:rsid w:val="24A3B57D"/>
    <w:rsid w:val="24BF66FC"/>
    <w:rsid w:val="24C94656"/>
    <w:rsid w:val="24E76FE7"/>
    <w:rsid w:val="24E9FFE3"/>
    <w:rsid w:val="250884CF"/>
    <w:rsid w:val="250BF425"/>
    <w:rsid w:val="25138C10"/>
    <w:rsid w:val="251614CA"/>
    <w:rsid w:val="251D25BC"/>
    <w:rsid w:val="2522209E"/>
    <w:rsid w:val="252BF74D"/>
    <w:rsid w:val="2537AEF5"/>
    <w:rsid w:val="2547866D"/>
    <w:rsid w:val="25555CA5"/>
    <w:rsid w:val="255832AE"/>
    <w:rsid w:val="2563F466"/>
    <w:rsid w:val="2573A22C"/>
    <w:rsid w:val="2578A734"/>
    <w:rsid w:val="2578F33E"/>
    <w:rsid w:val="257ABEE3"/>
    <w:rsid w:val="2580B99A"/>
    <w:rsid w:val="2590803E"/>
    <w:rsid w:val="25AA49E4"/>
    <w:rsid w:val="25AD5F75"/>
    <w:rsid w:val="25AED96A"/>
    <w:rsid w:val="25BF815B"/>
    <w:rsid w:val="25CE2BB6"/>
    <w:rsid w:val="25D7402D"/>
    <w:rsid w:val="25DDDA19"/>
    <w:rsid w:val="25F52EB0"/>
    <w:rsid w:val="25FBB5A0"/>
    <w:rsid w:val="25FEE45B"/>
    <w:rsid w:val="260AF658"/>
    <w:rsid w:val="26174C62"/>
    <w:rsid w:val="26174DB9"/>
    <w:rsid w:val="2618641B"/>
    <w:rsid w:val="26413DB6"/>
    <w:rsid w:val="2661A993"/>
    <w:rsid w:val="2674F637"/>
    <w:rsid w:val="2684D882"/>
    <w:rsid w:val="268A8047"/>
    <w:rsid w:val="268CB4C6"/>
    <w:rsid w:val="268CEE59"/>
    <w:rsid w:val="269DC23F"/>
    <w:rsid w:val="269FAD10"/>
    <w:rsid w:val="26A068B7"/>
    <w:rsid w:val="26A1F4F2"/>
    <w:rsid w:val="26A73DE9"/>
    <w:rsid w:val="26AE7EBF"/>
    <w:rsid w:val="26BAC5B6"/>
    <w:rsid w:val="26CB0BAD"/>
    <w:rsid w:val="26D7B2A7"/>
    <w:rsid w:val="26E8A808"/>
    <w:rsid w:val="26EEF6E9"/>
    <w:rsid w:val="26F41D1F"/>
    <w:rsid w:val="26FA177E"/>
    <w:rsid w:val="26FAC029"/>
    <w:rsid w:val="26FAE354"/>
    <w:rsid w:val="270464D7"/>
    <w:rsid w:val="271873E5"/>
    <w:rsid w:val="271C18B2"/>
    <w:rsid w:val="271E72D3"/>
    <w:rsid w:val="27226361"/>
    <w:rsid w:val="273A1471"/>
    <w:rsid w:val="2740B902"/>
    <w:rsid w:val="2741027F"/>
    <w:rsid w:val="274D9906"/>
    <w:rsid w:val="27502144"/>
    <w:rsid w:val="27549893"/>
    <w:rsid w:val="2754A54D"/>
    <w:rsid w:val="2773836F"/>
    <w:rsid w:val="277B3EB5"/>
    <w:rsid w:val="278B3970"/>
    <w:rsid w:val="2791C85C"/>
    <w:rsid w:val="27A09E2E"/>
    <w:rsid w:val="27A1DF8E"/>
    <w:rsid w:val="27AF62E1"/>
    <w:rsid w:val="27D0F0C3"/>
    <w:rsid w:val="27D88398"/>
    <w:rsid w:val="27DD78C6"/>
    <w:rsid w:val="27DFC048"/>
    <w:rsid w:val="27E254B0"/>
    <w:rsid w:val="27E2BDCD"/>
    <w:rsid w:val="27E3F839"/>
    <w:rsid w:val="27E76415"/>
    <w:rsid w:val="27EA2CFE"/>
    <w:rsid w:val="27F0BE15"/>
    <w:rsid w:val="27F5FBB5"/>
    <w:rsid w:val="2817CF7C"/>
    <w:rsid w:val="282CA429"/>
    <w:rsid w:val="283369A8"/>
    <w:rsid w:val="284ADBA4"/>
    <w:rsid w:val="284DF02D"/>
    <w:rsid w:val="285B398D"/>
    <w:rsid w:val="28788FCF"/>
    <w:rsid w:val="28848E6A"/>
    <w:rsid w:val="28861590"/>
    <w:rsid w:val="28877AF7"/>
    <w:rsid w:val="28A25E99"/>
    <w:rsid w:val="28A73996"/>
    <w:rsid w:val="28C03B40"/>
    <w:rsid w:val="28C48BD6"/>
    <w:rsid w:val="28D1A059"/>
    <w:rsid w:val="28DC0BF0"/>
    <w:rsid w:val="28DC6342"/>
    <w:rsid w:val="28E15F7F"/>
    <w:rsid w:val="28E9248B"/>
    <w:rsid w:val="290A10C5"/>
    <w:rsid w:val="2922DBEC"/>
    <w:rsid w:val="292C0D7E"/>
    <w:rsid w:val="29309A81"/>
    <w:rsid w:val="293427EF"/>
    <w:rsid w:val="294EABB8"/>
    <w:rsid w:val="295B9A2B"/>
    <w:rsid w:val="296C3E85"/>
    <w:rsid w:val="29709771"/>
    <w:rsid w:val="2970B119"/>
    <w:rsid w:val="2976DEA9"/>
    <w:rsid w:val="297780C3"/>
    <w:rsid w:val="29799D1D"/>
    <w:rsid w:val="298E55C4"/>
    <w:rsid w:val="299C44A1"/>
    <w:rsid w:val="299CC698"/>
    <w:rsid w:val="29A96F71"/>
    <w:rsid w:val="29ADE66C"/>
    <w:rsid w:val="29BE8D64"/>
    <w:rsid w:val="29BFCAC6"/>
    <w:rsid w:val="29CB6862"/>
    <w:rsid w:val="29D1B330"/>
    <w:rsid w:val="29D5A1A1"/>
    <w:rsid w:val="29E1F7D4"/>
    <w:rsid w:val="29F43C15"/>
    <w:rsid w:val="2A04BA42"/>
    <w:rsid w:val="2A0CFBB0"/>
    <w:rsid w:val="2A15321E"/>
    <w:rsid w:val="2A1F2D7A"/>
    <w:rsid w:val="2A2848F5"/>
    <w:rsid w:val="2A449BD4"/>
    <w:rsid w:val="2A46AC82"/>
    <w:rsid w:val="2A4CC380"/>
    <w:rsid w:val="2A5395FA"/>
    <w:rsid w:val="2A5448C5"/>
    <w:rsid w:val="2A7859C4"/>
    <w:rsid w:val="2A894389"/>
    <w:rsid w:val="2A8D58CB"/>
    <w:rsid w:val="2A994147"/>
    <w:rsid w:val="2A9B4AB1"/>
    <w:rsid w:val="2AA5E126"/>
    <w:rsid w:val="2AA6AE30"/>
    <w:rsid w:val="2AA6CD93"/>
    <w:rsid w:val="2AA75B84"/>
    <w:rsid w:val="2AAB72CE"/>
    <w:rsid w:val="2AAD0FEF"/>
    <w:rsid w:val="2AB00413"/>
    <w:rsid w:val="2AB0B7D5"/>
    <w:rsid w:val="2ABD4EFE"/>
    <w:rsid w:val="2AC4EFDB"/>
    <w:rsid w:val="2AC643F5"/>
    <w:rsid w:val="2AD5A751"/>
    <w:rsid w:val="2AD722BB"/>
    <w:rsid w:val="2AEE5867"/>
    <w:rsid w:val="2AF34593"/>
    <w:rsid w:val="2B07CBB5"/>
    <w:rsid w:val="2B07FB16"/>
    <w:rsid w:val="2B0D00BE"/>
    <w:rsid w:val="2B0E70B9"/>
    <w:rsid w:val="2B2AEF73"/>
    <w:rsid w:val="2B32685F"/>
    <w:rsid w:val="2B548DB9"/>
    <w:rsid w:val="2B5A9D68"/>
    <w:rsid w:val="2B60803E"/>
    <w:rsid w:val="2B6264A9"/>
    <w:rsid w:val="2B660767"/>
    <w:rsid w:val="2B6820DA"/>
    <w:rsid w:val="2B7724DD"/>
    <w:rsid w:val="2B8554FC"/>
    <w:rsid w:val="2B85DB8F"/>
    <w:rsid w:val="2B8B373C"/>
    <w:rsid w:val="2B8FD2AF"/>
    <w:rsid w:val="2BA4D21B"/>
    <w:rsid w:val="2BA972FE"/>
    <w:rsid w:val="2BCE3FC6"/>
    <w:rsid w:val="2BDC7A91"/>
    <w:rsid w:val="2BE3E1E0"/>
    <w:rsid w:val="2BE8A76E"/>
    <w:rsid w:val="2BF47B6F"/>
    <w:rsid w:val="2BF83DD9"/>
    <w:rsid w:val="2BFC4B15"/>
    <w:rsid w:val="2C109B34"/>
    <w:rsid w:val="2C1AC1D0"/>
    <w:rsid w:val="2C239267"/>
    <w:rsid w:val="2C522960"/>
    <w:rsid w:val="2C5C1BE9"/>
    <w:rsid w:val="2C75429B"/>
    <w:rsid w:val="2C88732F"/>
    <w:rsid w:val="2C8A8BEA"/>
    <w:rsid w:val="2C91217F"/>
    <w:rsid w:val="2C920204"/>
    <w:rsid w:val="2C98B46B"/>
    <w:rsid w:val="2CA78AEC"/>
    <w:rsid w:val="2CADDC8D"/>
    <w:rsid w:val="2CAFFDC3"/>
    <w:rsid w:val="2CCF7647"/>
    <w:rsid w:val="2CEF0291"/>
    <w:rsid w:val="2CF96F64"/>
    <w:rsid w:val="2D030924"/>
    <w:rsid w:val="2D1B1150"/>
    <w:rsid w:val="2D29987D"/>
    <w:rsid w:val="2D2EF3AA"/>
    <w:rsid w:val="2D2FCB82"/>
    <w:rsid w:val="2D324E02"/>
    <w:rsid w:val="2D3379C8"/>
    <w:rsid w:val="2D37B4BC"/>
    <w:rsid w:val="2D66B2C5"/>
    <w:rsid w:val="2D67719B"/>
    <w:rsid w:val="2D689E7F"/>
    <w:rsid w:val="2D72433A"/>
    <w:rsid w:val="2D740335"/>
    <w:rsid w:val="2D862CC8"/>
    <w:rsid w:val="2D912C04"/>
    <w:rsid w:val="2D93F78E"/>
    <w:rsid w:val="2DA03A7A"/>
    <w:rsid w:val="2DA3F6B9"/>
    <w:rsid w:val="2DBA592B"/>
    <w:rsid w:val="2DC2464C"/>
    <w:rsid w:val="2DC2C079"/>
    <w:rsid w:val="2DE15392"/>
    <w:rsid w:val="2DE26EE2"/>
    <w:rsid w:val="2DEA5591"/>
    <w:rsid w:val="2DF7BB0D"/>
    <w:rsid w:val="2DFB8207"/>
    <w:rsid w:val="2E0471D2"/>
    <w:rsid w:val="2E0D4A2F"/>
    <w:rsid w:val="2E0D4B78"/>
    <w:rsid w:val="2E10B3B4"/>
    <w:rsid w:val="2E1BD3D9"/>
    <w:rsid w:val="2E2A1320"/>
    <w:rsid w:val="2E30F9F5"/>
    <w:rsid w:val="2E4C76C8"/>
    <w:rsid w:val="2E4ED3AD"/>
    <w:rsid w:val="2E62A155"/>
    <w:rsid w:val="2E679CEB"/>
    <w:rsid w:val="2E7B0B88"/>
    <w:rsid w:val="2E80AB38"/>
    <w:rsid w:val="2E87B17C"/>
    <w:rsid w:val="2E8AFE06"/>
    <w:rsid w:val="2E8FCFDF"/>
    <w:rsid w:val="2E8FEA67"/>
    <w:rsid w:val="2E917D9A"/>
    <w:rsid w:val="2EA6B50C"/>
    <w:rsid w:val="2EAED7AA"/>
    <w:rsid w:val="2EBD5E4F"/>
    <w:rsid w:val="2EC56FA5"/>
    <w:rsid w:val="2EC6F612"/>
    <w:rsid w:val="2EC81FCA"/>
    <w:rsid w:val="2ED53A6A"/>
    <w:rsid w:val="2EDF2E1F"/>
    <w:rsid w:val="2F0BC6FA"/>
    <w:rsid w:val="2F1881A1"/>
    <w:rsid w:val="2F1F4C11"/>
    <w:rsid w:val="2F26C6FB"/>
    <w:rsid w:val="2F2FC306"/>
    <w:rsid w:val="2F30DD8A"/>
    <w:rsid w:val="2F326AEA"/>
    <w:rsid w:val="2F3A2B59"/>
    <w:rsid w:val="2F535893"/>
    <w:rsid w:val="2F53C712"/>
    <w:rsid w:val="2F55EE81"/>
    <w:rsid w:val="2F56F9F7"/>
    <w:rsid w:val="2F5B3329"/>
    <w:rsid w:val="2F6574AD"/>
    <w:rsid w:val="2F6A021E"/>
    <w:rsid w:val="2F6BF4ED"/>
    <w:rsid w:val="2F720E6C"/>
    <w:rsid w:val="2F785829"/>
    <w:rsid w:val="2F85A5AF"/>
    <w:rsid w:val="2F882AEE"/>
    <w:rsid w:val="2F8F98AE"/>
    <w:rsid w:val="2F98141E"/>
    <w:rsid w:val="2FBE17D2"/>
    <w:rsid w:val="2FC101DD"/>
    <w:rsid w:val="2FC3E728"/>
    <w:rsid w:val="2FCA1198"/>
    <w:rsid w:val="2FD39054"/>
    <w:rsid w:val="300154C1"/>
    <w:rsid w:val="300200DA"/>
    <w:rsid w:val="3005932A"/>
    <w:rsid w:val="30078164"/>
    <w:rsid w:val="30269D5E"/>
    <w:rsid w:val="30377E27"/>
    <w:rsid w:val="305D1151"/>
    <w:rsid w:val="305D6FFE"/>
    <w:rsid w:val="30691C9A"/>
    <w:rsid w:val="306F01FC"/>
    <w:rsid w:val="306F6834"/>
    <w:rsid w:val="307CEF63"/>
    <w:rsid w:val="307F9E97"/>
    <w:rsid w:val="308110AF"/>
    <w:rsid w:val="30869841"/>
    <w:rsid w:val="30893746"/>
    <w:rsid w:val="3096C12B"/>
    <w:rsid w:val="3096F995"/>
    <w:rsid w:val="30B1301C"/>
    <w:rsid w:val="30B9F73D"/>
    <w:rsid w:val="30D960CE"/>
    <w:rsid w:val="30E9F995"/>
    <w:rsid w:val="30F32517"/>
    <w:rsid w:val="30F82895"/>
    <w:rsid w:val="30FD42D5"/>
    <w:rsid w:val="310B23AD"/>
    <w:rsid w:val="3112688F"/>
    <w:rsid w:val="3112918E"/>
    <w:rsid w:val="311CFB32"/>
    <w:rsid w:val="311E011B"/>
    <w:rsid w:val="311E9635"/>
    <w:rsid w:val="311F0257"/>
    <w:rsid w:val="31264A0B"/>
    <w:rsid w:val="312ADBB7"/>
    <w:rsid w:val="31531B9B"/>
    <w:rsid w:val="3156D7CA"/>
    <w:rsid w:val="3173B9A1"/>
    <w:rsid w:val="317530F9"/>
    <w:rsid w:val="317A8408"/>
    <w:rsid w:val="317C98C1"/>
    <w:rsid w:val="317F0E30"/>
    <w:rsid w:val="31858DAF"/>
    <w:rsid w:val="31A94EA8"/>
    <w:rsid w:val="31B2CC74"/>
    <w:rsid w:val="31BB0D75"/>
    <w:rsid w:val="31C26DBF"/>
    <w:rsid w:val="31CC5340"/>
    <w:rsid w:val="31CDDF7A"/>
    <w:rsid w:val="31DA0242"/>
    <w:rsid w:val="31E17F32"/>
    <w:rsid w:val="31EBA4E1"/>
    <w:rsid w:val="31FB1520"/>
    <w:rsid w:val="320335F1"/>
    <w:rsid w:val="3204C743"/>
    <w:rsid w:val="32180D95"/>
    <w:rsid w:val="3234F0D2"/>
    <w:rsid w:val="3252160D"/>
    <w:rsid w:val="3255C79E"/>
    <w:rsid w:val="325A902F"/>
    <w:rsid w:val="327385C1"/>
    <w:rsid w:val="327F6D8E"/>
    <w:rsid w:val="3280D05D"/>
    <w:rsid w:val="328947C6"/>
    <w:rsid w:val="329ED4B2"/>
    <w:rsid w:val="32A85ADF"/>
    <w:rsid w:val="32A9CB8C"/>
    <w:rsid w:val="32AAAEC1"/>
    <w:rsid w:val="32B172AC"/>
    <w:rsid w:val="32B3C0EC"/>
    <w:rsid w:val="32BEC46C"/>
    <w:rsid w:val="32C0A3C3"/>
    <w:rsid w:val="32D38CC3"/>
    <w:rsid w:val="32E16D54"/>
    <w:rsid w:val="32F77CF5"/>
    <w:rsid w:val="3304E089"/>
    <w:rsid w:val="33289FCB"/>
    <w:rsid w:val="332EA5B1"/>
    <w:rsid w:val="332F67FE"/>
    <w:rsid w:val="3337D495"/>
    <w:rsid w:val="3344DC18"/>
    <w:rsid w:val="33472645"/>
    <w:rsid w:val="33486586"/>
    <w:rsid w:val="33530F99"/>
    <w:rsid w:val="335BAAFD"/>
    <w:rsid w:val="33634F5D"/>
    <w:rsid w:val="337344C5"/>
    <w:rsid w:val="3375F532"/>
    <w:rsid w:val="3386659F"/>
    <w:rsid w:val="3396F3CE"/>
    <w:rsid w:val="33987DF0"/>
    <w:rsid w:val="339F3C86"/>
    <w:rsid w:val="33A6EB65"/>
    <w:rsid w:val="33AC1489"/>
    <w:rsid w:val="33B8B8F7"/>
    <w:rsid w:val="33BC1F53"/>
    <w:rsid w:val="33BD1F4D"/>
    <w:rsid w:val="33C2207D"/>
    <w:rsid w:val="33CF2AE1"/>
    <w:rsid w:val="33D0C133"/>
    <w:rsid w:val="33D78218"/>
    <w:rsid w:val="33F197FF"/>
    <w:rsid w:val="33FE4279"/>
    <w:rsid w:val="340B2468"/>
    <w:rsid w:val="3415511A"/>
    <w:rsid w:val="341C0946"/>
    <w:rsid w:val="341D5866"/>
    <w:rsid w:val="341EC33D"/>
    <w:rsid w:val="341F3C0A"/>
    <w:rsid w:val="3424F2EB"/>
    <w:rsid w:val="3435E8ED"/>
    <w:rsid w:val="343C7457"/>
    <w:rsid w:val="3444B26D"/>
    <w:rsid w:val="3448408B"/>
    <w:rsid w:val="344A08B2"/>
    <w:rsid w:val="347240D8"/>
    <w:rsid w:val="347AA3D4"/>
    <w:rsid w:val="34837C4D"/>
    <w:rsid w:val="34931E1E"/>
    <w:rsid w:val="349F25B4"/>
    <w:rsid w:val="34C174BE"/>
    <w:rsid w:val="34C4137C"/>
    <w:rsid w:val="34E331D6"/>
    <w:rsid w:val="34F52DE6"/>
    <w:rsid w:val="34F55F30"/>
    <w:rsid w:val="35029974"/>
    <w:rsid w:val="3505803C"/>
    <w:rsid w:val="350D4353"/>
    <w:rsid w:val="35163768"/>
    <w:rsid w:val="351D78F9"/>
    <w:rsid w:val="35204665"/>
    <w:rsid w:val="352252D3"/>
    <w:rsid w:val="35237603"/>
    <w:rsid w:val="35279844"/>
    <w:rsid w:val="3528A320"/>
    <w:rsid w:val="3544A803"/>
    <w:rsid w:val="354B4B9F"/>
    <w:rsid w:val="3569414E"/>
    <w:rsid w:val="358F4183"/>
    <w:rsid w:val="3594BA17"/>
    <w:rsid w:val="359C4F3C"/>
    <w:rsid w:val="35A5BCB9"/>
    <w:rsid w:val="35AFF41C"/>
    <w:rsid w:val="35C44C83"/>
    <w:rsid w:val="35C945BA"/>
    <w:rsid w:val="35CA92E5"/>
    <w:rsid w:val="35D1B01C"/>
    <w:rsid w:val="35D89013"/>
    <w:rsid w:val="35DB0C68"/>
    <w:rsid w:val="35EB6A64"/>
    <w:rsid w:val="35EF56D8"/>
    <w:rsid w:val="35F73F5E"/>
    <w:rsid w:val="35F75886"/>
    <w:rsid w:val="35FF4511"/>
    <w:rsid w:val="3608D1D5"/>
    <w:rsid w:val="361113F6"/>
    <w:rsid w:val="36207296"/>
    <w:rsid w:val="3623E688"/>
    <w:rsid w:val="362A48ED"/>
    <w:rsid w:val="3643935C"/>
    <w:rsid w:val="3647B990"/>
    <w:rsid w:val="36494E05"/>
    <w:rsid w:val="3659BAF9"/>
    <w:rsid w:val="36748CED"/>
    <w:rsid w:val="36755824"/>
    <w:rsid w:val="3684FC30"/>
    <w:rsid w:val="3688C715"/>
    <w:rsid w:val="368FAD88"/>
    <w:rsid w:val="36A7B2B6"/>
    <w:rsid w:val="36C15409"/>
    <w:rsid w:val="36CC4CDB"/>
    <w:rsid w:val="36D07AC3"/>
    <w:rsid w:val="36E1F86B"/>
    <w:rsid w:val="36E20032"/>
    <w:rsid w:val="36E851BF"/>
    <w:rsid w:val="36F3D152"/>
    <w:rsid w:val="370D9127"/>
    <w:rsid w:val="370F00EE"/>
    <w:rsid w:val="37237AC3"/>
    <w:rsid w:val="372D29AD"/>
    <w:rsid w:val="3734D1A1"/>
    <w:rsid w:val="3747D793"/>
    <w:rsid w:val="374A4540"/>
    <w:rsid w:val="374B9C1E"/>
    <w:rsid w:val="3755FE95"/>
    <w:rsid w:val="375D2B25"/>
    <w:rsid w:val="376A7AEF"/>
    <w:rsid w:val="376FCBDA"/>
    <w:rsid w:val="379FC945"/>
    <w:rsid w:val="37B9F0B4"/>
    <w:rsid w:val="37C6BB0D"/>
    <w:rsid w:val="37C6C033"/>
    <w:rsid w:val="37CEE5C2"/>
    <w:rsid w:val="37D8E83F"/>
    <w:rsid w:val="37E343DD"/>
    <w:rsid w:val="37EE2EAB"/>
    <w:rsid w:val="381E9D61"/>
    <w:rsid w:val="382BF3BC"/>
    <w:rsid w:val="382CDEAF"/>
    <w:rsid w:val="3839CBDF"/>
    <w:rsid w:val="38429831"/>
    <w:rsid w:val="3845BBCB"/>
    <w:rsid w:val="3846E6F5"/>
    <w:rsid w:val="384B173B"/>
    <w:rsid w:val="3856F23C"/>
    <w:rsid w:val="3858CD6D"/>
    <w:rsid w:val="385986CE"/>
    <w:rsid w:val="385A5204"/>
    <w:rsid w:val="38630F95"/>
    <w:rsid w:val="386E2E60"/>
    <w:rsid w:val="387205A3"/>
    <w:rsid w:val="38783C54"/>
    <w:rsid w:val="38801322"/>
    <w:rsid w:val="388B1C76"/>
    <w:rsid w:val="3890E3F0"/>
    <w:rsid w:val="38920800"/>
    <w:rsid w:val="3896F503"/>
    <w:rsid w:val="389A1D92"/>
    <w:rsid w:val="38A68F33"/>
    <w:rsid w:val="38A89B45"/>
    <w:rsid w:val="38BB8A6A"/>
    <w:rsid w:val="38C96BBD"/>
    <w:rsid w:val="38CEC427"/>
    <w:rsid w:val="38E25216"/>
    <w:rsid w:val="38F95E11"/>
    <w:rsid w:val="39051D6C"/>
    <w:rsid w:val="39075DAB"/>
    <w:rsid w:val="391F7F7E"/>
    <w:rsid w:val="392188BE"/>
    <w:rsid w:val="392281CB"/>
    <w:rsid w:val="393AF0AE"/>
    <w:rsid w:val="393C8A8A"/>
    <w:rsid w:val="39432757"/>
    <w:rsid w:val="394DA8F0"/>
    <w:rsid w:val="39503CD5"/>
    <w:rsid w:val="395104C7"/>
    <w:rsid w:val="3955504F"/>
    <w:rsid w:val="3956F8A7"/>
    <w:rsid w:val="3957261D"/>
    <w:rsid w:val="39650467"/>
    <w:rsid w:val="397138B1"/>
    <w:rsid w:val="399E77F2"/>
    <w:rsid w:val="39A55C74"/>
    <w:rsid w:val="39A849B1"/>
    <w:rsid w:val="39B2602D"/>
    <w:rsid w:val="39BE83D6"/>
    <w:rsid w:val="39CAFFE4"/>
    <w:rsid w:val="39CF8CD7"/>
    <w:rsid w:val="39D28D1E"/>
    <w:rsid w:val="39DB82A7"/>
    <w:rsid w:val="39DDD015"/>
    <w:rsid w:val="39E45730"/>
    <w:rsid w:val="39F0CEC5"/>
    <w:rsid w:val="39F9A124"/>
    <w:rsid w:val="3A08321D"/>
    <w:rsid w:val="3A0AEEAA"/>
    <w:rsid w:val="3A10BB3C"/>
    <w:rsid w:val="3A15DCBF"/>
    <w:rsid w:val="3A16B0E1"/>
    <w:rsid w:val="3A20F46B"/>
    <w:rsid w:val="3A225699"/>
    <w:rsid w:val="3A2E2005"/>
    <w:rsid w:val="3A310BB1"/>
    <w:rsid w:val="3A33354E"/>
    <w:rsid w:val="3A345A51"/>
    <w:rsid w:val="3A36D3F5"/>
    <w:rsid w:val="3A38CA67"/>
    <w:rsid w:val="3A4710EE"/>
    <w:rsid w:val="3A49ED81"/>
    <w:rsid w:val="3A7626A9"/>
    <w:rsid w:val="3A7688BD"/>
    <w:rsid w:val="3A79260F"/>
    <w:rsid w:val="3A8AE80F"/>
    <w:rsid w:val="3A8C3B05"/>
    <w:rsid w:val="3A8DC34E"/>
    <w:rsid w:val="3A8F1DDC"/>
    <w:rsid w:val="3A90E0EB"/>
    <w:rsid w:val="3A990AB3"/>
    <w:rsid w:val="3A9A0C76"/>
    <w:rsid w:val="3A9B0D51"/>
    <w:rsid w:val="3A9C6606"/>
    <w:rsid w:val="3AA58BEC"/>
    <w:rsid w:val="3AA7C520"/>
    <w:rsid w:val="3AC7C7AF"/>
    <w:rsid w:val="3AD2231B"/>
    <w:rsid w:val="3ADE1BB4"/>
    <w:rsid w:val="3AED0C86"/>
    <w:rsid w:val="3B10D713"/>
    <w:rsid w:val="3B17CF5B"/>
    <w:rsid w:val="3B1B1617"/>
    <w:rsid w:val="3B26EFBC"/>
    <w:rsid w:val="3B2CE9A1"/>
    <w:rsid w:val="3B3C5F6F"/>
    <w:rsid w:val="3B46E3B3"/>
    <w:rsid w:val="3B5A13B9"/>
    <w:rsid w:val="3B60DA20"/>
    <w:rsid w:val="3B6739EB"/>
    <w:rsid w:val="3B765F3F"/>
    <w:rsid w:val="3B77540F"/>
    <w:rsid w:val="3B7CFFF0"/>
    <w:rsid w:val="3B88C0B0"/>
    <w:rsid w:val="3B8BE540"/>
    <w:rsid w:val="3B8F884C"/>
    <w:rsid w:val="3B92577B"/>
    <w:rsid w:val="3B9948D4"/>
    <w:rsid w:val="3B9DFD05"/>
    <w:rsid w:val="3BA456F4"/>
    <w:rsid w:val="3BB8E2C2"/>
    <w:rsid w:val="3BB9F5AB"/>
    <w:rsid w:val="3BDBD318"/>
    <w:rsid w:val="3BE204A1"/>
    <w:rsid w:val="3BF9E0B7"/>
    <w:rsid w:val="3BFD4239"/>
    <w:rsid w:val="3C00C009"/>
    <w:rsid w:val="3C187182"/>
    <w:rsid w:val="3C1A2A8E"/>
    <w:rsid w:val="3C1FA92F"/>
    <w:rsid w:val="3C41EBA3"/>
    <w:rsid w:val="3C42F011"/>
    <w:rsid w:val="3C4E35F5"/>
    <w:rsid w:val="3C4F69EB"/>
    <w:rsid w:val="3C4FD8BF"/>
    <w:rsid w:val="3C5499E9"/>
    <w:rsid w:val="3C56E9FA"/>
    <w:rsid w:val="3C578947"/>
    <w:rsid w:val="3C5D6FC6"/>
    <w:rsid w:val="3C6103D0"/>
    <w:rsid w:val="3C6AA4F2"/>
    <w:rsid w:val="3C6CDD3F"/>
    <w:rsid w:val="3C91607D"/>
    <w:rsid w:val="3C94C0AE"/>
    <w:rsid w:val="3C9774D7"/>
    <w:rsid w:val="3C9DC483"/>
    <w:rsid w:val="3CA77542"/>
    <w:rsid w:val="3CBDAF0D"/>
    <w:rsid w:val="3CC57FCF"/>
    <w:rsid w:val="3CC8646B"/>
    <w:rsid w:val="3CE1608A"/>
    <w:rsid w:val="3CE83FEA"/>
    <w:rsid w:val="3CE972B0"/>
    <w:rsid w:val="3CEEBB48"/>
    <w:rsid w:val="3CF82B05"/>
    <w:rsid w:val="3D0DF490"/>
    <w:rsid w:val="3D0F3EF0"/>
    <w:rsid w:val="3D15006C"/>
    <w:rsid w:val="3D1CEDF2"/>
    <w:rsid w:val="3D1E29EC"/>
    <w:rsid w:val="3D2940EF"/>
    <w:rsid w:val="3D3A6FD2"/>
    <w:rsid w:val="3D3F9307"/>
    <w:rsid w:val="3D47A7E2"/>
    <w:rsid w:val="3D51E42C"/>
    <w:rsid w:val="3D6EAE89"/>
    <w:rsid w:val="3D8E98F7"/>
    <w:rsid w:val="3D92E09E"/>
    <w:rsid w:val="3D941574"/>
    <w:rsid w:val="3D965C42"/>
    <w:rsid w:val="3D9DB4CB"/>
    <w:rsid w:val="3DA06B46"/>
    <w:rsid w:val="3DACF5F3"/>
    <w:rsid w:val="3DC3B0B7"/>
    <w:rsid w:val="3DC453E2"/>
    <w:rsid w:val="3DCF1932"/>
    <w:rsid w:val="3DD8FEF6"/>
    <w:rsid w:val="3DDEE432"/>
    <w:rsid w:val="3DDF5265"/>
    <w:rsid w:val="3DE4D866"/>
    <w:rsid w:val="3DFADB7E"/>
    <w:rsid w:val="3DFDFEA4"/>
    <w:rsid w:val="3E026034"/>
    <w:rsid w:val="3E0394F6"/>
    <w:rsid w:val="3E0AD033"/>
    <w:rsid w:val="3E21CD48"/>
    <w:rsid w:val="3E321928"/>
    <w:rsid w:val="3E3F470E"/>
    <w:rsid w:val="3E429B02"/>
    <w:rsid w:val="3E461759"/>
    <w:rsid w:val="3E4CE473"/>
    <w:rsid w:val="3E523E0F"/>
    <w:rsid w:val="3E54B60F"/>
    <w:rsid w:val="3E5AD1D8"/>
    <w:rsid w:val="3E6452C2"/>
    <w:rsid w:val="3E7904D4"/>
    <w:rsid w:val="3E9315E4"/>
    <w:rsid w:val="3E93BF0E"/>
    <w:rsid w:val="3E957A34"/>
    <w:rsid w:val="3EA49CC5"/>
    <w:rsid w:val="3EA9097E"/>
    <w:rsid w:val="3EC9F93E"/>
    <w:rsid w:val="3ECA319F"/>
    <w:rsid w:val="3ECB69DE"/>
    <w:rsid w:val="3ECE8168"/>
    <w:rsid w:val="3ED0521E"/>
    <w:rsid w:val="3ED2352C"/>
    <w:rsid w:val="3ED81C97"/>
    <w:rsid w:val="3EEC14C9"/>
    <w:rsid w:val="3EFB84D8"/>
    <w:rsid w:val="3EFCC62D"/>
    <w:rsid w:val="3F03EFAF"/>
    <w:rsid w:val="3F11793B"/>
    <w:rsid w:val="3F254C1B"/>
    <w:rsid w:val="3F265B95"/>
    <w:rsid w:val="3F270C1E"/>
    <w:rsid w:val="3F2E3805"/>
    <w:rsid w:val="3F2F5B91"/>
    <w:rsid w:val="3F373AB8"/>
    <w:rsid w:val="3F535604"/>
    <w:rsid w:val="3F7092A7"/>
    <w:rsid w:val="3F8A1398"/>
    <w:rsid w:val="3F8F8FAB"/>
    <w:rsid w:val="3F9544F6"/>
    <w:rsid w:val="3F9BFA17"/>
    <w:rsid w:val="3FA43753"/>
    <w:rsid w:val="3FADE20C"/>
    <w:rsid w:val="3FB1407F"/>
    <w:rsid w:val="3FBE856B"/>
    <w:rsid w:val="3FC438A2"/>
    <w:rsid w:val="3FC54097"/>
    <w:rsid w:val="3FC8CC58"/>
    <w:rsid w:val="3FC8D155"/>
    <w:rsid w:val="3FC9013F"/>
    <w:rsid w:val="3FCCB39B"/>
    <w:rsid w:val="3FD4E70E"/>
    <w:rsid w:val="3FE35263"/>
    <w:rsid w:val="3FE82F07"/>
    <w:rsid w:val="3FEE0E70"/>
    <w:rsid w:val="3FF294FE"/>
    <w:rsid w:val="3FF8DB4D"/>
    <w:rsid w:val="3FF8F53B"/>
    <w:rsid w:val="3FFBFF89"/>
    <w:rsid w:val="4005A0D5"/>
    <w:rsid w:val="40080FE1"/>
    <w:rsid w:val="4009F139"/>
    <w:rsid w:val="400CB1C4"/>
    <w:rsid w:val="400E24D8"/>
    <w:rsid w:val="4017DAF2"/>
    <w:rsid w:val="401DA332"/>
    <w:rsid w:val="4030482A"/>
    <w:rsid w:val="4033DE73"/>
    <w:rsid w:val="4040E687"/>
    <w:rsid w:val="404505EA"/>
    <w:rsid w:val="4049CC18"/>
    <w:rsid w:val="4050CF01"/>
    <w:rsid w:val="4068ABCC"/>
    <w:rsid w:val="406A10A9"/>
    <w:rsid w:val="406B06D9"/>
    <w:rsid w:val="40A39BD5"/>
    <w:rsid w:val="40AE098D"/>
    <w:rsid w:val="40C1BCDD"/>
    <w:rsid w:val="40EA72D2"/>
    <w:rsid w:val="40EB1873"/>
    <w:rsid w:val="40F534E8"/>
    <w:rsid w:val="4113C713"/>
    <w:rsid w:val="411A0B9D"/>
    <w:rsid w:val="411EBFB3"/>
    <w:rsid w:val="4128DE5B"/>
    <w:rsid w:val="412BB77F"/>
    <w:rsid w:val="4135EF43"/>
    <w:rsid w:val="4138D62A"/>
    <w:rsid w:val="4157B46E"/>
    <w:rsid w:val="416140F6"/>
    <w:rsid w:val="416A370B"/>
    <w:rsid w:val="417816ED"/>
    <w:rsid w:val="418524D5"/>
    <w:rsid w:val="41937FAF"/>
    <w:rsid w:val="4193AABE"/>
    <w:rsid w:val="41A0B1E1"/>
    <w:rsid w:val="41A68895"/>
    <w:rsid w:val="41A93C04"/>
    <w:rsid w:val="41AD5CFA"/>
    <w:rsid w:val="41BD07A4"/>
    <w:rsid w:val="41C99550"/>
    <w:rsid w:val="41D418F1"/>
    <w:rsid w:val="41E09EAD"/>
    <w:rsid w:val="41E7C1EA"/>
    <w:rsid w:val="41EBC79B"/>
    <w:rsid w:val="41F188D7"/>
    <w:rsid w:val="41FC911F"/>
    <w:rsid w:val="42013B70"/>
    <w:rsid w:val="42014F90"/>
    <w:rsid w:val="4202D893"/>
    <w:rsid w:val="420477B1"/>
    <w:rsid w:val="4208EBE9"/>
    <w:rsid w:val="420A0822"/>
    <w:rsid w:val="420D8286"/>
    <w:rsid w:val="42118202"/>
    <w:rsid w:val="4214F93E"/>
    <w:rsid w:val="4220EDD3"/>
    <w:rsid w:val="422563C6"/>
    <w:rsid w:val="4229D794"/>
    <w:rsid w:val="4232107C"/>
    <w:rsid w:val="4235C652"/>
    <w:rsid w:val="42405084"/>
    <w:rsid w:val="4245AC58"/>
    <w:rsid w:val="424BDC84"/>
    <w:rsid w:val="425F76CF"/>
    <w:rsid w:val="42675395"/>
    <w:rsid w:val="4269789A"/>
    <w:rsid w:val="426AA009"/>
    <w:rsid w:val="426D7696"/>
    <w:rsid w:val="4275EFA2"/>
    <w:rsid w:val="427895A6"/>
    <w:rsid w:val="42855A4A"/>
    <w:rsid w:val="4295A59C"/>
    <w:rsid w:val="42A0FFE6"/>
    <w:rsid w:val="42A6CB2F"/>
    <w:rsid w:val="42B0373F"/>
    <w:rsid w:val="42B097C6"/>
    <w:rsid w:val="42B65641"/>
    <w:rsid w:val="42BD7BA8"/>
    <w:rsid w:val="42C49FE2"/>
    <w:rsid w:val="42C7C92D"/>
    <w:rsid w:val="42CFB106"/>
    <w:rsid w:val="42E29CCD"/>
    <w:rsid w:val="42ECF11A"/>
    <w:rsid w:val="42ED58C1"/>
    <w:rsid w:val="43034BEF"/>
    <w:rsid w:val="4305A99C"/>
    <w:rsid w:val="4309276C"/>
    <w:rsid w:val="430D3088"/>
    <w:rsid w:val="431CDF20"/>
    <w:rsid w:val="43208DA0"/>
    <w:rsid w:val="4325AF32"/>
    <w:rsid w:val="432C4A8A"/>
    <w:rsid w:val="4331CB66"/>
    <w:rsid w:val="43321ADA"/>
    <w:rsid w:val="434BDA13"/>
    <w:rsid w:val="434BF0FE"/>
    <w:rsid w:val="43556F3B"/>
    <w:rsid w:val="43586519"/>
    <w:rsid w:val="435DB5DA"/>
    <w:rsid w:val="4367DA66"/>
    <w:rsid w:val="436E9FCF"/>
    <w:rsid w:val="4378EA3A"/>
    <w:rsid w:val="437A0F0B"/>
    <w:rsid w:val="437BF5CE"/>
    <w:rsid w:val="437E88AE"/>
    <w:rsid w:val="4388DAD6"/>
    <w:rsid w:val="438D5938"/>
    <w:rsid w:val="43920340"/>
    <w:rsid w:val="439FF656"/>
    <w:rsid w:val="43A468BE"/>
    <w:rsid w:val="43A6C69E"/>
    <w:rsid w:val="43ABA6FA"/>
    <w:rsid w:val="43D4BF00"/>
    <w:rsid w:val="43FF0B12"/>
    <w:rsid w:val="440005FA"/>
    <w:rsid w:val="44059DC6"/>
    <w:rsid w:val="4408AF7F"/>
    <w:rsid w:val="4410A445"/>
    <w:rsid w:val="44192471"/>
    <w:rsid w:val="44205366"/>
    <w:rsid w:val="44221394"/>
    <w:rsid w:val="443C0D17"/>
    <w:rsid w:val="444AD62B"/>
    <w:rsid w:val="44579F9F"/>
    <w:rsid w:val="44715147"/>
    <w:rsid w:val="44724974"/>
    <w:rsid w:val="4473A35A"/>
    <w:rsid w:val="4488A20A"/>
    <w:rsid w:val="449149F7"/>
    <w:rsid w:val="449E0C04"/>
    <w:rsid w:val="44A4CF94"/>
    <w:rsid w:val="44B089C5"/>
    <w:rsid w:val="44B46155"/>
    <w:rsid w:val="44BB76DC"/>
    <w:rsid w:val="44C0CEC3"/>
    <w:rsid w:val="44D3968B"/>
    <w:rsid w:val="44D83F8C"/>
    <w:rsid w:val="44D852A3"/>
    <w:rsid w:val="44E3DEDB"/>
    <w:rsid w:val="44FD0126"/>
    <w:rsid w:val="450B94EB"/>
    <w:rsid w:val="45132760"/>
    <w:rsid w:val="45141979"/>
    <w:rsid w:val="451D303A"/>
    <w:rsid w:val="45246098"/>
    <w:rsid w:val="452BED62"/>
    <w:rsid w:val="45380BBE"/>
    <w:rsid w:val="45458D28"/>
    <w:rsid w:val="455A4FDA"/>
    <w:rsid w:val="455DA82D"/>
    <w:rsid w:val="4567FA65"/>
    <w:rsid w:val="45818DF3"/>
    <w:rsid w:val="4584340B"/>
    <w:rsid w:val="45995BC2"/>
    <w:rsid w:val="459A0D44"/>
    <w:rsid w:val="459A47C3"/>
    <w:rsid w:val="45A0AAB8"/>
    <w:rsid w:val="45A5C082"/>
    <w:rsid w:val="45B2C2FA"/>
    <w:rsid w:val="45C8E374"/>
    <w:rsid w:val="45C9A1E5"/>
    <w:rsid w:val="45D653C9"/>
    <w:rsid w:val="45D675B4"/>
    <w:rsid w:val="45E42FE9"/>
    <w:rsid w:val="45EFA770"/>
    <w:rsid w:val="45FF059D"/>
    <w:rsid w:val="46099A30"/>
    <w:rsid w:val="461269E5"/>
    <w:rsid w:val="461FACB2"/>
    <w:rsid w:val="463199C6"/>
    <w:rsid w:val="463DB3AE"/>
    <w:rsid w:val="4640CC8E"/>
    <w:rsid w:val="4641C8AD"/>
    <w:rsid w:val="464BDCDD"/>
    <w:rsid w:val="4651A656"/>
    <w:rsid w:val="466112BC"/>
    <w:rsid w:val="46722092"/>
    <w:rsid w:val="46741B37"/>
    <w:rsid w:val="4682E338"/>
    <w:rsid w:val="468A7EF2"/>
    <w:rsid w:val="469F4915"/>
    <w:rsid w:val="469FBBE5"/>
    <w:rsid w:val="46A66311"/>
    <w:rsid w:val="46AA0FA4"/>
    <w:rsid w:val="46C40022"/>
    <w:rsid w:val="46C723A3"/>
    <w:rsid w:val="46C8DE93"/>
    <w:rsid w:val="46CC4E46"/>
    <w:rsid w:val="46D874D2"/>
    <w:rsid w:val="46DBFB7B"/>
    <w:rsid w:val="46E179F5"/>
    <w:rsid w:val="46E51D2E"/>
    <w:rsid w:val="46E81BD8"/>
    <w:rsid w:val="46F13261"/>
    <w:rsid w:val="46F6C245"/>
    <w:rsid w:val="470E90BE"/>
    <w:rsid w:val="4712F70D"/>
    <w:rsid w:val="47221DF0"/>
    <w:rsid w:val="472FAFC1"/>
    <w:rsid w:val="47380013"/>
    <w:rsid w:val="473A520C"/>
    <w:rsid w:val="473B4432"/>
    <w:rsid w:val="47459DBF"/>
    <w:rsid w:val="4753E843"/>
    <w:rsid w:val="4757EE4D"/>
    <w:rsid w:val="4759D1E1"/>
    <w:rsid w:val="475D0335"/>
    <w:rsid w:val="47639293"/>
    <w:rsid w:val="477024C4"/>
    <w:rsid w:val="477233C1"/>
    <w:rsid w:val="477819BB"/>
    <w:rsid w:val="477A62C1"/>
    <w:rsid w:val="477BBF07"/>
    <w:rsid w:val="477C9D3B"/>
    <w:rsid w:val="478076DC"/>
    <w:rsid w:val="478184DA"/>
    <w:rsid w:val="4792DBAE"/>
    <w:rsid w:val="479F8DBE"/>
    <w:rsid w:val="47A034FE"/>
    <w:rsid w:val="47AB7FF1"/>
    <w:rsid w:val="47B55086"/>
    <w:rsid w:val="47BEDB62"/>
    <w:rsid w:val="47C57046"/>
    <w:rsid w:val="47E45BE0"/>
    <w:rsid w:val="47F3179E"/>
    <w:rsid w:val="47F5CB84"/>
    <w:rsid w:val="4809284E"/>
    <w:rsid w:val="4813DB21"/>
    <w:rsid w:val="4817187A"/>
    <w:rsid w:val="481947E9"/>
    <w:rsid w:val="481DD805"/>
    <w:rsid w:val="4840AF8D"/>
    <w:rsid w:val="4854DDFD"/>
    <w:rsid w:val="4868421F"/>
    <w:rsid w:val="486CB227"/>
    <w:rsid w:val="489304F9"/>
    <w:rsid w:val="48B6904E"/>
    <w:rsid w:val="48D83B84"/>
    <w:rsid w:val="48E01636"/>
    <w:rsid w:val="490398BF"/>
    <w:rsid w:val="4917961D"/>
    <w:rsid w:val="491E3325"/>
    <w:rsid w:val="4931EEBA"/>
    <w:rsid w:val="4932CE86"/>
    <w:rsid w:val="49338B6D"/>
    <w:rsid w:val="493A9FD6"/>
    <w:rsid w:val="4945BCC4"/>
    <w:rsid w:val="4959460E"/>
    <w:rsid w:val="4964F0A6"/>
    <w:rsid w:val="4987CDE1"/>
    <w:rsid w:val="49916A98"/>
    <w:rsid w:val="49933FFA"/>
    <w:rsid w:val="499F7CBD"/>
    <w:rsid w:val="49A64AAA"/>
    <w:rsid w:val="49ACB5EC"/>
    <w:rsid w:val="49BF0259"/>
    <w:rsid w:val="49BF8DD7"/>
    <w:rsid w:val="49C2D6A3"/>
    <w:rsid w:val="49C59D51"/>
    <w:rsid w:val="49C78849"/>
    <w:rsid w:val="49D132D5"/>
    <w:rsid w:val="49D3D04D"/>
    <w:rsid w:val="49F2E5C4"/>
    <w:rsid w:val="4A12A629"/>
    <w:rsid w:val="4A157134"/>
    <w:rsid w:val="4A16AE29"/>
    <w:rsid w:val="4A1E5A7C"/>
    <w:rsid w:val="4A201C4F"/>
    <w:rsid w:val="4A23D461"/>
    <w:rsid w:val="4A323133"/>
    <w:rsid w:val="4A3A684C"/>
    <w:rsid w:val="4A41D5BF"/>
    <w:rsid w:val="4A455F1C"/>
    <w:rsid w:val="4A4A7E1B"/>
    <w:rsid w:val="4A5EDFC9"/>
    <w:rsid w:val="4A609AF7"/>
    <w:rsid w:val="4A61A3A4"/>
    <w:rsid w:val="4A6F2C20"/>
    <w:rsid w:val="4A6FEE8D"/>
    <w:rsid w:val="4A76B0EF"/>
    <w:rsid w:val="4A7A779A"/>
    <w:rsid w:val="4A7E7CC8"/>
    <w:rsid w:val="4A7F8B37"/>
    <w:rsid w:val="4A93B6ED"/>
    <w:rsid w:val="4AA6209C"/>
    <w:rsid w:val="4AA69508"/>
    <w:rsid w:val="4AAA689C"/>
    <w:rsid w:val="4ABAAD8C"/>
    <w:rsid w:val="4AC337F5"/>
    <w:rsid w:val="4AC35B6E"/>
    <w:rsid w:val="4AC7E860"/>
    <w:rsid w:val="4AC7F7E7"/>
    <w:rsid w:val="4ACDA837"/>
    <w:rsid w:val="4ADBA93B"/>
    <w:rsid w:val="4AE4A4E6"/>
    <w:rsid w:val="4AE72860"/>
    <w:rsid w:val="4AEEE3D9"/>
    <w:rsid w:val="4B2D2775"/>
    <w:rsid w:val="4B3B5B23"/>
    <w:rsid w:val="4B478C5A"/>
    <w:rsid w:val="4B4B7AAA"/>
    <w:rsid w:val="4B5C19CD"/>
    <w:rsid w:val="4B682970"/>
    <w:rsid w:val="4B6CA13E"/>
    <w:rsid w:val="4B7CF237"/>
    <w:rsid w:val="4B7FA7EF"/>
    <w:rsid w:val="4B9BE4CE"/>
    <w:rsid w:val="4B9EE9E6"/>
    <w:rsid w:val="4BA0269B"/>
    <w:rsid w:val="4BA34530"/>
    <w:rsid w:val="4BA5F7C3"/>
    <w:rsid w:val="4BB1318F"/>
    <w:rsid w:val="4BBBB3A7"/>
    <w:rsid w:val="4BBDAFAE"/>
    <w:rsid w:val="4BC305E1"/>
    <w:rsid w:val="4BCDE39E"/>
    <w:rsid w:val="4BE57164"/>
    <w:rsid w:val="4BE5E18A"/>
    <w:rsid w:val="4BEF854E"/>
    <w:rsid w:val="4BF55A24"/>
    <w:rsid w:val="4C008BD1"/>
    <w:rsid w:val="4C0E9553"/>
    <w:rsid w:val="4C0F9CC5"/>
    <w:rsid w:val="4C11099B"/>
    <w:rsid w:val="4C1DDB59"/>
    <w:rsid w:val="4C1DEAB6"/>
    <w:rsid w:val="4C2B9E2B"/>
    <w:rsid w:val="4C417B4C"/>
    <w:rsid w:val="4C47AF21"/>
    <w:rsid w:val="4C5B20A9"/>
    <w:rsid w:val="4C6AF516"/>
    <w:rsid w:val="4C77A22C"/>
    <w:rsid w:val="4C7B0571"/>
    <w:rsid w:val="4C93535E"/>
    <w:rsid w:val="4C9AF998"/>
    <w:rsid w:val="4C9D02A1"/>
    <w:rsid w:val="4CB13CDD"/>
    <w:rsid w:val="4CB62381"/>
    <w:rsid w:val="4CB79BC1"/>
    <w:rsid w:val="4CC18E29"/>
    <w:rsid w:val="4CD48AF3"/>
    <w:rsid w:val="4CD68607"/>
    <w:rsid w:val="4CDDBBDC"/>
    <w:rsid w:val="4CDE82E4"/>
    <w:rsid w:val="4D076940"/>
    <w:rsid w:val="4D0D9396"/>
    <w:rsid w:val="4D152402"/>
    <w:rsid w:val="4D2AA430"/>
    <w:rsid w:val="4D3EAEA8"/>
    <w:rsid w:val="4D4C1FE5"/>
    <w:rsid w:val="4D52F9E9"/>
    <w:rsid w:val="4D821EDD"/>
    <w:rsid w:val="4D883D8F"/>
    <w:rsid w:val="4D889C35"/>
    <w:rsid w:val="4D8F6D41"/>
    <w:rsid w:val="4D9AED98"/>
    <w:rsid w:val="4DB00031"/>
    <w:rsid w:val="4DB76C8A"/>
    <w:rsid w:val="4DC943A2"/>
    <w:rsid w:val="4DCBAE79"/>
    <w:rsid w:val="4DCC9D06"/>
    <w:rsid w:val="4DCCC013"/>
    <w:rsid w:val="4DDB42B1"/>
    <w:rsid w:val="4DE364D8"/>
    <w:rsid w:val="4E0602F2"/>
    <w:rsid w:val="4E07597D"/>
    <w:rsid w:val="4E0D2B05"/>
    <w:rsid w:val="4E1141F2"/>
    <w:rsid w:val="4E15C576"/>
    <w:rsid w:val="4E2808AF"/>
    <w:rsid w:val="4E32AC1D"/>
    <w:rsid w:val="4E4354A8"/>
    <w:rsid w:val="4E43BA75"/>
    <w:rsid w:val="4E7A32C2"/>
    <w:rsid w:val="4E827E04"/>
    <w:rsid w:val="4E854A4F"/>
    <w:rsid w:val="4E874A4C"/>
    <w:rsid w:val="4E994392"/>
    <w:rsid w:val="4E9E8573"/>
    <w:rsid w:val="4EB1F6BA"/>
    <w:rsid w:val="4EBD07EB"/>
    <w:rsid w:val="4EC4DB22"/>
    <w:rsid w:val="4ECA9D18"/>
    <w:rsid w:val="4ED675A8"/>
    <w:rsid w:val="4EE47720"/>
    <w:rsid w:val="4EEABE71"/>
    <w:rsid w:val="4EECDB7E"/>
    <w:rsid w:val="4EFF523B"/>
    <w:rsid w:val="4EFF64E0"/>
    <w:rsid w:val="4F00B931"/>
    <w:rsid w:val="4F0939A2"/>
    <w:rsid w:val="4F0B9532"/>
    <w:rsid w:val="4F1924B5"/>
    <w:rsid w:val="4F200465"/>
    <w:rsid w:val="4F42A0D1"/>
    <w:rsid w:val="4F484D46"/>
    <w:rsid w:val="4F579382"/>
    <w:rsid w:val="4F6E7257"/>
    <w:rsid w:val="4F79CAAF"/>
    <w:rsid w:val="4F7CACA7"/>
    <w:rsid w:val="4F8EE0FF"/>
    <w:rsid w:val="4F8FB246"/>
    <w:rsid w:val="4F9305B1"/>
    <w:rsid w:val="4F98F68A"/>
    <w:rsid w:val="4FA621C4"/>
    <w:rsid w:val="4FAB104A"/>
    <w:rsid w:val="4FBCB600"/>
    <w:rsid w:val="4FBFF97B"/>
    <w:rsid w:val="4FC5CD11"/>
    <w:rsid w:val="4FDD9849"/>
    <w:rsid w:val="4FEFD0BB"/>
    <w:rsid w:val="4FF96AA8"/>
    <w:rsid w:val="50031B37"/>
    <w:rsid w:val="5005DC76"/>
    <w:rsid w:val="500AF0D0"/>
    <w:rsid w:val="5028F6F0"/>
    <w:rsid w:val="502CFFC9"/>
    <w:rsid w:val="50403B23"/>
    <w:rsid w:val="504BE241"/>
    <w:rsid w:val="50532BBD"/>
    <w:rsid w:val="5055E677"/>
    <w:rsid w:val="505AD86D"/>
    <w:rsid w:val="505F741F"/>
    <w:rsid w:val="50612D01"/>
    <w:rsid w:val="506B8075"/>
    <w:rsid w:val="506E251A"/>
    <w:rsid w:val="5071228F"/>
    <w:rsid w:val="507E7C24"/>
    <w:rsid w:val="50819DA5"/>
    <w:rsid w:val="5085CC85"/>
    <w:rsid w:val="508B17A6"/>
    <w:rsid w:val="5092475F"/>
    <w:rsid w:val="509B00C4"/>
    <w:rsid w:val="509ED818"/>
    <w:rsid w:val="50A5C3A9"/>
    <w:rsid w:val="50AC9E20"/>
    <w:rsid w:val="50ADCC6A"/>
    <w:rsid w:val="50B0AEBC"/>
    <w:rsid w:val="50B82D70"/>
    <w:rsid w:val="50BE2FC2"/>
    <w:rsid w:val="50C26A8C"/>
    <w:rsid w:val="50CAFF15"/>
    <w:rsid w:val="50D658F9"/>
    <w:rsid w:val="50DF3011"/>
    <w:rsid w:val="50E97673"/>
    <w:rsid w:val="51029B3D"/>
    <w:rsid w:val="51383478"/>
    <w:rsid w:val="5138C6CA"/>
    <w:rsid w:val="513E18AB"/>
    <w:rsid w:val="514169A2"/>
    <w:rsid w:val="514B01F0"/>
    <w:rsid w:val="5158AD9C"/>
    <w:rsid w:val="515EE562"/>
    <w:rsid w:val="5161FDD9"/>
    <w:rsid w:val="5199B88E"/>
    <w:rsid w:val="51A1BD96"/>
    <w:rsid w:val="51A6CB9C"/>
    <w:rsid w:val="51B049E6"/>
    <w:rsid w:val="51BA872A"/>
    <w:rsid w:val="51BB1B69"/>
    <w:rsid w:val="51BBF6C2"/>
    <w:rsid w:val="51C68161"/>
    <w:rsid w:val="51CD8FC5"/>
    <w:rsid w:val="51DB9C9B"/>
    <w:rsid w:val="51E787DA"/>
    <w:rsid w:val="51FC755D"/>
    <w:rsid w:val="52087B1D"/>
    <w:rsid w:val="5210AF50"/>
    <w:rsid w:val="5213B093"/>
    <w:rsid w:val="52153D57"/>
    <w:rsid w:val="521732FC"/>
    <w:rsid w:val="52210079"/>
    <w:rsid w:val="5227B064"/>
    <w:rsid w:val="523480D5"/>
    <w:rsid w:val="52357E00"/>
    <w:rsid w:val="52391C89"/>
    <w:rsid w:val="5240398A"/>
    <w:rsid w:val="52459E1E"/>
    <w:rsid w:val="52513813"/>
    <w:rsid w:val="52559000"/>
    <w:rsid w:val="525A0AFF"/>
    <w:rsid w:val="525D7D86"/>
    <w:rsid w:val="526086BF"/>
    <w:rsid w:val="52816762"/>
    <w:rsid w:val="5281D90D"/>
    <w:rsid w:val="528DEE11"/>
    <w:rsid w:val="52A03136"/>
    <w:rsid w:val="52A2103B"/>
    <w:rsid w:val="52B4849A"/>
    <w:rsid w:val="52B5F365"/>
    <w:rsid w:val="52C4B3C3"/>
    <w:rsid w:val="52D7A0D5"/>
    <w:rsid w:val="52DEC534"/>
    <w:rsid w:val="52F3010F"/>
    <w:rsid w:val="52F5AE58"/>
    <w:rsid w:val="530453D6"/>
    <w:rsid w:val="53046B71"/>
    <w:rsid w:val="53087B81"/>
    <w:rsid w:val="530A4B25"/>
    <w:rsid w:val="532B2D3C"/>
    <w:rsid w:val="532FBA1E"/>
    <w:rsid w:val="53374093"/>
    <w:rsid w:val="5338872D"/>
    <w:rsid w:val="534D2CF0"/>
    <w:rsid w:val="53530EDE"/>
    <w:rsid w:val="5356EBCA"/>
    <w:rsid w:val="53582403"/>
    <w:rsid w:val="535A8F32"/>
    <w:rsid w:val="53778541"/>
    <w:rsid w:val="538654F5"/>
    <w:rsid w:val="539C99FE"/>
    <w:rsid w:val="539CF1C3"/>
    <w:rsid w:val="53B8D154"/>
    <w:rsid w:val="53BF9856"/>
    <w:rsid w:val="53C465B9"/>
    <w:rsid w:val="53CB20CC"/>
    <w:rsid w:val="53D14596"/>
    <w:rsid w:val="53DA0F2B"/>
    <w:rsid w:val="53DC5720"/>
    <w:rsid w:val="53E34A73"/>
    <w:rsid w:val="53F3A32A"/>
    <w:rsid w:val="53FD1D9D"/>
    <w:rsid w:val="53FFD8CB"/>
    <w:rsid w:val="540AC234"/>
    <w:rsid w:val="5412B2B2"/>
    <w:rsid w:val="541D4E02"/>
    <w:rsid w:val="541F8355"/>
    <w:rsid w:val="5422D93A"/>
    <w:rsid w:val="5429D702"/>
    <w:rsid w:val="5438C035"/>
    <w:rsid w:val="543B9013"/>
    <w:rsid w:val="5440AA34"/>
    <w:rsid w:val="544BDF7F"/>
    <w:rsid w:val="545356F6"/>
    <w:rsid w:val="5455CCBA"/>
    <w:rsid w:val="545CF7BE"/>
    <w:rsid w:val="545E35D3"/>
    <w:rsid w:val="546974C4"/>
    <w:rsid w:val="546B4D5D"/>
    <w:rsid w:val="547E286D"/>
    <w:rsid w:val="5480825F"/>
    <w:rsid w:val="5484A158"/>
    <w:rsid w:val="548F7189"/>
    <w:rsid w:val="54934A4A"/>
    <w:rsid w:val="54A8B1D0"/>
    <w:rsid w:val="54A97F37"/>
    <w:rsid w:val="54B0AEF6"/>
    <w:rsid w:val="54BC783E"/>
    <w:rsid w:val="54CD5DC5"/>
    <w:rsid w:val="54E4C1EA"/>
    <w:rsid w:val="54F2BC2B"/>
    <w:rsid w:val="54F5CB26"/>
    <w:rsid w:val="54F65C26"/>
    <w:rsid w:val="54F93859"/>
    <w:rsid w:val="5506949B"/>
    <w:rsid w:val="55087D50"/>
    <w:rsid w:val="552B627D"/>
    <w:rsid w:val="553B8874"/>
    <w:rsid w:val="5559D33D"/>
    <w:rsid w:val="557A325E"/>
    <w:rsid w:val="557DE1A3"/>
    <w:rsid w:val="557E0AEF"/>
    <w:rsid w:val="5582BF03"/>
    <w:rsid w:val="55837083"/>
    <w:rsid w:val="55852225"/>
    <w:rsid w:val="55A2A055"/>
    <w:rsid w:val="55BD688C"/>
    <w:rsid w:val="55C7B215"/>
    <w:rsid w:val="55EB7FD1"/>
    <w:rsid w:val="55EDA258"/>
    <w:rsid w:val="55FC1ACE"/>
    <w:rsid w:val="560DFB9B"/>
    <w:rsid w:val="5618B7FF"/>
    <w:rsid w:val="561D8488"/>
    <w:rsid w:val="562295A0"/>
    <w:rsid w:val="56252D1D"/>
    <w:rsid w:val="562A260D"/>
    <w:rsid w:val="562BE873"/>
    <w:rsid w:val="56363764"/>
    <w:rsid w:val="563F62C5"/>
    <w:rsid w:val="5642846B"/>
    <w:rsid w:val="564596ED"/>
    <w:rsid w:val="5647E941"/>
    <w:rsid w:val="5649241C"/>
    <w:rsid w:val="5657769F"/>
    <w:rsid w:val="5659219F"/>
    <w:rsid w:val="565B1E3D"/>
    <w:rsid w:val="5669D265"/>
    <w:rsid w:val="567B5B1F"/>
    <w:rsid w:val="567F8703"/>
    <w:rsid w:val="56853BFB"/>
    <w:rsid w:val="56869E29"/>
    <w:rsid w:val="569CB6E0"/>
    <w:rsid w:val="56B5EF38"/>
    <w:rsid w:val="56B67D90"/>
    <w:rsid w:val="56B6E5E1"/>
    <w:rsid w:val="56B9F20F"/>
    <w:rsid w:val="56C46688"/>
    <w:rsid w:val="56CABA1C"/>
    <w:rsid w:val="56D15165"/>
    <w:rsid w:val="56D81289"/>
    <w:rsid w:val="56F5219F"/>
    <w:rsid w:val="56FB561B"/>
    <w:rsid w:val="57002F84"/>
    <w:rsid w:val="57023164"/>
    <w:rsid w:val="570E4CCF"/>
    <w:rsid w:val="570F0AA8"/>
    <w:rsid w:val="57108C72"/>
    <w:rsid w:val="5714688C"/>
    <w:rsid w:val="57172751"/>
    <w:rsid w:val="5717CBEA"/>
    <w:rsid w:val="5738C958"/>
    <w:rsid w:val="57432073"/>
    <w:rsid w:val="5743DDB7"/>
    <w:rsid w:val="574DC793"/>
    <w:rsid w:val="5757AC41"/>
    <w:rsid w:val="5760AF55"/>
    <w:rsid w:val="57637C3E"/>
    <w:rsid w:val="5764104C"/>
    <w:rsid w:val="57650580"/>
    <w:rsid w:val="576F7F41"/>
    <w:rsid w:val="57852316"/>
    <w:rsid w:val="578C9749"/>
    <w:rsid w:val="57926F8F"/>
    <w:rsid w:val="57A355BE"/>
    <w:rsid w:val="57A59595"/>
    <w:rsid w:val="57AFF71E"/>
    <w:rsid w:val="57B4028A"/>
    <w:rsid w:val="57C8F65C"/>
    <w:rsid w:val="57F58978"/>
    <w:rsid w:val="57F68597"/>
    <w:rsid w:val="580298BC"/>
    <w:rsid w:val="58039BB9"/>
    <w:rsid w:val="580A28E6"/>
    <w:rsid w:val="580B01E0"/>
    <w:rsid w:val="58200E21"/>
    <w:rsid w:val="582042B2"/>
    <w:rsid w:val="582A1641"/>
    <w:rsid w:val="583A7A81"/>
    <w:rsid w:val="5840FE27"/>
    <w:rsid w:val="5855AD85"/>
    <w:rsid w:val="5859373E"/>
    <w:rsid w:val="586BFC78"/>
    <w:rsid w:val="586DF181"/>
    <w:rsid w:val="5890C86C"/>
    <w:rsid w:val="58A2CDB9"/>
    <w:rsid w:val="58C62C45"/>
    <w:rsid w:val="58C8A479"/>
    <w:rsid w:val="58C8D8DC"/>
    <w:rsid w:val="58D09B65"/>
    <w:rsid w:val="58D24FCC"/>
    <w:rsid w:val="58D7E86F"/>
    <w:rsid w:val="58F0369F"/>
    <w:rsid w:val="58F1008C"/>
    <w:rsid w:val="59059063"/>
    <w:rsid w:val="590898AF"/>
    <w:rsid w:val="590C02FC"/>
    <w:rsid w:val="59104431"/>
    <w:rsid w:val="59158EFB"/>
    <w:rsid w:val="59224DC2"/>
    <w:rsid w:val="592F7F43"/>
    <w:rsid w:val="59568DF8"/>
    <w:rsid w:val="595B1C10"/>
    <w:rsid w:val="596EAAA0"/>
    <w:rsid w:val="597BA56A"/>
    <w:rsid w:val="597C4F30"/>
    <w:rsid w:val="59859C7C"/>
    <w:rsid w:val="59941982"/>
    <w:rsid w:val="59A2F56D"/>
    <w:rsid w:val="59A9B656"/>
    <w:rsid w:val="59ACF920"/>
    <w:rsid w:val="59C2E4AA"/>
    <w:rsid w:val="59D50376"/>
    <w:rsid w:val="59DA367F"/>
    <w:rsid w:val="59DD6D27"/>
    <w:rsid w:val="59DFD54A"/>
    <w:rsid w:val="59E8EB3E"/>
    <w:rsid w:val="5A021D4D"/>
    <w:rsid w:val="5A1142E8"/>
    <w:rsid w:val="5A15C4C6"/>
    <w:rsid w:val="5A1A4732"/>
    <w:rsid w:val="5A36967B"/>
    <w:rsid w:val="5A37D3B0"/>
    <w:rsid w:val="5A39F82B"/>
    <w:rsid w:val="5A4D58A5"/>
    <w:rsid w:val="5A53E4C3"/>
    <w:rsid w:val="5A6683C1"/>
    <w:rsid w:val="5A6FFFD5"/>
    <w:rsid w:val="5A821673"/>
    <w:rsid w:val="5A9ACD29"/>
    <w:rsid w:val="5A9B7AA5"/>
    <w:rsid w:val="5AA12248"/>
    <w:rsid w:val="5AAB431B"/>
    <w:rsid w:val="5AAC3B6E"/>
    <w:rsid w:val="5AAFEF3F"/>
    <w:rsid w:val="5AB2D9A5"/>
    <w:rsid w:val="5ABAA191"/>
    <w:rsid w:val="5ACFA89E"/>
    <w:rsid w:val="5AD56FF4"/>
    <w:rsid w:val="5ADDC599"/>
    <w:rsid w:val="5AEDBCB9"/>
    <w:rsid w:val="5AF19A10"/>
    <w:rsid w:val="5AF40348"/>
    <w:rsid w:val="5AFFFCE1"/>
    <w:rsid w:val="5B0D8BE5"/>
    <w:rsid w:val="5B110920"/>
    <w:rsid w:val="5B1214C2"/>
    <w:rsid w:val="5B1CDA56"/>
    <w:rsid w:val="5B26A90D"/>
    <w:rsid w:val="5B29CA03"/>
    <w:rsid w:val="5B2EFB3A"/>
    <w:rsid w:val="5B404E32"/>
    <w:rsid w:val="5B4A541B"/>
    <w:rsid w:val="5B529D76"/>
    <w:rsid w:val="5B533D88"/>
    <w:rsid w:val="5B5425EF"/>
    <w:rsid w:val="5B596921"/>
    <w:rsid w:val="5B5CC20A"/>
    <w:rsid w:val="5B74EE05"/>
    <w:rsid w:val="5B7C762C"/>
    <w:rsid w:val="5B82B23E"/>
    <w:rsid w:val="5B875A12"/>
    <w:rsid w:val="5BB1AC43"/>
    <w:rsid w:val="5BB7B87A"/>
    <w:rsid w:val="5BBC8E96"/>
    <w:rsid w:val="5BC198B9"/>
    <w:rsid w:val="5BC20493"/>
    <w:rsid w:val="5BCAC96C"/>
    <w:rsid w:val="5BDD6DF0"/>
    <w:rsid w:val="5BE6E2B9"/>
    <w:rsid w:val="5BE83781"/>
    <w:rsid w:val="5BEC9BED"/>
    <w:rsid w:val="5C17ACE6"/>
    <w:rsid w:val="5C2E67D4"/>
    <w:rsid w:val="5C311303"/>
    <w:rsid w:val="5C3FC68B"/>
    <w:rsid w:val="5C600C6B"/>
    <w:rsid w:val="5C7970FF"/>
    <w:rsid w:val="5C7A441A"/>
    <w:rsid w:val="5C839170"/>
    <w:rsid w:val="5C8EEE40"/>
    <w:rsid w:val="5C8F7292"/>
    <w:rsid w:val="5CABDD62"/>
    <w:rsid w:val="5CAEDAB6"/>
    <w:rsid w:val="5CD21A76"/>
    <w:rsid w:val="5CD382E9"/>
    <w:rsid w:val="5CD7D523"/>
    <w:rsid w:val="5CDBF4B0"/>
    <w:rsid w:val="5CE5EC36"/>
    <w:rsid w:val="5CF59376"/>
    <w:rsid w:val="5CFB9FFD"/>
    <w:rsid w:val="5CFF851B"/>
    <w:rsid w:val="5D0647B0"/>
    <w:rsid w:val="5D1B7BC0"/>
    <w:rsid w:val="5D2BAC84"/>
    <w:rsid w:val="5D30BF3A"/>
    <w:rsid w:val="5D35BF80"/>
    <w:rsid w:val="5D40A488"/>
    <w:rsid w:val="5D4D1F6E"/>
    <w:rsid w:val="5D524CCE"/>
    <w:rsid w:val="5D567E0B"/>
    <w:rsid w:val="5D60682A"/>
    <w:rsid w:val="5D7B6B11"/>
    <w:rsid w:val="5D84C3F2"/>
    <w:rsid w:val="5D9907C4"/>
    <w:rsid w:val="5D99B08C"/>
    <w:rsid w:val="5DA85A21"/>
    <w:rsid w:val="5DAABEDA"/>
    <w:rsid w:val="5DAEE01B"/>
    <w:rsid w:val="5DB29F60"/>
    <w:rsid w:val="5DCA7837"/>
    <w:rsid w:val="5DD16B01"/>
    <w:rsid w:val="5DD71006"/>
    <w:rsid w:val="5DDF8087"/>
    <w:rsid w:val="5DE99630"/>
    <w:rsid w:val="5DEBD482"/>
    <w:rsid w:val="5E18AA3C"/>
    <w:rsid w:val="5E190D80"/>
    <w:rsid w:val="5E2CBE54"/>
    <w:rsid w:val="5E38E7DB"/>
    <w:rsid w:val="5E3E1CD4"/>
    <w:rsid w:val="5E555105"/>
    <w:rsid w:val="5E5A5C20"/>
    <w:rsid w:val="5E6E66FC"/>
    <w:rsid w:val="5E9D087B"/>
    <w:rsid w:val="5E9D3E6C"/>
    <w:rsid w:val="5EA2286C"/>
    <w:rsid w:val="5EBBB175"/>
    <w:rsid w:val="5EC09BBF"/>
    <w:rsid w:val="5EC2196B"/>
    <w:rsid w:val="5EC4BA4D"/>
    <w:rsid w:val="5EC8F732"/>
    <w:rsid w:val="5ED70ADB"/>
    <w:rsid w:val="5EDF0E9D"/>
    <w:rsid w:val="5F26691E"/>
    <w:rsid w:val="5F2A845B"/>
    <w:rsid w:val="5F2B7074"/>
    <w:rsid w:val="5F315FEE"/>
    <w:rsid w:val="5F353CCC"/>
    <w:rsid w:val="5F4EDECD"/>
    <w:rsid w:val="5F57586B"/>
    <w:rsid w:val="5F723534"/>
    <w:rsid w:val="5F93BACC"/>
    <w:rsid w:val="5F99029D"/>
    <w:rsid w:val="5F9B5434"/>
    <w:rsid w:val="5FB3B14F"/>
    <w:rsid w:val="5FC3AD32"/>
    <w:rsid w:val="5FCE0ACB"/>
    <w:rsid w:val="5FD2E303"/>
    <w:rsid w:val="5FD3675D"/>
    <w:rsid w:val="5FD8483F"/>
    <w:rsid w:val="5FFC216E"/>
    <w:rsid w:val="600DBE77"/>
    <w:rsid w:val="601DFB85"/>
    <w:rsid w:val="60268820"/>
    <w:rsid w:val="6029AD0D"/>
    <w:rsid w:val="602C1E41"/>
    <w:rsid w:val="6039165D"/>
    <w:rsid w:val="60466F0E"/>
    <w:rsid w:val="604ADDF5"/>
    <w:rsid w:val="604B95F0"/>
    <w:rsid w:val="6056D7BB"/>
    <w:rsid w:val="60570BB1"/>
    <w:rsid w:val="605931A2"/>
    <w:rsid w:val="605D4CFC"/>
    <w:rsid w:val="6077DB77"/>
    <w:rsid w:val="6081BED8"/>
    <w:rsid w:val="6085C74D"/>
    <w:rsid w:val="6088F23A"/>
    <w:rsid w:val="60890E41"/>
    <w:rsid w:val="6089ED90"/>
    <w:rsid w:val="608AD09F"/>
    <w:rsid w:val="608C36DA"/>
    <w:rsid w:val="608D1C01"/>
    <w:rsid w:val="608FB5F0"/>
    <w:rsid w:val="609E2CC0"/>
    <w:rsid w:val="60A20E65"/>
    <w:rsid w:val="60A7D5F6"/>
    <w:rsid w:val="60ACF154"/>
    <w:rsid w:val="60B006F2"/>
    <w:rsid w:val="60BD6016"/>
    <w:rsid w:val="60BF1DF8"/>
    <w:rsid w:val="60C2397F"/>
    <w:rsid w:val="60CE7D5D"/>
    <w:rsid w:val="60DB3289"/>
    <w:rsid w:val="60DE07D1"/>
    <w:rsid w:val="60E371F5"/>
    <w:rsid w:val="60F339B2"/>
    <w:rsid w:val="61015C42"/>
    <w:rsid w:val="61026B65"/>
    <w:rsid w:val="6108D6D7"/>
    <w:rsid w:val="6120A148"/>
    <w:rsid w:val="612781F5"/>
    <w:rsid w:val="614B90D8"/>
    <w:rsid w:val="614E3C1F"/>
    <w:rsid w:val="6155E866"/>
    <w:rsid w:val="6164DAA3"/>
    <w:rsid w:val="616A9539"/>
    <w:rsid w:val="616ECB40"/>
    <w:rsid w:val="61734CCC"/>
    <w:rsid w:val="6175C2FD"/>
    <w:rsid w:val="6180577D"/>
    <w:rsid w:val="618C41EA"/>
    <w:rsid w:val="618EF5C5"/>
    <w:rsid w:val="61917340"/>
    <w:rsid w:val="6194E68F"/>
    <w:rsid w:val="619DB782"/>
    <w:rsid w:val="61A2D0A8"/>
    <w:rsid w:val="61A8120A"/>
    <w:rsid w:val="61B590AE"/>
    <w:rsid w:val="61E5CAB6"/>
    <w:rsid w:val="61F6D621"/>
    <w:rsid w:val="62022CDD"/>
    <w:rsid w:val="621B2653"/>
    <w:rsid w:val="622045F2"/>
    <w:rsid w:val="622127A4"/>
    <w:rsid w:val="623123EB"/>
    <w:rsid w:val="62331706"/>
    <w:rsid w:val="623337C1"/>
    <w:rsid w:val="6248C1B5"/>
    <w:rsid w:val="6255BF96"/>
    <w:rsid w:val="625E09E0"/>
    <w:rsid w:val="6269E17B"/>
    <w:rsid w:val="626A906D"/>
    <w:rsid w:val="62725375"/>
    <w:rsid w:val="627C3153"/>
    <w:rsid w:val="627D1021"/>
    <w:rsid w:val="62804E0C"/>
    <w:rsid w:val="628114EA"/>
    <w:rsid w:val="62A165DB"/>
    <w:rsid w:val="62A2F797"/>
    <w:rsid w:val="62A7B820"/>
    <w:rsid w:val="62BC25AF"/>
    <w:rsid w:val="62BCAD58"/>
    <w:rsid w:val="62BD44D0"/>
    <w:rsid w:val="62C142F0"/>
    <w:rsid w:val="62C6F7C3"/>
    <w:rsid w:val="62C700A7"/>
    <w:rsid w:val="62CA3291"/>
    <w:rsid w:val="62D448DC"/>
    <w:rsid w:val="62D6ABE8"/>
    <w:rsid w:val="62DCCC31"/>
    <w:rsid w:val="62ECDB33"/>
    <w:rsid w:val="62EEEAB2"/>
    <w:rsid w:val="62EFE6FE"/>
    <w:rsid w:val="62F1DBD9"/>
    <w:rsid w:val="6305A863"/>
    <w:rsid w:val="63177C86"/>
    <w:rsid w:val="631CF30B"/>
    <w:rsid w:val="631F6BA0"/>
    <w:rsid w:val="6330D142"/>
    <w:rsid w:val="6330F217"/>
    <w:rsid w:val="63383872"/>
    <w:rsid w:val="63416B0E"/>
    <w:rsid w:val="6342C2E0"/>
    <w:rsid w:val="6351AF10"/>
    <w:rsid w:val="636BF1A3"/>
    <w:rsid w:val="636DE326"/>
    <w:rsid w:val="638808EE"/>
    <w:rsid w:val="638F13BB"/>
    <w:rsid w:val="639E9F08"/>
    <w:rsid w:val="63A2688C"/>
    <w:rsid w:val="63A87C4D"/>
    <w:rsid w:val="63B20FCC"/>
    <w:rsid w:val="63C0CE0B"/>
    <w:rsid w:val="63C18E52"/>
    <w:rsid w:val="63C64E25"/>
    <w:rsid w:val="63CD1F99"/>
    <w:rsid w:val="63D9528D"/>
    <w:rsid w:val="63E0A3B9"/>
    <w:rsid w:val="63E14013"/>
    <w:rsid w:val="63E2332A"/>
    <w:rsid w:val="63E8A1F2"/>
    <w:rsid w:val="63FBA159"/>
    <w:rsid w:val="63FCC6B0"/>
    <w:rsid w:val="640CA529"/>
    <w:rsid w:val="640EAA06"/>
    <w:rsid w:val="64112EFC"/>
    <w:rsid w:val="641AC08E"/>
    <w:rsid w:val="64220369"/>
    <w:rsid w:val="642688A5"/>
    <w:rsid w:val="642AA1C9"/>
    <w:rsid w:val="642FBDE2"/>
    <w:rsid w:val="6432F6EF"/>
    <w:rsid w:val="64350B78"/>
    <w:rsid w:val="6438FD04"/>
    <w:rsid w:val="6447AA2A"/>
    <w:rsid w:val="6457D3AF"/>
    <w:rsid w:val="64584CEF"/>
    <w:rsid w:val="6478EBB8"/>
    <w:rsid w:val="6481BD31"/>
    <w:rsid w:val="6483AFE0"/>
    <w:rsid w:val="64B42050"/>
    <w:rsid w:val="64D04DDA"/>
    <w:rsid w:val="64D7B30F"/>
    <w:rsid w:val="64D7D171"/>
    <w:rsid w:val="64D8D170"/>
    <w:rsid w:val="64DBE042"/>
    <w:rsid w:val="64E88E78"/>
    <w:rsid w:val="6502E24B"/>
    <w:rsid w:val="650EA7D8"/>
    <w:rsid w:val="65133C6B"/>
    <w:rsid w:val="6518FCDB"/>
    <w:rsid w:val="651BC275"/>
    <w:rsid w:val="65275021"/>
    <w:rsid w:val="6527B8CB"/>
    <w:rsid w:val="65310FAE"/>
    <w:rsid w:val="65474B1F"/>
    <w:rsid w:val="6553B923"/>
    <w:rsid w:val="655D5CBA"/>
    <w:rsid w:val="655D5EB3"/>
    <w:rsid w:val="655FC42B"/>
    <w:rsid w:val="6564F102"/>
    <w:rsid w:val="65666528"/>
    <w:rsid w:val="6569258A"/>
    <w:rsid w:val="656D0AF6"/>
    <w:rsid w:val="657825B0"/>
    <w:rsid w:val="6599938F"/>
    <w:rsid w:val="659B0827"/>
    <w:rsid w:val="659CC89E"/>
    <w:rsid w:val="65A1031D"/>
    <w:rsid w:val="65AC4F81"/>
    <w:rsid w:val="65C1A6E0"/>
    <w:rsid w:val="65C37955"/>
    <w:rsid w:val="65C4EB46"/>
    <w:rsid w:val="65CA23E7"/>
    <w:rsid w:val="65CF66AE"/>
    <w:rsid w:val="65D4BF0E"/>
    <w:rsid w:val="65D5A13D"/>
    <w:rsid w:val="65DCE2DF"/>
    <w:rsid w:val="65E17725"/>
    <w:rsid w:val="65E3397B"/>
    <w:rsid w:val="65FE608B"/>
    <w:rsid w:val="66021C60"/>
    <w:rsid w:val="660408FA"/>
    <w:rsid w:val="660E31C0"/>
    <w:rsid w:val="6612CA81"/>
    <w:rsid w:val="6619243E"/>
    <w:rsid w:val="6624B1B6"/>
    <w:rsid w:val="662D5DC1"/>
    <w:rsid w:val="6630691F"/>
    <w:rsid w:val="66308E35"/>
    <w:rsid w:val="6637FA12"/>
    <w:rsid w:val="663DA872"/>
    <w:rsid w:val="664DB5AF"/>
    <w:rsid w:val="6654C7ED"/>
    <w:rsid w:val="6666F584"/>
    <w:rsid w:val="66670EF3"/>
    <w:rsid w:val="66738675"/>
    <w:rsid w:val="667A7ACC"/>
    <w:rsid w:val="6685D888"/>
    <w:rsid w:val="66868BFB"/>
    <w:rsid w:val="6686E1A0"/>
    <w:rsid w:val="66898282"/>
    <w:rsid w:val="6693BAB5"/>
    <w:rsid w:val="6698D251"/>
    <w:rsid w:val="66C057C3"/>
    <w:rsid w:val="66D02B05"/>
    <w:rsid w:val="6706EE7B"/>
    <w:rsid w:val="6713A109"/>
    <w:rsid w:val="6719887E"/>
    <w:rsid w:val="671E5CDB"/>
    <w:rsid w:val="6739DB59"/>
    <w:rsid w:val="673DA215"/>
    <w:rsid w:val="674482DA"/>
    <w:rsid w:val="674B1527"/>
    <w:rsid w:val="674DCAE2"/>
    <w:rsid w:val="6750CA33"/>
    <w:rsid w:val="675ABBCF"/>
    <w:rsid w:val="675E2967"/>
    <w:rsid w:val="67734587"/>
    <w:rsid w:val="6779377E"/>
    <w:rsid w:val="677BDDD8"/>
    <w:rsid w:val="678000FA"/>
    <w:rsid w:val="6785A5E9"/>
    <w:rsid w:val="678F6DAF"/>
    <w:rsid w:val="67939C4B"/>
    <w:rsid w:val="679A3FF5"/>
    <w:rsid w:val="67ADA453"/>
    <w:rsid w:val="67B2B2A1"/>
    <w:rsid w:val="67D474AC"/>
    <w:rsid w:val="67D69116"/>
    <w:rsid w:val="67DCE2C4"/>
    <w:rsid w:val="67E10CBC"/>
    <w:rsid w:val="67E16E6D"/>
    <w:rsid w:val="67E19D89"/>
    <w:rsid w:val="67E52DF0"/>
    <w:rsid w:val="67E6B4CA"/>
    <w:rsid w:val="67EA289F"/>
    <w:rsid w:val="67EBC215"/>
    <w:rsid w:val="67EC91E9"/>
    <w:rsid w:val="68044D75"/>
    <w:rsid w:val="680DB69C"/>
    <w:rsid w:val="6819BF83"/>
    <w:rsid w:val="682805BA"/>
    <w:rsid w:val="682D556F"/>
    <w:rsid w:val="6835D1A2"/>
    <w:rsid w:val="6851A4B0"/>
    <w:rsid w:val="68649D49"/>
    <w:rsid w:val="6868F7C5"/>
    <w:rsid w:val="687E0ABA"/>
    <w:rsid w:val="68864B38"/>
    <w:rsid w:val="6887A0F1"/>
    <w:rsid w:val="68A813E3"/>
    <w:rsid w:val="68AACF6B"/>
    <w:rsid w:val="68B6B9C4"/>
    <w:rsid w:val="68BACF76"/>
    <w:rsid w:val="68D2C9A6"/>
    <w:rsid w:val="68D4BF4E"/>
    <w:rsid w:val="68D75D63"/>
    <w:rsid w:val="68DE99C5"/>
    <w:rsid w:val="68E7C336"/>
    <w:rsid w:val="68FF4336"/>
    <w:rsid w:val="691008FC"/>
    <w:rsid w:val="6911F49F"/>
    <w:rsid w:val="6922BECD"/>
    <w:rsid w:val="69250BA9"/>
    <w:rsid w:val="692E861A"/>
    <w:rsid w:val="6930EF17"/>
    <w:rsid w:val="693F7052"/>
    <w:rsid w:val="69422AE9"/>
    <w:rsid w:val="694EFBB0"/>
    <w:rsid w:val="6958B047"/>
    <w:rsid w:val="6965E17E"/>
    <w:rsid w:val="696987A9"/>
    <w:rsid w:val="6976892E"/>
    <w:rsid w:val="69825F17"/>
    <w:rsid w:val="698CF8A1"/>
    <w:rsid w:val="698D2751"/>
    <w:rsid w:val="699546AD"/>
    <w:rsid w:val="69970D03"/>
    <w:rsid w:val="69977D29"/>
    <w:rsid w:val="699C00DE"/>
    <w:rsid w:val="69B58FE4"/>
    <w:rsid w:val="69BB6DB2"/>
    <w:rsid w:val="69C78FD8"/>
    <w:rsid w:val="69CD995D"/>
    <w:rsid w:val="69CE14E2"/>
    <w:rsid w:val="69E2C7D7"/>
    <w:rsid w:val="69E90B21"/>
    <w:rsid w:val="69F2951C"/>
    <w:rsid w:val="69FE0D7C"/>
    <w:rsid w:val="6A0D060B"/>
    <w:rsid w:val="6A14417C"/>
    <w:rsid w:val="6A19D35E"/>
    <w:rsid w:val="6A1C1A67"/>
    <w:rsid w:val="6A23251E"/>
    <w:rsid w:val="6A277494"/>
    <w:rsid w:val="6A5034E4"/>
    <w:rsid w:val="6A5207EE"/>
    <w:rsid w:val="6A6BA331"/>
    <w:rsid w:val="6A6EA127"/>
    <w:rsid w:val="6A73F6A8"/>
    <w:rsid w:val="6A82DF15"/>
    <w:rsid w:val="6A82F0F8"/>
    <w:rsid w:val="6A8A0212"/>
    <w:rsid w:val="6A90E896"/>
    <w:rsid w:val="6A9E5C31"/>
    <w:rsid w:val="6AA5F5E0"/>
    <w:rsid w:val="6AABFB25"/>
    <w:rsid w:val="6AD52BA6"/>
    <w:rsid w:val="6ADC8AA5"/>
    <w:rsid w:val="6AE75A09"/>
    <w:rsid w:val="6AE7A256"/>
    <w:rsid w:val="6AF985B5"/>
    <w:rsid w:val="6B048D8A"/>
    <w:rsid w:val="6B131828"/>
    <w:rsid w:val="6B184F9E"/>
    <w:rsid w:val="6B22CD2A"/>
    <w:rsid w:val="6B2BB9D5"/>
    <w:rsid w:val="6B31784B"/>
    <w:rsid w:val="6B322CD6"/>
    <w:rsid w:val="6B4B8700"/>
    <w:rsid w:val="6B4CBB39"/>
    <w:rsid w:val="6B652942"/>
    <w:rsid w:val="6B7247A5"/>
    <w:rsid w:val="6B7C2ECB"/>
    <w:rsid w:val="6B844537"/>
    <w:rsid w:val="6B971C51"/>
    <w:rsid w:val="6B9DC747"/>
    <w:rsid w:val="6BA87078"/>
    <w:rsid w:val="6BAB38E0"/>
    <w:rsid w:val="6BAD02C6"/>
    <w:rsid w:val="6BAF9F6A"/>
    <w:rsid w:val="6BB6BBE7"/>
    <w:rsid w:val="6BBE952F"/>
    <w:rsid w:val="6BD2E425"/>
    <w:rsid w:val="6BD6A95C"/>
    <w:rsid w:val="6BDB7FED"/>
    <w:rsid w:val="6BFF3707"/>
    <w:rsid w:val="6C084E72"/>
    <w:rsid w:val="6C0C7AF2"/>
    <w:rsid w:val="6C0C8699"/>
    <w:rsid w:val="6C14A2FE"/>
    <w:rsid w:val="6C180E3C"/>
    <w:rsid w:val="6C1983AE"/>
    <w:rsid w:val="6C1A8396"/>
    <w:rsid w:val="6C1D4522"/>
    <w:rsid w:val="6C2FC900"/>
    <w:rsid w:val="6C5F1AAB"/>
    <w:rsid w:val="6C721B8E"/>
    <w:rsid w:val="6C7CDD5C"/>
    <w:rsid w:val="6C7FD124"/>
    <w:rsid w:val="6C8DA12C"/>
    <w:rsid w:val="6C8E8E24"/>
    <w:rsid w:val="6C9C65CD"/>
    <w:rsid w:val="6CA439BA"/>
    <w:rsid w:val="6CA6EFC8"/>
    <w:rsid w:val="6CA96A2A"/>
    <w:rsid w:val="6CA9B281"/>
    <w:rsid w:val="6CC1318E"/>
    <w:rsid w:val="6CC81694"/>
    <w:rsid w:val="6CC8DF60"/>
    <w:rsid w:val="6CCDFD37"/>
    <w:rsid w:val="6CE23A00"/>
    <w:rsid w:val="6CE8AF0A"/>
    <w:rsid w:val="6D0685AD"/>
    <w:rsid w:val="6D15FF5F"/>
    <w:rsid w:val="6D1D7D8F"/>
    <w:rsid w:val="6D373AFE"/>
    <w:rsid w:val="6D4568BF"/>
    <w:rsid w:val="6D4BFF11"/>
    <w:rsid w:val="6D4F483B"/>
    <w:rsid w:val="6D691264"/>
    <w:rsid w:val="6D6C9050"/>
    <w:rsid w:val="6D74F173"/>
    <w:rsid w:val="6D87366B"/>
    <w:rsid w:val="6D894751"/>
    <w:rsid w:val="6D9242C7"/>
    <w:rsid w:val="6DA0D174"/>
    <w:rsid w:val="6DA422DB"/>
    <w:rsid w:val="6DA6D309"/>
    <w:rsid w:val="6DC22F6E"/>
    <w:rsid w:val="6DC256EE"/>
    <w:rsid w:val="6DC39E87"/>
    <w:rsid w:val="6DC8C005"/>
    <w:rsid w:val="6DCD6AEB"/>
    <w:rsid w:val="6DD92B1B"/>
    <w:rsid w:val="6DDB69BB"/>
    <w:rsid w:val="6DDF0B6C"/>
    <w:rsid w:val="6DEA1125"/>
    <w:rsid w:val="6DEB9810"/>
    <w:rsid w:val="6DEE0DC1"/>
    <w:rsid w:val="6DFC683A"/>
    <w:rsid w:val="6DFCE88D"/>
    <w:rsid w:val="6E2216AF"/>
    <w:rsid w:val="6E3388C7"/>
    <w:rsid w:val="6E36C139"/>
    <w:rsid w:val="6E3995F8"/>
    <w:rsid w:val="6E41FB5B"/>
    <w:rsid w:val="6E4D24F9"/>
    <w:rsid w:val="6E5E5468"/>
    <w:rsid w:val="6E6404EC"/>
    <w:rsid w:val="6E6E794C"/>
    <w:rsid w:val="6E9BCA49"/>
    <w:rsid w:val="6EAADE08"/>
    <w:rsid w:val="6EB2FA68"/>
    <w:rsid w:val="6EBA04DC"/>
    <w:rsid w:val="6EBFDCD1"/>
    <w:rsid w:val="6ED26897"/>
    <w:rsid w:val="6ED49F1D"/>
    <w:rsid w:val="6EE491D2"/>
    <w:rsid w:val="6EE9F3EA"/>
    <w:rsid w:val="6EF280E2"/>
    <w:rsid w:val="6EF2B37A"/>
    <w:rsid w:val="6EF52ED0"/>
    <w:rsid w:val="6EFA81CA"/>
    <w:rsid w:val="6EFE9E59"/>
    <w:rsid w:val="6F0A9B23"/>
    <w:rsid w:val="6F1AB004"/>
    <w:rsid w:val="6F1AF6C7"/>
    <w:rsid w:val="6F31B1ED"/>
    <w:rsid w:val="6F522458"/>
    <w:rsid w:val="6F525773"/>
    <w:rsid w:val="6F626F79"/>
    <w:rsid w:val="6F6832FD"/>
    <w:rsid w:val="6F82475A"/>
    <w:rsid w:val="6F84A49E"/>
    <w:rsid w:val="6F862660"/>
    <w:rsid w:val="6F899E58"/>
    <w:rsid w:val="6F8A8EEE"/>
    <w:rsid w:val="6F98EE2A"/>
    <w:rsid w:val="6FA20CAC"/>
    <w:rsid w:val="6FAD09E3"/>
    <w:rsid w:val="6FB94D3D"/>
    <w:rsid w:val="6FBA1A25"/>
    <w:rsid w:val="6FBF57DD"/>
    <w:rsid w:val="6FC99B8D"/>
    <w:rsid w:val="6FCE7C3E"/>
    <w:rsid w:val="6FCEAF0F"/>
    <w:rsid w:val="6FDD9A18"/>
    <w:rsid w:val="6FE37349"/>
    <w:rsid w:val="6FFB1519"/>
    <w:rsid w:val="700A336E"/>
    <w:rsid w:val="700B4B8B"/>
    <w:rsid w:val="702455FC"/>
    <w:rsid w:val="70279BA7"/>
    <w:rsid w:val="702B1907"/>
    <w:rsid w:val="702CBEEE"/>
    <w:rsid w:val="7031E667"/>
    <w:rsid w:val="7032AFC0"/>
    <w:rsid w:val="703407D4"/>
    <w:rsid w:val="7047BEB9"/>
    <w:rsid w:val="7053309D"/>
    <w:rsid w:val="70551E51"/>
    <w:rsid w:val="705AC3CB"/>
    <w:rsid w:val="705BD90E"/>
    <w:rsid w:val="707035FD"/>
    <w:rsid w:val="7070A795"/>
    <w:rsid w:val="70846657"/>
    <w:rsid w:val="708A5357"/>
    <w:rsid w:val="7096F37E"/>
    <w:rsid w:val="70A59C41"/>
    <w:rsid w:val="70B0D9C7"/>
    <w:rsid w:val="70B1FD67"/>
    <w:rsid w:val="70CAA9AA"/>
    <w:rsid w:val="70D5EAEC"/>
    <w:rsid w:val="70D87EBD"/>
    <w:rsid w:val="70E75594"/>
    <w:rsid w:val="70F209D2"/>
    <w:rsid w:val="70FB27BB"/>
    <w:rsid w:val="70FE72D9"/>
    <w:rsid w:val="710F364B"/>
    <w:rsid w:val="7129CD2D"/>
    <w:rsid w:val="71485464"/>
    <w:rsid w:val="7155E154"/>
    <w:rsid w:val="715B3F42"/>
    <w:rsid w:val="7168DAD2"/>
    <w:rsid w:val="717E365F"/>
    <w:rsid w:val="71830250"/>
    <w:rsid w:val="71917E6C"/>
    <w:rsid w:val="7194212E"/>
    <w:rsid w:val="71A16E5A"/>
    <w:rsid w:val="71A37C56"/>
    <w:rsid w:val="71A5BA40"/>
    <w:rsid w:val="71AC9EB1"/>
    <w:rsid w:val="71C2F6B1"/>
    <w:rsid w:val="71CD4563"/>
    <w:rsid w:val="71CFD835"/>
    <w:rsid w:val="71D43055"/>
    <w:rsid w:val="71DD0AE5"/>
    <w:rsid w:val="71E1F582"/>
    <w:rsid w:val="71EC5093"/>
    <w:rsid w:val="71EDCDFC"/>
    <w:rsid w:val="71F62B1B"/>
    <w:rsid w:val="71FE324D"/>
    <w:rsid w:val="71FF07C7"/>
    <w:rsid w:val="7209308D"/>
    <w:rsid w:val="7210BE7C"/>
    <w:rsid w:val="7214B284"/>
    <w:rsid w:val="721507B6"/>
    <w:rsid w:val="722118CE"/>
    <w:rsid w:val="7222B95E"/>
    <w:rsid w:val="7224ED00"/>
    <w:rsid w:val="7225581A"/>
    <w:rsid w:val="72289E26"/>
    <w:rsid w:val="72384921"/>
    <w:rsid w:val="723EFF17"/>
    <w:rsid w:val="7240C4E3"/>
    <w:rsid w:val="724352F6"/>
    <w:rsid w:val="724B10E4"/>
    <w:rsid w:val="724DDF0B"/>
    <w:rsid w:val="72589D17"/>
    <w:rsid w:val="725E2E26"/>
    <w:rsid w:val="7262870F"/>
    <w:rsid w:val="72641210"/>
    <w:rsid w:val="72819FF3"/>
    <w:rsid w:val="7289E7D1"/>
    <w:rsid w:val="728A625B"/>
    <w:rsid w:val="729147D2"/>
    <w:rsid w:val="72931E6B"/>
    <w:rsid w:val="729D31AB"/>
    <w:rsid w:val="72A66A1D"/>
    <w:rsid w:val="72ACB33A"/>
    <w:rsid w:val="72B17D6E"/>
    <w:rsid w:val="72C23C64"/>
    <w:rsid w:val="72D2355B"/>
    <w:rsid w:val="72D51D9D"/>
    <w:rsid w:val="72D66547"/>
    <w:rsid w:val="72F4F0BE"/>
    <w:rsid w:val="73069D9A"/>
    <w:rsid w:val="73167C51"/>
    <w:rsid w:val="73227723"/>
    <w:rsid w:val="7323FCB5"/>
    <w:rsid w:val="7349394A"/>
    <w:rsid w:val="739EA166"/>
    <w:rsid w:val="739FDD51"/>
    <w:rsid w:val="73B0C11B"/>
    <w:rsid w:val="73BB4190"/>
    <w:rsid w:val="73C7FEC6"/>
    <w:rsid w:val="73D48A7F"/>
    <w:rsid w:val="73DB3A46"/>
    <w:rsid w:val="73DC55A3"/>
    <w:rsid w:val="73DCA90E"/>
    <w:rsid w:val="73DD3D03"/>
    <w:rsid w:val="73FA8F1B"/>
    <w:rsid w:val="74006BB8"/>
    <w:rsid w:val="74055CFE"/>
    <w:rsid w:val="742F219D"/>
    <w:rsid w:val="74390731"/>
    <w:rsid w:val="74422D5A"/>
    <w:rsid w:val="744A7A46"/>
    <w:rsid w:val="7461FCD1"/>
    <w:rsid w:val="7462B3C0"/>
    <w:rsid w:val="747705BA"/>
    <w:rsid w:val="7478D3A8"/>
    <w:rsid w:val="747F598E"/>
    <w:rsid w:val="7481A2C2"/>
    <w:rsid w:val="7485B282"/>
    <w:rsid w:val="7498503B"/>
    <w:rsid w:val="74A53ECA"/>
    <w:rsid w:val="74B0256B"/>
    <w:rsid w:val="74B195F3"/>
    <w:rsid w:val="74B24CB2"/>
    <w:rsid w:val="74B986E3"/>
    <w:rsid w:val="74C0645F"/>
    <w:rsid w:val="74C60239"/>
    <w:rsid w:val="74D515D5"/>
    <w:rsid w:val="74E4523C"/>
    <w:rsid w:val="74E91AF2"/>
    <w:rsid w:val="74F033EE"/>
    <w:rsid w:val="74F77411"/>
    <w:rsid w:val="74F9E637"/>
    <w:rsid w:val="74FD28AB"/>
    <w:rsid w:val="74FF144F"/>
    <w:rsid w:val="7507581B"/>
    <w:rsid w:val="7508A150"/>
    <w:rsid w:val="751899B9"/>
    <w:rsid w:val="75316C3E"/>
    <w:rsid w:val="753BAD83"/>
    <w:rsid w:val="753C67B7"/>
    <w:rsid w:val="754297B7"/>
    <w:rsid w:val="755941E1"/>
    <w:rsid w:val="755E4CCD"/>
    <w:rsid w:val="756361E7"/>
    <w:rsid w:val="756558D3"/>
    <w:rsid w:val="7565B070"/>
    <w:rsid w:val="75679D5E"/>
    <w:rsid w:val="7577D63A"/>
    <w:rsid w:val="757E32C5"/>
    <w:rsid w:val="758CAD0E"/>
    <w:rsid w:val="758D728E"/>
    <w:rsid w:val="7592B302"/>
    <w:rsid w:val="759D00E8"/>
    <w:rsid w:val="75AF0A93"/>
    <w:rsid w:val="75B3509E"/>
    <w:rsid w:val="75B7B937"/>
    <w:rsid w:val="75BF5473"/>
    <w:rsid w:val="75C1CDA0"/>
    <w:rsid w:val="75C98FD0"/>
    <w:rsid w:val="75CD4AB0"/>
    <w:rsid w:val="75D7CA75"/>
    <w:rsid w:val="75EA6B5C"/>
    <w:rsid w:val="75FFD5D3"/>
    <w:rsid w:val="76086FE4"/>
    <w:rsid w:val="76144FC2"/>
    <w:rsid w:val="761B2EFF"/>
    <w:rsid w:val="761DA746"/>
    <w:rsid w:val="763635DE"/>
    <w:rsid w:val="76391D31"/>
    <w:rsid w:val="764396EC"/>
    <w:rsid w:val="765B3C38"/>
    <w:rsid w:val="765FD532"/>
    <w:rsid w:val="7664EBC3"/>
    <w:rsid w:val="767D4343"/>
    <w:rsid w:val="768B06DE"/>
    <w:rsid w:val="76A0A920"/>
    <w:rsid w:val="76AFE31B"/>
    <w:rsid w:val="76BF468E"/>
    <w:rsid w:val="76CB445A"/>
    <w:rsid w:val="76CE9412"/>
    <w:rsid w:val="76D527D1"/>
    <w:rsid w:val="76FA575C"/>
    <w:rsid w:val="76FCACE4"/>
    <w:rsid w:val="77013B47"/>
    <w:rsid w:val="77087D3F"/>
    <w:rsid w:val="77272D24"/>
    <w:rsid w:val="772D3F43"/>
    <w:rsid w:val="7732ACF4"/>
    <w:rsid w:val="77414B36"/>
    <w:rsid w:val="774C37D4"/>
    <w:rsid w:val="775E4DB3"/>
    <w:rsid w:val="77656031"/>
    <w:rsid w:val="77788E1A"/>
    <w:rsid w:val="777B0B2B"/>
    <w:rsid w:val="777C587B"/>
    <w:rsid w:val="7791FEDD"/>
    <w:rsid w:val="779777F3"/>
    <w:rsid w:val="77B2B2D5"/>
    <w:rsid w:val="77BD2B57"/>
    <w:rsid w:val="77BDE444"/>
    <w:rsid w:val="77BF65B0"/>
    <w:rsid w:val="77C63CE9"/>
    <w:rsid w:val="77CBDAB7"/>
    <w:rsid w:val="77CD5D79"/>
    <w:rsid w:val="77D19F54"/>
    <w:rsid w:val="77D95746"/>
    <w:rsid w:val="77E0E431"/>
    <w:rsid w:val="77E15DB1"/>
    <w:rsid w:val="77E3F6C6"/>
    <w:rsid w:val="77EDFBBB"/>
    <w:rsid w:val="77EF57AA"/>
    <w:rsid w:val="77F5A9DA"/>
    <w:rsid w:val="77F7B0F8"/>
    <w:rsid w:val="780E32BC"/>
    <w:rsid w:val="7814220C"/>
    <w:rsid w:val="781B1968"/>
    <w:rsid w:val="782D6304"/>
    <w:rsid w:val="782D6D9C"/>
    <w:rsid w:val="782EBFF0"/>
    <w:rsid w:val="7832395B"/>
    <w:rsid w:val="784019F4"/>
    <w:rsid w:val="78442F40"/>
    <w:rsid w:val="78464721"/>
    <w:rsid w:val="7860BFF0"/>
    <w:rsid w:val="786BEED7"/>
    <w:rsid w:val="787184C4"/>
    <w:rsid w:val="78870EED"/>
    <w:rsid w:val="7890E462"/>
    <w:rsid w:val="789A577A"/>
    <w:rsid w:val="789EFD66"/>
    <w:rsid w:val="78A1F7BF"/>
    <w:rsid w:val="78A7D157"/>
    <w:rsid w:val="78A883ED"/>
    <w:rsid w:val="78B02623"/>
    <w:rsid w:val="78B3C486"/>
    <w:rsid w:val="78B3D548"/>
    <w:rsid w:val="78BBE2E1"/>
    <w:rsid w:val="78BCDA99"/>
    <w:rsid w:val="78BD313D"/>
    <w:rsid w:val="78C104A1"/>
    <w:rsid w:val="78CC54F7"/>
    <w:rsid w:val="78D169C6"/>
    <w:rsid w:val="78D7AD9F"/>
    <w:rsid w:val="78E0B38F"/>
    <w:rsid w:val="78E5C954"/>
    <w:rsid w:val="78F09D26"/>
    <w:rsid w:val="78F2F257"/>
    <w:rsid w:val="78F9069E"/>
    <w:rsid w:val="791071D2"/>
    <w:rsid w:val="791F58A4"/>
    <w:rsid w:val="792DDAE8"/>
    <w:rsid w:val="792E0587"/>
    <w:rsid w:val="7934B1B9"/>
    <w:rsid w:val="7935A5CF"/>
    <w:rsid w:val="793919F6"/>
    <w:rsid w:val="79530847"/>
    <w:rsid w:val="7955FE95"/>
    <w:rsid w:val="796A7B49"/>
    <w:rsid w:val="7970B21E"/>
    <w:rsid w:val="797B33A0"/>
    <w:rsid w:val="798AC66E"/>
    <w:rsid w:val="7992501F"/>
    <w:rsid w:val="79A1140C"/>
    <w:rsid w:val="79A30063"/>
    <w:rsid w:val="79AA498C"/>
    <w:rsid w:val="79C70856"/>
    <w:rsid w:val="79CBBFAE"/>
    <w:rsid w:val="79E05ABC"/>
    <w:rsid w:val="79E30087"/>
    <w:rsid w:val="79E5F22F"/>
    <w:rsid w:val="79E605CF"/>
    <w:rsid w:val="79E723BD"/>
    <w:rsid w:val="79F0F571"/>
    <w:rsid w:val="79F50D82"/>
    <w:rsid w:val="79F86F2D"/>
    <w:rsid w:val="79FD2153"/>
    <w:rsid w:val="7A006383"/>
    <w:rsid w:val="7A01AE0F"/>
    <w:rsid w:val="7A04AA4B"/>
    <w:rsid w:val="7A052B6C"/>
    <w:rsid w:val="7A39A5CB"/>
    <w:rsid w:val="7A3D0988"/>
    <w:rsid w:val="7A43BA5E"/>
    <w:rsid w:val="7A78E74B"/>
    <w:rsid w:val="7A7AFFB0"/>
    <w:rsid w:val="7A8270F0"/>
    <w:rsid w:val="7A82C707"/>
    <w:rsid w:val="7A866F6D"/>
    <w:rsid w:val="7A95367A"/>
    <w:rsid w:val="7A9E7C1A"/>
    <w:rsid w:val="7AA0BBD3"/>
    <w:rsid w:val="7AB33F0E"/>
    <w:rsid w:val="7AB629BD"/>
    <w:rsid w:val="7ABAEF1A"/>
    <w:rsid w:val="7ABD8E27"/>
    <w:rsid w:val="7ADF0F50"/>
    <w:rsid w:val="7AE6B314"/>
    <w:rsid w:val="7AE9A6E1"/>
    <w:rsid w:val="7AEFB556"/>
    <w:rsid w:val="7AF43040"/>
    <w:rsid w:val="7AFA16F8"/>
    <w:rsid w:val="7B0BB5E1"/>
    <w:rsid w:val="7B164012"/>
    <w:rsid w:val="7B1E7940"/>
    <w:rsid w:val="7B2377A3"/>
    <w:rsid w:val="7B246DD4"/>
    <w:rsid w:val="7B2B0F21"/>
    <w:rsid w:val="7B2B6E8D"/>
    <w:rsid w:val="7B401DD3"/>
    <w:rsid w:val="7B40A09F"/>
    <w:rsid w:val="7B6FF01D"/>
    <w:rsid w:val="7B862346"/>
    <w:rsid w:val="7B8A3256"/>
    <w:rsid w:val="7B8A4693"/>
    <w:rsid w:val="7B8DD615"/>
    <w:rsid w:val="7B95E1BD"/>
    <w:rsid w:val="7B98FCE8"/>
    <w:rsid w:val="7BB073B5"/>
    <w:rsid w:val="7BDEE614"/>
    <w:rsid w:val="7BE2DE73"/>
    <w:rsid w:val="7BECD93A"/>
    <w:rsid w:val="7BEF015C"/>
    <w:rsid w:val="7BF299CF"/>
    <w:rsid w:val="7BFB8F92"/>
    <w:rsid w:val="7BFE4239"/>
    <w:rsid w:val="7C0BDA77"/>
    <w:rsid w:val="7C10948F"/>
    <w:rsid w:val="7C1DD952"/>
    <w:rsid w:val="7C252D8F"/>
    <w:rsid w:val="7C31FD8B"/>
    <w:rsid w:val="7C3438A1"/>
    <w:rsid w:val="7C34C62F"/>
    <w:rsid w:val="7C3BB0C4"/>
    <w:rsid w:val="7C412DBC"/>
    <w:rsid w:val="7C43C418"/>
    <w:rsid w:val="7C51988E"/>
    <w:rsid w:val="7C581DD2"/>
    <w:rsid w:val="7C6842A7"/>
    <w:rsid w:val="7C71869A"/>
    <w:rsid w:val="7C727EAD"/>
    <w:rsid w:val="7C730740"/>
    <w:rsid w:val="7C80E9EA"/>
    <w:rsid w:val="7C897F74"/>
    <w:rsid w:val="7C94B450"/>
    <w:rsid w:val="7CA705A1"/>
    <w:rsid w:val="7CC8AE52"/>
    <w:rsid w:val="7CD66B17"/>
    <w:rsid w:val="7CE251AF"/>
    <w:rsid w:val="7CEB4D73"/>
    <w:rsid w:val="7D00B230"/>
    <w:rsid w:val="7D01AA14"/>
    <w:rsid w:val="7D04C110"/>
    <w:rsid w:val="7D0C091A"/>
    <w:rsid w:val="7D0F8A3C"/>
    <w:rsid w:val="7D162EDE"/>
    <w:rsid w:val="7D21FFB7"/>
    <w:rsid w:val="7D23CD10"/>
    <w:rsid w:val="7D2826AF"/>
    <w:rsid w:val="7D2A7281"/>
    <w:rsid w:val="7D2E5B1C"/>
    <w:rsid w:val="7D331479"/>
    <w:rsid w:val="7D35AA6A"/>
    <w:rsid w:val="7D35BED8"/>
    <w:rsid w:val="7D37A968"/>
    <w:rsid w:val="7D5A2A5D"/>
    <w:rsid w:val="7D62BD57"/>
    <w:rsid w:val="7D736699"/>
    <w:rsid w:val="7D7ABF60"/>
    <w:rsid w:val="7D841F49"/>
    <w:rsid w:val="7D8E2E83"/>
    <w:rsid w:val="7DA1495E"/>
    <w:rsid w:val="7DA9B7EF"/>
    <w:rsid w:val="7DAD1282"/>
    <w:rsid w:val="7DB2251E"/>
    <w:rsid w:val="7DDFE41F"/>
    <w:rsid w:val="7DE5FF9E"/>
    <w:rsid w:val="7DF622E4"/>
    <w:rsid w:val="7DF8FA17"/>
    <w:rsid w:val="7DFF68DD"/>
    <w:rsid w:val="7E0C55E9"/>
    <w:rsid w:val="7E268E1C"/>
    <w:rsid w:val="7E28903C"/>
    <w:rsid w:val="7E4932F0"/>
    <w:rsid w:val="7E531053"/>
    <w:rsid w:val="7E60E220"/>
    <w:rsid w:val="7E843C4A"/>
    <w:rsid w:val="7E90A2CA"/>
    <w:rsid w:val="7E95CA9E"/>
    <w:rsid w:val="7EA9785E"/>
    <w:rsid w:val="7EB14823"/>
    <w:rsid w:val="7EB18D5D"/>
    <w:rsid w:val="7EB1FF3F"/>
    <w:rsid w:val="7EBB7217"/>
    <w:rsid w:val="7EBEDE25"/>
    <w:rsid w:val="7EC9F8AC"/>
    <w:rsid w:val="7ED0C2D9"/>
    <w:rsid w:val="7ED5E146"/>
    <w:rsid w:val="7EE5E794"/>
    <w:rsid w:val="7EF2F07D"/>
    <w:rsid w:val="7EF4CE7E"/>
    <w:rsid w:val="7EFD6AB9"/>
    <w:rsid w:val="7EFFDC69"/>
    <w:rsid w:val="7F06AC6E"/>
    <w:rsid w:val="7F08F8F4"/>
    <w:rsid w:val="7F0988C5"/>
    <w:rsid w:val="7F1403FF"/>
    <w:rsid w:val="7F156534"/>
    <w:rsid w:val="7F18BC26"/>
    <w:rsid w:val="7F1AB832"/>
    <w:rsid w:val="7F238B9F"/>
    <w:rsid w:val="7F25A558"/>
    <w:rsid w:val="7F471D0C"/>
    <w:rsid w:val="7F4B4818"/>
    <w:rsid w:val="7F4FF0B3"/>
    <w:rsid w:val="7F526A99"/>
    <w:rsid w:val="7F65F119"/>
    <w:rsid w:val="7F69884F"/>
    <w:rsid w:val="7F6AA884"/>
    <w:rsid w:val="7F6E159E"/>
    <w:rsid w:val="7F6ED23E"/>
    <w:rsid w:val="7F70E371"/>
    <w:rsid w:val="7F7EE596"/>
    <w:rsid w:val="7F8B4625"/>
    <w:rsid w:val="7FAEB9DC"/>
    <w:rsid w:val="7FC41110"/>
    <w:rsid w:val="7FCE1BFC"/>
    <w:rsid w:val="7FD6A2C2"/>
    <w:rsid w:val="7FE8E16D"/>
    <w:rsid w:val="7FFDC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05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436EB4"/>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436EB4"/>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436EB4"/>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307E"/>
    <w:rPr>
      <w:color w:val="0000FF"/>
      <w:u w:val="single"/>
      <w:shd w:val="clear" w:color="auto" w:fill="auto"/>
    </w:rPr>
  </w:style>
  <w:style w:type="paragraph" w:styleId="ListBullet">
    <w:name w:val="List Bullet"/>
    <w:basedOn w:val="Normal"/>
    <w:uiPriority w:val="99"/>
    <w:semiHidden/>
    <w:unhideWhenUsed/>
    <w:rsid w:val="000B5EEF"/>
    <w:pPr>
      <w:numPr>
        <w:numId w:val="2"/>
      </w:numPr>
      <w:contextualSpacing/>
    </w:pPr>
  </w:style>
  <w:style w:type="paragraph" w:styleId="ListBullet2">
    <w:name w:val="List Bullet 2"/>
    <w:basedOn w:val="Normal"/>
    <w:uiPriority w:val="99"/>
    <w:semiHidden/>
    <w:unhideWhenUsed/>
    <w:rsid w:val="000B5EEF"/>
    <w:pPr>
      <w:numPr>
        <w:numId w:val="3"/>
      </w:numPr>
      <w:contextualSpacing/>
    </w:pPr>
  </w:style>
  <w:style w:type="paragraph" w:styleId="ListBullet3">
    <w:name w:val="List Bullet 3"/>
    <w:basedOn w:val="Normal"/>
    <w:uiPriority w:val="99"/>
    <w:semiHidden/>
    <w:unhideWhenUsed/>
    <w:rsid w:val="000B5EEF"/>
    <w:pPr>
      <w:numPr>
        <w:numId w:val="4"/>
      </w:numPr>
      <w:contextualSpacing/>
    </w:pPr>
  </w:style>
  <w:style w:type="paragraph" w:styleId="ListBullet4">
    <w:name w:val="List Bullet 4"/>
    <w:basedOn w:val="Normal"/>
    <w:uiPriority w:val="99"/>
    <w:semiHidden/>
    <w:unhideWhenUsed/>
    <w:rsid w:val="000B5EEF"/>
    <w:pPr>
      <w:numPr>
        <w:numId w:val="5"/>
      </w:numPr>
      <w:contextualSpacing/>
    </w:pPr>
  </w:style>
  <w:style w:type="character" w:styleId="CommentReference">
    <w:name w:val="annotation reference"/>
    <w:basedOn w:val="DefaultParagraphFont"/>
    <w:uiPriority w:val="99"/>
    <w:semiHidden/>
    <w:unhideWhenUsed/>
    <w:rsid w:val="000B5EEF"/>
    <w:rPr>
      <w:sz w:val="16"/>
      <w:szCs w:val="16"/>
    </w:rPr>
  </w:style>
  <w:style w:type="paragraph" w:styleId="CommentText">
    <w:name w:val="annotation text"/>
    <w:basedOn w:val="Normal"/>
    <w:link w:val="CommentTextChar"/>
    <w:uiPriority w:val="99"/>
    <w:unhideWhenUsed/>
    <w:rsid w:val="000B5EEF"/>
    <w:rPr>
      <w:sz w:val="20"/>
      <w:szCs w:val="20"/>
    </w:rPr>
  </w:style>
  <w:style w:type="character" w:customStyle="1" w:styleId="CommentTextChar">
    <w:name w:val="Comment Text Char"/>
    <w:basedOn w:val="DefaultParagraphFont"/>
    <w:link w:val="CommentText"/>
    <w:uiPriority w:val="99"/>
    <w:rsid w:val="000B5EE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61227"/>
    <w:rPr>
      <w:b/>
      <w:bCs/>
    </w:rPr>
  </w:style>
  <w:style w:type="character" w:customStyle="1" w:styleId="CommentSubjectChar">
    <w:name w:val="Comment Subject Char"/>
    <w:basedOn w:val="CommentTextChar"/>
    <w:link w:val="CommentSubject"/>
    <w:uiPriority w:val="99"/>
    <w:semiHidden/>
    <w:rsid w:val="00961227"/>
    <w:rPr>
      <w:rFonts w:ascii="Times New Roman" w:hAnsi="Times New Roman" w:cs="Times New Roman"/>
      <w:b/>
      <w:bCs/>
      <w:sz w:val="20"/>
      <w:szCs w:val="20"/>
      <w:lang w:val="en-GB"/>
    </w:rPr>
  </w:style>
  <w:style w:type="paragraph" w:styleId="Revision">
    <w:name w:val="Revision"/>
    <w:hidden/>
    <w:uiPriority w:val="99"/>
    <w:semiHidden/>
    <w:rsid w:val="003046BE"/>
    <w:pPr>
      <w:spacing w:after="0" w:line="240" w:lineRule="auto"/>
    </w:pPr>
    <w:rPr>
      <w:rFonts w:ascii="Times New Roman" w:hAnsi="Times New Roman" w:cs="Times New Roman"/>
      <w:sz w:val="24"/>
      <w:lang w:val="en-GB"/>
    </w:rPr>
  </w:style>
  <w:style w:type="character" w:customStyle="1" w:styleId="UnresolvedMention1">
    <w:name w:val="Unresolved Mention1"/>
    <w:basedOn w:val="DefaultParagraphFont"/>
    <w:uiPriority w:val="99"/>
    <w:semiHidden/>
    <w:unhideWhenUsed/>
    <w:rsid w:val="00E82302"/>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sid w:val="009A5F27"/>
    <w:rPr>
      <w:color w:val="2B579A"/>
      <w:shd w:val="clear" w:color="auto" w:fill="E1DFDD"/>
    </w:rPr>
  </w:style>
  <w:style w:type="character" w:customStyle="1" w:styleId="normaltextrun">
    <w:name w:val="normaltextrun"/>
    <w:basedOn w:val="DefaultParagraphFont"/>
    <w:rsid w:val="001C539E"/>
  </w:style>
  <w:style w:type="paragraph" w:customStyle="1" w:styleId="pf0">
    <w:name w:val="pf0"/>
    <w:basedOn w:val="Normal"/>
    <w:rsid w:val="004800A4"/>
    <w:pPr>
      <w:spacing w:before="100" w:beforeAutospacing="1" w:after="100" w:afterAutospacing="1"/>
      <w:jc w:val="left"/>
    </w:pPr>
    <w:rPr>
      <w:rFonts w:eastAsia="Times New Roman"/>
      <w:szCs w:val="24"/>
      <w:lang w:val="en-IE" w:eastAsia="en-IE"/>
    </w:rPr>
  </w:style>
  <w:style w:type="character" w:customStyle="1" w:styleId="cf01">
    <w:name w:val="cf01"/>
    <w:basedOn w:val="DefaultParagraphFont"/>
    <w:rsid w:val="004800A4"/>
    <w:rPr>
      <w:rFonts w:ascii="Segoe UI" w:hAnsi="Segoe UI" w:cs="Segoe UI" w:hint="default"/>
      <w:i/>
      <w:iCs/>
      <w:sz w:val="18"/>
      <w:szCs w:val="18"/>
      <w:shd w:val="clear" w:color="auto" w:fill="00FFFF"/>
    </w:rPr>
  </w:style>
  <w:style w:type="paragraph" w:styleId="BalloonText">
    <w:name w:val="Balloon Text"/>
    <w:basedOn w:val="Normal"/>
    <w:link w:val="BalloonTextChar"/>
    <w:uiPriority w:val="99"/>
    <w:semiHidden/>
    <w:unhideWhenUsed/>
    <w:rsid w:val="007225F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5FB"/>
    <w:rPr>
      <w:rFonts w:ascii="Segoe UI" w:hAnsi="Segoe UI" w:cs="Segoe UI"/>
      <w:sz w:val="18"/>
      <w:szCs w:val="18"/>
      <w:lang w:val="en-GB"/>
    </w:rPr>
  </w:style>
  <w:style w:type="character" w:styleId="FollowedHyperlink">
    <w:name w:val="FollowedHyperlink"/>
    <w:basedOn w:val="DefaultParagraphFont"/>
    <w:uiPriority w:val="99"/>
    <w:semiHidden/>
    <w:unhideWhenUsed/>
    <w:rsid w:val="000147BF"/>
    <w:rPr>
      <w:color w:val="800080" w:themeColor="followedHyperlink"/>
      <w:u w:val="single"/>
    </w:rPr>
  </w:style>
  <w:style w:type="character" w:customStyle="1" w:styleId="UnresolvedMention2">
    <w:name w:val="Unresolved Mention2"/>
    <w:basedOn w:val="DefaultParagraphFont"/>
    <w:uiPriority w:val="99"/>
    <w:semiHidden/>
    <w:unhideWhenUsed/>
    <w:rsid w:val="00826808"/>
    <w:rPr>
      <w:color w:val="605E5C"/>
      <w:shd w:val="clear" w:color="auto" w:fill="E1DFDD"/>
    </w:rPr>
  </w:style>
  <w:style w:type="character" w:customStyle="1" w:styleId="Mention2">
    <w:name w:val="Mention2"/>
    <w:basedOn w:val="DefaultParagraphFont"/>
    <w:uiPriority w:val="99"/>
    <w:unhideWhenUsed/>
    <w:rsid w:val="00686CAF"/>
    <w:rPr>
      <w:color w:val="2B579A"/>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854A4D"/>
    <w:pPr>
      <w:spacing w:before="0" w:after="160" w:line="240" w:lineRule="exact"/>
    </w:pPr>
    <w:rPr>
      <w:rFonts w:asciiTheme="minorHAnsi" w:hAnsiTheme="minorHAnsi" w:cstheme="minorBidi"/>
      <w:sz w:val="22"/>
      <w:vertAlign w:val="superscript"/>
      <w:lang w:val="en-US"/>
    </w:rPr>
  </w:style>
  <w:style w:type="character" w:customStyle="1" w:styleId="eop">
    <w:name w:val="eop"/>
    <w:basedOn w:val="DefaultParagraphFont"/>
    <w:rsid w:val="00DE1084"/>
  </w:style>
  <w:style w:type="paragraph" w:styleId="Header">
    <w:name w:val="header"/>
    <w:basedOn w:val="Normal"/>
    <w:link w:val="HeaderChar"/>
    <w:uiPriority w:val="99"/>
    <w:unhideWhenUsed/>
    <w:rsid w:val="00297CFA"/>
    <w:pPr>
      <w:tabs>
        <w:tab w:val="center" w:pos="4535"/>
        <w:tab w:val="right" w:pos="9071"/>
      </w:tabs>
      <w:spacing w:before="0"/>
    </w:pPr>
  </w:style>
  <w:style w:type="character" w:customStyle="1" w:styleId="HeaderChar">
    <w:name w:val="Header Char"/>
    <w:basedOn w:val="DefaultParagraphFont"/>
    <w:link w:val="Header"/>
    <w:uiPriority w:val="99"/>
    <w:rsid w:val="00297CFA"/>
    <w:rPr>
      <w:rFonts w:ascii="Times New Roman" w:hAnsi="Times New Roman" w:cs="Times New Roman"/>
      <w:sz w:val="24"/>
      <w:lang w:val="en-GB"/>
    </w:rPr>
  </w:style>
  <w:style w:type="paragraph" w:styleId="Footer">
    <w:name w:val="footer"/>
    <w:basedOn w:val="Normal"/>
    <w:link w:val="FooterChar"/>
    <w:uiPriority w:val="99"/>
    <w:unhideWhenUsed/>
    <w:rsid w:val="00297CF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97CFA"/>
    <w:rPr>
      <w:rFonts w:ascii="Times New Roman" w:hAnsi="Times New Roman" w:cs="Times New Roman"/>
      <w:sz w:val="24"/>
      <w:lang w:val="en-GB"/>
    </w:rPr>
  </w:style>
  <w:style w:type="paragraph" w:styleId="FootnoteText">
    <w:name w:val="footnote text"/>
    <w:aliases w:val="Footnote style,M Footnotes,Fußnotentextf,Footnote,Fußnote,Char Char Car,Note de bas de page Car Car Car Car Car Car Car Car Car Car,Note de bas de page Car Car Car Car,Note de bas de page Car Car Car Car Car Car Car Car Car,ft,fn,o,f"/>
    <w:basedOn w:val="Normal"/>
    <w:link w:val="FootnoteTextChar"/>
    <w:uiPriority w:val="99"/>
    <w:semiHidden/>
    <w:unhideWhenUsed/>
    <w:qFormat/>
    <w:pPr>
      <w:spacing w:before="0" w:after="0"/>
      <w:ind w:left="720" w:hanging="720"/>
    </w:pPr>
    <w:rPr>
      <w:sz w:val="20"/>
      <w:szCs w:val="20"/>
    </w:rPr>
  </w:style>
  <w:style w:type="character" w:customStyle="1" w:styleId="FootnoteTextChar">
    <w:name w:val="Footnote Text Char"/>
    <w:aliases w:val="Footnote style Char,M Footnotes Char,Fußnotentextf Char,Footnote Char,Fußnote Char,Char Char Car Char,Note de bas de page Car Car Car Car Car Car Car Car Car Car Char,Note de bas de page Car Car Car Car Char,ft Char,fn Char,o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436EB4"/>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436EB4"/>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436EB4"/>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rsid w:val="00436EB4"/>
    <w:pPr>
      <w:tabs>
        <w:tab w:val="right" w:leader="dot" w:pos="9071"/>
      </w:tabs>
      <w:ind w:left="1417" w:hanging="1417"/>
      <w:jc w:val="left"/>
    </w:pPr>
  </w:style>
  <w:style w:type="paragraph" w:customStyle="1" w:styleId="HeaderLandscape">
    <w:name w:val="HeaderLandscape"/>
    <w:basedOn w:val="Normal"/>
    <w:rsid w:val="00297CFA"/>
    <w:pPr>
      <w:tabs>
        <w:tab w:val="center" w:pos="7285"/>
        <w:tab w:val="right" w:pos="14003"/>
      </w:tabs>
      <w:spacing w:before="0"/>
    </w:pPr>
  </w:style>
  <w:style w:type="paragraph" w:customStyle="1" w:styleId="FooterLandscape">
    <w:name w:val="FooterLandscape"/>
    <w:basedOn w:val="Normal"/>
    <w:rsid w:val="00297CF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symbolCarZchn"/>
    <w:unhideWhenUsed/>
    <w:rPr>
      <w:shd w:val="clear" w:color="auto" w:fill="auto"/>
      <w:vertAlign w:val="superscript"/>
    </w:rPr>
  </w:style>
  <w:style w:type="paragraph" w:customStyle="1" w:styleId="HeaderSensitivity">
    <w:name w:val="Header Sensitivity"/>
    <w:basedOn w:val="Normal"/>
    <w:rsid w:val="00297CF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97CFA"/>
    <w:pPr>
      <w:spacing w:before="0"/>
      <w:jc w:val="right"/>
    </w:pPr>
    <w:rPr>
      <w:sz w:val="28"/>
    </w:rPr>
  </w:style>
  <w:style w:type="paragraph" w:customStyle="1" w:styleId="FooterSensitivity">
    <w:name w:val="Footer Sensitivity"/>
    <w:basedOn w:val="Normal"/>
    <w:rsid w:val="00297CF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rsid w:val="00436EB4"/>
    <w:pPr>
      <w:ind w:left="3118"/>
    </w:pPr>
  </w:style>
  <w:style w:type="paragraph" w:customStyle="1" w:styleId="Text6">
    <w:name w:val="Text 6"/>
    <w:basedOn w:val="Normal"/>
    <w:rsid w:val="00436EB4"/>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rsid w:val="00436EB4"/>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rsid w:val="00436EB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4"/>
      </w:numPr>
    </w:pPr>
  </w:style>
  <w:style w:type="paragraph" w:customStyle="1" w:styleId="NumPar2">
    <w:name w:val="NumPar 2"/>
    <w:basedOn w:val="Normal"/>
    <w:next w:val="Text1"/>
    <w:pPr>
      <w:numPr>
        <w:ilvl w:val="1"/>
        <w:numId w:val="44"/>
      </w:numPr>
    </w:pPr>
  </w:style>
  <w:style w:type="paragraph" w:customStyle="1" w:styleId="NumPar3">
    <w:name w:val="NumPar 3"/>
    <w:basedOn w:val="Normal"/>
    <w:next w:val="Text1"/>
    <w:pPr>
      <w:numPr>
        <w:ilvl w:val="2"/>
        <w:numId w:val="44"/>
      </w:numPr>
    </w:pPr>
  </w:style>
  <w:style w:type="paragraph" w:customStyle="1" w:styleId="NumPar4">
    <w:name w:val="NumPar 4"/>
    <w:basedOn w:val="Normal"/>
    <w:next w:val="Text1"/>
    <w:pPr>
      <w:numPr>
        <w:ilvl w:val="3"/>
        <w:numId w:val="44"/>
      </w:numPr>
    </w:pPr>
  </w:style>
  <w:style w:type="paragraph" w:customStyle="1" w:styleId="NumPar5">
    <w:name w:val="NumPar 5"/>
    <w:basedOn w:val="Normal"/>
    <w:next w:val="Text2"/>
    <w:rsid w:val="00436EB4"/>
    <w:pPr>
      <w:numPr>
        <w:ilvl w:val="4"/>
        <w:numId w:val="44"/>
      </w:numPr>
    </w:pPr>
  </w:style>
  <w:style w:type="paragraph" w:customStyle="1" w:styleId="NumPar6">
    <w:name w:val="NumPar 6"/>
    <w:basedOn w:val="Normal"/>
    <w:next w:val="Text2"/>
    <w:rsid w:val="00436EB4"/>
    <w:pPr>
      <w:numPr>
        <w:ilvl w:val="5"/>
        <w:numId w:val="44"/>
      </w:numPr>
    </w:pPr>
  </w:style>
  <w:style w:type="paragraph" w:customStyle="1" w:styleId="NumPar7">
    <w:name w:val="NumPar 7"/>
    <w:basedOn w:val="Normal"/>
    <w:next w:val="Text2"/>
    <w:rsid w:val="00436EB4"/>
    <w:pPr>
      <w:numPr>
        <w:ilvl w:val="6"/>
        <w:numId w:val="4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rsid w:val="00436EB4"/>
    <w:pPr>
      <w:ind w:left="1417" w:hanging="1417"/>
    </w:pPr>
  </w:style>
  <w:style w:type="paragraph" w:customStyle="1" w:styleId="ManualNumPar6">
    <w:name w:val="Manual NumPar 6"/>
    <w:basedOn w:val="Normal"/>
    <w:next w:val="Text2"/>
    <w:rsid w:val="00436EB4"/>
    <w:pPr>
      <w:ind w:left="1417" w:hanging="1417"/>
    </w:pPr>
  </w:style>
  <w:style w:type="paragraph" w:customStyle="1" w:styleId="ManualNumPar7">
    <w:name w:val="Manual NumPar 7"/>
    <w:basedOn w:val="Normal"/>
    <w:next w:val="Text2"/>
    <w:rsid w:val="00436EB4"/>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rsid w:val="00436EB4"/>
    <w:pPr>
      <w:keepNext/>
      <w:tabs>
        <w:tab w:val="left" w:pos="1417"/>
      </w:tabs>
      <w:ind w:left="1417" w:hanging="1417"/>
      <w:outlineLvl w:val="4"/>
    </w:pPr>
  </w:style>
  <w:style w:type="paragraph" w:customStyle="1" w:styleId="ManualHeading6">
    <w:name w:val="Manual Heading 6"/>
    <w:basedOn w:val="Normal"/>
    <w:next w:val="Text2"/>
    <w:rsid w:val="00436EB4"/>
    <w:pPr>
      <w:keepNext/>
      <w:tabs>
        <w:tab w:val="left" w:pos="1417"/>
      </w:tabs>
      <w:ind w:left="1417" w:hanging="1417"/>
      <w:outlineLvl w:val="5"/>
    </w:pPr>
  </w:style>
  <w:style w:type="paragraph" w:customStyle="1" w:styleId="ManualHeading7">
    <w:name w:val="Manual Heading 7"/>
    <w:basedOn w:val="Normal"/>
    <w:next w:val="Text2"/>
    <w:rsid w:val="00436EB4"/>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0D588D"/>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436EB4"/>
    <w:pPr>
      <w:spacing w:before="0" w:after="0" w:line="276" w:lineRule="auto"/>
      <w:ind w:left="5103"/>
      <w:jc w:val="left"/>
    </w:pPr>
    <w:rPr>
      <w:sz w:val="28"/>
    </w:rPr>
  </w:style>
  <w:style w:type="paragraph" w:customStyle="1" w:styleId="DateMarking">
    <w:name w:val="DateMarking"/>
    <w:basedOn w:val="Normal"/>
    <w:rsid w:val="00436EB4"/>
    <w:pPr>
      <w:spacing w:before="0" w:after="0" w:line="276" w:lineRule="auto"/>
      <w:ind w:left="5103"/>
      <w:jc w:val="left"/>
    </w:pPr>
    <w:rPr>
      <w:i/>
      <w:sz w:val="28"/>
    </w:rPr>
  </w:style>
  <w:style w:type="paragraph" w:customStyle="1" w:styleId="ReleasableTo">
    <w:name w:val="ReleasableTo"/>
    <w:basedOn w:val="Normal"/>
    <w:rsid w:val="00436EB4"/>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customStyle="1" w:styleId="UnresolvedMention3">
    <w:name w:val="Unresolved Mention3"/>
    <w:basedOn w:val="DefaultParagraphFont"/>
    <w:uiPriority w:val="99"/>
    <w:semiHidden/>
    <w:unhideWhenUsed/>
    <w:rsid w:val="00CB1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7122">
      <w:bodyDiv w:val="1"/>
      <w:marLeft w:val="0"/>
      <w:marRight w:val="0"/>
      <w:marTop w:val="0"/>
      <w:marBottom w:val="0"/>
      <w:divBdr>
        <w:top w:val="none" w:sz="0" w:space="0" w:color="auto"/>
        <w:left w:val="none" w:sz="0" w:space="0" w:color="auto"/>
        <w:bottom w:val="none" w:sz="0" w:space="0" w:color="auto"/>
        <w:right w:val="none" w:sz="0" w:space="0" w:color="auto"/>
      </w:divBdr>
    </w:div>
    <w:div w:id="427653198">
      <w:bodyDiv w:val="1"/>
      <w:marLeft w:val="0"/>
      <w:marRight w:val="0"/>
      <w:marTop w:val="0"/>
      <w:marBottom w:val="0"/>
      <w:divBdr>
        <w:top w:val="none" w:sz="0" w:space="0" w:color="auto"/>
        <w:left w:val="none" w:sz="0" w:space="0" w:color="auto"/>
        <w:bottom w:val="none" w:sz="0" w:space="0" w:color="auto"/>
        <w:right w:val="none" w:sz="0" w:space="0" w:color="auto"/>
      </w:divBdr>
    </w:div>
    <w:div w:id="566188861">
      <w:bodyDiv w:val="1"/>
      <w:marLeft w:val="0"/>
      <w:marRight w:val="0"/>
      <w:marTop w:val="0"/>
      <w:marBottom w:val="0"/>
      <w:divBdr>
        <w:top w:val="none" w:sz="0" w:space="0" w:color="auto"/>
        <w:left w:val="none" w:sz="0" w:space="0" w:color="auto"/>
        <w:bottom w:val="none" w:sz="0" w:space="0" w:color="auto"/>
        <w:right w:val="none" w:sz="0" w:space="0" w:color="auto"/>
      </w:divBdr>
    </w:div>
    <w:div w:id="657269791">
      <w:bodyDiv w:val="1"/>
      <w:marLeft w:val="0"/>
      <w:marRight w:val="0"/>
      <w:marTop w:val="0"/>
      <w:marBottom w:val="0"/>
      <w:divBdr>
        <w:top w:val="none" w:sz="0" w:space="0" w:color="auto"/>
        <w:left w:val="none" w:sz="0" w:space="0" w:color="auto"/>
        <w:bottom w:val="none" w:sz="0" w:space="0" w:color="auto"/>
        <w:right w:val="none" w:sz="0" w:space="0" w:color="auto"/>
      </w:divBdr>
    </w:div>
    <w:div w:id="715592698">
      <w:bodyDiv w:val="1"/>
      <w:marLeft w:val="0"/>
      <w:marRight w:val="0"/>
      <w:marTop w:val="0"/>
      <w:marBottom w:val="0"/>
      <w:divBdr>
        <w:top w:val="none" w:sz="0" w:space="0" w:color="auto"/>
        <w:left w:val="none" w:sz="0" w:space="0" w:color="auto"/>
        <w:bottom w:val="none" w:sz="0" w:space="0" w:color="auto"/>
        <w:right w:val="none" w:sz="0" w:space="0" w:color="auto"/>
      </w:divBdr>
    </w:div>
    <w:div w:id="722942443">
      <w:bodyDiv w:val="1"/>
      <w:marLeft w:val="0"/>
      <w:marRight w:val="0"/>
      <w:marTop w:val="0"/>
      <w:marBottom w:val="0"/>
      <w:divBdr>
        <w:top w:val="none" w:sz="0" w:space="0" w:color="auto"/>
        <w:left w:val="none" w:sz="0" w:space="0" w:color="auto"/>
        <w:bottom w:val="none" w:sz="0" w:space="0" w:color="auto"/>
        <w:right w:val="none" w:sz="0" w:space="0" w:color="auto"/>
      </w:divBdr>
      <w:divsChild>
        <w:div w:id="460224875">
          <w:marLeft w:val="0"/>
          <w:marRight w:val="0"/>
          <w:marTop w:val="0"/>
          <w:marBottom w:val="0"/>
          <w:divBdr>
            <w:top w:val="none" w:sz="0" w:space="0" w:color="auto"/>
            <w:left w:val="none" w:sz="0" w:space="0" w:color="auto"/>
            <w:bottom w:val="none" w:sz="0" w:space="0" w:color="auto"/>
            <w:right w:val="none" w:sz="0" w:space="0" w:color="auto"/>
          </w:divBdr>
        </w:div>
        <w:div w:id="882447082">
          <w:marLeft w:val="0"/>
          <w:marRight w:val="0"/>
          <w:marTop w:val="0"/>
          <w:marBottom w:val="0"/>
          <w:divBdr>
            <w:top w:val="none" w:sz="0" w:space="0" w:color="auto"/>
            <w:left w:val="none" w:sz="0" w:space="0" w:color="auto"/>
            <w:bottom w:val="none" w:sz="0" w:space="0" w:color="auto"/>
            <w:right w:val="none" w:sz="0" w:space="0" w:color="auto"/>
          </w:divBdr>
        </w:div>
      </w:divsChild>
    </w:div>
    <w:div w:id="793446530">
      <w:bodyDiv w:val="1"/>
      <w:marLeft w:val="0"/>
      <w:marRight w:val="0"/>
      <w:marTop w:val="0"/>
      <w:marBottom w:val="0"/>
      <w:divBdr>
        <w:top w:val="none" w:sz="0" w:space="0" w:color="auto"/>
        <w:left w:val="none" w:sz="0" w:space="0" w:color="auto"/>
        <w:bottom w:val="none" w:sz="0" w:space="0" w:color="auto"/>
        <w:right w:val="none" w:sz="0" w:space="0" w:color="auto"/>
      </w:divBdr>
    </w:div>
    <w:div w:id="804663230">
      <w:bodyDiv w:val="1"/>
      <w:marLeft w:val="0"/>
      <w:marRight w:val="0"/>
      <w:marTop w:val="0"/>
      <w:marBottom w:val="0"/>
      <w:divBdr>
        <w:top w:val="none" w:sz="0" w:space="0" w:color="auto"/>
        <w:left w:val="none" w:sz="0" w:space="0" w:color="auto"/>
        <w:bottom w:val="none" w:sz="0" w:space="0" w:color="auto"/>
        <w:right w:val="none" w:sz="0" w:space="0" w:color="auto"/>
      </w:divBdr>
    </w:div>
    <w:div w:id="861475376">
      <w:bodyDiv w:val="1"/>
      <w:marLeft w:val="0"/>
      <w:marRight w:val="0"/>
      <w:marTop w:val="0"/>
      <w:marBottom w:val="0"/>
      <w:divBdr>
        <w:top w:val="none" w:sz="0" w:space="0" w:color="auto"/>
        <w:left w:val="none" w:sz="0" w:space="0" w:color="auto"/>
        <w:bottom w:val="none" w:sz="0" w:space="0" w:color="auto"/>
        <w:right w:val="none" w:sz="0" w:space="0" w:color="auto"/>
      </w:divBdr>
    </w:div>
    <w:div w:id="1043211135">
      <w:bodyDiv w:val="1"/>
      <w:marLeft w:val="0"/>
      <w:marRight w:val="0"/>
      <w:marTop w:val="0"/>
      <w:marBottom w:val="0"/>
      <w:divBdr>
        <w:top w:val="none" w:sz="0" w:space="0" w:color="auto"/>
        <w:left w:val="none" w:sz="0" w:space="0" w:color="auto"/>
        <w:bottom w:val="none" w:sz="0" w:space="0" w:color="auto"/>
        <w:right w:val="none" w:sz="0" w:space="0" w:color="auto"/>
      </w:divBdr>
    </w:div>
    <w:div w:id="1061947699">
      <w:bodyDiv w:val="1"/>
      <w:marLeft w:val="0"/>
      <w:marRight w:val="0"/>
      <w:marTop w:val="0"/>
      <w:marBottom w:val="0"/>
      <w:divBdr>
        <w:top w:val="none" w:sz="0" w:space="0" w:color="auto"/>
        <w:left w:val="none" w:sz="0" w:space="0" w:color="auto"/>
        <w:bottom w:val="none" w:sz="0" w:space="0" w:color="auto"/>
        <w:right w:val="none" w:sz="0" w:space="0" w:color="auto"/>
      </w:divBdr>
    </w:div>
    <w:div w:id="1062289522">
      <w:bodyDiv w:val="1"/>
      <w:marLeft w:val="0"/>
      <w:marRight w:val="0"/>
      <w:marTop w:val="0"/>
      <w:marBottom w:val="0"/>
      <w:divBdr>
        <w:top w:val="none" w:sz="0" w:space="0" w:color="auto"/>
        <w:left w:val="none" w:sz="0" w:space="0" w:color="auto"/>
        <w:bottom w:val="none" w:sz="0" w:space="0" w:color="auto"/>
        <w:right w:val="none" w:sz="0" w:space="0" w:color="auto"/>
      </w:divBdr>
    </w:div>
    <w:div w:id="1065110305">
      <w:bodyDiv w:val="1"/>
      <w:marLeft w:val="0"/>
      <w:marRight w:val="0"/>
      <w:marTop w:val="0"/>
      <w:marBottom w:val="0"/>
      <w:divBdr>
        <w:top w:val="none" w:sz="0" w:space="0" w:color="auto"/>
        <w:left w:val="none" w:sz="0" w:space="0" w:color="auto"/>
        <w:bottom w:val="none" w:sz="0" w:space="0" w:color="auto"/>
        <w:right w:val="none" w:sz="0" w:space="0" w:color="auto"/>
      </w:divBdr>
    </w:div>
    <w:div w:id="1111432366">
      <w:bodyDiv w:val="1"/>
      <w:marLeft w:val="0"/>
      <w:marRight w:val="0"/>
      <w:marTop w:val="0"/>
      <w:marBottom w:val="0"/>
      <w:divBdr>
        <w:top w:val="none" w:sz="0" w:space="0" w:color="auto"/>
        <w:left w:val="none" w:sz="0" w:space="0" w:color="auto"/>
        <w:bottom w:val="none" w:sz="0" w:space="0" w:color="auto"/>
        <w:right w:val="none" w:sz="0" w:space="0" w:color="auto"/>
      </w:divBdr>
    </w:div>
    <w:div w:id="1129014694">
      <w:bodyDiv w:val="1"/>
      <w:marLeft w:val="0"/>
      <w:marRight w:val="0"/>
      <w:marTop w:val="0"/>
      <w:marBottom w:val="0"/>
      <w:divBdr>
        <w:top w:val="none" w:sz="0" w:space="0" w:color="auto"/>
        <w:left w:val="none" w:sz="0" w:space="0" w:color="auto"/>
        <w:bottom w:val="none" w:sz="0" w:space="0" w:color="auto"/>
        <w:right w:val="none" w:sz="0" w:space="0" w:color="auto"/>
      </w:divBdr>
    </w:div>
    <w:div w:id="1213423334">
      <w:bodyDiv w:val="1"/>
      <w:marLeft w:val="0"/>
      <w:marRight w:val="0"/>
      <w:marTop w:val="0"/>
      <w:marBottom w:val="0"/>
      <w:divBdr>
        <w:top w:val="none" w:sz="0" w:space="0" w:color="auto"/>
        <w:left w:val="none" w:sz="0" w:space="0" w:color="auto"/>
        <w:bottom w:val="none" w:sz="0" w:space="0" w:color="auto"/>
        <w:right w:val="none" w:sz="0" w:space="0" w:color="auto"/>
      </w:divBdr>
    </w:div>
    <w:div w:id="1242332069">
      <w:bodyDiv w:val="1"/>
      <w:marLeft w:val="0"/>
      <w:marRight w:val="0"/>
      <w:marTop w:val="0"/>
      <w:marBottom w:val="0"/>
      <w:divBdr>
        <w:top w:val="none" w:sz="0" w:space="0" w:color="auto"/>
        <w:left w:val="none" w:sz="0" w:space="0" w:color="auto"/>
        <w:bottom w:val="none" w:sz="0" w:space="0" w:color="auto"/>
        <w:right w:val="none" w:sz="0" w:space="0" w:color="auto"/>
      </w:divBdr>
      <w:divsChild>
        <w:div w:id="383218834">
          <w:marLeft w:val="0"/>
          <w:marRight w:val="0"/>
          <w:marTop w:val="0"/>
          <w:marBottom w:val="0"/>
          <w:divBdr>
            <w:top w:val="none" w:sz="0" w:space="0" w:color="auto"/>
            <w:left w:val="none" w:sz="0" w:space="0" w:color="auto"/>
            <w:bottom w:val="none" w:sz="0" w:space="0" w:color="auto"/>
            <w:right w:val="none" w:sz="0" w:space="0" w:color="auto"/>
          </w:divBdr>
          <w:divsChild>
            <w:div w:id="802772278">
              <w:marLeft w:val="0"/>
              <w:marRight w:val="0"/>
              <w:marTop w:val="0"/>
              <w:marBottom w:val="0"/>
              <w:divBdr>
                <w:top w:val="none" w:sz="0" w:space="0" w:color="auto"/>
                <w:left w:val="none" w:sz="0" w:space="0" w:color="auto"/>
                <w:bottom w:val="none" w:sz="0" w:space="0" w:color="auto"/>
                <w:right w:val="none" w:sz="0" w:space="0" w:color="auto"/>
              </w:divBdr>
              <w:divsChild>
                <w:div w:id="955408295">
                  <w:marLeft w:val="0"/>
                  <w:marRight w:val="0"/>
                  <w:marTop w:val="0"/>
                  <w:marBottom w:val="0"/>
                  <w:divBdr>
                    <w:top w:val="none" w:sz="0" w:space="0" w:color="auto"/>
                    <w:left w:val="none" w:sz="0" w:space="0" w:color="auto"/>
                    <w:bottom w:val="none" w:sz="0" w:space="0" w:color="auto"/>
                    <w:right w:val="none" w:sz="0" w:space="0" w:color="auto"/>
                  </w:divBdr>
                  <w:divsChild>
                    <w:div w:id="74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06209">
      <w:bodyDiv w:val="1"/>
      <w:marLeft w:val="0"/>
      <w:marRight w:val="0"/>
      <w:marTop w:val="0"/>
      <w:marBottom w:val="0"/>
      <w:divBdr>
        <w:top w:val="none" w:sz="0" w:space="0" w:color="auto"/>
        <w:left w:val="none" w:sz="0" w:space="0" w:color="auto"/>
        <w:bottom w:val="none" w:sz="0" w:space="0" w:color="auto"/>
        <w:right w:val="none" w:sz="0" w:space="0" w:color="auto"/>
      </w:divBdr>
    </w:div>
    <w:div w:id="1680421582">
      <w:bodyDiv w:val="1"/>
      <w:marLeft w:val="0"/>
      <w:marRight w:val="0"/>
      <w:marTop w:val="0"/>
      <w:marBottom w:val="0"/>
      <w:divBdr>
        <w:top w:val="none" w:sz="0" w:space="0" w:color="auto"/>
        <w:left w:val="none" w:sz="0" w:space="0" w:color="auto"/>
        <w:bottom w:val="none" w:sz="0" w:space="0" w:color="auto"/>
        <w:right w:val="none" w:sz="0" w:space="0" w:color="auto"/>
      </w:divBdr>
      <w:divsChild>
        <w:div w:id="1972856702">
          <w:marLeft w:val="0"/>
          <w:marRight w:val="0"/>
          <w:marTop w:val="0"/>
          <w:marBottom w:val="0"/>
          <w:divBdr>
            <w:top w:val="none" w:sz="0" w:space="0" w:color="auto"/>
            <w:left w:val="none" w:sz="0" w:space="0" w:color="auto"/>
            <w:bottom w:val="none" w:sz="0" w:space="0" w:color="auto"/>
            <w:right w:val="none" w:sz="0" w:space="0" w:color="auto"/>
          </w:divBdr>
          <w:divsChild>
            <w:div w:id="1178815703">
              <w:marLeft w:val="0"/>
              <w:marRight w:val="0"/>
              <w:marTop w:val="0"/>
              <w:marBottom w:val="0"/>
              <w:divBdr>
                <w:top w:val="none" w:sz="0" w:space="0" w:color="auto"/>
                <w:left w:val="none" w:sz="0" w:space="0" w:color="auto"/>
                <w:bottom w:val="none" w:sz="0" w:space="0" w:color="auto"/>
                <w:right w:val="none" w:sz="0" w:space="0" w:color="auto"/>
              </w:divBdr>
              <w:divsChild>
                <w:div w:id="737678359">
                  <w:marLeft w:val="0"/>
                  <w:marRight w:val="0"/>
                  <w:marTop w:val="0"/>
                  <w:marBottom w:val="0"/>
                  <w:divBdr>
                    <w:top w:val="none" w:sz="0" w:space="0" w:color="auto"/>
                    <w:left w:val="none" w:sz="0" w:space="0" w:color="auto"/>
                    <w:bottom w:val="none" w:sz="0" w:space="0" w:color="auto"/>
                    <w:right w:val="none" w:sz="0" w:space="0" w:color="auto"/>
                  </w:divBdr>
                  <w:divsChild>
                    <w:div w:id="1489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04/38/oj" TargetMode="External"/><Relationship Id="rId13" Type="http://schemas.openxmlformats.org/officeDocument/2006/relationships/hyperlink" Target="http://data.europa.eu/eli/dec/2011/350/oj" TargetMode="External"/><Relationship Id="rId18" Type="http://schemas.openxmlformats.org/officeDocument/2006/relationships/hyperlink" Target="http://data.europa.eu/eli/dir/2014/42/oj" TargetMode="External"/><Relationship Id="rId3" Type="http://schemas.openxmlformats.org/officeDocument/2006/relationships/hyperlink" Target="http://data.europa.eu/eli/dir/2002/90/oj" TargetMode="External"/><Relationship Id="rId7" Type="http://schemas.openxmlformats.org/officeDocument/2006/relationships/hyperlink" Target="http://data.europa.eu/eli/reg/2022/2065/oj" TargetMode="External"/><Relationship Id="rId12" Type="http://schemas.openxmlformats.org/officeDocument/2006/relationships/hyperlink" Target="http://data.europa.eu/eli/dec/1999/437/oj" TargetMode="External"/><Relationship Id="rId17" Type="http://schemas.openxmlformats.org/officeDocument/2006/relationships/hyperlink" Target="http://data.europa.eu/eli/dir/2014/42/oj" TargetMode="External"/><Relationship Id="rId2" Type="http://schemas.openxmlformats.org/officeDocument/2006/relationships/hyperlink" Target="https://ec.europa.eu/commission/presscorner/detail/en/ip_23_3057" TargetMode="External"/><Relationship Id="rId16" Type="http://schemas.openxmlformats.org/officeDocument/2006/relationships/hyperlink" Target="http://data.europa.eu/eli/dec_framw/2008/841/oj" TargetMode="External"/><Relationship Id="rId1" Type="http://schemas.openxmlformats.org/officeDocument/2006/relationships/hyperlink" Target="https://missingmigrants.iom.int/region/mediterranean" TargetMode="External"/><Relationship Id="rId6" Type="http://schemas.openxmlformats.org/officeDocument/2006/relationships/hyperlink" Target="http://data.europa.eu/eli/dec_framw/2009/948/oj" TargetMode="External"/><Relationship Id="rId11" Type="http://schemas.openxmlformats.org/officeDocument/2006/relationships/hyperlink" Target="http://data.europa.eu/eli/agree_internation/1999/439(1)/oj" TargetMode="External"/><Relationship Id="rId5" Type="http://schemas.openxmlformats.org/officeDocument/2006/relationships/hyperlink" Target="http://data.europa.eu/eli/dir/2014/42/oj" TargetMode="External"/><Relationship Id="rId15" Type="http://schemas.openxmlformats.org/officeDocument/2006/relationships/hyperlink" Target="http://data.europa.eu/eli/reg/2016/399/oj" TargetMode="External"/><Relationship Id="rId10" Type="http://schemas.openxmlformats.org/officeDocument/2006/relationships/hyperlink" Target="http://data.europa.eu/eli/dec/2002/192/oj" TargetMode="External"/><Relationship Id="rId19" Type="http://schemas.openxmlformats.org/officeDocument/2006/relationships/hyperlink" Target="http://data.europa.eu/eli/dir/2009/52/oj" TargetMode="External"/><Relationship Id="rId4" Type="http://schemas.openxmlformats.org/officeDocument/2006/relationships/hyperlink" Target="http://data.europa.eu/eli/dec_framw/2002/946/oj" TargetMode="External"/><Relationship Id="rId9" Type="http://schemas.openxmlformats.org/officeDocument/2006/relationships/hyperlink" Target="http://data.europa.eu/eli/treaty/withd_2019(3)/oj" TargetMode="External"/><Relationship Id="rId14" Type="http://schemas.openxmlformats.org/officeDocument/2006/relationships/hyperlink" Target="http://data.europa.eu/eli/dec/2011/350/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CE47D-1652-458C-AE82-14E12225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32</Pages>
  <Words>13480</Words>
  <Characters>74548</Characters>
  <Application>Microsoft Office Word</Application>
  <DocSecurity>0</DocSecurity>
  <Lines>1183</Lines>
  <Paragraphs>372</Paragraphs>
  <ScaleCrop>false</ScaleCrop>
  <Manager/>
  <Company/>
  <LinksUpToDate>false</LinksUpToDate>
  <CharactersWithSpaces>87656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2023-11-25T12:46:00Z</dcterms:created>
  <dcterms:modified xsi:type="dcterms:W3CDTF">2023-11-27T18:44:00Z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2023-11-25T09:10:51Z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15c6faff-a467-444f-8497-d32fdbd69b90</vt:lpwstr>
  </property>
  <property fmtid="{D5CDD505-2E9C-101B-9397-08002B2CF9AE}" pid="8" name="MSIP_Label_6bd9ddd1-4d20-43f6-abfa-fc3c07406f94_ContentBits">
    <vt:lpwstr>0</vt:lpwstr>
  </property>
  <property fmtid="{D5CDD505-2E9C-101B-9397-08002B2CF9AE}" pid="9" name="DQCStatus">
    <vt:lpwstr>Yellow (DQC version 03)</vt:lpwstr>
  </property>
  <property fmtid="{D5CDD505-2E9C-101B-9397-08002B2CF9AE}" pid="10" name="Level of sensitivity">
    <vt:lpwstr>Standard treatment</vt:lpwstr>
  </property>
  <property fmtid="{D5CDD505-2E9C-101B-9397-08002B2CF9AE}" pid="11" name="Category">
    <vt:lpwstr>COM/PL/ORG</vt:lpwstr>
  </property>
  <property fmtid="{D5CDD505-2E9C-101B-9397-08002B2CF9AE}" pid="12" name="Last edi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ies>
</file>