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C7D5" w14:textId="110785FC" w:rsidR="002945E4" w:rsidRDefault="00941CA5" w:rsidP="002945E4">
      <w:pPr>
        <w:pStyle w:val="Pagedecouverture"/>
        <w:rPr>
          <w:noProof/>
          <w:lang w:val="en-GB"/>
        </w:rPr>
      </w:pPr>
      <w:bookmarkStart w:id="0" w:name="LW_BM_COVERPAGE"/>
      <w:r>
        <w:rPr>
          <w:noProof/>
          <w:lang w:val="en-GB"/>
        </w:rPr>
        <w:pict w14:anchorId="2C69F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B7A533D-6316-4C7F-9A17-1173423789EA" style="width:455.4pt;height:324pt">
            <v:imagedata r:id="rId11" o:title=""/>
          </v:shape>
        </w:pict>
      </w:r>
    </w:p>
    <w:bookmarkEnd w:id="0"/>
    <w:p w14:paraId="1F4186A8" w14:textId="77777777" w:rsidR="002945E4" w:rsidRDefault="002945E4" w:rsidP="002945E4">
      <w:pPr>
        <w:rPr>
          <w:noProof/>
          <w:lang w:val="en-GB"/>
        </w:rPr>
        <w:sectPr w:rsidR="002945E4" w:rsidSect="002945E4">
          <w:headerReference w:type="even" r:id="rId12"/>
          <w:headerReference w:type="default" r:id="rId13"/>
          <w:footerReference w:type="even" r:id="rId14"/>
          <w:footerReference w:type="default" r:id="rId15"/>
          <w:headerReference w:type="first" r:id="rId16"/>
          <w:footerReference w:type="first" r:id="rId17"/>
          <w:pgSz w:w="11900" w:h="16840"/>
          <w:pgMar w:top="1134" w:right="1417" w:bottom="1134" w:left="1417" w:header="709" w:footer="709" w:gutter="0"/>
          <w:pgNumType w:start="0"/>
          <w:cols w:space="720"/>
          <w:docGrid w:linePitch="326"/>
        </w:sectPr>
      </w:pPr>
    </w:p>
    <w:p w14:paraId="1B001964" w14:textId="54A3A293" w:rsidR="00766D5D" w:rsidRPr="00AA1EED" w:rsidRDefault="00147117" w:rsidP="00F7784F">
      <w:pPr>
        <w:pStyle w:val="Body"/>
        <w:keepNext/>
        <w:numPr>
          <w:ilvl w:val="0"/>
          <w:numId w:val="2"/>
        </w:numPr>
        <w:spacing w:after="240" w:line="240" w:lineRule="auto"/>
        <w:jc w:val="both"/>
        <w:outlineLvl w:val="0"/>
        <w:rPr>
          <w:rFonts w:ascii="Times New Roman" w:hAnsi="Times New Roman"/>
          <w:b/>
          <w:bCs/>
          <w:noProof/>
          <w:sz w:val="28"/>
          <w:szCs w:val="28"/>
          <w:lang w:val="en-GB"/>
        </w:rPr>
      </w:pPr>
      <w:r w:rsidRPr="00AA1EED">
        <w:rPr>
          <w:rFonts w:ascii="Times New Roman" w:hAnsi="Times New Roman"/>
          <w:b/>
          <w:bCs/>
          <w:smallCaps/>
          <w:noProof/>
          <w:sz w:val="28"/>
          <w:szCs w:val="28"/>
          <w:lang w:val="en-GB"/>
        </w:rPr>
        <w:lastRenderedPageBreak/>
        <w:t xml:space="preserve">Introduction </w:t>
      </w:r>
    </w:p>
    <w:p w14:paraId="4CC0B644" w14:textId="1FCF30CA" w:rsidR="007E1453" w:rsidRPr="00AA1EED" w:rsidRDefault="007E1453" w:rsidP="007E1453">
      <w:pPr>
        <w:pStyle w:val="Body"/>
        <w:spacing w:after="240"/>
        <w:jc w:val="both"/>
        <w:rPr>
          <w:rFonts w:ascii="Times New Roman" w:hAnsi="Times New Roman"/>
          <w:noProof/>
          <w:sz w:val="24"/>
          <w:szCs w:val="24"/>
          <w:lang w:val="en-GB"/>
        </w:rPr>
      </w:pPr>
      <w:r w:rsidRPr="00AA1EED">
        <w:rPr>
          <w:rFonts w:ascii="Times New Roman" w:hAnsi="Times New Roman"/>
          <w:noProof/>
          <w:sz w:val="24"/>
          <w:szCs w:val="24"/>
          <w:lang w:val="en-GB"/>
        </w:rPr>
        <w:t xml:space="preserve">Interconnected and stable electricity grids are the backbone of a well-functioning energy market. The European Union has one of the most extensive and resilient electricity networks </w:t>
      </w:r>
      <w:bookmarkStart w:id="1" w:name="_Hlk151446753"/>
      <w:r w:rsidR="00CB273A">
        <w:rPr>
          <w:rFonts w:ascii="Times New Roman" w:hAnsi="Times New Roman"/>
          <w:noProof/>
          <w:sz w:val="24"/>
          <w:szCs w:val="24"/>
          <w:lang w:val="en-GB"/>
        </w:rPr>
        <w:t>in the world</w:t>
      </w:r>
      <w:r w:rsidR="00533439" w:rsidRPr="00AA1EED">
        <w:rPr>
          <w:rStyle w:val="FootnoteReference"/>
          <w:rFonts w:ascii="Times New Roman" w:hAnsi="Times New Roman" w:cs="Times New Roman"/>
          <w:noProof/>
          <w:sz w:val="24"/>
          <w:szCs w:val="24"/>
          <w:lang w:val="en-GB"/>
        </w:rPr>
        <w:footnoteReference w:id="2"/>
      </w:r>
      <w:bookmarkEnd w:id="1"/>
      <w:r w:rsidRPr="00AA1EED">
        <w:rPr>
          <w:rFonts w:ascii="Times New Roman" w:hAnsi="Times New Roman"/>
          <w:noProof/>
          <w:sz w:val="24"/>
          <w:szCs w:val="24"/>
          <w:lang w:val="en-GB"/>
        </w:rPr>
        <w:t>, spanning over 11 million kilometres across its internal market and ensuring that high-quality electricity is delivered to</w:t>
      </w:r>
      <w:r w:rsidR="00533439" w:rsidRPr="00AA1EED">
        <w:rPr>
          <w:rFonts w:ascii="Times New Roman" w:hAnsi="Times New Roman"/>
          <w:noProof/>
          <w:sz w:val="24"/>
          <w:szCs w:val="24"/>
          <w:lang w:val="en-GB"/>
        </w:rPr>
        <w:t xml:space="preserve"> its</w:t>
      </w:r>
      <w:r w:rsidRPr="00AA1EED">
        <w:rPr>
          <w:rFonts w:ascii="Times New Roman" w:hAnsi="Times New Roman"/>
          <w:noProof/>
          <w:sz w:val="24"/>
          <w:szCs w:val="24"/>
          <w:lang w:val="en-GB"/>
        </w:rPr>
        <w:t xml:space="preserve"> consumers</w:t>
      </w:r>
      <w:r w:rsidR="00CB273A" w:rsidRPr="00CB273A">
        <w:rPr>
          <w:rFonts w:ascii="Times New Roman" w:hAnsi="Times New Roman"/>
          <w:noProof/>
          <w:sz w:val="24"/>
          <w:szCs w:val="24"/>
          <w:lang w:val="en-GB"/>
        </w:rPr>
        <w:t xml:space="preserve"> </w:t>
      </w:r>
      <w:r w:rsidR="00CB273A" w:rsidRPr="00AA1EED">
        <w:rPr>
          <w:rFonts w:ascii="Times New Roman" w:hAnsi="Times New Roman"/>
          <w:noProof/>
          <w:sz w:val="24"/>
          <w:szCs w:val="24"/>
          <w:lang w:val="en-GB"/>
        </w:rPr>
        <w:t>every day</w:t>
      </w:r>
      <w:r w:rsidRPr="00AA1EED">
        <w:rPr>
          <w:rFonts w:ascii="Times New Roman" w:hAnsi="Times New Roman"/>
          <w:noProof/>
          <w:sz w:val="24"/>
          <w:szCs w:val="24"/>
          <w:lang w:val="en-GB"/>
        </w:rPr>
        <w:t xml:space="preserve">. </w:t>
      </w:r>
    </w:p>
    <w:p w14:paraId="181D3D13" w14:textId="1B2E38B9" w:rsidR="007E1453" w:rsidRPr="00AA1EED" w:rsidRDefault="007E1453" w:rsidP="007E1453">
      <w:pPr>
        <w:pStyle w:val="Body"/>
        <w:spacing w:after="240"/>
        <w:jc w:val="both"/>
        <w:rPr>
          <w:rFonts w:ascii="Times New Roman" w:hAnsi="Times New Roman"/>
          <w:noProof/>
          <w:sz w:val="24"/>
          <w:szCs w:val="24"/>
          <w:lang w:val="en-GB"/>
        </w:rPr>
      </w:pPr>
      <w:r w:rsidRPr="00AA1EED">
        <w:rPr>
          <w:rFonts w:ascii="Times New Roman" w:hAnsi="Times New Roman"/>
          <w:noProof/>
          <w:sz w:val="24"/>
          <w:szCs w:val="24"/>
          <w:lang w:val="en-GB"/>
        </w:rPr>
        <w:t xml:space="preserve">Thanks to the EU </w:t>
      </w:r>
      <w:r w:rsidR="00533439" w:rsidRPr="00AA1EED">
        <w:rPr>
          <w:rFonts w:ascii="Times New Roman" w:hAnsi="Times New Roman"/>
          <w:noProof/>
          <w:sz w:val="24"/>
          <w:szCs w:val="24"/>
          <w:lang w:val="en-GB"/>
        </w:rPr>
        <w:t xml:space="preserve">Regulation on </w:t>
      </w:r>
      <w:r w:rsidRPr="00AA1EED">
        <w:rPr>
          <w:rFonts w:ascii="Times New Roman" w:hAnsi="Times New Roman"/>
          <w:noProof/>
          <w:sz w:val="24"/>
          <w:szCs w:val="24"/>
          <w:lang w:val="en-GB"/>
        </w:rPr>
        <w:t xml:space="preserve">trans-European energy infrastructure (‘TEN-E’), the EU has selected more than 100 electricity </w:t>
      </w:r>
      <w:r w:rsidRPr="00377522">
        <w:rPr>
          <w:rFonts w:ascii="Times New Roman" w:hAnsi="Times New Roman"/>
          <w:b/>
          <w:bCs/>
          <w:noProof/>
          <w:sz w:val="24"/>
          <w:szCs w:val="24"/>
          <w:lang w:val="en-GB"/>
        </w:rPr>
        <w:t>Projects of Common Interest</w:t>
      </w:r>
      <w:r w:rsidRPr="00AA1EED">
        <w:rPr>
          <w:rFonts w:ascii="Times New Roman" w:hAnsi="Times New Roman"/>
          <w:noProof/>
          <w:sz w:val="24"/>
          <w:szCs w:val="24"/>
          <w:lang w:val="en-GB"/>
        </w:rPr>
        <w:t xml:space="preserve"> (‘PCI</w:t>
      </w:r>
      <w:r w:rsidR="00533439" w:rsidRPr="00377522">
        <w:rPr>
          <w:rFonts w:ascii="Times New Roman" w:hAnsi="Times New Roman"/>
          <w:noProof/>
          <w:sz w:val="24"/>
          <w:szCs w:val="24"/>
          <w:lang w:val="en-GB"/>
        </w:rPr>
        <w:t>s</w:t>
      </w:r>
      <w:r w:rsidRPr="00AA1EED">
        <w:rPr>
          <w:rFonts w:ascii="Times New Roman" w:hAnsi="Times New Roman"/>
          <w:noProof/>
          <w:sz w:val="24"/>
          <w:szCs w:val="24"/>
          <w:lang w:val="en-GB"/>
        </w:rPr>
        <w:t>’) and facilitated their permitting</w:t>
      </w:r>
      <w:r w:rsidR="00F818DE" w:rsidRPr="00F818DE">
        <w:rPr>
          <w:rFonts w:ascii="Times New Roman" w:hAnsi="Times New Roman"/>
          <w:noProof/>
          <w:sz w:val="24"/>
          <w:szCs w:val="24"/>
          <w:lang w:val="en-GB"/>
        </w:rPr>
        <w:t xml:space="preserve"> </w:t>
      </w:r>
      <w:r w:rsidR="00F818DE" w:rsidRPr="00AA1EED">
        <w:rPr>
          <w:rFonts w:ascii="Times New Roman" w:hAnsi="Times New Roman"/>
          <w:noProof/>
          <w:sz w:val="24"/>
          <w:szCs w:val="24"/>
          <w:lang w:val="en-GB"/>
        </w:rPr>
        <w:t>and construction</w:t>
      </w:r>
      <w:r w:rsidRPr="00AA1EED">
        <w:rPr>
          <w:rFonts w:ascii="Times New Roman" w:hAnsi="Times New Roman"/>
          <w:noProof/>
          <w:sz w:val="24"/>
          <w:szCs w:val="24"/>
          <w:lang w:val="en-GB"/>
        </w:rPr>
        <w:t xml:space="preserve">, </w:t>
      </w:r>
      <w:r w:rsidR="00F818DE">
        <w:rPr>
          <w:rFonts w:ascii="Times New Roman" w:hAnsi="Times New Roman"/>
          <w:noProof/>
          <w:sz w:val="24"/>
          <w:szCs w:val="24"/>
          <w:lang w:val="en-GB"/>
        </w:rPr>
        <w:t xml:space="preserve">including by </w:t>
      </w:r>
      <w:r w:rsidRPr="00AA1EED">
        <w:rPr>
          <w:rFonts w:ascii="Times New Roman" w:hAnsi="Times New Roman"/>
          <w:noProof/>
          <w:sz w:val="24"/>
          <w:szCs w:val="24"/>
          <w:lang w:val="en-GB"/>
        </w:rPr>
        <w:t>funding</w:t>
      </w:r>
      <w:r w:rsidR="00533439" w:rsidRPr="00AA1EED">
        <w:rPr>
          <w:rFonts w:ascii="Times New Roman" w:hAnsi="Times New Roman"/>
          <w:noProof/>
          <w:sz w:val="24"/>
          <w:szCs w:val="24"/>
          <w:lang w:val="en-GB"/>
        </w:rPr>
        <w:t xml:space="preserve"> – </w:t>
      </w:r>
      <w:r w:rsidRPr="00AA1EED">
        <w:rPr>
          <w:rFonts w:ascii="Times New Roman" w:hAnsi="Times New Roman"/>
          <w:noProof/>
          <w:sz w:val="24"/>
          <w:szCs w:val="24"/>
          <w:lang w:val="en-GB"/>
        </w:rPr>
        <w:t xml:space="preserve">notably through </w:t>
      </w:r>
      <w:r w:rsidR="008772BA" w:rsidRPr="00AA1EED">
        <w:rPr>
          <w:rFonts w:ascii="Times New Roman" w:hAnsi="Times New Roman"/>
          <w:noProof/>
          <w:sz w:val="24"/>
          <w:szCs w:val="24"/>
          <w:lang w:val="en-GB"/>
        </w:rPr>
        <w:t>Connecting Europe Facility (</w:t>
      </w:r>
      <w:r w:rsidRPr="00AA1EED">
        <w:rPr>
          <w:rFonts w:ascii="Times New Roman" w:hAnsi="Times New Roman"/>
          <w:noProof/>
          <w:sz w:val="24"/>
          <w:szCs w:val="24"/>
          <w:lang w:val="en-GB"/>
        </w:rPr>
        <w:t>CEF</w:t>
      </w:r>
      <w:r w:rsidR="008772BA" w:rsidRPr="00AA1EED">
        <w:rPr>
          <w:rFonts w:ascii="Times New Roman" w:hAnsi="Times New Roman"/>
          <w:noProof/>
          <w:sz w:val="24"/>
          <w:szCs w:val="24"/>
          <w:lang w:val="en-GB"/>
        </w:rPr>
        <w:t>)</w:t>
      </w:r>
      <w:r w:rsidRPr="00AA1EED">
        <w:rPr>
          <w:rFonts w:ascii="Times New Roman" w:hAnsi="Times New Roman"/>
          <w:noProof/>
          <w:sz w:val="24"/>
          <w:szCs w:val="24"/>
          <w:lang w:val="en-GB"/>
        </w:rPr>
        <w:t xml:space="preserve"> funds</w:t>
      </w:r>
      <w:r w:rsidR="00CE5AAB" w:rsidRPr="00AA1EED">
        <w:rPr>
          <w:rFonts w:ascii="Times New Roman" w:hAnsi="Times New Roman"/>
          <w:noProof/>
          <w:sz w:val="24"/>
          <w:szCs w:val="24"/>
          <w:lang w:val="en-GB"/>
        </w:rPr>
        <w:t>. This helped</w:t>
      </w:r>
      <w:r w:rsidRPr="00AA1EED">
        <w:rPr>
          <w:rFonts w:ascii="Times New Roman" w:hAnsi="Times New Roman"/>
          <w:noProof/>
          <w:sz w:val="24"/>
          <w:szCs w:val="24"/>
          <w:lang w:val="en-GB"/>
        </w:rPr>
        <w:t xml:space="preserve"> develop a physical </w:t>
      </w:r>
      <w:r w:rsidR="00CE5AAB" w:rsidRPr="00AA1EED">
        <w:rPr>
          <w:rFonts w:ascii="Times New Roman" w:hAnsi="Times New Roman"/>
          <w:noProof/>
          <w:sz w:val="24"/>
          <w:szCs w:val="24"/>
          <w:lang w:val="en-GB"/>
        </w:rPr>
        <w:t xml:space="preserve">power </w:t>
      </w:r>
      <w:r w:rsidRPr="00AA1EED">
        <w:rPr>
          <w:rFonts w:ascii="Times New Roman" w:hAnsi="Times New Roman"/>
          <w:noProof/>
          <w:sz w:val="24"/>
          <w:szCs w:val="24"/>
          <w:lang w:val="en-GB"/>
        </w:rPr>
        <w:t xml:space="preserve">infrastructure fit for a genuine Single Market and </w:t>
      </w:r>
      <w:r w:rsidR="00CB273A">
        <w:rPr>
          <w:rFonts w:ascii="Times New Roman" w:hAnsi="Times New Roman"/>
          <w:noProof/>
          <w:sz w:val="24"/>
          <w:szCs w:val="24"/>
          <w:lang w:val="en-GB"/>
        </w:rPr>
        <w:t xml:space="preserve">to make </w:t>
      </w:r>
      <w:r w:rsidRPr="00AA1EED">
        <w:rPr>
          <w:rFonts w:ascii="Times New Roman" w:hAnsi="Times New Roman"/>
          <w:noProof/>
          <w:sz w:val="24"/>
          <w:szCs w:val="24"/>
          <w:lang w:val="en-GB"/>
        </w:rPr>
        <w:t xml:space="preserve">progress towards the 15% electricity interconnection target </w:t>
      </w:r>
      <w:r w:rsidR="00533439" w:rsidRPr="00AA1EED">
        <w:rPr>
          <w:rFonts w:ascii="Times New Roman" w:hAnsi="Times New Roman"/>
          <w:noProof/>
          <w:sz w:val="24"/>
          <w:szCs w:val="24"/>
          <w:lang w:val="en-GB"/>
        </w:rPr>
        <w:t>by</w:t>
      </w:r>
      <w:r w:rsidRPr="00AA1EED">
        <w:rPr>
          <w:rFonts w:ascii="Times New Roman" w:hAnsi="Times New Roman"/>
          <w:noProof/>
          <w:sz w:val="24"/>
          <w:szCs w:val="24"/>
          <w:lang w:val="en-GB"/>
        </w:rPr>
        <w:t xml:space="preserve"> 2030</w:t>
      </w:r>
      <w:r w:rsidR="00533439" w:rsidRPr="00AA1EED">
        <w:rPr>
          <w:rStyle w:val="FootnoteReference"/>
          <w:rFonts w:ascii="Times New Roman" w:hAnsi="Times New Roman" w:cs="Times New Roman"/>
          <w:noProof/>
          <w:sz w:val="24"/>
          <w:szCs w:val="24"/>
          <w:lang w:val="en-GB"/>
        </w:rPr>
        <w:footnoteReference w:id="3"/>
      </w:r>
      <w:r w:rsidRPr="00AA1EED">
        <w:rPr>
          <w:rFonts w:ascii="Times New Roman" w:hAnsi="Times New Roman"/>
          <w:noProof/>
          <w:sz w:val="24"/>
          <w:szCs w:val="24"/>
          <w:lang w:val="en-GB"/>
        </w:rPr>
        <w:t xml:space="preserve">. During the energy crisis, well interconnected electricity markets brought valuable benefits in terms of increased security of supply, access to competitively priced electricity from neighbouring countries and faster integration of renewable energies. With EU markets now fully coupled, completing the infrastructure network is the next step </w:t>
      </w:r>
      <w:r w:rsidR="00E5482C">
        <w:rPr>
          <w:rFonts w:ascii="Times New Roman" w:hAnsi="Times New Roman"/>
          <w:noProof/>
          <w:sz w:val="24"/>
          <w:szCs w:val="24"/>
          <w:lang w:val="en-GB"/>
        </w:rPr>
        <w:t>in</w:t>
      </w:r>
      <w:r w:rsidRPr="00AA1EED">
        <w:rPr>
          <w:rFonts w:ascii="Times New Roman" w:hAnsi="Times New Roman"/>
          <w:noProof/>
          <w:sz w:val="24"/>
          <w:szCs w:val="24"/>
          <w:lang w:val="en-GB"/>
        </w:rPr>
        <w:t xml:space="preserve"> maxim</w:t>
      </w:r>
      <w:r w:rsidR="00E5482C">
        <w:rPr>
          <w:rFonts w:ascii="Times New Roman" w:hAnsi="Times New Roman"/>
          <w:noProof/>
          <w:sz w:val="24"/>
          <w:szCs w:val="24"/>
          <w:lang w:val="en-GB"/>
        </w:rPr>
        <w:t>ising the</w:t>
      </w:r>
      <w:r w:rsidRPr="00AA1EED">
        <w:rPr>
          <w:rFonts w:ascii="Times New Roman" w:hAnsi="Times New Roman"/>
          <w:noProof/>
          <w:sz w:val="24"/>
          <w:szCs w:val="24"/>
          <w:lang w:val="en-GB"/>
        </w:rPr>
        <w:t xml:space="preserve"> benefits of affordable and clean power </w:t>
      </w:r>
      <w:r w:rsidR="00E5482C">
        <w:rPr>
          <w:rFonts w:ascii="Times New Roman" w:hAnsi="Times New Roman"/>
          <w:noProof/>
          <w:sz w:val="24"/>
          <w:szCs w:val="24"/>
          <w:lang w:val="en-GB"/>
        </w:rPr>
        <w:t>for</w:t>
      </w:r>
      <w:r w:rsidR="00E5482C" w:rsidRPr="00AA1EED">
        <w:rPr>
          <w:rFonts w:ascii="Times New Roman" w:hAnsi="Times New Roman"/>
          <w:noProof/>
          <w:sz w:val="24"/>
          <w:szCs w:val="24"/>
          <w:lang w:val="en-GB"/>
        </w:rPr>
        <w:t xml:space="preserve"> </w:t>
      </w:r>
      <w:r w:rsidRPr="00AA1EED">
        <w:rPr>
          <w:rFonts w:ascii="Times New Roman" w:hAnsi="Times New Roman"/>
          <w:noProof/>
          <w:sz w:val="24"/>
          <w:szCs w:val="24"/>
          <w:lang w:val="en-GB"/>
        </w:rPr>
        <w:t>consumers.</w:t>
      </w:r>
    </w:p>
    <w:p w14:paraId="49BA570D" w14:textId="10013A2E" w:rsidR="007E1453" w:rsidRPr="00AA1EED" w:rsidRDefault="00E5482C" w:rsidP="007E1453">
      <w:pPr>
        <w:pStyle w:val="Body"/>
        <w:spacing w:after="240"/>
        <w:jc w:val="both"/>
        <w:rPr>
          <w:rFonts w:ascii="Times New Roman" w:hAnsi="Times New Roman"/>
          <w:noProof/>
          <w:sz w:val="24"/>
          <w:szCs w:val="24"/>
          <w:lang w:val="en-GB"/>
        </w:rPr>
      </w:pPr>
      <w:r>
        <w:rPr>
          <w:rFonts w:ascii="Times New Roman" w:hAnsi="Times New Roman"/>
          <w:noProof/>
          <w:sz w:val="24"/>
          <w:szCs w:val="24"/>
          <w:lang w:val="en-GB"/>
        </w:rPr>
        <w:t>Despite these advances</w:t>
      </w:r>
      <w:r w:rsidR="00FE5271">
        <w:rPr>
          <w:rFonts w:ascii="Times New Roman" w:hAnsi="Times New Roman"/>
          <w:noProof/>
          <w:sz w:val="24"/>
          <w:szCs w:val="24"/>
          <w:lang w:val="en-GB"/>
        </w:rPr>
        <w:t>,</w:t>
      </w:r>
      <w:r w:rsidR="007E1453" w:rsidRPr="00AA1EED">
        <w:rPr>
          <w:rFonts w:ascii="Times New Roman" w:hAnsi="Times New Roman"/>
          <w:noProof/>
          <w:sz w:val="24"/>
          <w:szCs w:val="24"/>
          <w:lang w:val="en-GB"/>
        </w:rPr>
        <w:t xml:space="preserve"> Europe’s power networks are confronted with new and significant challenges. They will need to serve </w:t>
      </w:r>
      <w:r>
        <w:rPr>
          <w:rFonts w:ascii="Times New Roman" w:hAnsi="Times New Roman"/>
          <w:noProof/>
          <w:sz w:val="24"/>
          <w:szCs w:val="24"/>
          <w:lang w:val="en-GB"/>
        </w:rPr>
        <w:t>growing</w:t>
      </w:r>
      <w:r w:rsidR="007E1453" w:rsidRPr="00AA1EED">
        <w:rPr>
          <w:rFonts w:ascii="Times New Roman" w:hAnsi="Times New Roman"/>
          <w:noProof/>
          <w:sz w:val="24"/>
          <w:szCs w:val="24"/>
          <w:lang w:val="en-GB"/>
        </w:rPr>
        <w:t xml:space="preserve"> demand linked to clean mobility, heating and cooling, electrification of industry and the </w:t>
      </w:r>
      <w:r w:rsidR="007E1453" w:rsidRPr="002113D2">
        <w:rPr>
          <w:rFonts w:ascii="Times New Roman" w:hAnsi="Times New Roman"/>
          <w:noProof/>
          <w:sz w:val="24"/>
          <w:szCs w:val="24"/>
          <w:lang w:val="en-GB"/>
        </w:rPr>
        <w:t xml:space="preserve">kickstart of </w:t>
      </w:r>
      <w:r w:rsidR="006A5667" w:rsidRPr="00D935E1">
        <w:rPr>
          <w:rFonts w:ascii="Times New Roman" w:hAnsi="Times New Roman"/>
          <w:noProof/>
          <w:sz w:val="24"/>
          <w:lang w:val="en-GB"/>
        </w:rPr>
        <w:t>low-carbon</w:t>
      </w:r>
      <w:r w:rsidR="006A5667" w:rsidRPr="00AA1EED">
        <w:rPr>
          <w:rFonts w:ascii="Times New Roman" w:hAnsi="Times New Roman"/>
          <w:noProof/>
          <w:sz w:val="24"/>
          <w:szCs w:val="24"/>
          <w:lang w:val="en-GB"/>
        </w:rPr>
        <w:t xml:space="preserve"> </w:t>
      </w:r>
      <w:r w:rsidR="007E1453" w:rsidRPr="00AA1EED">
        <w:rPr>
          <w:rFonts w:ascii="Times New Roman" w:hAnsi="Times New Roman"/>
          <w:noProof/>
          <w:sz w:val="24"/>
          <w:szCs w:val="24"/>
          <w:lang w:val="en-GB"/>
        </w:rPr>
        <w:t xml:space="preserve">hydrogen production. Electricity consumption is expected to increase by around 60% between now and 2030. Networks will </w:t>
      </w:r>
      <w:r w:rsidR="00423146">
        <w:rPr>
          <w:rFonts w:ascii="Times New Roman" w:hAnsi="Times New Roman"/>
          <w:noProof/>
          <w:sz w:val="24"/>
          <w:szCs w:val="24"/>
          <w:lang w:val="en-GB"/>
        </w:rPr>
        <w:t xml:space="preserve">also </w:t>
      </w:r>
      <w:r w:rsidR="007E1453" w:rsidRPr="00AA1EED">
        <w:rPr>
          <w:rFonts w:ascii="Times New Roman" w:hAnsi="Times New Roman"/>
          <w:noProof/>
          <w:sz w:val="24"/>
          <w:szCs w:val="24"/>
          <w:lang w:val="en-GB"/>
        </w:rPr>
        <w:t xml:space="preserve">need to integrate a large share of </w:t>
      </w:r>
      <w:r>
        <w:rPr>
          <w:rFonts w:ascii="Times New Roman" w:hAnsi="Times New Roman"/>
          <w:noProof/>
          <w:sz w:val="24"/>
          <w:szCs w:val="24"/>
          <w:lang w:val="en-GB"/>
        </w:rPr>
        <w:t>variable</w:t>
      </w:r>
      <w:r w:rsidRPr="00AA1EED">
        <w:rPr>
          <w:rFonts w:ascii="Times New Roman" w:hAnsi="Times New Roman"/>
          <w:noProof/>
          <w:sz w:val="24"/>
          <w:szCs w:val="24"/>
          <w:lang w:val="en-GB"/>
        </w:rPr>
        <w:t xml:space="preserve"> </w:t>
      </w:r>
      <w:r w:rsidR="007E1453" w:rsidRPr="00AA1EED">
        <w:rPr>
          <w:rFonts w:ascii="Times New Roman" w:hAnsi="Times New Roman"/>
          <w:noProof/>
          <w:sz w:val="24"/>
          <w:szCs w:val="24"/>
          <w:lang w:val="en-GB"/>
        </w:rPr>
        <w:t>renewable power. Wind and solar generation capacity must increase from 400 GW in 2022 to at least 1,000 GW by 2030</w:t>
      </w:r>
      <w:r w:rsidR="00533439" w:rsidRPr="00AA1EED">
        <w:rPr>
          <w:rFonts w:ascii="Times New Roman" w:hAnsi="Times New Roman"/>
          <w:noProof/>
          <w:sz w:val="24"/>
          <w:szCs w:val="24"/>
          <w:lang w:val="en-GB"/>
        </w:rPr>
        <w:t xml:space="preserve">, </w:t>
      </w:r>
      <w:r w:rsidR="007E1453" w:rsidRPr="00AA1EED">
        <w:rPr>
          <w:rFonts w:ascii="Times New Roman" w:hAnsi="Times New Roman"/>
          <w:noProof/>
          <w:sz w:val="24"/>
          <w:szCs w:val="24"/>
          <w:lang w:val="en-GB"/>
        </w:rPr>
        <w:t>includ</w:t>
      </w:r>
      <w:r w:rsidR="00533439" w:rsidRPr="00AA1EED">
        <w:rPr>
          <w:rFonts w:ascii="Times New Roman" w:hAnsi="Times New Roman"/>
          <w:noProof/>
          <w:sz w:val="24"/>
          <w:szCs w:val="24"/>
          <w:lang w:val="en-GB"/>
        </w:rPr>
        <w:t>ing</w:t>
      </w:r>
      <w:r w:rsidR="007E1453" w:rsidRPr="00AA1EED">
        <w:rPr>
          <w:rFonts w:ascii="Times New Roman" w:hAnsi="Times New Roman"/>
          <w:noProof/>
          <w:sz w:val="24"/>
          <w:szCs w:val="24"/>
          <w:lang w:val="en-GB"/>
        </w:rPr>
        <w:t xml:space="preserve"> a large build</w:t>
      </w:r>
      <w:r w:rsidR="00533439" w:rsidRPr="00AA1EED">
        <w:rPr>
          <w:rFonts w:ascii="Times New Roman" w:hAnsi="Times New Roman"/>
          <w:noProof/>
          <w:sz w:val="24"/>
          <w:szCs w:val="24"/>
          <w:lang w:val="en-GB"/>
        </w:rPr>
        <w:t>-</w:t>
      </w:r>
      <w:r w:rsidR="007E1453" w:rsidRPr="00AA1EED">
        <w:rPr>
          <w:rFonts w:ascii="Times New Roman" w:hAnsi="Times New Roman"/>
          <w:noProof/>
          <w:sz w:val="24"/>
          <w:szCs w:val="24"/>
          <w:lang w:val="en-GB"/>
        </w:rPr>
        <w:t>up of offshore renewables up to 3</w:t>
      </w:r>
      <w:r w:rsidR="00533439" w:rsidRPr="00AA1EED">
        <w:rPr>
          <w:rFonts w:ascii="Times New Roman" w:hAnsi="Times New Roman"/>
          <w:noProof/>
          <w:sz w:val="24"/>
          <w:szCs w:val="24"/>
          <w:lang w:val="en-GB"/>
        </w:rPr>
        <w:t>1</w:t>
      </w:r>
      <w:r w:rsidR="007E1453" w:rsidRPr="00AA1EED">
        <w:rPr>
          <w:rFonts w:ascii="Times New Roman" w:hAnsi="Times New Roman"/>
          <w:noProof/>
          <w:sz w:val="24"/>
          <w:szCs w:val="24"/>
          <w:lang w:val="en-GB"/>
        </w:rPr>
        <w:t>7 GW</w:t>
      </w:r>
      <w:r w:rsidR="00533439" w:rsidRPr="00AA1EED">
        <w:rPr>
          <w:rStyle w:val="FootnoteReference"/>
          <w:rFonts w:ascii="Times New Roman" w:hAnsi="Times New Roman" w:cs="Times New Roman"/>
          <w:noProof/>
          <w:sz w:val="24"/>
          <w:szCs w:val="24"/>
          <w:lang w:val="en-GB"/>
        </w:rPr>
        <w:footnoteReference w:id="4"/>
      </w:r>
      <w:r>
        <w:rPr>
          <w:rFonts w:ascii="Times New Roman" w:hAnsi="Times New Roman"/>
          <w:noProof/>
          <w:sz w:val="24"/>
          <w:szCs w:val="24"/>
          <w:lang w:val="en-GB"/>
        </w:rPr>
        <w:t xml:space="preserve">, </w:t>
      </w:r>
      <w:r w:rsidR="007E1453" w:rsidRPr="00AA1EED">
        <w:rPr>
          <w:rFonts w:ascii="Times New Roman" w:hAnsi="Times New Roman"/>
          <w:noProof/>
          <w:sz w:val="24"/>
          <w:szCs w:val="24"/>
          <w:lang w:val="en-GB"/>
        </w:rPr>
        <w:t xml:space="preserve">to be connected </w:t>
      </w:r>
      <w:r w:rsidR="00533439" w:rsidRPr="00AA1EED">
        <w:rPr>
          <w:rFonts w:ascii="Times New Roman" w:hAnsi="Times New Roman"/>
          <w:noProof/>
          <w:sz w:val="24"/>
          <w:szCs w:val="24"/>
          <w:lang w:val="en-GB"/>
        </w:rPr>
        <w:t xml:space="preserve">to </w:t>
      </w:r>
      <w:r w:rsidR="007E1453" w:rsidRPr="00AA1EED">
        <w:rPr>
          <w:rFonts w:ascii="Times New Roman" w:hAnsi="Times New Roman"/>
          <w:noProof/>
          <w:sz w:val="24"/>
          <w:szCs w:val="24"/>
          <w:lang w:val="en-GB"/>
        </w:rPr>
        <w:t xml:space="preserve">shore. </w:t>
      </w:r>
      <w:r w:rsidR="00423146">
        <w:rPr>
          <w:rFonts w:ascii="Times New Roman" w:hAnsi="Times New Roman"/>
          <w:noProof/>
          <w:sz w:val="24"/>
          <w:szCs w:val="24"/>
          <w:lang w:val="en-GB"/>
        </w:rPr>
        <w:t>Therefore, g</w:t>
      </w:r>
      <w:r w:rsidR="007E1453" w:rsidRPr="00AA1EED">
        <w:rPr>
          <w:rFonts w:ascii="Times New Roman" w:hAnsi="Times New Roman"/>
          <w:noProof/>
          <w:sz w:val="24"/>
          <w:szCs w:val="24"/>
          <w:lang w:val="en-GB"/>
        </w:rPr>
        <w:t>rids need to adapt to a more decentralised, digitalised and flexible electricity system with millions of rooftop solar panels and local energy communities sharing resources.</w:t>
      </w:r>
    </w:p>
    <w:p w14:paraId="70BE7DCE" w14:textId="1C36BA91" w:rsidR="00C54EDE" w:rsidRPr="00AA1EED" w:rsidRDefault="00C54EDE" w:rsidP="00C54EDE">
      <w:pPr>
        <w:pStyle w:val="Body"/>
        <w:spacing w:after="240"/>
        <w:jc w:val="both"/>
        <w:rPr>
          <w:rFonts w:ascii="Times New Roman" w:hAnsi="Times New Roman"/>
          <w:noProof/>
          <w:sz w:val="24"/>
          <w:szCs w:val="24"/>
          <w:lang w:val="en-GB"/>
        </w:rPr>
      </w:pPr>
      <w:r>
        <w:rPr>
          <w:rFonts w:ascii="Times New Roman" w:hAnsi="Times New Roman"/>
          <w:noProof/>
          <w:sz w:val="24"/>
          <w:szCs w:val="24"/>
          <w:lang w:val="en-GB"/>
        </w:rPr>
        <w:t xml:space="preserve">Planning and operation of </w:t>
      </w:r>
      <w:r w:rsidRPr="007E1453">
        <w:rPr>
          <w:rFonts w:ascii="Times New Roman" w:hAnsi="Times New Roman"/>
          <w:noProof/>
          <w:sz w:val="24"/>
          <w:szCs w:val="24"/>
          <w:lang w:val="en-GB"/>
        </w:rPr>
        <w:t xml:space="preserve">Europe’s </w:t>
      </w:r>
      <w:r>
        <w:rPr>
          <w:rFonts w:ascii="Times New Roman" w:hAnsi="Times New Roman"/>
          <w:noProof/>
          <w:sz w:val="24"/>
          <w:szCs w:val="24"/>
          <w:lang w:val="en-GB"/>
        </w:rPr>
        <w:t xml:space="preserve">electricity transmission and distribution networks must </w:t>
      </w:r>
      <w:r w:rsidR="0053571A">
        <w:rPr>
          <w:rFonts w:ascii="Times New Roman" w:hAnsi="Times New Roman"/>
          <w:noProof/>
          <w:sz w:val="24"/>
          <w:szCs w:val="24"/>
          <w:lang w:val="en-GB"/>
        </w:rPr>
        <w:t>also</w:t>
      </w:r>
      <w:r>
        <w:rPr>
          <w:rFonts w:ascii="Times New Roman" w:hAnsi="Times New Roman"/>
          <w:noProof/>
          <w:sz w:val="24"/>
          <w:szCs w:val="24"/>
          <w:lang w:val="en-GB"/>
        </w:rPr>
        <w:t xml:space="preserve"> correlate with the planning and operation of the new hydrogen infrastructure, energy storage, charging infrastructure for e-mobility </w:t>
      </w:r>
      <w:r w:rsidR="0053571A">
        <w:rPr>
          <w:rFonts w:ascii="Times New Roman" w:hAnsi="Times New Roman"/>
          <w:noProof/>
          <w:sz w:val="24"/>
          <w:szCs w:val="24"/>
          <w:lang w:val="en-GB"/>
        </w:rPr>
        <w:t xml:space="preserve">and </w:t>
      </w:r>
      <w:r>
        <w:rPr>
          <w:rFonts w:ascii="Times New Roman" w:hAnsi="Times New Roman"/>
          <w:noProof/>
          <w:sz w:val="24"/>
          <w:szCs w:val="24"/>
          <w:lang w:val="en-GB"/>
        </w:rPr>
        <w:t>CO</w:t>
      </w:r>
      <w:r w:rsidRPr="00350F92">
        <w:rPr>
          <w:rFonts w:ascii="Times New Roman" w:hAnsi="Times New Roman"/>
          <w:noProof/>
          <w:sz w:val="24"/>
          <w:szCs w:val="24"/>
          <w:vertAlign w:val="subscript"/>
          <w:lang w:val="en-GB"/>
        </w:rPr>
        <w:t>2</w:t>
      </w:r>
      <w:r>
        <w:rPr>
          <w:rFonts w:ascii="Times New Roman" w:hAnsi="Times New Roman"/>
          <w:noProof/>
          <w:sz w:val="24"/>
          <w:szCs w:val="24"/>
          <w:lang w:val="en-GB"/>
        </w:rPr>
        <w:t xml:space="preserve"> infrastructure.</w:t>
      </w:r>
    </w:p>
    <w:p w14:paraId="0CAA75E0" w14:textId="23A57C84" w:rsidR="007E1453" w:rsidRPr="00AA1EED" w:rsidRDefault="007E1453" w:rsidP="007E1453">
      <w:pPr>
        <w:pStyle w:val="Body"/>
        <w:spacing w:after="240"/>
        <w:jc w:val="both"/>
        <w:rPr>
          <w:rFonts w:ascii="Times New Roman" w:hAnsi="Times New Roman"/>
          <w:noProof/>
          <w:sz w:val="24"/>
          <w:szCs w:val="24"/>
          <w:lang w:val="en-GB"/>
        </w:rPr>
      </w:pPr>
      <w:r w:rsidRPr="00AA1EED">
        <w:rPr>
          <w:rFonts w:ascii="Times New Roman" w:hAnsi="Times New Roman"/>
          <w:noProof/>
          <w:sz w:val="24"/>
          <w:szCs w:val="24"/>
          <w:lang w:val="en-GB"/>
        </w:rPr>
        <w:t xml:space="preserve">As a result of these trends, Europe’s network must rapidly upgrade and expand. ENTSO-E’s Ten-Year Network Development Plan </w:t>
      </w:r>
      <w:r w:rsidR="002B06EF">
        <w:rPr>
          <w:rFonts w:ascii="Times New Roman" w:hAnsi="Times New Roman"/>
          <w:noProof/>
          <w:sz w:val="24"/>
          <w:szCs w:val="24"/>
          <w:lang w:val="en-GB"/>
        </w:rPr>
        <w:t xml:space="preserve">(TYNDP) </w:t>
      </w:r>
      <w:r w:rsidRPr="00AA1EED">
        <w:rPr>
          <w:rFonts w:ascii="Times New Roman" w:hAnsi="Times New Roman"/>
          <w:noProof/>
          <w:sz w:val="24"/>
          <w:szCs w:val="24"/>
          <w:lang w:val="en-GB"/>
        </w:rPr>
        <w:t>shows that in the next seven years the cross-border transmission infrastructure should double</w:t>
      </w:r>
      <w:r w:rsidR="00E5482C">
        <w:rPr>
          <w:rFonts w:ascii="Times New Roman" w:hAnsi="Times New Roman"/>
          <w:noProof/>
          <w:sz w:val="24"/>
          <w:szCs w:val="24"/>
          <w:lang w:val="en-GB"/>
        </w:rPr>
        <w:t>,</w:t>
      </w:r>
      <w:r w:rsidRPr="00AA1EED">
        <w:rPr>
          <w:rFonts w:ascii="Times New Roman" w:hAnsi="Times New Roman"/>
          <w:noProof/>
          <w:sz w:val="24"/>
          <w:szCs w:val="24"/>
          <w:lang w:val="en-GB"/>
        </w:rPr>
        <w:t xml:space="preserve"> with an additional 23 GW capacity being incorporated by 2025 and further 64 GW by 2030</w:t>
      </w:r>
      <w:r w:rsidR="00533439" w:rsidRPr="00AA1EED">
        <w:rPr>
          <w:rStyle w:val="FootnoteReference"/>
          <w:rFonts w:ascii="Times New Roman" w:hAnsi="Times New Roman" w:cs="Times New Roman"/>
          <w:noProof/>
          <w:sz w:val="24"/>
          <w:szCs w:val="24"/>
          <w:lang w:val="en-GB"/>
        </w:rPr>
        <w:footnoteReference w:id="5"/>
      </w:r>
      <w:r w:rsidRPr="00AA1EED">
        <w:rPr>
          <w:rFonts w:ascii="Times New Roman" w:hAnsi="Times New Roman"/>
          <w:noProof/>
          <w:sz w:val="24"/>
          <w:szCs w:val="24"/>
          <w:lang w:val="en-GB"/>
        </w:rPr>
        <w:t xml:space="preserve">. </w:t>
      </w:r>
    </w:p>
    <w:p w14:paraId="710E2E0D" w14:textId="02B33850" w:rsidR="007E1453" w:rsidRDefault="007E1453" w:rsidP="007E1453">
      <w:pPr>
        <w:pStyle w:val="Body"/>
        <w:spacing w:after="240"/>
        <w:jc w:val="both"/>
        <w:rPr>
          <w:rFonts w:ascii="Times New Roman" w:hAnsi="Times New Roman"/>
          <w:noProof/>
          <w:sz w:val="24"/>
          <w:szCs w:val="24"/>
          <w:lang w:val="en-GB"/>
        </w:rPr>
      </w:pPr>
      <w:r w:rsidRPr="00AA1EED">
        <w:rPr>
          <w:rFonts w:ascii="Times New Roman" w:hAnsi="Times New Roman"/>
          <w:noProof/>
          <w:sz w:val="24"/>
          <w:szCs w:val="24"/>
          <w:lang w:val="en-GB"/>
        </w:rPr>
        <w:t xml:space="preserve">Beyond cross-border needs, the bulk of the investment will be within borders, both at transmission and distribution levels. In particular, distribution grids are bound to grow and change to connect large amounts of decentralised renewable generation, </w:t>
      </w:r>
      <w:r w:rsidR="0033449F">
        <w:rPr>
          <w:rFonts w:ascii="Times New Roman" w:hAnsi="Times New Roman"/>
          <w:noProof/>
          <w:sz w:val="24"/>
          <w:szCs w:val="24"/>
          <w:lang w:val="en-GB"/>
        </w:rPr>
        <w:t>and</w:t>
      </w:r>
      <w:r w:rsidRPr="00AA1EED">
        <w:rPr>
          <w:rFonts w:ascii="Times New Roman" w:hAnsi="Times New Roman"/>
          <w:noProof/>
          <w:sz w:val="24"/>
          <w:szCs w:val="24"/>
          <w:lang w:val="en-GB"/>
        </w:rPr>
        <w:t xml:space="preserve"> new flexible </w:t>
      </w:r>
      <w:r w:rsidR="006A149D">
        <w:rPr>
          <w:rFonts w:ascii="Times New Roman" w:hAnsi="Times New Roman"/>
          <w:noProof/>
          <w:sz w:val="24"/>
          <w:szCs w:val="24"/>
          <w:lang w:val="en-GB"/>
        </w:rPr>
        <w:t>demand (“</w:t>
      </w:r>
      <w:r w:rsidRPr="00AA1EED">
        <w:rPr>
          <w:rFonts w:ascii="Times New Roman" w:hAnsi="Times New Roman"/>
          <w:noProof/>
          <w:sz w:val="24"/>
          <w:szCs w:val="24"/>
          <w:lang w:val="en-GB"/>
        </w:rPr>
        <w:t>loads</w:t>
      </w:r>
      <w:r w:rsidR="006A149D">
        <w:rPr>
          <w:rFonts w:ascii="Times New Roman" w:hAnsi="Times New Roman"/>
          <w:noProof/>
          <w:sz w:val="24"/>
          <w:szCs w:val="24"/>
          <w:lang w:val="en-GB"/>
        </w:rPr>
        <w:t>”)</w:t>
      </w:r>
      <w:r w:rsidRPr="00AA1EED">
        <w:rPr>
          <w:rFonts w:ascii="Times New Roman" w:hAnsi="Times New Roman"/>
          <w:noProof/>
          <w:sz w:val="24"/>
          <w:szCs w:val="24"/>
          <w:lang w:val="en-GB"/>
        </w:rPr>
        <w:t xml:space="preserve"> such as heat pumps and charging stations for electric vehicles</w:t>
      </w:r>
      <w:r w:rsidR="001964DB" w:rsidRPr="00AA1EED">
        <w:rPr>
          <w:rStyle w:val="FootnoteReference"/>
          <w:rFonts w:ascii="Times New Roman" w:hAnsi="Times New Roman"/>
          <w:noProof/>
          <w:sz w:val="24"/>
          <w:szCs w:val="24"/>
          <w:lang w:val="en-GB"/>
        </w:rPr>
        <w:footnoteReference w:id="6"/>
      </w:r>
      <w:r w:rsidRPr="00AA1EED">
        <w:rPr>
          <w:rFonts w:ascii="Times New Roman" w:hAnsi="Times New Roman"/>
          <w:noProof/>
          <w:sz w:val="24"/>
          <w:szCs w:val="24"/>
          <w:lang w:val="en-GB"/>
        </w:rPr>
        <w:t xml:space="preserve">. They gain </w:t>
      </w:r>
      <w:r w:rsidRPr="00AA1EED">
        <w:rPr>
          <w:rFonts w:ascii="Times New Roman" w:hAnsi="Times New Roman"/>
          <w:noProof/>
          <w:sz w:val="24"/>
          <w:szCs w:val="24"/>
          <w:lang w:val="en-GB"/>
        </w:rPr>
        <w:lastRenderedPageBreak/>
        <w:t>new roles</w:t>
      </w:r>
      <w:r w:rsidR="0033449F">
        <w:rPr>
          <w:rFonts w:ascii="Times New Roman" w:hAnsi="Times New Roman"/>
          <w:noProof/>
          <w:sz w:val="24"/>
          <w:szCs w:val="24"/>
          <w:lang w:val="en-GB"/>
        </w:rPr>
        <w:t>,</w:t>
      </w:r>
      <w:r w:rsidRPr="00AA1EED">
        <w:rPr>
          <w:rFonts w:ascii="Times New Roman" w:hAnsi="Times New Roman"/>
          <w:noProof/>
          <w:sz w:val="24"/>
          <w:szCs w:val="24"/>
          <w:lang w:val="en-GB"/>
        </w:rPr>
        <w:t xml:space="preserve"> becoming facilitators of a range of new solutions that the system requires. They will need to turn into smart grids, becoming digital, monitored in real-time, remotely controllable and cybersecure</w:t>
      </w:r>
      <w:r w:rsidR="00AC78FE" w:rsidRPr="00AA1EED">
        <w:rPr>
          <w:rFonts w:ascii="Times New Roman" w:hAnsi="Times New Roman"/>
          <w:noProof/>
          <w:sz w:val="24"/>
          <w:szCs w:val="24"/>
          <w:lang w:val="en-GB"/>
        </w:rPr>
        <w:t>, with research and innovation playing an important role</w:t>
      </w:r>
      <w:r w:rsidRPr="00AA1EED">
        <w:rPr>
          <w:rFonts w:ascii="Times New Roman" w:hAnsi="Times New Roman"/>
          <w:noProof/>
          <w:sz w:val="24"/>
          <w:szCs w:val="24"/>
          <w:lang w:val="en-GB"/>
        </w:rPr>
        <w:t xml:space="preserve">. </w:t>
      </w:r>
      <w:r w:rsidR="001964DB" w:rsidRPr="00AA1EED">
        <w:rPr>
          <w:rFonts w:ascii="Times New Roman" w:hAnsi="Times New Roman"/>
          <w:noProof/>
          <w:sz w:val="24"/>
          <w:szCs w:val="24"/>
          <w:lang w:val="en-GB"/>
        </w:rPr>
        <w:t>Moreover, a</w:t>
      </w:r>
      <w:r w:rsidRPr="00AA1EED">
        <w:rPr>
          <w:rFonts w:ascii="Times New Roman" w:hAnsi="Times New Roman"/>
          <w:noProof/>
          <w:sz w:val="24"/>
          <w:szCs w:val="24"/>
          <w:lang w:val="en-GB"/>
        </w:rPr>
        <w:t>round 40% of Europe’s distribution grids are over 40 years old and need to be modernised</w:t>
      </w:r>
      <w:r w:rsidR="00630E68" w:rsidRPr="00AA1EED">
        <w:rPr>
          <w:rFonts w:ascii="Times New Roman" w:hAnsi="Times New Roman"/>
          <w:noProof/>
          <w:sz w:val="24"/>
          <w:szCs w:val="24"/>
          <w:lang w:val="en-GB"/>
        </w:rPr>
        <w:t>.</w:t>
      </w:r>
      <w:r w:rsidRPr="00AA1EED">
        <w:rPr>
          <w:rFonts w:ascii="Times New Roman" w:hAnsi="Times New Roman"/>
          <w:noProof/>
          <w:sz w:val="24"/>
          <w:szCs w:val="24"/>
          <w:lang w:val="en-GB"/>
        </w:rPr>
        <w:t xml:space="preserve"> Industry estimates around </w:t>
      </w:r>
      <w:r w:rsidR="00AC78FE" w:rsidRPr="00AA1EED">
        <w:rPr>
          <w:rFonts w:ascii="Times New Roman" w:hAnsi="Times New Roman"/>
          <w:noProof/>
          <w:sz w:val="24"/>
          <w:szCs w:val="24"/>
          <w:lang w:val="en-GB"/>
        </w:rPr>
        <w:t xml:space="preserve">EUR </w:t>
      </w:r>
      <w:r w:rsidRPr="00AA1EED">
        <w:rPr>
          <w:rFonts w:ascii="Times New Roman" w:hAnsi="Times New Roman"/>
          <w:noProof/>
          <w:sz w:val="24"/>
          <w:szCs w:val="24"/>
          <w:lang w:val="en-GB"/>
        </w:rPr>
        <w:t xml:space="preserve">375-425 billion of investment in distribution grids </w:t>
      </w:r>
      <w:r w:rsidR="0033449F">
        <w:rPr>
          <w:rFonts w:ascii="Times New Roman" w:hAnsi="Times New Roman"/>
          <w:noProof/>
          <w:sz w:val="24"/>
          <w:szCs w:val="24"/>
          <w:lang w:val="en-GB"/>
        </w:rPr>
        <w:t xml:space="preserve">is </w:t>
      </w:r>
      <w:r w:rsidR="00AC78FE" w:rsidRPr="00AA1EED">
        <w:rPr>
          <w:rFonts w:ascii="Times New Roman" w:hAnsi="Times New Roman"/>
          <w:noProof/>
          <w:sz w:val="24"/>
          <w:szCs w:val="24"/>
          <w:lang w:val="en-GB"/>
        </w:rPr>
        <w:t>necessary</w:t>
      </w:r>
      <w:r w:rsidRPr="00AA1EED">
        <w:rPr>
          <w:rFonts w:ascii="Times New Roman" w:hAnsi="Times New Roman"/>
          <w:noProof/>
          <w:sz w:val="24"/>
          <w:szCs w:val="24"/>
          <w:lang w:val="en-GB"/>
        </w:rPr>
        <w:t xml:space="preserve"> by 2030</w:t>
      </w:r>
      <w:r w:rsidR="00AC78FE" w:rsidRPr="00AA1EED">
        <w:rPr>
          <w:rFonts w:ascii="Times New Roman" w:eastAsia="Times New Roman" w:hAnsi="Times New Roman" w:cs="Times New Roman"/>
          <w:noProof/>
          <w:sz w:val="24"/>
          <w:szCs w:val="24"/>
          <w:vertAlign w:val="superscript"/>
          <w:lang w:val="en-GB"/>
        </w:rPr>
        <w:footnoteReference w:id="7"/>
      </w:r>
      <w:r w:rsidRPr="00AA1EED">
        <w:rPr>
          <w:rFonts w:ascii="Times New Roman" w:hAnsi="Times New Roman"/>
          <w:noProof/>
          <w:sz w:val="24"/>
          <w:szCs w:val="24"/>
          <w:lang w:val="en-GB"/>
        </w:rPr>
        <w:t>.</w:t>
      </w:r>
      <w:r w:rsidR="00C0145F" w:rsidRPr="00AA1EED">
        <w:rPr>
          <w:rFonts w:ascii="Times New Roman" w:hAnsi="Times New Roman"/>
          <w:noProof/>
          <w:sz w:val="24"/>
          <w:szCs w:val="24"/>
          <w:lang w:val="en-GB"/>
        </w:rPr>
        <w:t xml:space="preserve"> </w:t>
      </w:r>
      <w:r w:rsidRPr="00AA1EED">
        <w:rPr>
          <w:rFonts w:ascii="Times New Roman" w:hAnsi="Times New Roman"/>
          <w:noProof/>
          <w:sz w:val="24"/>
          <w:szCs w:val="24"/>
          <w:lang w:val="en-GB"/>
        </w:rPr>
        <w:t xml:space="preserve">Overall, the Commission estimates that </w:t>
      </w:r>
      <w:r w:rsidR="00C0145F" w:rsidRPr="00AA1EED">
        <w:rPr>
          <w:rFonts w:ascii="Times New Roman" w:hAnsi="Times New Roman"/>
          <w:b/>
          <w:bCs/>
          <w:noProof/>
          <w:sz w:val="24"/>
          <w:szCs w:val="24"/>
          <w:lang w:val="en-GB"/>
        </w:rPr>
        <w:t xml:space="preserve">EUR </w:t>
      </w:r>
      <w:r w:rsidRPr="00377522">
        <w:rPr>
          <w:rFonts w:ascii="Times New Roman" w:hAnsi="Times New Roman"/>
          <w:b/>
          <w:bCs/>
          <w:noProof/>
          <w:sz w:val="24"/>
          <w:szCs w:val="24"/>
          <w:lang w:val="en-GB"/>
        </w:rPr>
        <w:t>584 billion in investments</w:t>
      </w:r>
      <w:r w:rsidR="001644A1" w:rsidRPr="00377522">
        <w:rPr>
          <w:rStyle w:val="FootnoteReference"/>
          <w:rFonts w:ascii="Times New Roman" w:hAnsi="Times New Roman"/>
          <w:noProof/>
          <w:sz w:val="24"/>
          <w:szCs w:val="24"/>
          <w:lang w:val="en-GB"/>
        </w:rPr>
        <w:footnoteReference w:id="8"/>
      </w:r>
      <w:r w:rsidRPr="00AA1EED">
        <w:rPr>
          <w:rFonts w:ascii="Times New Roman" w:hAnsi="Times New Roman"/>
          <w:noProof/>
          <w:sz w:val="24"/>
          <w:szCs w:val="24"/>
          <w:lang w:val="en-GB"/>
        </w:rPr>
        <w:t xml:space="preserve"> are necessary for the electricity grids this decade. This represents a significant part of the overall investment needed for the clean transition in the electricity sector</w:t>
      </w:r>
      <w:r w:rsidR="00C0145F" w:rsidRPr="00AA1EED">
        <w:rPr>
          <w:rFonts w:ascii="Times New Roman" w:hAnsi="Times New Roman"/>
          <w:noProof/>
          <w:sz w:val="24"/>
          <w:szCs w:val="24"/>
          <w:lang w:val="en-GB"/>
        </w:rPr>
        <w:t>.</w:t>
      </w:r>
      <w:r w:rsidR="00CE1730">
        <w:rPr>
          <w:rFonts w:ascii="Times New Roman" w:hAnsi="Times New Roman"/>
          <w:noProof/>
          <w:sz w:val="24"/>
          <w:szCs w:val="24"/>
          <w:lang w:val="en-GB"/>
        </w:rPr>
        <w:t xml:space="preserve"> </w:t>
      </w:r>
    </w:p>
    <w:p w14:paraId="48099825" w14:textId="725B445C" w:rsidR="007E1453" w:rsidRPr="00AA1EED" w:rsidRDefault="007E1453" w:rsidP="007E1453">
      <w:pPr>
        <w:pStyle w:val="Body"/>
        <w:spacing w:after="240"/>
        <w:jc w:val="both"/>
        <w:rPr>
          <w:rFonts w:ascii="Times New Roman" w:hAnsi="Times New Roman"/>
          <w:noProof/>
          <w:sz w:val="24"/>
          <w:szCs w:val="24"/>
          <w:lang w:val="en-GB"/>
        </w:rPr>
      </w:pPr>
      <w:r w:rsidRPr="00AA1EED">
        <w:rPr>
          <w:rFonts w:ascii="Times New Roman" w:hAnsi="Times New Roman"/>
          <w:noProof/>
          <w:sz w:val="24"/>
          <w:szCs w:val="24"/>
          <w:lang w:val="en-GB"/>
        </w:rPr>
        <w:t>Already now, the need for tackling these challenges is clear. In many countries, renewable generation projects face long waiting time</w:t>
      </w:r>
      <w:r w:rsidR="00C0145F" w:rsidRPr="00AA1EED">
        <w:rPr>
          <w:rFonts w:ascii="Times New Roman" w:hAnsi="Times New Roman"/>
          <w:noProof/>
          <w:sz w:val="24"/>
          <w:szCs w:val="24"/>
          <w:lang w:val="en-GB"/>
        </w:rPr>
        <w:t>s</w:t>
      </w:r>
      <w:r w:rsidRPr="00AA1EED">
        <w:rPr>
          <w:rFonts w:ascii="Times New Roman" w:hAnsi="Times New Roman"/>
          <w:noProof/>
          <w:sz w:val="24"/>
          <w:szCs w:val="24"/>
          <w:lang w:val="en-GB"/>
        </w:rPr>
        <w:t xml:space="preserve"> to get connection rights. Waiting time for permits for grid reinforcements are between 4</w:t>
      </w:r>
      <w:r w:rsidR="00C0145F" w:rsidRPr="00AA1EED">
        <w:rPr>
          <w:rFonts w:ascii="Times New Roman" w:hAnsi="Times New Roman"/>
          <w:noProof/>
          <w:sz w:val="24"/>
          <w:szCs w:val="24"/>
          <w:lang w:val="en-GB"/>
        </w:rPr>
        <w:t>-</w:t>
      </w:r>
      <w:r w:rsidRPr="00AA1EED">
        <w:rPr>
          <w:rFonts w:ascii="Times New Roman" w:hAnsi="Times New Roman"/>
          <w:noProof/>
          <w:sz w:val="24"/>
          <w:szCs w:val="24"/>
          <w:lang w:val="en-GB"/>
        </w:rPr>
        <w:t>10 years, and 8</w:t>
      </w:r>
      <w:r w:rsidR="00C0145F" w:rsidRPr="00AA1EED">
        <w:rPr>
          <w:rFonts w:ascii="Times New Roman" w:hAnsi="Times New Roman"/>
          <w:noProof/>
          <w:sz w:val="24"/>
          <w:szCs w:val="24"/>
          <w:lang w:val="en-GB"/>
        </w:rPr>
        <w:t>-</w:t>
      </w:r>
      <w:r w:rsidRPr="00AA1EED">
        <w:rPr>
          <w:rFonts w:ascii="Times New Roman" w:hAnsi="Times New Roman"/>
          <w:noProof/>
          <w:sz w:val="24"/>
          <w:szCs w:val="24"/>
          <w:lang w:val="en-GB"/>
        </w:rPr>
        <w:t xml:space="preserve">10 years for high voltages. Connection backlogs </w:t>
      </w:r>
      <w:r w:rsidR="0033449F">
        <w:rPr>
          <w:rFonts w:ascii="Times New Roman" w:hAnsi="Times New Roman"/>
          <w:noProof/>
          <w:sz w:val="24"/>
          <w:szCs w:val="24"/>
          <w:lang w:val="en-GB"/>
        </w:rPr>
        <w:t>in</w:t>
      </w:r>
      <w:r w:rsidR="0033449F" w:rsidRPr="00AA1EED">
        <w:rPr>
          <w:rFonts w:ascii="Times New Roman" w:hAnsi="Times New Roman"/>
          <w:noProof/>
          <w:sz w:val="24"/>
          <w:szCs w:val="24"/>
          <w:lang w:val="en-GB"/>
        </w:rPr>
        <w:t xml:space="preserve"> </w:t>
      </w:r>
      <w:r w:rsidRPr="00AA1EED">
        <w:rPr>
          <w:rFonts w:ascii="Times New Roman" w:hAnsi="Times New Roman"/>
          <w:noProof/>
          <w:sz w:val="24"/>
          <w:szCs w:val="24"/>
          <w:lang w:val="en-GB"/>
        </w:rPr>
        <w:t xml:space="preserve">the distribution grid are escalating rapidly, with several thousand </w:t>
      </w:r>
      <w:r w:rsidR="00C0145F" w:rsidRPr="00AA1EED">
        <w:rPr>
          <w:rFonts w:ascii="Times New Roman" w:hAnsi="Times New Roman"/>
          <w:noProof/>
          <w:sz w:val="24"/>
          <w:szCs w:val="24"/>
          <w:lang w:val="en-GB"/>
        </w:rPr>
        <w:t xml:space="preserve">new </w:t>
      </w:r>
      <w:r w:rsidRPr="00AA1EED">
        <w:rPr>
          <w:rFonts w:ascii="Times New Roman" w:hAnsi="Times New Roman"/>
          <w:noProof/>
          <w:sz w:val="24"/>
          <w:szCs w:val="24"/>
          <w:lang w:val="en-GB"/>
        </w:rPr>
        <w:t xml:space="preserve">requests per month for a single medium-size </w:t>
      </w:r>
      <w:r w:rsidR="0033449F">
        <w:rPr>
          <w:rFonts w:ascii="Times New Roman" w:hAnsi="Times New Roman"/>
          <w:noProof/>
          <w:sz w:val="24"/>
          <w:szCs w:val="24"/>
          <w:lang w:val="en-GB"/>
        </w:rPr>
        <w:t>distribution system operator</w:t>
      </w:r>
      <w:r w:rsidR="00B75E81">
        <w:rPr>
          <w:rFonts w:ascii="Times New Roman" w:hAnsi="Times New Roman"/>
          <w:noProof/>
          <w:sz w:val="24"/>
          <w:szCs w:val="24"/>
          <w:lang w:val="en-GB"/>
        </w:rPr>
        <w:t xml:space="preserve"> (DSO)</w:t>
      </w:r>
      <w:r w:rsidRPr="00AA1EED">
        <w:rPr>
          <w:rFonts w:ascii="Times New Roman" w:hAnsi="Times New Roman"/>
          <w:noProof/>
          <w:sz w:val="24"/>
          <w:szCs w:val="24"/>
          <w:lang w:val="en-GB"/>
        </w:rPr>
        <w:t xml:space="preserve">. When there is no clarity or certainty about connection timelines and costs, new planned generation projects are stalled or abandoned. </w:t>
      </w:r>
      <w:r w:rsidR="00CE1730">
        <w:rPr>
          <w:rFonts w:ascii="Times New Roman" w:hAnsi="Times New Roman"/>
          <w:noProof/>
          <w:sz w:val="24"/>
          <w:szCs w:val="24"/>
          <w:lang w:val="en-GB"/>
        </w:rPr>
        <w:t xml:space="preserve">While EU legislation already covers </w:t>
      </w:r>
      <w:r w:rsidR="008343BA">
        <w:rPr>
          <w:rFonts w:ascii="Times New Roman" w:hAnsi="Times New Roman"/>
          <w:noProof/>
          <w:sz w:val="24"/>
          <w:szCs w:val="24"/>
          <w:lang w:val="en-GB"/>
        </w:rPr>
        <w:t xml:space="preserve">regulation </w:t>
      </w:r>
      <w:r w:rsidR="00CE1730">
        <w:rPr>
          <w:rFonts w:ascii="Times New Roman" w:hAnsi="Times New Roman"/>
          <w:noProof/>
          <w:sz w:val="24"/>
          <w:szCs w:val="24"/>
          <w:lang w:val="en-GB"/>
        </w:rPr>
        <w:t xml:space="preserve">relevant for DSOs, with this Action Plan the Commission promotes, for the first time, </w:t>
      </w:r>
      <w:r w:rsidR="008343BA">
        <w:rPr>
          <w:rFonts w:ascii="Times New Roman" w:hAnsi="Times New Roman"/>
          <w:noProof/>
          <w:sz w:val="24"/>
          <w:szCs w:val="24"/>
          <w:lang w:val="en-GB"/>
        </w:rPr>
        <w:t xml:space="preserve">action </w:t>
      </w:r>
      <w:r w:rsidR="00CE1730">
        <w:rPr>
          <w:rFonts w:ascii="Times New Roman" w:hAnsi="Times New Roman"/>
          <w:noProof/>
          <w:sz w:val="24"/>
          <w:szCs w:val="24"/>
          <w:lang w:val="en-GB"/>
        </w:rPr>
        <w:t xml:space="preserve">targeted </w:t>
      </w:r>
      <w:r w:rsidR="008343BA">
        <w:rPr>
          <w:rFonts w:ascii="Times New Roman" w:hAnsi="Times New Roman"/>
          <w:noProof/>
          <w:sz w:val="24"/>
          <w:szCs w:val="24"/>
          <w:lang w:val="en-GB"/>
        </w:rPr>
        <w:t>to</w:t>
      </w:r>
      <w:r w:rsidR="00CE1730">
        <w:rPr>
          <w:rFonts w:ascii="Times New Roman" w:hAnsi="Times New Roman"/>
          <w:noProof/>
          <w:sz w:val="24"/>
          <w:szCs w:val="24"/>
          <w:lang w:val="en-GB"/>
        </w:rPr>
        <w:t xml:space="preserve"> distribution network</w:t>
      </w:r>
      <w:r w:rsidR="008343BA">
        <w:rPr>
          <w:rFonts w:ascii="Times New Roman" w:hAnsi="Times New Roman"/>
          <w:noProof/>
          <w:sz w:val="24"/>
          <w:szCs w:val="24"/>
          <w:lang w:val="en-GB"/>
        </w:rPr>
        <w:t>s</w:t>
      </w:r>
      <w:r w:rsidR="00CE1730">
        <w:rPr>
          <w:rFonts w:ascii="Times New Roman" w:hAnsi="Times New Roman"/>
          <w:noProof/>
          <w:sz w:val="24"/>
          <w:szCs w:val="24"/>
          <w:lang w:val="en-GB"/>
        </w:rPr>
        <w:t>. Here, significant supply bottlenecks may arise when businesses and households seek access to affordable clean energy with solutions ranging from integrating flexible energy assets such as zero-emission vehicles to demand response</w:t>
      </w:r>
      <w:r w:rsidR="008A094F">
        <w:rPr>
          <w:rFonts w:ascii="Times New Roman" w:hAnsi="Times New Roman"/>
          <w:noProof/>
          <w:sz w:val="24"/>
          <w:szCs w:val="24"/>
          <w:lang w:val="en-GB"/>
        </w:rPr>
        <w:t xml:space="preserve"> to</w:t>
      </w:r>
      <w:r w:rsidR="00CE1730">
        <w:rPr>
          <w:rFonts w:ascii="Times New Roman" w:hAnsi="Times New Roman"/>
          <w:noProof/>
          <w:sz w:val="24"/>
          <w:szCs w:val="24"/>
          <w:lang w:val="en-GB"/>
        </w:rPr>
        <w:t xml:space="preserve"> investments in substations</w:t>
      </w:r>
      <w:r w:rsidR="008A094F">
        <w:rPr>
          <w:rFonts w:ascii="Times New Roman" w:hAnsi="Times New Roman"/>
          <w:noProof/>
          <w:sz w:val="24"/>
          <w:szCs w:val="24"/>
          <w:lang w:val="en-GB"/>
        </w:rPr>
        <w:t xml:space="preserve"> and others</w:t>
      </w:r>
      <w:r w:rsidR="00CE1730">
        <w:rPr>
          <w:rFonts w:ascii="Times New Roman" w:hAnsi="Times New Roman"/>
          <w:noProof/>
          <w:sz w:val="24"/>
          <w:szCs w:val="24"/>
          <w:lang w:val="en-GB"/>
        </w:rPr>
        <w:t xml:space="preserve">. </w:t>
      </w:r>
      <w:r w:rsidRPr="00AA1EED">
        <w:rPr>
          <w:rFonts w:ascii="Times New Roman" w:hAnsi="Times New Roman"/>
          <w:noProof/>
          <w:sz w:val="24"/>
          <w:szCs w:val="24"/>
          <w:lang w:val="en-GB"/>
        </w:rPr>
        <w:t>Furthermore, everywhere in Europe, interconnection projects suffer from cost overruns due to inflation and rising interest rates, while also facing difficulties in getting equipment like cables</w:t>
      </w:r>
      <w:r w:rsidR="00C0145F" w:rsidRPr="00AA1EED">
        <w:rPr>
          <w:rFonts w:ascii="Times New Roman" w:hAnsi="Times New Roman"/>
          <w:noProof/>
          <w:sz w:val="24"/>
          <w:szCs w:val="24"/>
          <w:lang w:val="en-GB"/>
        </w:rPr>
        <w:t xml:space="preserve"> or</w:t>
      </w:r>
      <w:r w:rsidRPr="00AA1EED">
        <w:rPr>
          <w:rFonts w:ascii="Times New Roman" w:hAnsi="Times New Roman"/>
          <w:noProof/>
          <w:sz w:val="24"/>
          <w:szCs w:val="24"/>
          <w:lang w:val="en-GB"/>
        </w:rPr>
        <w:t xml:space="preserve"> substations</w:t>
      </w:r>
      <w:r w:rsidR="0033449F" w:rsidRPr="0033449F">
        <w:rPr>
          <w:rFonts w:ascii="Times New Roman" w:hAnsi="Times New Roman"/>
          <w:noProof/>
          <w:sz w:val="24"/>
          <w:szCs w:val="24"/>
          <w:lang w:val="en-GB"/>
        </w:rPr>
        <w:t xml:space="preserve"> </w:t>
      </w:r>
      <w:r w:rsidR="0033449F" w:rsidRPr="00AA1EED">
        <w:rPr>
          <w:rFonts w:ascii="Times New Roman" w:hAnsi="Times New Roman"/>
          <w:noProof/>
          <w:sz w:val="24"/>
          <w:szCs w:val="24"/>
          <w:lang w:val="en-GB"/>
        </w:rPr>
        <w:t>on time</w:t>
      </w:r>
      <w:r w:rsidRPr="00AA1EED">
        <w:rPr>
          <w:rFonts w:ascii="Times New Roman" w:hAnsi="Times New Roman"/>
          <w:noProof/>
          <w:sz w:val="24"/>
          <w:szCs w:val="24"/>
          <w:lang w:val="en-GB"/>
        </w:rPr>
        <w:t xml:space="preserve">. </w:t>
      </w:r>
      <w:r w:rsidR="00423146">
        <w:rPr>
          <w:rFonts w:ascii="Times New Roman" w:hAnsi="Times New Roman"/>
          <w:noProof/>
          <w:sz w:val="24"/>
          <w:szCs w:val="24"/>
          <w:lang w:val="en-GB"/>
        </w:rPr>
        <w:t xml:space="preserve">The lack of skilled workforce adds to these problems. </w:t>
      </w:r>
      <w:r w:rsidRPr="00AA1EED">
        <w:rPr>
          <w:rFonts w:ascii="Times New Roman" w:hAnsi="Times New Roman"/>
          <w:noProof/>
          <w:sz w:val="24"/>
          <w:szCs w:val="24"/>
          <w:lang w:val="en-GB"/>
        </w:rPr>
        <w:t xml:space="preserve">Waiting times for new products can </w:t>
      </w:r>
      <w:r w:rsidR="0033449F">
        <w:rPr>
          <w:rFonts w:ascii="Times New Roman" w:hAnsi="Times New Roman"/>
          <w:noProof/>
          <w:sz w:val="24"/>
          <w:szCs w:val="24"/>
          <w:lang w:val="en-GB"/>
        </w:rPr>
        <w:t>reach</w:t>
      </w:r>
      <w:r w:rsidRPr="00AA1EED">
        <w:rPr>
          <w:rFonts w:ascii="Times New Roman" w:hAnsi="Times New Roman"/>
          <w:noProof/>
          <w:sz w:val="24"/>
          <w:szCs w:val="24"/>
          <w:lang w:val="en-GB"/>
        </w:rPr>
        <w:t xml:space="preserve"> 2032. </w:t>
      </w:r>
    </w:p>
    <w:p w14:paraId="331E91BE" w14:textId="01DD7720" w:rsidR="007E1453" w:rsidRPr="00AA1EED" w:rsidRDefault="007E1453" w:rsidP="007E1453">
      <w:pPr>
        <w:pStyle w:val="Body"/>
        <w:spacing w:after="240"/>
        <w:jc w:val="both"/>
        <w:rPr>
          <w:rFonts w:ascii="Times New Roman" w:hAnsi="Times New Roman"/>
          <w:noProof/>
          <w:sz w:val="24"/>
          <w:szCs w:val="24"/>
          <w:lang w:val="en-GB"/>
        </w:rPr>
      </w:pPr>
      <w:r w:rsidRPr="00AA1EED">
        <w:rPr>
          <w:rFonts w:ascii="Times New Roman" w:hAnsi="Times New Roman"/>
          <w:noProof/>
          <w:sz w:val="24"/>
          <w:szCs w:val="24"/>
          <w:lang w:val="en-GB"/>
        </w:rPr>
        <w:t xml:space="preserve">This is not just a European issue. </w:t>
      </w:r>
      <w:r w:rsidRPr="00377522">
        <w:rPr>
          <w:rFonts w:ascii="Times New Roman" w:hAnsi="Times New Roman"/>
          <w:b/>
          <w:bCs/>
          <w:noProof/>
          <w:sz w:val="24"/>
          <w:szCs w:val="24"/>
          <w:lang w:val="en-GB"/>
        </w:rPr>
        <w:t>The need for grids to expand is recognised globally</w:t>
      </w:r>
      <w:r w:rsidRPr="00AA1EED">
        <w:rPr>
          <w:rFonts w:ascii="Times New Roman" w:hAnsi="Times New Roman"/>
          <w:noProof/>
          <w:sz w:val="24"/>
          <w:szCs w:val="24"/>
          <w:lang w:val="en-GB"/>
        </w:rPr>
        <w:t>. The US estimates the need to expand their electricity transmission systems by 60% by 2030. China’s State Grid Corporation has announced investment of CNY 1,020 bn (EUR 132 bn) in power grids in 2022-23. The International Energy Agency assesses the need for over 80 million km of grids around the world by 2040 – the equivalent of today’s entire existing global grid – and estimates around 1,500 GW of advanced renewable projects waiting in grid connection queues</w:t>
      </w:r>
      <w:r w:rsidR="00C0145F" w:rsidRPr="00AA1EED">
        <w:rPr>
          <w:rStyle w:val="FootnoteReference"/>
          <w:rFonts w:ascii="Times New Roman" w:hAnsi="Times New Roman" w:cs="Times New Roman"/>
          <w:noProof/>
          <w:sz w:val="24"/>
          <w:szCs w:val="24"/>
          <w:lang w:val="en-GB"/>
        </w:rPr>
        <w:footnoteReference w:id="9"/>
      </w:r>
      <w:r w:rsidRPr="00AA1EED">
        <w:rPr>
          <w:rFonts w:ascii="Times New Roman" w:hAnsi="Times New Roman"/>
          <w:noProof/>
          <w:sz w:val="24"/>
          <w:szCs w:val="24"/>
          <w:lang w:val="en-GB"/>
        </w:rPr>
        <w:t xml:space="preserve">. </w:t>
      </w:r>
    </w:p>
    <w:p w14:paraId="7D587F3D" w14:textId="325A608E" w:rsidR="007E1453" w:rsidRPr="00AA1EED" w:rsidRDefault="007E1453" w:rsidP="00647B05">
      <w:pPr>
        <w:pStyle w:val="Body"/>
        <w:spacing w:after="240"/>
        <w:jc w:val="both"/>
        <w:rPr>
          <w:rFonts w:ascii="Times New Roman" w:hAnsi="Times New Roman"/>
          <w:noProof/>
          <w:sz w:val="24"/>
          <w:szCs w:val="24"/>
          <w:lang w:val="en-GB"/>
        </w:rPr>
      </w:pPr>
      <w:r w:rsidRPr="00AA1EED">
        <w:rPr>
          <w:rFonts w:ascii="Times New Roman" w:hAnsi="Times New Roman"/>
          <w:noProof/>
          <w:sz w:val="24"/>
          <w:szCs w:val="24"/>
          <w:lang w:val="en-GB"/>
        </w:rPr>
        <w:t xml:space="preserve">The EU </w:t>
      </w:r>
      <w:r w:rsidR="00AC78D8" w:rsidRPr="00AA1EED">
        <w:rPr>
          <w:rFonts w:ascii="Times New Roman" w:hAnsi="Times New Roman"/>
          <w:noProof/>
          <w:sz w:val="24"/>
          <w:szCs w:val="24"/>
          <w:lang w:val="en-GB"/>
        </w:rPr>
        <w:t>is</w:t>
      </w:r>
      <w:r w:rsidRPr="00AA1EED">
        <w:rPr>
          <w:rFonts w:ascii="Times New Roman" w:hAnsi="Times New Roman"/>
          <w:noProof/>
          <w:sz w:val="24"/>
          <w:szCs w:val="24"/>
          <w:lang w:val="en-GB"/>
        </w:rPr>
        <w:t xml:space="preserve"> bring</w:t>
      </w:r>
      <w:r w:rsidR="00AC78D8" w:rsidRPr="00AA1EED">
        <w:rPr>
          <w:rFonts w:ascii="Times New Roman" w:hAnsi="Times New Roman"/>
          <w:noProof/>
          <w:sz w:val="24"/>
          <w:szCs w:val="24"/>
          <w:lang w:val="en-GB"/>
        </w:rPr>
        <w:t>ing</w:t>
      </w:r>
      <w:r w:rsidRPr="00AA1EED">
        <w:rPr>
          <w:rFonts w:ascii="Times New Roman" w:hAnsi="Times New Roman"/>
          <w:noProof/>
          <w:sz w:val="24"/>
          <w:szCs w:val="24"/>
          <w:lang w:val="en-GB"/>
        </w:rPr>
        <w:t xml:space="preserve"> grids to the centre of its agenda. The revised Renewable Energy Directive</w:t>
      </w:r>
      <w:r w:rsidR="00423146">
        <w:rPr>
          <w:rStyle w:val="FootnoteReference"/>
          <w:rFonts w:ascii="Times New Roman" w:hAnsi="Times New Roman"/>
          <w:noProof/>
          <w:sz w:val="24"/>
          <w:szCs w:val="24"/>
          <w:lang w:val="en-GB"/>
        </w:rPr>
        <w:footnoteReference w:id="10"/>
      </w:r>
      <w:r w:rsidRPr="00AA1EED">
        <w:rPr>
          <w:rFonts w:ascii="Times New Roman" w:hAnsi="Times New Roman"/>
          <w:noProof/>
          <w:sz w:val="24"/>
          <w:szCs w:val="24"/>
          <w:lang w:val="en-GB"/>
        </w:rPr>
        <w:t xml:space="preserve"> streamlines the permitting of networks necessary to integrate renewables. The Regulation and Directive</w:t>
      </w:r>
      <w:r w:rsidR="00423146">
        <w:rPr>
          <w:rStyle w:val="FootnoteReference"/>
          <w:rFonts w:ascii="Times New Roman" w:hAnsi="Times New Roman"/>
          <w:noProof/>
          <w:sz w:val="24"/>
          <w:szCs w:val="24"/>
          <w:lang w:val="en-GB"/>
        </w:rPr>
        <w:footnoteReference w:id="11"/>
      </w:r>
      <w:r w:rsidRPr="00AA1EED">
        <w:rPr>
          <w:rFonts w:ascii="Times New Roman" w:hAnsi="Times New Roman"/>
          <w:noProof/>
          <w:sz w:val="24"/>
          <w:szCs w:val="24"/>
          <w:lang w:val="en-GB"/>
        </w:rPr>
        <w:t xml:space="preserve"> for an internal market for electricity contain rules relevant for developing grids with regard to planning, network tariffs and the roles</w:t>
      </w:r>
      <w:r w:rsidR="00B84F0D" w:rsidRPr="00AA1EED">
        <w:rPr>
          <w:rFonts w:ascii="Times New Roman" w:hAnsi="Times New Roman"/>
          <w:noProof/>
          <w:sz w:val="24"/>
          <w:szCs w:val="24"/>
          <w:lang w:val="en-GB"/>
        </w:rPr>
        <w:t xml:space="preserve"> of</w:t>
      </w:r>
      <w:r w:rsidRPr="00AA1EED">
        <w:rPr>
          <w:rFonts w:ascii="Times New Roman" w:hAnsi="Times New Roman"/>
          <w:noProof/>
          <w:sz w:val="24"/>
          <w:szCs w:val="24"/>
          <w:lang w:val="en-GB"/>
        </w:rPr>
        <w:t xml:space="preserve"> ENTSO-E and the EU DSO Entity. The Net</w:t>
      </w:r>
      <w:r w:rsidR="0098016E">
        <w:rPr>
          <w:rFonts w:ascii="Times New Roman" w:hAnsi="Times New Roman"/>
          <w:noProof/>
          <w:sz w:val="24"/>
          <w:szCs w:val="24"/>
          <w:lang w:val="en-GB"/>
        </w:rPr>
        <w:t>-</w:t>
      </w:r>
      <w:r w:rsidRPr="00AA1EED">
        <w:rPr>
          <w:rFonts w:ascii="Times New Roman" w:hAnsi="Times New Roman"/>
          <w:noProof/>
          <w:sz w:val="24"/>
          <w:szCs w:val="24"/>
          <w:lang w:val="en-GB"/>
        </w:rPr>
        <w:t xml:space="preserve">Zero Industry Act </w:t>
      </w:r>
      <w:r w:rsidR="00423146">
        <w:rPr>
          <w:rFonts w:ascii="Times New Roman" w:hAnsi="Times New Roman"/>
          <w:noProof/>
          <w:sz w:val="24"/>
          <w:szCs w:val="24"/>
          <w:lang w:val="en-GB"/>
        </w:rPr>
        <w:t xml:space="preserve">proposal </w:t>
      </w:r>
      <w:r w:rsidRPr="00AA1EED">
        <w:rPr>
          <w:rFonts w:ascii="Times New Roman" w:hAnsi="Times New Roman"/>
          <w:noProof/>
          <w:sz w:val="24"/>
          <w:szCs w:val="24"/>
          <w:lang w:val="en-GB"/>
        </w:rPr>
        <w:t>includes grid technologies in its scope.</w:t>
      </w:r>
      <w:r w:rsidR="0098016E">
        <w:rPr>
          <w:rFonts w:ascii="Times New Roman" w:hAnsi="Times New Roman"/>
          <w:noProof/>
          <w:sz w:val="24"/>
          <w:szCs w:val="24"/>
          <w:lang w:val="en-GB"/>
        </w:rPr>
        <w:t xml:space="preserve"> </w:t>
      </w:r>
      <w:r w:rsidRPr="00AA1EED">
        <w:rPr>
          <w:rFonts w:ascii="Times New Roman" w:hAnsi="Times New Roman"/>
          <w:noProof/>
          <w:sz w:val="24"/>
          <w:szCs w:val="24"/>
          <w:lang w:val="en-GB"/>
        </w:rPr>
        <w:t xml:space="preserve">But the scale of the challenge is such that dedicated policy attention is required to ensure that grids become an enabler, not a bottleneck for </w:t>
      </w:r>
      <w:r w:rsidR="0098016E">
        <w:rPr>
          <w:rFonts w:ascii="Times New Roman" w:hAnsi="Times New Roman"/>
          <w:noProof/>
          <w:sz w:val="24"/>
          <w:szCs w:val="24"/>
          <w:lang w:val="en-GB"/>
        </w:rPr>
        <w:t>the EU</w:t>
      </w:r>
      <w:r w:rsidRPr="00AA1EED">
        <w:rPr>
          <w:rFonts w:ascii="Times New Roman" w:hAnsi="Times New Roman"/>
          <w:noProof/>
          <w:sz w:val="24"/>
          <w:szCs w:val="24"/>
          <w:lang w:val="en-GB"/>
        </w:rPr>
        <w:t>’s fast clean transition</w:t>
      </w:r>
      <w:r w:rsidR="00AC78D8" w:rsidRPr="00AA1EED">
        <w:rPr>
          <w:rStyle w:val="FootnoteReference"/>
          <w:rFonts w:ascii="Times New Roman" w:hAnsi="Times New Roman" w:cs="Times New Roman"/>
          <w:noProof/>
          <w:sz w:val="24"/>
          <w:szCs w:val="24"/>
          <w:lang w:val="en-GB"/>
        </w:rPr>
        <w:footnoteReference w:id="12"/>
      </w:r>
      <w:r w:rsidRPr="00AA1EED">
        <w:rPr>
          <w:rFonts w:ascii="Times New Roman" w:hAnsi="Times New Roman"/>
          <w:noProof/>
          <w:sz w:val="24"/>
          <w:szCs w:val="24"/>
          <w:lang w:val="en-GB"/>
        </w:rPr>
        <w:t xml:space="preserve">. </w:t>
      </w:r>
      <w:r w:rsidR="00647B05">
        <w:rPr>
          <w:rFonts w:ascii="Times New Roman" w:hAnsi="Times New Roman"/>
          <w:noProof/>
          <w:sz w:val="24"/>
          <w:szCs w:val="24"/>
          <w:lang w:val="en-GB"/>
        </w:rPr>
        <w:t>Moreover, the need to i</w:t>
      </w:r>
      <w:r w:rsidR="00647B05" w:rsidRPr="00647B05">
        <w:rPr>
          <w:rFonts w:ascii="Times New Roman" w:hAnsi="Times New Roman"/>
          <w:noProof/>
          <w:sz w:val="24"/>
          <w:szCs w:val="24"/>
          <w:lang w:val="en-GB"/>
        </w:rPr>
        <w:t xml:space="preserve">mprove </w:t>
      </w:r>
      <w:r w:rsidR="00647B05">
        <w:rPr>
          <w:rFonts w:ascii="Times New Roman" w:hAnsi="Times New Roman"/>
          <w:noProof/>
          <w:sz w:val="24"/>
          <w:szCs w:val="24"/>
          <w:lang w:val="en-GB"/>
        </w:rPr>
        <w:t xml:space="preserve">electricity grid </w:t>
      </w:r>
      <w:r w:rsidR="006A5667">
        <w:rPr>
          <w:rFonts w:ascii="Times New Roman" w:hAnsi="Times New Roman"/>
          <w:noProof/>
          <w:sz w:val="24"/>
          <w:szCs w:val="24"/>
          <w:lang w:val="en-GB"/>
        </w:rPr>
        <w:t>modernisation</w:t>
      </w:r>
      <w:r w:rsidR="00647B05" w:rsidRPr="00647B05">
        <w:rPr>
          <w:rFonts w:ascii="Times New Roman" w:hAnsi="Times New Roman"/>
          <w:noProof/>
          <w:sz w:val="24"/>
          <w:szCs w:val="24"/>
          <w:lang w:val="en-GB"/>
        </w:rPr>
        <w:t xml:space="preserve"> and interconnectivity,</w:t>
      </w:r>
      <w:r w:rsidR="00647B05">
        <w:rPr>
          <w:rFonts w:ascii="Times New Roman" w:hAnsi="Times New Roman"/>
          <w:noProof/>
          <w:sz w:val="24"/>
          <w:szCs w:val="24"/>
          <w:lang w:val="en-GB"/>
        </w:rPr>
        <w:t xml:space="preserve"> </w:t>
      </w:r>
      <w:r w:rsidR="00647B05" w:rsidRPr="00647B05">
        <w:rPr>
          <w:rFonts w:ascii="Times New Roman" w:hAnsi="Times New Roman"/>
          <w:noProof/>
          <w:sz w:val="24"/>
          <w:szCs w:val="24"/>
          <w:lang w:val="en-GB"/>
        </w:rPr>
        <w:t xml:space="preserve">ensure </w:t>
      </w:r>
      <w:r w:rsidR="00647B05">
        <w:rPr>
          <w:rFonts w:ascii="Times New Roman" w:hAnsi="Times New Roman"/>
          <w:noProof/>
          <w:sz w:val="24"/>
          <w:szCs w:val="24"/>
          <w:lang w:val="en-GB"/>
        </w:rPr>
        <w:t xml:space="preserve">their </w:t>
      </w:r>
      <w:r w:rsidR="00647B05" w:rsidRPr="00647B05">
        <w:rPr>
          <w:rFonts w:ascii="Times New Roman" w:hAnsi="Times New Roman"/>
          <w:noProof/>
          <w:sz w:val="24"/>
          <w:szCs w:val="24"/>
          <w:lang w:val="en-GB"/>
        </w:rPr>
        <w:lastRenderedPageBreak/>
        <w:t xml:space="preserve">maintenance and transform </w:t>
      </w:r>
      <w:r w:rsidR="00647B05">
        <w:rPr>
          <w:rFonts w:ascii="Times New Roman" w:hAnsi="Times New Roman"/>
          <w:noProof/>
          <w:sz w:val="24"/>
          <w:szCs w:val="24"/>
          <w:lang w:val="en-GB"/>
        </w:rPr>
        <w:t xml:space="preserve">them </w:t>
      </w:r>
      <w:r w:rsidR="00647B05" w:rsidRPr="00647B05">
        <w:rPr>
          <w:rFonts w:ascii="Times New Roman" w:hAnsi="Times New Roman"/>
          <w:noProof/>
          <w:sz w:val="24"/>
          <w:szCs w:val="24"/>
          <w:lang w:val="en-GB"/>
        </w:rPr>
        <w:t>to enable the transition to renewable energy</w:t>
      </w:r>
      <w:r w:rsidR="00647B05">
        <w:rPr>
          <w:rFonts w:ascii="Times New Roman" w:hAnsi="Times New Roman"/>
          <w:noProof/>
          <w:sz w:val="24"/>
          <w:szCs w:val="24"/>
          <w:lang w:val="en-GB"/>
        </w:rPr>
        <w:t xml:space="preserve"> </w:t>
      </w:r>
      <w:r w:rsidR="00647B05" w:rsidRPr="00647B05">
        <w:rPr>
          <w:rFonts w:ascii="Times New Roman" w:hAnsi="Times New Roman"/>
          <w:noProof/>
          <w:sz w:val="24"/>
          <w:szCs w:val="24"/>
          <w:lang w:val="en-GB"/>
        </w:rPr>
        <w:t xml:space="preserve">sources </w:t>
      </w:r>
      <w:r w:rsidR="00647B05">
        <w:rPr>
          <w:rFonts w:ascii="Times New Roman" w:hAnsi="Times New Roman"/>
          <w:noProof/>
          <w:sz w:val="24"/>
          <w:szCs w:val="24"/>
          <w:lang w:val="en-GB"/>
        </w:rPr>
        <w:t>is a request of EU citizens</w:t>
      </w:r>
      <w:r w:rsidR="00647B05">
        <w:rPr>
          <w:rStyle w:val="FootnoteReference"/>
          <w:rFonts w:ascii="Times New Roman" w:hAnsi="Times New Roman"/>
          <w:noProof/>
          <w:sz w:val="24"/>
          <w:szCs w:val="24"/>
          <w:lang w:val="en-GB"/>
        </w:rPr>
        <w:footnoteReference w:id="13"/>
      </w:r>
      <w:r w:rsidR="00647B05">
        <w:rPr>
          <w:rFonts w:ascii="Times New Roman" w:hAnsi="Times New Roman"/>
          <w:noProof/>
          <w:sz w:val="24"/>
          <w:szCs w:val="24"/>
          <w:lang w:val="en-GB"/>
        </w:rPr>
        <w:t>.</w:t>
      </w:r>
      <w:r w:rsidR="00647B05" w:rsidRPr="00647B05">
        <w:rPr>
          <w:rFonts w:ascii="Times New Roman" w:hAnsi="Times New Roman"/>
          <w:noProof/>
          <w:sz w:val="24"/>
          <w:szCs w:val="24"/>
          <w:lang w:val="en-GB"/>
        </w:rPr>
        <w:t xml:space="preserve"> </w:t>
      </w:r>
      <w:r w:rsidRPr="00AA1EED">
        <w:rPr>
          <w:rFonts w:ascii="Times New Roman" w:hAnsi="Times New Roman"/>
          <w:noProof/>
          <w:sz w:val="24"/>
          <w:szCs w:val="24"/>
          <w:lang w:val="en-GB"/>
        </w:rPr>
        <w:t>For th</w:t>
      </w:r>
      <w:r w:rsidR="00647B05">
        <w:rPr>
          <w:rFonts w:ascii="Times New Roman" w:hAnsi="Times New Roman"/>
          <w:noProof/>
          <w:sz w:val="24"/>
          <w:szCs w:val="24"/>
          <w:lang w:val="en-GB"/>
        </w:rPr>
        <w:t>e</w:t>
      </w:r>
      <w:r w:rsidRPr="00AA1EED">
        <w:rPr>
          <w:rFonts w:ascii="Times New Roman" w:hAnsi="Times New Roman"/>
          <w:noProof/>
          <w:sz w:val="24"/>
          <w:szCs w:val="24"/>
          <w:lang w:val="en-GB"/>
        </w:rPr>
        <w:t>s</w:t>
      </w:r>
      <w:r w:rsidR="00647B05">
        <w:rPr>
          <w:rFonts w:ascii="Times New Roman" w:hAnsi="Times New Roman"/>
          <w:noProof/>
          <w:sz w:val="24"/>
          <w:szCs w:val="24"/>
          <w:lang w:val="en-GB"/>
        </w:rPr>
        <w:t>e</w:t>
      </w:r>
      <w:r w:rsidRPr="00AA1EED">
        <w:rPr>
          <w:rFonts w:ascii="Times New Roman" w:hAnsi="Times New Roman"/>
          <w:noProof/>
          <w:sz w:val="24"/>
          <w:szCs w:val="24"/>
          <w:lang w:val="en-GB"/>
        </w:rPr>
        <w:t xml:space="preserve"> reason</w:t>
      </w:r>
      <w:r w:rsidR="00647B05">
        <w:rPr>
          <w:rFonts w:ascii="Times New Roman" w:hAnsi="Times New Roman"/>
          <w:noProof/>
          <w:sz w:val="24"/>
          <w:szCs w:val="24"/>
          <w:lang w:val="en-GB"/>
        </w:rPr>
        <w:t>s</w:t>
      </w:r>
      <w:r w:rsidRPr="00AA1EED">
        <w:rPr>
          <w:rFonts w:ascii="Times New Roman" w:hAnsi="Times New Roman"/>
          <w:noProof/>
          <w:sz w:val="24"/>
          <w:szCs w:val="24"/>
          <w:lang w:val="en-GB"/>
        </w:rPr>
        <w:t xml:space="preserve">, the Commission has engaged with stakeholders to discuss the problems and possible actions. </w:t>
      </w:r>
    </w:p>
    <w:p w14:paraId="41DD89C3" w14:textId="2C14FE16" w:rsidR="000667E6" w:rsidRPr="00AA1EED" w:rsidRDefault="007E1453" w:rsidP="007E1453">
      <w:pPr>
        <w:pStyle w:val="Body"/>
        <w:spacing w:after="240" w:line="240" w:lineRule="auto"/>
        <w:jc w:val="both"/>
        <w:rPr>
          <w:rFonts w:ascii="Times New Roman" w:hAnsi="Times New Roman"/>
          <w:noProof/>
          <w:sz w:val="24"/>
          <w:szCs w:val="24"/>
          <w:lang w:val="en-GB"/>
        </w:rPr>
      </w:pPr>
      <w:r w:rsidRPr="00AA1EED">
        <w:rPr>
          <w:rFonts w:ascii="Times New Roman" w:hAnsi="Times New Roman"/>
          <w:noProof/>
          <w:sz w:val="24"/>
          <w:szCs w:val="24"/>
          <w:lang w:val="en-GB"/>
        </w:rPr>
        <w:t xml:space="preserve">Building on this work, the Commission presents this Communication </w:t>
      </w:r>
      <w:r w:rsidR="00C500F5" w:rsidRPr="00AA1EED">
        <w:rPr>
          <w:rFonts w:ascii="Times New Roman" w:hAnsi="Times New Roman"/>
          <w:noProof/>
          <w:sz w:val="24"/>
          <w:szCs w:val="24"/>
          <w:lang w:val="en-GB"/>
        </w:rPr>
        <w:t xml:space="preserve">with </w:t>
      </w:r>
      <w:r w:rsidRPr="00AA1EED">
        <w:rPr>
          <w:rFonts w:ascii="Times New Roman" w:hAnsi="Times New Roman"/>
          <w:noProof/>
          <w:sz w:val="24"/>
          <w:szCs w:val="24"/>
          <w:lang w:val="en-GB"/>
        </w:rPr>
        <w:t>a 14</w:t>
      </w:r>
      <w:r w:rsidR="00AC78D8" w:rsidRPr="00AA1EED">
        <w:rPr>
          <w:rFonts w:ascii="Times New Roman" w:hAnsi="Times New Roman"/>
          <w:noProof/>
          <w:sz w:val="24"/>
          <w:szCs w:val="24"/>
          <w:lang w:val="en-GB"/>
        </w:rPr>
        <w:t>-</w:t>
      </w:r>
      <w:r w:rsidRPr="00AA1EED">
        <w:rPr>
          <w:rFonts w:ascii="Times New Roman" w:hAnsi="Times New Roman"/>
          <w:noProof/>
          <w:sz w:val="24"/>
          <w:szCs w:val="24"/>
          <w:lang w:val="en-GB"/>
        </w:rPr>
        <w:t>point action plan to make Europe</w:t>
      </w:r>
      <w:r w:rsidR="00C500F5">
        <w:rPr>
          <w:rFonts w:ascii="Times New Roman" w:hAnsi="Times New Roman"/>
          <w:noProof/>
          <w:sz w:val="24"/>
          <w:szCs w:val="24"/>
          <w:lang w:val="en-GB"/>
        </w:rPr>
        <w:t>’s</w:t>
      </w:r>
      <w:r w:rsidRPr="00AA1EED">
        <w:rPr>
          <w:rFonts w:ascii="Times New Roman" w:hAnsi="Times New Roman"/>
          <w:noProof/>
          <w:sz w:val="24"/>
          <w:szCs w:val="24"/>
          <w:lang w:val="en-GB"/>
        </w:rPr>
        <w:t xml:space="preserve"> electricity grids stronger, more interconnected, more digitalised and cyber</w:t>
      </w:r>
      <w:r w:rsidR="00AC78D8" w:rsidRPr="00AA1EED">
        <w:rPr>
          <w:rFonts w:ascii="Times New Roman" w:hAnsi="Times New Roman"/>
          <w:noProof/>
          <w:sz w:val="24"/>
          <w:szCs w:val="24"/>
          <w:lang w:val="en-GB"/>
        </w:rPr>
        <w:t>-</w:t>
      </w:r>
      <w:r w:rsidRPr="00AA1EED">
        <w:rPr>
          <w:rFonts w:ascii="Times New Roman" w:hAnsi="Times New Roman"/>
          <w:noProof/>
          <w:sz w:val="24"/>
          <w:szCs w:val="24"/>
          <w:lang w:val="en-GB"/>
        </w:rPr>
        <w:t xml:space="preserve">resilient. The measures </w:t>
      </w:r>
      <w:r w:rsidR="00C500F5">
        <w:rPr>
          <w:rFonts w:ascii="Times New Roman" w:hAnsi="Times New Roman"/>
          <w:noProof/>
          <w:sz w:val="24"/>
          <w:szCs w:val="24"/>
          <w:lang w:val="en-GB"/>
        </w:rPr>
        <w:t>listed</w:t>
      </w:r>
      <w:r w:rsidRPr="00AA1EED">
        <w:rPr>
          <w:rFonts w:ascii="Times New Roman" w:hAnsi="Times New Roman"/>
          <w:noProof/>
          <w:sz w:val="24"/>
          <w:szCs w:val="24"/>
          <w:lang w:val="en-GB"/>
        </w:rPr>
        <w:t xml:space="preserve"> focus on implementation</w:t>
      </w:r>
      <w:r w:rsidR="0098016E">
        <w:rPr>
          <w:rFonts w:ascii="Times New Roman" w:hAnsi="Times New Roman"/>
          <w:noProof/>
          <w:sz w:val="24"/>
          <w:szCs w:val="24"/>
          <w:lang w:val="en-GB"/>
        </w:rPr>
        <w:t xml:space="preserve"> of the agreed legal framework</w:t>
      </w:r>
      <w:r w:rsidRPr="00AA1EED">
        <w:rPr>
          <w:rFonts w:ascii="Times New Roman" w:hAnsi="Times New Roman"/>
          <w:noProof/>
          <w:sz w:val="24"/>
          <w:szCs w:val="24"/>
          <w:lang w:val="en-GB"/>
        </w:rPr>
        <w:t xml:space="preserve"> and </w:t>
      </w:r>
      <w:r w:rsidR="00423146">
        <w:rPr>
          <w:rFonts w:ascii="Times New Roman" w:hAnsi="Times New Roman"/>
          <w:noProof/>
          <w:sz w:val="24"/>
          <w:szCs w:val="24"/>
          <w:lang w:val="en-GB"/>
        </w:rPr>
        <w:t>should</w:t>
      </w:r>
      <w:r w:rsidR="00423146" w:rsidRPr="00AA1EED">
        <w:rPr>
          <w:rFonts w:ascii="Times New Roman" w:hAnsi="Times New Roman"/>
          <w:noProof/>
          <w:sz w:val="24"/>
          <w:szCs w:val="24"/>
          <w:lang w:val="en-GB"/>
        </w:rPr>
        <w:t xml:space="preserve"> </w:t>
      </w:r>
      <w:r w:rsidRPr="00AA1EED">
        <w:rPr>
          <w:rFonts w:ascii="Times New Roman" w:hAnsi="Times New Roman"/>
          <w:noProof/>
          <w:sz w:val="24"/>
          <w:szCs w:val="24"/>
          <w:lang w:val="en-GB"/>
        </w:rPr>
        <w:t>be delivered swiftly to make a difference in time for the 2030 objectives.</w:t>
      </w:r>
    </w:p>
    <w:p w14:paraId="20DEC3FA" w14:textId="0C7E4129" w:rsidR="00766D5D" w:rsidRPr="00AA1EED" w:rsidRDefault="00E324BE" w:rsidP="0081332B">
      <w:pPr>
        <w:pStyle w:val="Body"/>
        <w:keepNext/>
        <w:numPr>
          <w:ilvl w:val="0"/>
          <w:numId w:val="2"/>
        </w:numPr>
        <w:spacing w:after="240" w:line="240" w:lineRule="auto"/>
        <w:jc w:val="both"/>
        <w:outlineLvl w:val="0"/>
        <w:rPr>
          <w:b/>
          <w:bCs/>
          <w:smallCaps/>
          <w:noProof/>
          <w:sz w:val="28"/>
          <w:szCs w:val="28"/>
          <w:lang w:val="en-GB"/>
        </w:rPr>
      </w:pPr>
      <w:r w:rsidRPr="00AA1EED">
        <w:rPr>
          <w:rFonts w:ascii="Times New Roman" w:hAnsi="Times New Roman"/>
          <w:b/>
          <w:bCs/>
          <w:smallCaps/>
          <w:noProof/>
          <w:sz w:val="28"/>
          <w:szCs w:val="28"/>
          <w:lang w:val="en-GB"/>
        </w:rPr>
        <w:t>A</w:t>
      </w:r>
      <w:r w:rsidR="00835D92" w:rsidRPr="00AA1EED">
        <w:rPr>
          <w:rFonts w:ascii="Times New Roman" w:hAnsi="Times New Roman"/>
          <w:b/>
          <w:bCs/>
          <w:smallCaps/>
          <w:noProof/>
          <w:sz w:val="28"/>
          <w:szCs w:val="28"/>
          <w:lang w:val="en-GB"/>
        </w:rPr>
        <w:t xml:space="preserve"> European Grid Action Plan</w:t>
      </w:r>
    </w:p>
    <w:p w14:paraId="06D9BB46" w14:textId="236D0696" w:rsidR="0095700F" w:rsidRPr="00AA1EED" w:rsidRDefault="0095700F" w:rsidP="0095700F">
      <w:pPr>
        <w:pStyle w:val="BodyA"/>
        <w:rPr>
          <w:noProof/>
          <w:lang w:val="en-GB"/>
        </w:rPr>
      </w:pPr>
      <w:r w:rsidRPr="00AA1EED">
        <w:rPr>
          <w:noProof/>
          <w:lang w:val="en-GB"/>
        </w:rPr>
        <w:t>The Commission has brought into focus the issues of grids in several fora and consultation processes with sta</w:t>
      </w:r>
      <w:r w:rsidR="006A7C8C" w:rsidRPr="00AA1EED">
        <w:rPr>
          <w:noProof/>
          <w:lang w:val="en-GB"/>
        </w:rPr>
        <w:t>ke</w:t>
      </w:r>
      <w:r w:rsidRPr="00AA1EED">
        <w:rPr>
          <w:noProof/>
          <w:lang w:val="en-GB"/>
        </w:rPr>
        <w:t>holders, including the Energy Infrastructure Forum</w:t>
      </w:r>
      <w:r w:rsidRPr="00AA1EED">
        <w:rPr>
          <w:noProof/>
          <w:vertAlign w:val="superscript"/>
          <w:lang w:val="en-GB"/>
        </w:rPr>
        <w:footnoteReference w:id="14"/>
      </w:r>
      <w:r w:rsidRPr="00AA1EED">
        <w:rPr>
          <w:noProof/>
          <w:lang w:val="en-GB"/>
        </w:rPr>
        <w:t xml:space="preserve"> in Copenhagen and the PCI Days</w:t>
      </w:r>
      <w:r w:rsidRPr="00AA1EED">
        <w:rPr>
          <w:noProof/>
          <w:vertAlign w:val="superscript"/>
          <w:lang w:val="en-GB"/>
        </w:rPr>
        <w:footnoteReference w:id="15"/>
      </w:r>
      <w:r w:rsidRPr="00AA1EED">
        <w:rPr>
          <w:noProof/>
          <w:lang w:val="en-GB"/>
        </w:rPr>
        <w:t xml:space="preserve"> in Brussels and, more recently, the Smart Grid PCI Summits</w:t>
      </w:r>
      <w:r w:rsidRPr="00AA1EED">
        <w:rPr>
          <w:noProof/>
          <w:vertAlign w:val="superscript"/>
          <w:lang w:val="en-GB"/>
        </w:rPr>
        <w:footnoteReference w:id="16"/>
      </w:r>
      <w:r w:rsidRPr="00AA1EED">
        <w:rPr>
          <w:noProof/>
          <w:lang w:val="en-GB"/>
        </w:rPr>
        <w:t xml:space="preserve"> organised by PCI promoters with the Commission’s support in Ljubljana and Bratislava</w:t>
      </w:r>
      <w:r w:rsidR="00B84F0D" w:rsidRPr="00AA1EED">
        <w:rPr>
          <w:noProof/>
          <w:lang w:val="en-GB"/>
        </w:rPr>
        <w:t xml:space="preserve">. </w:t>
      </w:r>
      <w:r w:rsidRPr="00AA1EED">
        <w:rPr>
          <w:noProof/>
          <w:lang w:val="en-GB"/>
        </w:rPr>
        <w:t>Furthermore, a High</w:t>
      </w:r>
      <w:r w:rsidR="006664D1" w:rsidRPr="00AA1EED">
        <w:rPr>
          <w:noProof/>
          <w:lang w:val="en-GB"/>
        </w:rPr>
        <w:t>-</w:t>
      </w:r>
      <w:r w:rsidRPr="00AA1EED">
        <w:rPr>
          <w:noProof/>
          <w:lang w:val="en-GB"/>
        </w:rPr>
        <w:t>Level Forum on the ‘Future of our Grids’ was organised on 9 September 2023 by ENTSO-E</w:t>
      </w:r>
      <w:r w:rsidR="006664D1" w:rsidRPr="00AA1EED">
        <w:rPr>
          <w:rStyle w:val="FootnoteReference"/>
          <w:noProof/>
          <w:lang w:val="en-GB"/>
        </w:rPr>
        <w:footnoteReference w:id="17"/>
      </w:r>
      <w:r w:rsidRPr="00AA1EED">
        <w:rPr>
          <w:noProof/>
          <w:lang w:val="en-GB"/>
        </w:rPr>
        <w:t>, with the patronage of the Commission, to discuss with the stakeholders representing the whole supply chain the outlook and challenges for grids development.</w:t>
      </w:r>
    </w:p>
    <w:p w14:paraId="69F21051" w14:textId="086441AF" w:rsidR="0095700F" w:rsidRPr="00AA1EED" w:rsidRDefault="0095700F" w:rsidP="0095700F">
      <w:pPr>
        <w:pStyle w:val="BodyA"/>
        <w:rPr>
          <w:noProof/>
          <w:lang w:val="en-GB"/>
        </w:rPr>
      </w:pPr>
      <w:r w:rsidRPr="00AA1EED">
        <w:rPr>
          <w:noProof/>
          <w:lang w:val="en-GB"/>
        </w:rPr>
        <w:t xml:space="preserve">Based on the outcome of this work, the Commission has identified </w:t>
      </w:r>
      <w:r w:rsidRPr="00AA1EED">
        <w:rPr>
          <w:b/>
          <w:bCs/>
          <w:noProof/>
          <w:lang w:val="en-GB"/>
        </w:rPr>
        <w:t>seven horizontal challenges</w:t>
      </w:r>
      <w:r w:rsidRPr="00AA1EED">
        <w:rPr>
          <w:noProof/>
          <w:lang w:val="en-GB"/>
        </w:rPr>
        <w:t xml:space="preserve"> for accelerating the pace of grid development in Europe. These are 1) </w:t>
      </w:r>
      <w:r w:rsidR="009A1131" w:rsidRPr="00AA1EED">
        <w:rPr>
          <w:noProof/>
          <w:lang w:val="en-GB"/>
        </w:rPr>
        <w:t>accelerating</w:t>
      </w:r>
      <w:r w:rsidR="004462C4" w:rsidRPr="00AA1EED">
        <w:rPr>
          <w:noProof/>
          <w:lang w:val="en-GB"/>
        </w:rPr>
        <w:t xml:space="preserve"> </w:t>
      </w:r>
      <w:r w:rsidRPr="00AA1EED">
        <w:rPr>
          <w:noProof/>
          <w:lang w:val="en-GB"/>
        </w:rPr>
        <w:t xml:space="preserve">implementation of existing PCIs and </w:t>
      </w:r>
      <w:r w:rsidR="006664D1" w:rsidRPr="00AA1EED">
        <w:rPr>
          <w:noProof/>
          <w:lang w:val="en-GB"/>
        </w:rPr>
        <w:t xml:space="preserve">developing </w:t>
      </w:r>
      <w:r w:rsidRPr="00AA1EED">
        <w:rPr>
          <w:noProof/>
          <w:lang w:val="en-GB"/>
        </w:rPr>
        <w:t xml:space="preserve">new </w:t>
      </w:r>
      <w:r w:rsidR="004A2F5B" w:rsidRPr="00AA1EED">
        <w:rPr>
          <w:noProof/>
          <w:lang w:val="en-GB"/>
        </w:rPr>
        <w:t>projects</w:t>
      </w:r>
      <w:r w:rsidRPr="00AA1EED">
        <w:rPr>
          <w:noProof/>
          <w:lang w:val="en-GB"/>
        </w:rPr>
        <w:t xml:space="preserve">; 2) </w:t>
      </w:r>
      <w:r w:rsidR="009A1131" w:rsidRPr="00AA1EED">
        <w:rPr>
          <w:noProof/>
          <w:lang w:val="en-GB"/>
        </w:rPr>
        <w:t xml:space="preserve">enhancing </w:t>
      </w:r>
      <w:r w:rsidR="004462C4" w:rsidRPr="00AA1EED">
        <w:rPr>
          <w:noProof/>
          <w:lang w:val="en-GB"/>
        </w:rPr>
        <w:t>long</w:t>
      </w:r>
      <w:r w:rsidR="006664D1" w:rsidRPr="00AA1EED">
        <w:rPr>
          <w:noProof/>
          <w:lang w:val="en-GB"/>
        </w:rPr>
        <w:t>-</w:t>
      </w:r>
      <w:r w:rsidR="004462C4" w:rsidRPr="00AA1EED">
        <w:rPr>
          <w:noProof/>
          <w:lang w:val="en-GB"/>
        </w:rPr>
        <w:t xml:space="preserve">term </w:t>
      </w:r>
      <w:r w:rsidRPr="00AA1EED">
        <w:rPr>
          <w:noProof/>
          <w:lang w:val="en-GB"/>
        </w:rPr>
        <w:t xml:space="preserve">network planning; 3) </w:t>
      </w:r>
      <w:r w:rsidR="009A1131" w:rsidRPr="00AA1EED">
        <w:rPr>
          <w:noProof/>
          <w:lang w:val="en-GB"/>
        </w:rPr>
        <w:t>introducing a</w:t>
      </w:r>
      <w:r w:rsidR="006A7C8C" w:rsidRPr="00AA1EED">
        <w:rPr>
          <w:noProof/>
          <w:lang w:val="en-GB"/>
        </w:rPr>
        <w:t xml:space="preserve"> </w:t>
      </w:r>
      <w:r w:rsidR="006C16DE" w:rsidRPr="00AA1EED">
        <w:rPr>
          <w:noProof/>
          <w:lang w:val="en-GB"/>
        </w:rPr>
        <w:t xml:space="preserve">supportive, </w:t>
      </w:r>
      <w:r w:rsidRPr="00AA1EED">
        <w:rPr>
          <w:noProof/>
          <w:lang w:val="en-GB"/>
        </w:rPr>
        <w:t>future</w:t>
      </w:r>
      <w:r w:rsidR="006664D1" w:rsidRPr="00AA1EED">
        <w:rPr>
          <w:noProof/>
          <w:lang w:val="en-GB"/>
        </w:rPr>
        <w:t>-</w:t>
      </w:r>
      <w:r w:rsidRPr="00AA1EED">
        <w:rPr>
          <w:noProof/>
          <w:lang w:val="en-GB"/>
        </w:rPr>
        <w:t>proof</w:t>
      </w:r>
      <w:r w:rsidR="006A7C8C" w:rsidRPr="00AA1EED">
        <w:rPr>
          <w:noProof/>
          <w:lang w:val="en-GB"/>
        </w:rPr>
        <w:t xml:space="preserve"> </w:t>
      </w:r>
      <w:r w:rsidRPr="00AA1EED">
        <w:rPr>
          <w:noProof/>
          <w:lang w:val="en-GB"/>
        </w:rPr>
        <w:t xml:space="preserve">regulatory framework; 4) </w:t>
      </w:r>
      <w:r w:rsidR="009A1131" w:rsidRPr="00AA1EED">
        <w:rPr>
          <w:noProof/>
          <w:lang w:val="en-GB"/>
        </w:rPr>
        <w:t xml:space="preserve">making </w:t>
      </w:r>
      <w:r w:rsidRPr="00AA1EED">
        <w:rPr>
          <w:noProof/>
          <w:lang w:val="en-GB"/>
        </w:rPr>
        <w:t>better use of existing grids and smartening</w:t>
      </w:r>
      <w:r w:rsidR="009A1131" w:rsidRPr="00AA1EED">
        <w:rPr>
          <w:noProof/>
          <w:lang w:val="en-GB"/>
        </w:rPr>
        <w:t xml:space="preserve"> them</w:t>
      </w:r>
      <w:r w:rsidRPr="00AA1EED">
        <w:rPr>
          <w:noProof/>
          <w:lang w:val="en-GB"/>
        </w:rPr>
        <w:t xml:space="preserve">; 5) </w:t>
      </w:r>
      <w:r w:rsidR="004462C4" w:rsidRPr="00AA1EED">
        <w:rPr>
          <w:noProof/>
          <w:lang w:val="en-GB"/>
        </w:rPr>
        <w:t>improv</w:t>
      </w:r>
      <w:r w:rsidR="009A1131" w:rsidRPr="00AA1EED">
        <w:rPr>
          <w:noProof/>
          <w:lang w:val="en-GB"/>
        </w:rPr>
        <w:t>ing</w:t>
      </w:r>
      <w:r w:rsidR="004462C4" w:rsidRPr="00AA1EED">
        <w:rPr>
          <w:noProof/>
          <w:lang w:val="en-GB"/>
        </w:rPr>
        <w:t xml:space="preserve"> access to </w:t>
      </w:r>
      <w:r w:rsidRPr="00AA1EED">
        <w:rPr>
          <w:noProof/>
          <w:lang w:val="en-GB"/>
        </w:rPr>
        <w:t xml:space="preserve">financing; 6) </w:t>
      </w:r>
      <w:r w:rsidR="009A1131" w:rsidRPr="00AA1EED">
        <w:rPr>
          <w:noProof/>
          <w:lang w:val="en-GB"/>
        </w:rPr>
        <w:t xml:space="preserve">ensuring </w:t>
      </w:r>
      <w:r w:rsidR="004462C4" w:rsidRPr="00AA1EED">
        <w:rPr>
          <w:noProof/>
          <w:lang w:val="en-GB"/>
        </w:rPr>
        <w:t>faster and leaner</w:t>
      </w:r>
      <w:r w:rsidRPr="00AA1EED">
        <w:rPr>
          <w:noProof/>
          <w:lang w:val="en-GB"/>
        </w:rPr>
        <w:t xml:space="preserve"> permitting process</w:t>
      </w:r>
      <w:r w:rsidR="009A1131" w:rsidRPr="00AA1EED">
        <w:rPr>
          <w:noProof/>
          <w:lang w:val="en-GB"/>
        </w:rPr>
        <w:t>es</w:t>
      </w:r>
      <w:r w:rsidRPr="00AA1EED">
        <w:rPr>
          <w:noProof/>
          <w:lang w:val="en-GB"/>
        </w:rPr>
        <w:t xml:space="preserve">; </w:t>
      </w:r>
      <w:r w:rsidR="006664D1" w:rsidRPr="00AA1EED">
        <w:rPr>
          <w:noProof/>
          <w:lang w:val="en-GB"/>
        </w:rPr>
        <w:t xml:space="preserve">and </w:t>
      </w:r>
      <w:r w:rsidRPr="00AA1EED">
        <w:rPr>
          <w:noProof/>
          <w:lang w:val="en-GB"/>
        </w:rPr>
        <w:t xml:space="preserve">7) </w:t>
      </w:r>
      <w:r w:rsidR="009A1131" w:rsidRPr="00AA1EED">
        <w:rPr>
          <w:noProof/>
          <w:lang w:val="en-GB"/>
        </w:rPr>
        <w:t>strengt</w:t>
      </w:r>
      <w:r w:rsidR="006664D1" w:rsidRPr="00AA1EED">
        <w:rPr>
          <w:noProof/>
          <w:lang w:val="en-GB"/>
        </w:rPr>
        <w:t>h</w:t>
      </w:r>
      <w:r w:rsidR="009A1131" w:rsidRPr="00AA1EED">
        <w:rPr>
          <w:noProof/>
          <w:lang w:val="en-GB"/>
        </w:rPr>
        <w:t>ening</w:t>
      </w:r>
      <w:r w:rsidRPr="00AA1EED">
        <w:rPr>
          <w:noProof/>
          <w:lang w:val="en-GB"/>
        </w:rPr>
        <w:t xml:space="preserve"> supply chain</w:t>
      </w:r>
      <w:r w:rsidR="009A1131" w:rsidRPr="00AA1EED">
        <w:rPr>
          <w:noProof/>
          <w:lang w:val="en-GB"/>
        </w:rPr>
        <w:t>s</w:t>
      </w:r>
      <w:r w:rsidRPr="00AA1EED">
        <w:rPr>
          <w:noProof/>
          <w:lang w:val="en-GB"/>
        </w:rPr>
        <w:t>.</w:t>
      </w:r>
    </w:p>
    <w:p w14:paraId="4AD4DC07" w14:textId="5E7924D0" w:rsidR="006544C5" w:rsidRPr="00AA1EED" w:rsidRDefault="0095700F" w:rsidP="0095700F">
      <w:pPr>
        <w:pStyle w:val="BodyA"/>
        <w:rPr>
          <w:rFonts w:eastAsia="Times New Roman" w:cs="Times New Roman"/>
          <w:noProof/>
          <w:lang w:val="en-GB"/>
        </w:rPr>
      </w:pPr>
      <w:r w:rsidRPr="00AA1EED">
        <w:rPr>
          <w:noProof/>
          <w:lang w:val="en-GB"/>
        </w:rPr>
        <w:t xml:space="preserve">For each of these seven areas, the following sections of the Action Plan summarise </w:t>
      </w:r>
      <w:r w:rsidR="006A7C8C" w:rsidRPr="00AA1EED">
        <w:rPr>
          <w:noProof/>
          <w:lang w:val="en-GB"/>
        </w:rPr>
        <w:t>the</w:t>
      </w:r>
      <w:r w:rsidRPr="00AA1EED">
        <w:rPr>
          <w:noProof/>
          <w:lang w:val="en-GB"/>
        </w:rPr>
        <w:t xml:space="preserve"> main drivers of the problem</w:t>
      </w:r>
      <w:r w:rsidR="006A7C8C" w:rsidRPr="00AA1EED">
        <w:rPr>
          <w:noProof/>
          <w:lang w:val="en-GB"/>
        </w:rPr>
        <w:t xml:space="preserve"> and</w:t>
      </w:r>
      <w:r w:rsidRPr="00AA1EED">
        <w:rPr>
          <w:noProof/>
          <w:lang w:val="en-GB"/>
        </w:rPr>
        <w:t xml:space="preserve"> identifies key tailor</w:t>
      </w:r>
      <w:r w:rsidR="009A4F59" w:rsidRPr="00AA1EED">
        <w:rPr>
          <w:noProof/>
          <w:lang w:val="en-GB"/>
        </w:rPr>
        <w:t>-</w:t>
      </w:r>
      <w:r w:rsidRPr="00AA1EED">
        <w:rPr>
          <w:noProof/>
          <w:lang w:val="en-GB"/>
        </w:rPr>
        <w:t>made actions and recommendations on how to address them in the short to medium term.</w:t>
      </w:r>
    </w:p>
    <w:p w14:paraId="45181DF3" w14:textId="54F7DB36" w:rsidR="00766D5D" w:rsidRPr="00AA1EED" w:rsidRDefault="00C83E29" w:rsidP="00D46C23">
      <w:pPr>
        <w:pStyle w:val="ListParagraph"/>
        <w:keepNext/>
        <w:numPr>
          <w:ilvl w:val="0"/>
          <w:numId w:val="16"/>
        </w:numPr>
        <w:spacing w:before="360" w:after="160"/>
        <w:rPr>
          <w:rFonts w:ascii="Times New Roman" w:hAnsi="Times New Roman"/>
          <w:b/>
          <w:bCs/>
          <w:i/>
          <w:iCs/>
          <w:noProof/>
          <w:sz w:val="24"/>
          <w:szCs w:val="24"/>
          <w:lang w:val="en-GB"/>
        </w:rPr>
      </w:pPr>
      <w:bookmarkStart w:id="2" w:name="_Hlk151469762"/>
      <w:r w:rsidRPr="00AA1EED">
        <w:rPr>
          <w:rFonts w:ascii="Times New Roman" w:hAnsi="Times New Roman"/>
          <w:b/>
          <w:bCs/>
          <w:i/>
          <w:iCs/>
          <w:noProof/>
          <w:sz w:val="24"/>
          <w:szCs w:val="24"/>
          <w:u w:val="single"/>
          <w:lang w:val="en-GB"/>
        </w:rPr>
        <w:t>ACCELERATING THE IMPLEMENTATION</w:t>
      </w:r>
      <w:r w:rsidR="00147117" w:rsidRPr="00AA1EED">
        <w:rPr>
          <w:rFonts w:ascii="Times New Roman" w:hAnsi="Times New Roman"/>
          <w:b/>
          <w:bCs/>
          <w:i/>
          <w:iCs/>
          <w:noProof/>
          <w:sz w:val="24"/>
          <w:szCs w:val="24"/>
          <w:u w:val="single"/>
          <w:lang w:val="en-GB"/>
        </w:rPr>
        <w:t xml:space="preserve"> OF </w:t>
      </w:r>
      <w:r w:rsidR="008A7168" w:rsidRPr="00AA1EED">
        <w:rPr>
          <w:rFonts w:ascii="Times New Roman" w:hAnsi="Times New Roman"/>
          <w:b/>
          <w:bCs/>
          <w:i/>
          <w:iCs/>
          <w:noProof/>
          <w:sz w:val="24"/>
          <w:szCs w:val="24"/>
          <w:u w:val="single"/>
          <w:lang w:val="en-GB"/>
        </w:rPr>
        <w:t>PROJECTS OF COMMON INTEREST (</w:t>
      </w:r>
      <w:r w:rsidR="00C807C8" w:rsidRPr="00AA1EED">
        <w:rPr>
          <w:rFonts w:ascii="Times New Roman" w:hAnsi="Times New Roman"/>
          <w:b/>
          <w:bCs/>
          <w:i/>
          <w:iCs/>
          <w:noProof/>
          <w:sz w:val="24"/>
          <w:szCs w:val="24"/>
          <w:u w:val="single"/>
          <w:lang w:val="en-GB"/>
        </w:rPr>
        <w:t>PCIs</w:t>
      </w:r>
      <w:r w:rsidR="008A7168" w:rsidRPr="00AA1EED">
        <w:rPr>
          <w:rFonts w:ascii="Times New Roman" w:hAnsi="Times New Roman"/>
          <w:b/>
          <w:bCs/>
          <w:i/>
          <w:iCs/>
          <w:noProof/>
          <w:sz w:val="24"/>
          <w:szCs w:val="24"/>
          <w:u w:val="single"/>
          <w:lang w:val="en-GB"/>
        </w:rPr>
        <w:t>)</w:t>
      </w:r>
      <w:r w:rsidR="00147117" w:rsidRPr="00AA1EED">
        <w:rPr>
          <w:rFonts w:ascii="Times New Roman" w:hAnsi="Times New Roman"/>
          <w:b/>
          <w:bCs/>
          <w:i/>
          <w:iCs/>
          <w:noProof/>
          <w:sz w:val="24"/>
          <w:szCs w:val="24"/>
          <w:u w:val="single"/>
          <w:lang w:val="en-GB"/>
        </w:rPr>
        <w:t xml:space="preserve"> </w:t>
      </w:r>
      <w:r w:rsidRPr="00AA1EED">
        <w:rPr>
          <w:rFonts w:ascii="Times New Roman" w:hAnsi="Times New Roman"/>
          <w:b/>
          <w:bCs/>
          <w:i/>
          <w:iCs/>
          <w:noProof/>
          <w:sz w:val="24"/>
          <w:szCs w:val="24"/>
          <w:u w:val="single"/>
          <w:lang w:val="en-GB"/>
        </w:rPr>
        <w:t xml:space="preserve">AND </w:t>
      </w:r>
      <w:r w:rsidR="00D1188C" w:rsidRPr="00AA1EED">
        <w:rPr>
          <w:rFonts w:ascii="Times New Roman" w:hAnsi="Times New Roman"/>
          <w:b/>
          <w:bCs/>
          <w:i/>
          <w:iCs/>
          <w:noProof/>
          <w:sz w:val="24"/>
          <w:szCs w:val="24"/>
          <w:u w:val="single"/>
          <w:lang w:val="en-GB"/>
        </w:rPr>
        <w:t>DEVELOPING</w:t>
      </w:r>
      <w:r w:rsidRPr="00AA1EED">
        <w:rPr>
          <w:rFonts w:ascii="Times New Roman" w:hAnsi="Times New Roman"/>
          <w:b/>
          <w:bCs/>
          <w:i/>
          <w:iCs/>
          <w:noProof/>
          <w:sz w:val="24"/>
          <w:szCs w:val="24"/>
          <w:u w:val="single"/>
          <w:lang w:val="en-GB"/>
        </w:rPr>
        <w:t xml:space="preserve"> NEW </w:t>
      </w:r>
      <w:r w:rsidR="004A2F5B" w:rsidRPr="00AA1EED">
        <w:rPr>
          <w:rFonts w:ascii="Times New Roman" w:hAnsi="Times New Roman"/>
          <w:b/>
          <w:bCs/>
          <w:i/>
          <w:iCs/>
          <w:noProof/>
          <w:sz w:val="24"/>
          <w:szCs w:val="24"/>
          <w:u w:val="single"/>
          <w:lang w:val="en-GB"/>
        </w:rPr>
        <w:t>PROJECTS</w:t>
      </w:r>
      <w:r w:rsidR="00147117" w:rsidRPr="00AA1EED">
        <w:rPr>
          <w:rFonts w:ascii="Times New Roman" w:hAnsi="Times New Roman"/>
          <w:b/>
          <w:bCs/>
          <w:i/>
          <w:iCs/>
          <w:noProof/>
          <w:sz w:val="24"/>
          <w:szCs w:val="24"/>
          <w:u w:val="single"/>
          <w:lang w:val="en-GB"/>
        </w:rPr>
        <w:t xml:space="preserve"> </w:t>
      </w:r>
    </w:p>
    <w:p w14:paraId="634FE647" w14:textId="319FF5D7" w:rsidR="00EF62DC" w:rsidRPr="00377522" w:rsidRDefault="00EF62DC" w:rsidP="0081332B">
      <w:pPr>
        <w:pStyle w:val="Body"/>
        <w:spacing w:after="240" w:line="240" w:lineRule="auto"/>
        <w:jc w:val="both"/>
        <w:rPr>
          <w:rFonts w:ascii="Times New Roman" w:eastAsia="Calibri" w:hAnsi="Times New Roman" w:cs="Times New Roman"/>
          <w:noProof/>
          <w:sz w:val="24"/>
          <w:szCs w:val="24"/>
          <w:lang w:val="en-GB"/>
        </w:rPr>
      </w:pPr>
      <w:bookmarkStart w:id="3" w:name="_Hlk148442069"/>
      <w:bookmarkStart w:id="4" w:name="_Hlk149666243"/>
      <w:bookmarkEnd w:id="2"/>
      <w:r w:rsidRPr="00AA1EED">
        <w:rPr>
          <w:rFonts w:ascii="Times New Roman" w:hAnsi="Times New Roman"/>
          <w:noProof/>
          <w:sz w:val="24"/>
          <w:szCs w:val="24"/>
          <w:lang w:val="en-GB"/>
        </w:rPr>
        <w:t>Since 2013</w:t>
      </w:r>
      <w:r w:rsidR="00D1188C" w:rsidRPr="00AA1EED">
        <w:rPr>
          <w:rFonts w:ascii="Times New Roman" w:hAnsi="Times New Roman"/>
          <w:noProof/>
          <w:sz w:val="24"/>
          <w:szCs w:val="24"/>
          <w:lang w:val="en-GB"/>
        </w:rPr>
        <w:t>,</w:t>
      </w:r>
      <w:r w:rsidRPr="00AA1EED">
        <w:rPr>
          <w:rFonts w:ascii="Times New Roman" w:hAnsi="Times New Roman"/>
          <w:noProof/>
          <w:sz w:val="24"/>
          <w:szCs w:val="24"/>
          <w:lang w:val="en-GB"/>
        </w:rPr>
        <w:t xml:space="preserve"> the TEN</w:t>
      </w:r>
      <w:r w:rsidR="00D1188C" w:rsidRPr="00AA1EED">
        <w:rPr>
          <w:rFonts w:ascii="Times New Roman" w:hAnsi="Times New Roman"/>
          <w:noProof/>
          <w:sz w:val="24"/>
          <w:szCs w:val="24"/>
          <w:lang w:val="en-GB"/>
        </w:rPr>
        <w:t>-</w:t>
      </w:r>
      <w:r w:rsidRPr="00AA1EED">
        <w:rPr>
          <w:rFonts w:ascii="Times New Roman" w:hAnsi="Times New Roman"/>
          <w:noProof/>
          <w:sz w:val="24"/>
          <w:szCs w:val="24"/>
          <w:lang w:val="en-GB"/>
        </w:rPr>
        <w:t xml:space="preserve">E framework has been the main vehicle to reinforce electricity interconnections within the Single Market. It helped identify cross-border infrastructure needs, select </w:t>
      </w:r>
      <w:r w:rsidRPr="00AA1EED">
        <w:rPr>
          <w:rFonts w:ascii="Times New Roman" w:hAnsi="Times New Roman"/>
          <w:b/>
          <w:bCs/>
          <w:noProof/>
          <w:sz w:val="24"/>
          <w:szCs w:val="24"/>
          <w:lang w:val="en-GB"/>
        </w:rPr>
        <w:t>Projects of Common Interest</w:t>
      </w:r>
      <w:r w:rsidRPr="00AA1EED">
        <w:rPr>
          <w:rFonts w:ascii="Times New Roman" w:hAnsi="Times New Roman"/>
          <w:noProof/>
          <w:sz w:val="24"/>
          <w:szCs w:val="24"/>
          <w:lang w:val="en-GB"/>
        </w:rPr>
        <w:t xml:space="preserve"> (‘PCI’), secur</w:t>
      </w:r>
      <w:r w:rsidR="00C500F5">
        <w:rPr>
          <w:rFonts w:ascii="Times New Roman" w:hAnsi="Times New Roman"/>
          <w:noProof/>
          <w:sz w:val="24"/>
          <w:szCs w:val="24"/>
          <w:lang w:val="en-GB"/>
        </w:rPr>
        <w:t>e</w:t>
      </w:r>
      <w:r w:rsidRPr="00AA1EED">
        <w:rPr>
          <w:rFonts w:ascii="Times New Roman" w:hAnsi="Times New Roman"/>
          <w:noProof/>
          <w:sz w:val="24"/>
          <w:szCs w:val="24"/>
          <w:lang w:val="en-GB"/>
        </w:rPr>
        <w:t xml:space="preserve"> political support and accelerat</w:t>
      </w:r>
      <w:r w:rsidR="00C500F5">
        <w:rPr>
          <w:rFonts w:ascii="Times New Roman" w:hAnsi="Times New Roman"/>
          <w:noProof/>
          <w:sz w:val="24"/>
          <w:szCs w:val="24"/>
          <w:lang w:val="en-GB"/>
        </w:rPr>
        <w:t>e</w:t>
      </w:r>
      <w:r w:rsidRPr="00AA1EED">
        <w:rPr>
          <w:rFonts w:ascii="Times New Roman" w:hAnsi="Times New Roman"/>
          <w:noProof/>
          <w:sz w:val="24"/>
          <w:szCs w:val="24"/>
          <w:lang w:val="en-GB"/>
        </w:rPr>
        <w:t xml:space="preserve"> their implementation with streamlined permitting. </w:t>
      </w:r>
      <w:r w:rsidRPr="00377522">
        <w:rPr>
          <w:rFonts w:ascii="Times New Roman" w:eastAsia="Calibri" w:hAnsi="Times New Roman" w:cs="Times New Roman"/>
          <w:noProof/>
          <w:sz w:val="24"/>
          <w:szCs w:val="24"/>
          <w:lang w:val="en-GB"/>
        </w:rPr>
        <w:t xml:space="preserve">The PCI status has also been instrumental in securing supportive financing conditions, as a widely recognised label that gives additional comfort to financing institutions of the high value of a project, including the </w:t>
      </w:r>
      <w:r w:rsidRPr="00377522">
        <w:rPr>
          <w:rFonts w:ascii="Times New Roman" w:eastAsia="Calibri" w:hAnsi="Times New Roman" w:cs="Times New Roman"/>
          <w:b/>
          <w:bCs/>
          <w:noProof/>
          <w:sz w:val="24"/>
          <w:szCs w:val="24"/>
          <w:lang w:val="en-GB"/>
        </w:rPr>
        <w:t>European Investment Bank</w:t>
      </w:r>
      <w:r w:rsidRPr="00377522">
        <w:rPr>
          <w:rStyle w:val="FootnoteReference"/>
          <w:rFonts w:ascii="Times New Roman" w:eastAsia="Calibri" w:hAnsi="Times New Roman" w:cs="Times New Roman"/>
          <w:noProof/>
          <w:sz w:val="24"/>
          <w:szCs w:val="24"/>
          <w:lang w:val="en-GB"/>
        </w:rPr>
        <w:footnoteReference w:id="18"/>
      </w:r>
      <w:r w:rsidRPr="00377522">
        <w:rPr>
          <w:rFonts w:ascii="Times New Roman" w:eastAsia="Calibri" w:hAnsi="Times New Roman" w:cs="Times New Roman"/>
          <w:noProof/>
          <w:sz w:val="24"/>
          <w:szCs w:val="24"/>
          <w:lang w:val="en-GB"/>
        </w:rPr>
        <w:t>.</w:t>
      </w:r>
    </w:p>
    <w:p w14:paraId="2BC75EEC" w14:textId="60A70DB3" w:rsidR="00EF62DC" w:rsidRPr="00AA1EED" w:rsidRDefault="00EF62DC" w:rsidP="00377522">
      <w:pPr>
        <w:pStyle w:val="Body"/>
        <w:spacing w:after="240"/>
        <w:jc w:val="both"/>
        <w:rPr>
          <w:rFonts w:ascii="Times New Roman" w:hAnsi="Times New Roman"/>
          <w:noProof/>
          <w:sz w:val="24"/>
          <w:szCs w:val="24"/>
          <w:lang w:val="en-GB"/>
        </w:rPr>
      </w:pPr>
      <w:r w:rsidRPr="00AA1EED">
        <w:rPr>
          <w:rFonts w:ascii="Times New Roman" w:hAnsi="Times New Roman"/>
          <w:noProof/>
          <w:sz w:val="24"/>
          <w:szCs w:val="24"/>
          <w:lang w:val="en-GB"/>
        </w:rPr>
        <w:t>Going forward</w:t>
      </w:r>
      <w:r w:rsidR="00371264" w:rsidRPr="00AA1EED">
        <w:rPr>
          <w:rFonts w:ascii="Times New Roman" w:hAnsi="Times New Roman"/>
          <w:noProof/>
          <w:sz w:val="24"/>
          <w:szCs w:val="24"/>
          <w:lang w:val="en-GB"/>
        </w:rPr>
        <w:t>,</w:t>
      </w:r>
      <w:r w:rsidRPr="00AA1EED">
        <w:rPr>
          <w:rFonts w:ascii="Times New Roman" w:hAnsi="Times New Roman"/>
          <w:noProof/>
          <w:sz w:val="24"/>
          <w:szCs w:val="24"/>
          <w:lang w:val="en-GB"/>
        </w:rPr>
        <w:t xml:space="preserve"> the TEN</w:t>
      </w:r>
      <w:r w:rsidR="00371264" w:rsidRPr="00AA1EED">
        <w:rPr>
          <w:rFonts w:ascii="Times New Roman" w:hAnsi="Times New Roman"/>
          <w:noProof/>
          <w:sz w:val="24"/>
          <w:szCs w:val="24"/>
          <w:lang w:val="en-GB"/>
        </w:rPr>
        <w:t>-</w:t>
      </w:r>
      <w:r w:rsidRPr="00AA1EED">
        <w:rPr>
          <w:rFonts w:ascii="Times New Roman" w:hAnsi="Times New Roman"/>
          <w:noProof/>
          <w:sz w:val="24"/>
          <w:szCs w:val="24"/>
          <w:lang w:val="en-GB"/>
        </w:rPr>
        <w:t xml:space="preserve">E framework will gain further importance, in line with the expected growth in cross-border grid needs, to integrate and transport large amounts of new renewable </w:t>
      </w:r>
      <w:r w:rsidRPr="00AA1EED">
        <w:rPr>
          <w:rFonts w:ascii="Times New Roman" w:hAnsi="Times New Roman"/>
          <w:noProof/>
          <w:sz w:val="24"/>
          <w:szCs w:val="24"/>
          <w:lang w:val="en-GB"/>
        </w:rPr>
        <w:lastRenderedPageBreak/>
        <w:t xml:space="preserve">electricity across Europe where it is most needed. </w:t>
      </w:r>
      <w:r w:rsidR="00733014" w:rsidRPr="00AA1EED">
        <w:rPr>
          <w:rFonts w:ascii="Times New Roman" w:hAnsi="Times New Roman"/>
          <w:noProof/>
          <w:sz w:val="24"/>
          <w:szCs w:val="24"/>
          <w:lang w:val="en-GB"/>
        </w:rPr>
        <w:t xml:space="preserve">PCIs will also support Member States in reaching the 15% electricity interconnection target. </w:t>
      </w:r>
      <w:r w:rsidR="002262DC" w:rsidRPr="00AA1EED">
        <w:rPr>
          <w:rFonts w:ascii="Times New Roman" w:hAnsi="Times New Roman"/>
          <w:noProof/>
          <w:sz w:val="24"/>
          <w:szCs w:val="24"/>
          <w:lang w:val="en-GB"/>
        </w:rPr>
        <w:t>Better cross</w:t>
      </w:r>
      <w:r w:rsidR="00733014" w:rsidRPr="00AA1EED">
        <w:rPr>
          <w:rFonts w:ascii="Times New Roman" w:hAnsi="Times New Roman"/>
          <w:noProof/>
          <w:sz w:val="24"/>
          <w:szCs w:val="24"/>
          <w:lang w:val="en-GB"/>
        </w:rPr>
        <w:t>-</w:t>
      </w:r>
      <w:r w:rsidR="002262DC" w:rsidRPr="00AA1EED">
        <w:rPr>
          <w:rFonts w:ascii="Times New Roman" w:hAnsi="Times New Roman"/>
          <w:noProof/>
          <w:sz w:val="24"/>
          <w:szCs w:val="24"/>
          <w:lang w:val="en-GB"/>
        </w:rPr>
        <w:t>border interconnections hold a significant</w:t>
      </w:r>
      <w:r w:rsidR="00CE5AAB" w:rsidRPr="00AA1EED">
        <w:rPr>
          <w:rFonts w:ascii="Times New Roman" w:hAnsi="Times New Roman"/>
          <w:noProof/>
          <w:sz w:val="24"/>
          <w:szCs w:val="24"/>
          <w:lang w:val="en-GB"/>
        </w:rPr>
        <w:t xml:space="preserve"> potential for saving costs at system level: cross-border projects can decrease generation costs by </w:t>
      </w:r>
      <w:r w:rsidR="00371264" w:rsidRPr="00AA1EED">
        <w:rPr>
          <w:rFonts w:ascii="Times New Roman" w:hAnsi="Times New Roman"/>
          <w:noProof/>
          <w:sz w:val="24"/>
          <w:szCs w:val="24"/>
          <w:lang w:val="en-GB"/>
        </w:rPr>
        <w:t xml:space="preserve">EUR </w:t>
      </w:r>
      <w:r w:rsidR="00CE5AAB" w:rsidRPr="00AA1EED">
        <w:rPr>
          <w:rFonts w:ascii="Times New Roman" w:hAnsi="Times New Roman"/>
          <w:noProof/>
          <w:sz w:val="24"/>
          <w:szCs w:val="24"/>
          <w:lang w:val="en-GB"/>
        </w:rPr>
        <w:t xml:space="preserve">9 billion annually </w:t>
      </w:r>
      <w:r w:rsidR="00C500F5">
        <w:rPr>
          <w:rFonts w:ascii="Times New Roman" w:hAnsi="Times New Roman"/>
          <w:noProof/>
          <w:sz w:val="24"/>
          <w:szCs w:val="24"/>
          <w:lang w:val="en-GB"/>
        </w:rPr>
        <w:t>to</w:t>
      </w:r>
      <w:r w:rsidR="00C500F5" w:rsidRPr="00AA1EED">
        <w:rPr>
          <w:rFonts w:ascii="Times New Roman" w:hAnsi="Times New Roman"/>
          <w:noProof/>
          <w:sz w:val="24"/>
          <w:szCs w:val="24"/>
          <w:lang w:val="en-GB"/>
        </w:rPr>
        <w:t xml:space="preserve"> </w:t>
      </w:r>
      <w:r w:rsidR="00CE5AAB" w:rsidRPr="00AA1EED">
        <w:rPr>
          <w:rFonts w:ascii="Times New Roman" w:hAnsi="Times New Roman"/>
          <w:noProof/>
          <w:sz w:val="24"/>
          <w:szCs w:val="24"/>
          <w:lang w:val="en-GB"/>
        </w:rPr>
        <w:t xml:space="preserve">2040, while investments needed in cross-border capacity and storage amount to </w:t>
      </w:r>
      <w:r w:rsidR="00371264" w:rsidRPr="00AA1EED">
        <w:rPr>
          <w:rFonts w:ascii="Times New Roman" w:hAnsi="Times New Roman"/>
          <w:noProof/>
          <w:sz w:val="24"/>
          <w:szCs w:val="24"/>
          <w:lang w:val="en-GB"/>
        </w:rPr>
        <w:t xml:space="preserve">EUR </w:t>
      </w:r>
      <w:r w:rsidR="00CE5AAB" w:rsidRPr="00AA1EED">
        <w:rPr>
          <w:rFonts w:ascii="Times New Roman" w:hAnsi="Times New Roman"/>
          <w:noProof/>
          <w:sz w:val="24"/>
          <w:szCs w:val="24"/>
          <w:lang w:val="en-GB"/>
        </w:rPr>
        <w:t xml:space="preserve">6 billion annually. </w:t>
      </w:r>
    </w:p>
    <w:p w14:paraId="5D433842" w14:textId="2B4FD304" w:rsidR="00D557C8" w:rsidRPr="00AA1EED" w:rsidRDefault="00D557C8" w:rsidP="00D557C8">
      <w:pPr>
        <w:pStyle w:val="Body"/>
        <w:spacing w:line="240" w:lineRule="auto"/>
        <w:jc w:val="both"/>
        <w:rPr>
          <w:rFonts w:ascii="Times New Roman" w:hAnsi="Times New Roman"/>
          <w:noProof/>
          <w:sz w:val="24"/>
          <w:szCs w:val="24"/>
          <w:lang w:val="en-GB"/>
        </w:rPr>
      </w:pPr>
      <w:r w:rsidRPr="00AA1EED">
        <w:rPr>
          <w:rFonts w:ascii="Times New Roman" w:hAnsi="Times New Roman"/>
          <w:noProof/>
          <w:sz w:val="24"/>
          <w:szCs w:val="24"/>
          <w:lang w:val="en-GB"/>
        </w:rPr>
        <w:t xml:space="preserve">The first Union list under the revised </w:t>
      </w:r>
      <w:r w:rsidRPr="003D6D55">
        <w:rPr>
          <w:rFonts w:ascii="Times New Roman" w:hAnsi="Times New Roman"/>
          <w:noProof/>
          <w:sz w:val="24"/>
          <w:szCs w:val="24"/>
          <w:lang w:val="en-GB"/>
        </w:rPr>
        <w:t xml:space="preserve">TEN-E </w:t>
      </w:r>
      <w:r w:rsidR="003D6D55">
        <w:rPr>
          <w:rStyle w:val="None"/>
          <w:rFonts w:ascii="Times New Roman" w:hAnsi="Times New Roman"/>
          <w:noProof/>
          <w:sz w:val="24"/>
          <w:szCs w:val="24"/>
          <w:lang w:val="en-GB"/>
        </w:rPr>
        <w:t>adopted</w:t>
      </w:r>
      <w:r w:rsidR="003D6D55" w:rsidRPr="003D6D55">
        <w:rPr>
          <w:rStyle w:val="None"/>
          <w:rFonts w:ascii="Times New Roman" w:hAnsi="Times New Roman"/>
          <w:noProof/>
          <w:sz w:val="24"/>
          <w:szCs w:val="24"/>
          <w:lang w:val="en-GB"/>
        </w:rPr>
        <w:t xml:space="preserve"> </w:t>
      </w:r>
      <w:r w:rsidRPr="003D6D55">
        <w:rPr>
          <w:rStyle w:val="None"/>
          <w:rFonts w:ascii="Times New Roman" w:hAnsi="Times New Roman"/>
          <w:noProof/>
          <w:sz w:val="24"/>
          <w:szCs w:val="24"/>
          <w:lang w:val="en-GB"/>
        </w:rPr>
        <w:t xml:space="preserve">on 28 </w:t>
      </w:r>
      <w:r w:rsidR="00B363E1" w:rsidRPr="003D6D55">
        <w:rPr>
          <w:rStyle w:val="None"/>
          <w:rFonts w:ascii="Times New Roman" w:hAnsi="Times New Roman"/>
          <w:noProof/>
          <w:sz w:val="24"/>
          <w:szCs w:val="24"/>
          <w:lang w:val="en-GB"/>
        </w:rPr>
        <w:t>November</w:t>
      </w:r>
      <w:r w:rsidRPr="003D6D55">
        <w:rPr>
          <w:rStyle w:val="None"/>
          <w:rFonts w:ascii="Times New Roman" w:hAnsi="Times New Roman"/>
          <w:noProof/>
          <w:sz w:val="24"/>
          <w:szCs w:val="24"/>
          <w:lang w:val="en-GB"/>
        </w:rPr>
        <w:t xml:space="preserve"> 2023 </w:t>
      </w:r>
      <w:r w:rsidRPr="003D6D55">
        <w:rPr>
          <w:rFonts w:ascii="Times New Roman" w:hAnsi="Times New Roman"/>
          <w:noProof/>
          <w:sz w:val="24"/>
          <w:szCs w:val="24"/>
          <w:lang w:val="en-GB"/>
        </w:rPr>
        <w:t>helps creat</w:t>
      </w:r>
      <w:r w:rsidR="00C500F5" w:rsidRPr="003D6D55">
        <w:rPr>
          <w:rFonts w:ascii="Times New Roman" w:hAnsi="Times New Roman"/>
          <w:noProof/>
          <w:sz w:val="24"/>
          <w:szCs w:val="24"/>
          <w:lang w:val="en-GB"/>
        </w:rPr>
        <w:t>e</w:t>
      </w:r>
      <w:r w:rsidRPr="003D6D55">
        <w:rPr>
          <w:rFonts w:ascii="Times New Roman" w:hAnsi="Times New Roman"/>
          <w:noProof/>
          <w:sz w:val="24"/>
          <w:szCs w:val="24"/>
          <w:lang w:val="en-GB"/>
        </w:rPr>
        <w:t xml:space="preserve"> an infrastructure network fit for a decarbonised future </w:t>
      </w:r>
      <w:r w:rsidR="00C500F5" w:rsidRPr="003D6D55">
        <w:rPr>
          <w:rFonts w:ascii="Times New Roman" w:hAnsi="Times New Roman"/>
          <w:noProof/>
          <w:sz w:val="24"/>
          <w:szCs w:val="24"/>
          <w:lang w:val="en-GB"/>
        </w:rPr>
        <w:t xml:space="preserve">by identifying </w:t>
      </w:r>
      <w:r w:rsidRPr="003D6D55">
        <w:rPr>
          <w:rFonts w:ascii="Times New Roman" w:hAnsi="Times New Roman"/>
          <w:noProof/>
          <w:sz w:val="24"/>
          <w:szCs w:val="24"/>
          <w:lang w:val="en-GB"/>
        </w:rPr>
        <w:t>166 P</w:t>
      </w:r>
      <w:r w:rsidRPr="00AA1EED">
        <w:rPr>
          <w:rFonts w:ascii="Times New Roman" w:hAnsi="Times New Roman"/>
          <w:noProof/>
          <w:sz w:val="24"/>
          <w:szCs w:val="24"/>
          <w:lang w:val="en-GB"/>
        </w:rPr>
        <w:t xml:space="preserve">CIs and </w:t>
      </w:r>
      <w:r w:rsidR="00C500F5">
        <w:rPr>
          <w:rFonts w:ascii="Times New Roman" w:hAnsi="Times New Roman"/>
          <w:noProof/>
          <w:sz w:val="24"/>
          <w:szCs w:val="24"/>
          <w:lang w:val="en-GB"/>
        </w:rPr>
        <w:t>Projects of Mutual Interest (</w:t>
      </w:r>
      <w:r w:rsidRPr="00AA1EED">
        <w:rPr>
          <w:rFonts w:ascii="Times New Roman" w:hAnsi="Times New Roman"/>
          <w:noProof/>
          <w:sz w:val="24"/>
          <w:szCs w:val="24"/>
          <w:lang w:val="en-GB"/>
        </w:rPr>
        <w:t>PMIs</w:t>
      </w:r>
      <w:r w:rsidR="00C500F5">
        <w:rPr>
          <w:rFonts w:ascii="Times New Roman" w:hAnsi="Times New Roman"/>
          <w:noProof/>
          <w:sz w:val="24"/>
          <w:szCs w:val="24"/>
          <w:lang w:val="en-GB"/>
        </w:rPr>
        <w:t>)</w:t>
      </w:r>
      <w:r w:rsidR="006A5667">
        <w:rPr>
          <w:rStyle w:val="FootnoteReference"/>
          <w:rFonts w:ascii="Times New Roman" w:hAnsi="Times New Roman"/>
          <w:noProof/>
          <w:sz w:val="24"/>
          <w:szCs w:val="24"/>
          <w:lang w:val="en-GB"/>
        </w:rPr>
        <w:footnoteReference w:id="19"/>
      </w:r>
      <w:r w:rsidRPr="00AA1EED">
        <w:rPr>
          <w:rFonts w:ascii="Times New Roman" w:hAnsi="Times New Roman"/>
          <w:noProof/>
          <w:sz w:val="24"/>
          <w:szCs w:val="24"/>
          <w:lang w:val="en-GB"/>
        </w:rPr>
        <w:t>. It includes a renewed focus on electricity with 68 projects (12 of which storage), 5 smart grids projects and, for the first time, a new category on offshore infrastructure with 12 projects.</w:t>
      </w:r>
    </w:p>
    <w:p w14:paraId="6AFF7D0C" w14:textId="1077EB99" w:rsidR="007003DF" w:rsidRPr="00377522" w:rsidRDefault="00D557C8" w:rsidP="0081332B">
      <w:pPr>
        <w:pStyle w:val="Body"/>
        <w:spacing w:after="240" w:line="240" w:lineRule="auto"/>
        <w:jc w:val="both"/>
        <w:rPr>
          <w:rStyle w:val="None"/>
          <w:rFonts w:ascii="Times New Roman" w:hAnsi="Times New Roman"/>
          <w:noProof/>
          <w:sz w:val="24"/>
          <w:szCs w:val="24"/>
          <w:lang w:val="en-GB"/>
        </w:rPr>
      </w:pPr>
      <w:r w:rsidRPr="00377522">
        <w:rPr>
          <w:rStyle w:val="None"/>
          <w:rFonts w:ascii="Times New Roman" w:hAnsi="Times New Roman"/>
          <w:noProof/>
          <w:sz w:val="24"/>
          <w:szCs w:val="24"/>
          <w:lang w:val="en-GB"/>
        </w:rPr>
        <w:t>These 85</w:t>
      </w:r>
      <w:r w:rsidR="007003DF" w:rsidRPr="00377522">
        <w:rPr>
          <w:rStyle w:val="None"/>
          <w:rFonts w:ascii="Times New Roman" w:hAnsi="Times New Roman"/>
          <w:noProof/>
          <w:sz w:val="24"/>
          <w:szCs w:val="24"/>
          <w:lang w:val="en-GB"/>
        </w:rPr>
        <w:t xml:space="preserve"> projects address the most pressing bottlenecks in </w:t>
      </w:r>
      <w:r w:rsidR="00083BB9" w:rsidRPr="00377522">
        <w:rPr>
          <w:rStyle w:val="None"/>
          <w:rFonts w:ascii="Times New Roman" w:hAnsi="Times New Roman"/>
          <w:noProof/>
          <w:sz w:val="24"/>
          <w:szCs w:val="24"/>
          <w:lang w:val="en-GB"/>
        </w:rPr>
        <w:t xml:space="preserve">the </w:t>
      </w:r>
      <w:r w:rsidR="007003DF" w:rsidRPr="00377522">
        <w:rPr>
          <w:rStyle w:val="None"/>
          <w:rFonts w:ascii="Times New Roman" w:hAnsi="Times New Roman"/>
          <w:noProof/>
          <w:sz w:val="24"/>
          <w:szCs w:val="24"/>
          <w:lang w:val="en-GB"/>
        </w:rPr>
        <w:t xml:space="preserve">EU’s </w:t>
      </w:r>
      <w:r w:rsidR="000022CF">
        <w:rPr>
          <w:rStyle w:val="None"/>
          <w:rFonts w:ascii="Times New Roman" w:hAnsi="Times New Roman"/>
          <w:noProof/>
          <w:sz w:val="24"/>
          <w:szCs w:val="24"/>
          <w:lang w:val="en-GB"/>
        </w:rPr>
        <w:t>TEN-E</w:t>
      </w:r>
      <w:r w:rsidR="007003DF" w:rsidRPr="00377522">
        <w:rPr>
          <w:rStyle w:val="None"/>
          <w:rFonts w:ascii="Times New Roman" w:hAnsi="Times New Roman"/>
          <w:noProof/>
          <w:sz w:val="24"/>
          <w:szCs w:val="24"/>
          <w:lang w:val="en-GB"/>
        </w:rPr>
        <w:t xml:space="preserve"> network</w:t>
      </w:r>
      <w:r w:rsidR="000022CF">
        <w:rPr>
          <w:rStyle w:val="None"/>
          <w:rFonts w:ascii="Times New Roman" w:hAnsi="Times New Roman"/>
          <w:noProof/>
          <w:sz w:val="24"/>
          <w:szCs w:val="24"/>
          <w:lang w:val="en-GB"/>
        </w:rPr>
        <w:t>s</w:t>
      </w:r>
      <w:r w:rsidR="007003DF" w:rsidRPr="00377522">
        <w:rPr>
          <w:rStyle w:val="None"/>
          <w:rFonts w:ascii="Times New Roman" w:hAnsi="Times New Roman"/>
          <w:noProof/>
          <w:sz w:val="24"/>
          <w:szCs w:val="24"/>
          <w:lang w:val="en-GB"/>
        </w:rPr>
        <w:t xml:space="preserve">. Around half of </w:t>
      </w:r>
      <w:r w:rsidRPr="00377522">
        <w:rPr>
          <w:rStyle w:val="None"/>
          <w:rFonts w:ascii="Times New Roman" w:hAnsi="Times New Roman"/>
          <w:noProof/>
          <w:sz w:val="24"/>
          <w:szCs w:val="24"/>
          <w:lang w:val="en-GB"/>
        </w:rPr>
        <w:t>them</w:t>
      </w:r>
      <w:r w:rsidR="007003DF" w:rsidRPr="00377522">
        <w:rPr>
          <w:rStyle w:val="None"/>
          <w:rFonts w:ascii="Times New Roman" w:hAnsi="Times New Roman"/>
          <w:noProof/>
          <w:sz w:val="24"/>
          <w:szCs w:val="24"/>
          <w:lang w:val="en-GB"/>
        </w:rPr>
        <w:t xml:space="preserve"> </w:t>
      </w:r>
      <w:r w:rsidR="005C2567" w:rsidRPr="00377522">
        <w:rPr>
          <w:rStyle w:val="None"/>
          <w:rFonts w:ascii="Times New Roman" w:hAnsi="Times New Roman"/>
          <w:noProof/>
          <w:sz w:val="24"/>
          <w:szCs w:val="24"/>
          <w:lang w:val="en-GB"/>
        </w:rPr>
        <w:t xml:space="preserve">are </w:t>
      </w:r>
      <w:r w:rsidR="007003DF" w:rsidRPr="00377522">
        <w:rPr>
          <w:rStyle w:val="None"/>
          <w:rFonts w:ascii="Times New Roman" w:hAnsi="Times New Roman"/>
          <w:noProof/>
          <w:sz w:val="24"/>
          <w:szCs w:val="24"/>
          <w:lang w:val="en-GB"/>
        </w:rPr>
        <w:t>planned to be c</w:t>
      </w:r>
      <w:r w:rsidRPr="00377522">
        <w:rPr>
          <w:rStyle w:val="None"/>
          <w:rFonts w:ascii="Times New Roman" w:hAnsi="Times New Roman"/>
          <w:noProof/>
          <w:sz w:val="24"/>
          <w:szCs w:val="24"/>
          <w:lang w:val="en-GB"/>
        </w:rPr>
        <w:t>ommissioned</w:t>
      </w:r>
      <w:r w:rsidR="007003DF" w:rsidRPr="00377522">
        <w:rPr>
          <w:rStyle w:val="None"/>
          <w:rFonts w:ascii="Times New Roman" w:hAnsi="Times New Roman"/>
          <w:noProof/>
          <w:sz w:val="24"/>
          <w:szCs w:val="24"/>
          <w:lang w:val="en-GB"/>
        </w:rPr>
        <w:t xml:space="preserve"> between 2027-2030</w:t>
      </w:r>
      <w:r w:rsidR="007816C1" w:rsidRPr="00377522">
        <w:rPr>
          <w:rStyle w:val="None"/>
          <w:rFonts w:ascii="Times New Roman" w:hAnsi="Times New Roman"/>
          <w:noProof/>
          <w:sz w:val="24"/>
          <w:szCs w:val="24"/>
          <w:lang w:val="en-GB"/>
        </w:rPr>
        <w:t xml:space="preserve">. Their timely completion is key to ensure </w:t>
      </w:r>
      <w:r w:rsidR="00745E84" w:rsidRPr="00377522">
        <w:rPr>
          <w:rStyle w:val="None"/>
          <w:rFonts w:ascii="Times New Roman" w:hAnsi="Times New Roman"/>
          <w:noProof/>
          <w:sz w:val="24"/>
          <w:szCs w:val="24"/>
          <w:lang w:val="en-GB"/>
        </w:rPr>
        <w:t xml:space="preserve">that </w:t>
      </w:r>
      <w:r w:rsidR="007816C1" w:rsidRPr="00377522">
        <w:rPr>
          <w:rStyle w:val="None"/>
          <w:rFonts w:ascii="Times New Roman" w:hAnsi="Times New Roman"/>
          <w:noProof/>
          <w:sz w:val="24"/>
          <w:szCs w:val="24"/>
          <w:lang w:val="en-GB"/>
        </w:rPr>
        <w:t>they can have an impact within this decade.</w:t>
      </w:r>
      <w:r w:rsidRPr="00377522">
        <w:rPr>
          <w:rStyle w:val="None"/>
          <w:rFonts w:ascii="Times New Roman" w:hAnsi="Times New Roman"/>
          <w:noProof/>
          <w:sz w:val="24"/>
          <w:szCs w:val="24"/>
          <w:lang w:val="en-GB"/>
        </w:rPr>
        <w:t xml:space="preserve"> </w:t>
      </w:r>
      <w:r w:rsidR="00CE5AAB" w:rsidRPr="00377522">
        <w:rPr>
          <w:rStyle w:val="None"/>
          <w:rFonts w:ascii="Times New Roman" w:hAnsi="Times New Roman"/>
          <w:noProof/>
          <w:sz w:val="24"/>
          <w:szCs w:val="24"/>
          <w:lang w:val="en-GB"/>
        </w:rPr>
        <w:t>Avoiding the slippages and delays that hampered PCI completion in the past</w:t>
      </w:r>
      <w:r w:rsidRPr="00377522">
        <w:rPr>
          <w:rStyle w:val="None"/>
          <w:rFonts w:ascii="Times New Roman" w:hAnsi="Times New Roman"/>
          <w:noProof/>
          <w:sz w:val="24"/>
          <w:szCs w:val="24"/>
          <w:lang w:val="en-GB"/>
        </w:rPr>
        <w:t xml:space="preserve"> requires an extra effort of monitoring progress and </w:t>
      </w:r>
      <w:r w:rsidR="00C62C6B" w:rsidRPr="00377522">
        <w:rPr>
          <w:rStyle w:val="None"/>
          <w:rFonts w:ascii="Times New Roman" w:hAnsi="Times New Roman"/>
          <w:noProof/>
          <w:sz w:val="24"/>
          <w:szCs w:val="24"/>
          <w:lang w:val="en-GB"/>
        </w:rPr>
        <w:t xml:space="preserve">swiftly </w:t>
      </w:r>
      <w:r w:rsidRPr="00377522">
        <w:rPr>
          <w:rStyle w:val="None"/>
          <w:rFonts w:ascii="Times New Roman" w:hAnsi="Times New Roman"/>
          <w:noProof/>
          <w:sz w:val="24"/>
          <w:szCs w:val="24"/>
          <w:lang w:val="en-GB"/>
        </w:rPr>
        <w:t>removing bottlenecks and obstacles to implementation.</w:t>
      </w:r>
    </w:p>
    <w:p w14:paraId="63F03DD4" w14:textId="0A18BE1F" w:rsidR="00BF4CEE" w:rsidRPr="00AA1EED" w:rsidRDefault="00D557C8" w:rsidP="007816C1">
      <w:pPr>
        <w:pStyle w:val="Body"/>
        <w:spacing w:after="240" w:line="240" w:lineRule="auto"/>
        <w:jc w:val="both"/>
        <w:rPr>
          <w:rFonts w:ascii="Times New Roman" w:hAnsi="Times New Roman"/>
          <w:noProof/>
          <w:sz w:val="24"/>
          <w:szCs w:val="24"/>
          <w:lang w:val="en-GB"/>
        </w:rPr>
      </w:pPr>
      <w:r w:rsidRPr="00AA1EED">
        <w:rPr>
          <w:rFonts w:ascii="Times New Roman" w:hAnsi="Times New Roman"/>
          <w:noProof/>
          <w:sz w:val="24"/>
          <w:szCs w:val="24"/>
          <w:lang w:val="en-GB"/>
        </w:rPr>
        <w:t>Furthermore</w:t>
      </w:r>
      <w:r w:rsidR="007816C1" w:rsidRPr="00AA1EED">
        <w:rPr>
          <w:rFonts w:ascii="Times New Roman" w:hAnsi="Times New Roman"/>
          <w:noProof/>
          <w:sz w:val="24"/>
          <w:szCs w:val="24"/>
          <w:lang w:val="en-GB"/>
        </w:rPr>
        <w:t xml:space="preserve">, the </w:t>
      </w:r>
      <w:r w:rsidR="00BF4CEE" w:rsidRPr="00AA1EED">
        <w:rPr>
          <w:rFonts w:ascii="Times New Roman" w:hAnsi="Times New Roman"/>
          <w:noProof/>
          <w:sz w:val="24"/>
          <w:szCs w:val="24"/>
          <w:lang w:val="en-GB"/>
        </w:rPr>
        <w:t>TEN-E’s comprehensive Union-wide TYNDP identifie</w:t>
      </w:r>
      <w:r w:rsidR="00F759F7" w:rsidRPr="00AA1EED">
        <w:rPr>
          <w:rFonts w:ascii="Times New Roman" w:hAnsi="Times New Roman"/>
          <w:noProof/>
          <w:sz w:val="24"/>
          <w:szCs w:val="24"/>
          <w:lang w:val="en-GB"/>
        </w:rPr>
        <w:t>s</w:t>
      </w:r>
      <w:r w:rsidR="007816C1" w:rsidRPr="00AA1EED">
        <w:rPr>
          <w:rFonts w:ascii="Times New Roman" w:hAnsi="Times New Roman"/>
          <w:noProof/>
          <w:sz w:val="24"/>
          <w:szCs w:val="24"/>
          <w:lang w:val="en-GB"/>
        </w:rPr>
        <w:t xml:space="preserve"> </w:t>
      </w:r>
      <w:r w:rsidRPr="00377522">
        <w:rPr>
          <w:rFonts w:ascii="Times New Roman" w:hAnsi="Times New Roman"/>
          <w:b/>
          <w:bCs/>
          <w:noProof/>
          <w:sz w:val="24"/>
          <w:szCs w:val="24"/>
          <w:lang w:val="en-GB"/>
        </w:rPr>
        <w:t xml:space="preserve">significant </w:t>
      </w:r>
      <w:r w:rsidR="00BF4CEE" w:rsidRPr="00377522">
        <w:rPr>
          <w:rFonts w:ascii="Times New Roman" w:hAnsi="Times New Roman"/>
          <w:b/>
          <w:bCs/>
          <w:noProof/>
          <w:sz w:val="24"/>
          <w:szCs w:val="24"/>
          <w:lang w:val="en-GB"/>
        </w:rPr>
        <w:t xml:space="preserve">additional </w:t>
      </w:r>
      <w:r w:rsidR="007816C1" w:rsidRPr="00AA1EED">
        <w:rPr>
          <w:rFonts w:ascii="Times New Roman" w:hAnsi="Times New Roman"/>
          <w:b/>
          <w:bCs/>
          <w:noProof/>
          <w:sz w:val="24"/>
          <w:szCs w:val="24"/>
          <w:lang w:val="en-GB"/>
        </w:rPr>
        <w:t>system needs</w:t>
      </w:r>
      <w:r w:rsidR="007816C1" w:rsidRPr="00377522">
        <w:rPr>
          <w:rFonts w:ascii="Times New Roman" w:hAnsi="Times New Roman"/>
          <w:b/>
          <w:noProof/>
          <w:sz w:val="24"/>
          <w:lang w:val="en-GB"/>
        </w:rPr>
        <w:t xml:space="preserve"> for 2040 and beyond</w:t>
      </w:r>
      <w:r w:rsidR="00BF4CEE" w:rsidRPr="00AA1EED">
        <w:rPr>
          <w:rFonts w:ascii="Times New Roman" w:hAnsi="Times New Roman"/>
          <w:noProof/>
          <w:sz w:val="24"/>
          <w:szCs w:val="24"/>
          <w:lang w:val="en-GB"/>
        </w:rPr>
        <w:t>. These should be</w:t>
      </w:r>
      <w:r w:rsidR="007816C1" w:rsidRPr="00AA1EED">
        <w:rPr>
          <w:rFonts w:ascii="Times New Roman" w:hAnsi="Times New Roman"/>
          <w:noProof/>
          <w:sz w:val="24"/>
          <w:szCs w:val="24"/>
          <w:lang w:val="en-GB"/>
        </w:rPr>
        <w:t xml:space="preserve"> matched by new PCIs in the subsequent Union lists in the coming years. </w:t>
      </w:r>
      <w:r w:rsidRPr="00AA1EED">
        <w:rPr>
          <w:rFonts w:ascii="Times New Roman" w:hAnsi="Times New Roman"/>
          <w:noProof/>
          <w:sz w:val="24"/>
          <w:szCs w:val="24"/>
          <w:lang w:val="en-GB"/>
        </w:rPr>
        <w:t>For this to happen</w:t>
      </w:r>
      <w:r w:rsidR="00A77552" w:rsidRPr="00AA1EED">
        <w:rPr>
          <w:rFonts w:ascii="Times New Roman" w:hAnsi="Times New Roman"/>
          <w:noProof/>
          <w:sz w:val="24"/>
          <w:szCs w:val="24"/>
          <w:lang w:val="en-GB"/>
        </w:rPr>
        <w:t>,</w:t>
      </w:r>
      <w:r w:rsidRPr="00AA1EED">
        <w:rPr>
          <w:rFonts w:ascii="Times New Roman" w:hAnsi="Times New Roman"/>
          <w:noProof/>
          <w:sz w:val="24"/>
          <w:szCs w:val="24"/>
          <w:lang w:val="en-GB"/>
        </w:rPr>
        <w:t xml:space="preserve"> effort is needed to </w:t>
      </w:r>
      <w:r w:rsidR="00977F72">
        <w:rPr>
          <w:rFonts w:ascii="Times New Roman" w:hAnsi="Times New Roman"/>
          <w:noProof/>
          <w:sz w:val="24"/>
          <w:szCs w:val="24"/>
          <w:lang w:val="en-GB"/>
        </w:rPr>
        <w:t xml:space="preserve">accelerate </w:t>
      </w:r>
      <w:r w:rsidRPr="00AA1EED">
        <w:rPr>
          <w:rFonts w:ascii="Times New Roman" w:hAnsi="Times New Roman"/>
          <w:noProof/>
          <w:sz w:val="24"/>
          <w:szCs w:val="24"/>
          <w:lang w:val="en-GB"/>
        </w:rPr>
        <w:t xml:space="preserve">the conception and </w:t>
      </w:r>
      <w:r w:rsidR="00977F72">
        <w:rPr>
          <w:rFonts w:ascii="Times New Roman" w:hAnsi="Times New Roman"/>
          <w:noProof/>
          <w:sz w:val="24"/>
          <w:szCs w:val="24"/>
          <w:lang w:val="en-GB"/>
        </w:rPr>
        <w:t>development</w:t>
      </w:r>
      <w:r w:rsidR="00977F72" w:rsidRPr="00AA1EED">
        <w:rPr>
          <w:rFonts w:ascii="Times New Roman" w:hAnsi="Times New Roman"/>
          <w:noProof/>
          <w:sz w:val="24"/>
          <w:szCs w:val="24"/>
          <w:lang w:val="en-GB"/>
        </w:rPr>
        <w:t xml:space="preserve"> </w:t>
      </w:r>
      <w:r w:rsidRPr="00AA1EED">
        <w:rPr>
          <w:rFonts w:ascii="Times New Roman" w:hAnsi="Times New Roman"/>
          <w:noProof/>
          <w:sz w:val="24"/>
          <w:szCs w:val="24"/>
          <w:lang w:val="en-GB"/>
        </w:rPr>
        <w:t xml:space="preserve">of a robust </w:t>
      </w:r>
      <w:r w:rsidR="00977F72">
        <w:rPr>
          <w:rFonts w:ascii="Times New Roman" w:hAnsi="Times New Roman"/>
          <w:noProof/>
          <w:sz w:val="24"/>
          <w:szCs w:val="24"/>
          <w:lang w:val="en-GB"/>
        </w:rPr>
        <w:t xml:space="preserve">pipeline of </w:t>
      </w:r>
      <w:r w:rsidRPr="00AA1EED">
        <w:rPr>
          <w:rFonts w:ascii="Times New Roman" w:hAnsi="Times New Roman"/>
          <w:noProof/>
          <w:sz w:val="24"/>
          <w:szCs w:val="24"/>
          <w:lang w:val="en-GB"/>
        </w:rPr>
        <w:t>new project</w:t>
      </w:r>
      <w:r w:rsidR="00977F72">
        <w:rPr>
          <w:rFonts w:ascii="Times New Roman" w:hAnsi="Times New Roman"/>
          <w:noProof/>
          <w:sz w:val="24"/>
          <w:szCs w:val="24"/>
          <w:lang w:val="en-GB"/>
        </w:rPr>
        <w:t>s</w:t>
      </w:r>
      <w:r w:rsidRPr="00AA1EED">
        <w:rPr>
          <w:rFonts w:ascii="Times New Roman" w:hAnsi="Times New Roman"/>
          <w:noProof/>
          <w:sz w:val="24"/>
          <w:szCs w:val="24"/>
          <w:lang w:val="en-GB"/>
        </w:rPr>
        <w:t xml:space="preserve"> to be included in the updated PCI lists, every two years.</w:t>
      </w:r>
    </w:p>
    <w:p w14:paraId="0BA2880D" w14:textId="790DD540" w:rsidR="00F759F7" w:rsidRPr="00AA1EED" w:rsidRDefault="00F759F7" w:rsidP="00F759F7">
      <w:pPr>
        <w:pStyle w:val="BodyA"/>
        <w:rPr>
          <w:rFonts w:cs="Times New Roman"/>
          <w:noProof/>
          <w:lang w:val="en-GB"/>
        </w:rPr>
      </w:pPr>
      <w:r w:rsidRPr="00AA1EED">
        <w:rPr>
          <w:noProof/>
          <w:lang w:val="en-GB"/>
        </w:rPr>
        <w:t>While the majority of funding needs for future projects will have to be covered by market finance, there is growing p</w:t>
      </w:r>
      <w:r w:rsidRPr="00AA1EED">
        <w:rPr>
          <w:noProof/>
          <w:color w:val="000000" w:themeColor="text1"/>
          <w:lang w:val="en-GB"/>
        </w:rPr>
        <w:t xml:space="preserve">ressure to provide additional </w:t>
      </w:r>
      <w:r w:rsidRPr="00377522">
        <w:rPr>
          <w:b/>
          <w:bCs/>
          <w:noProof/>
          <w:color w:val="000000" w:themeColor="text1"/>
          <w:lang w:val="en-GB"/>
        </w:rPr>
        <w:t>public support</w:t>
      </w:r>
      <w:r w:rsidRPr="00AA1EED">
        <w:rPr>
          <w:noProof/>
          <w:color w:val="000000" w:themeColor="text1"/>
          <w:lang w:val="en-GB"/>
        </w:rPr>
        <w:t xml:space="preserve"> for cross</w:t>
      </w:r>
      <w:r w:rsidR="00A77552" w:rsidRPr="00AA1EED">
        <w:rPr>
          <w:noProof/>
          <w:color w:val="000000" w:themeColor="text1"/>
          <w:lang w:val="en-GB"/>
        </w:rPr>
        <w:t>-</w:t>
      </w:r>
      <w:r w:rsidRPr="00AA1EED">
        <w:rPr>
          <w:noProof/>
          <w:color w:val="000000" w:themeColor="text1"/>
          <w:lang w:val="en-GB"/>
        </w:rPr>
        <w:t>border projects</w:t>
      </w:r>
      <w:r w:rsidR="00134212">
        <w:rPr>
          <w:noProof/>
          <w:color w:val="000000" w:themeColor="text1"/>
          <w:lang w:val="en-GB"/>
        </w:rPr>
        <w:t>,</w:t>
      </w:r>
      <w:r w:rsidRPr="00AA1EED">
        <w:rPr>
          <w:noProof/>
          <w:color w:val="000000" w:themeColor="text1"/>
          <w:lang w:val="en-GB"/>
        </w:rPr>
        <w:t xml:space="preserve"> to limit impact on tariffs</w:t>
      </w:r>
      <w:r w:rsidR="000022CF">
        <w:rPr>
          <w:noProof/>
          <w:color w:val="000000" w:themeColor="text1"/>
          <w:lang w:val="en-GB"/>
        </w:rPr>
        <w:t xml:space="preserve"> and in consequence energy </w:t>
      </w:r>
      <w:r w:rsidR="00C54EDE">
        <w:rPr>
          <w:noProof/>
          <w:color w:val="000000" w:themeColor="text1"/>
          <w:lang w:val="en-GB"/>
        </w:rPr>
        <w:t>costs</w:t>
      </w:r>
      <w:r w:rsidR="000022CF">
        <w:rPr>
          <w:noProof/>
          <w:color w:val="000000" w:themeColor="text1"/>
          <w:lang w:val="en-GB"/>
        </w:rPr>
        <w:t xml:space="preserve"> for final consumers</w:t>
      </w:r>
      <w:r w:rsidRPr="00AA1EED">
        <w:rPr>
          <w:noProof/>
          <w:color w:val="000000" w:themeColor="text1"/>
          <w:lang w:val="en-GB"/>
        </w:rPr>
        <w:t xml:space="preserve">. However, there is a mismatch between </w:t>
      </w:r>
      <w:r w:rsidR="00D557C8" w:rsidRPr="00AA1EED">
        <w:rPr>
          <w:noProof/>
          <w:color w:val="000000" w:themeColor="text1"/>
          <w:lang w:val="en-GB"/>
        </w:rPr>
        <w:t xml:space="preserve">the </w:t>
      </w:r>
      <w:r w:rsidRPr="00AA1EED">
        <w:rPr>
          <w:noProof/>
          <w:color w:val="000000" w:themeColor="text1"/>
          <w:lang w:val="en-GB"/>
        </w:rPr>
        <w:t>growing, identif</w:t>
      </w:r>
      <w:r w:rsidR="00134212">
        <w:rPr>
          <w:noProof/>
          <w:color w:val="000000" w:themeColor="text1"/>
          <w:lang w:val="en-GB"/>
        </w:rPr>
        <w:t>ied</w:t>
      </w:r>
      <w:r w:rsidRPr="00AA1EED">
        <w:rPr>
          <w:noProof/>
          <w:color w:val="000000" w:themeColor="text1"/>
          <w:lang w:val="en-GB"/>
        </w:rPr>
        <w:t xml:space="preserve"> needs and the EU resources available. </w:t>
      </w:r>
      <w:r w:rsidRPr="00AA1EED">
        <w:rPr>
          <w:rFonts w:cs="Times New Roman"/>
          <w:noProof/>
          <w:lang w:val="en-GB"/>
        </w:rPr>
        <w:t xml:space="preserve">The budget available under CEF-Energy 2021-27 was reduced in the final Regulation compared to the initial Commission proposal and was </w:t>
      </w:r>
      <w:r w:rsidR="002262DC" w:rsidRPr="00AA1EED">
        <w:rPr>
          <w:rFonts w:cs="Times New Roman"/>
          <w:noProof/>
          <w:lang w:val="en-GB"/>
        </w:rPr>
        <w:t>meant</w:t>
      </w:r>
      <w:r w:rsidRPr="00AA1EED">
        <w:rPr>
          <w:rFonts w:cs="Times New Roman"/>
          <w:noProof/>
          <w:lang w:val="en-GB"/>
        </w:rPr>
        <w:t xml:space="preserve"> to serve a limited number of project categories as set out in the former TEN-E Regulation. The TEN</w:t>
      </w:r>
      <w:r w:rsidR="00A77552" w:rsidRPr="00AA1EED">
        <w:rPr>
          <w:rFonts w:cs="Times New Roman"/>
          <w:noProof/>
          <w:lang w:val="en-GB"/>
        </w:rPr>
        <w:t>-</w:t>
      </w:r>
      <w:r w:rsidRPr="00AA1EED">
        <w:rPr>
          <w:rFonts w:cs="Times New Roman"/>
          <w:noProof/>
          <w:lang w:val="en-GB"/>
        </w:rPr>
        <w:t>E revi</w:t>
      </w:r>
      <w:r w:rsidR="00A77552" w:rsidRPr="00AA1EED">
        <w:rPr>
          <w:rFonts w:cs="Times New Roman"/>
          <w:noProof/>
          <w:lang w:val="en-GB"/>
        </w:rPr>
        <w:t>sion</w:t>
      </w:r>
      <w:r w:rsidRPr="00AA1EED">
        <w:rPr>
          <w:rFonts w:cs="Times New Roman"/>
          <w:noProof/>
          <w:lang w:val="en-GB"/>
        </w:rPr>
        <w:t xml:space="preserve"> in 2022 expanded its scope to new categories for offshore, electrolysers, hydrogen infrastructure, energy storage, CO</w:t>
      </w:r>
      <w:r w:rsidRPr="00377522">
        <w:rPr>
          <w:rFonts w:cs="Times New Roman"/>
          <w:noProof/>
          <w:vertAlign w:val="subscript"/>
          <w:lang w:val="en-GB"/>
        </w:rPr>
        <w:t>2</w:t>
      </w:r>
      <w:r w:rsidRPr="00AA1EED">
        <w:rPr>
          <w:rFonts w:cs="Times New Roman"/>
          <w:noProof/>
          <w:lang w:val="en-GB"/>
        </w:rPr>
        <w:t xml:space="preserve"> storage and smart gas grids</w:t>
      </w:r>
      <w:r w:rsidR="00A77552" w:rsidRPr="00AA1EED">
        <w:rPr>
          <w:rFonts w:cs="Times New Roman"/>
          <w:noProof/>
          <w:lang w:val="en-GB"/>
        </w:rPr>
        <w:t>,</w:t>
      </w:r>
      <w:r w:rsidRPr="00AA1EED">
        <w:rPr>
          <w:rFonts w:cs="Times New Roman"/>
          <w:noProof/>
          <w:lang w:val="en-GB"/>
        </w:rPr>
        <w:t xml:space="preserve"> while the budgetary allocation did not change.</w:t>
      </w:r>
    </w:p>
    <w:p w14:paraId="3B9DACF2" w14:textId="654AB1CA" w:rsidR="00F759F7" w:rsidRPr="00AA1EED" w:rsidRDefault="00F759F7" w:rsidP="00F759F7">
      <w:pPr>
        <w:pStyle w:val="BodyA"/>
        <w:rPr>
          <w:rFonts w:cs="Times New Roman"/>
          <w:noProof/>
          <w:color w:val="000000" w:themeColor="text1"/>
          <w:lang w:val="en-GB"/>
        </w:rPr>
      </w:pPr>
      <w:r w:rsidRPr="00AA1EED">
        <w:rPr>
          <w:rFonts w:cs="Times New Roman"/>
          <w:noProof/>
          <w:lang w:val="en-GB"/>
        </w:rPr>
        <w:t xml:space="preserve">Growing network needs and a limited budget spread among more categories </w:t>
      </w:r>
      <w:r w:rsidR="00134212">
        <w:rPr>
          <w:rFonts w:cs="Times New Roman"/>
          <w:noProof/>
          <w:lang w:val="en-GB"/>
        </w:rPr>
        <w:t>reduces</w:t>
      </w:r>
      <w:r w:rsidR="00134212" w:rsidRPr="00AA1EED">
        <w:rPr>
          <w:rFonts w:cs="Times New Roman"/>
          <w:noProof/>
          <w:lang w:val="en-GB"/>
        </w:rPr>
        <w:t xml:space="preserve"> </w:t>
      </w:r>
      <w:r w:rsidRPr="00AA1EED">
        <w:rPr>
          <w:rFonts w:cs="Times New Roman"/>
          <w:noProof/>
          <w:lang w:val="en-GB"/>
        </w:rPr>
        <w:t xml:space="preserve">the impact of the instrument and creates a potential funding gap for cross-border energy networks. Moreover, CEF-Energy is limited to PCIs and does not cover local DSO needs. Other EU funding possibilities such as the Cohesion Fund, ERDF, RRF or the Modernisation Fund are available </w:t>
      </w:r>
      <w:r w:rsidR="00F73081" w:rsidRPr="00AA1EED">
        <w:rPr>
          <w:rFonts w:cs="Times New Roman"/>
          <w:noProof/>
          <w:lang w:val="en-GB"/>
        </w:rPr>
        <w:t xml:space="preserve">for electricity grids </w:t>
      </w:r>
      <w:r w:rsidRPr="00AA1EED">
        <w:rPr>
          <w:rFonts w:cs="Times New Roman"/>
          <w:noProof/>
          <w:lang w:val="en-GB"/>
        </w:rPr>
        <w:t xml:space="preserve">but </w:t>
      </w:r>
      <w:r w:rsidR="00AD7495">
        <w:rPr>
          <w:rFonts w:cs="Times New Roman"/>
          <w:noProof/>
          <w:lang w:val="en-GB"/>
        </w:rPr>
        <w:t xml:space="preserve">some are </w:t>
      </w:r>
      <w:r w:rsidR="00134212">
        <w:rPr>
          <w:rFonts w:cs="Times New Roman"/>
          <w:noProof/>
          <w:lang w:val="en-GB"/>
        </w:rPr>
        <w:t>under</w:t>
      </w:r>
      <w:r w:rsidR="00977F72">
        <w:rPr>
          <w:rFonts w:cs="Times New Roman"/>
          <w:noProof/>
          <w:lang w:val="en-GB"/>
        </w:rPr>
        <w:t>-</w:t>
      </w:r>
      <w:r w:rsidR="00134212">
        <w:rPr>
          <w:rFonts w:cs="Times New Roman"/>
          <w:noProof/>
          <w:lang w:val="en-GB"/>
        </w:rPr>
        <w:t>utilised</w:t>
      </w:r>
      <w:r w:rsidRPr="00AA1EED">
        <w:rPr>
          <w:rFonts w:cs="Times New Roman"/>
          <w:noProof/>
          <w:lang w:val="en-GB"/>
        </w:rPr>
        <w:t>.</w:t>
      </w:r>
      <w:r w:rsidR="00AD7495" w:rsidRPr="00AD7495">
        <w:rPr>
          <w:rFonts w:cs="Times New Roman"/>
          <w:noProof/>
          <w:lang w:val="en-GB"/>
        </w:rPr>
        <w:t xml:space="preserve"> </w:t>
      </w:r>
      <w:r w:rsidR="00AD7495">
        <w:rPr>
          <w:rFonts w:cs="Times New Roman"/>
          <w:noProof/>
          <w:lang w:val="en-GB"/>
        </w:rPr>
        <w:t>The Recovery and Resilience Plans</w:t>
      </w:r>
      <w:r w:rsidR="00AD7495">
        <w:rPr>
          <w:rStyle w:val="FootnoteReference"/>
          <w:rFonts w:cs="Times New Roman"/>
          <w:noProof/>
          <w:lang w:val="en-GB"/>
        </w:rPr>
        <w:footnoteReference w:id="20"/>
      </w:r>
      <w:r w:rsidR="00AD7495">
        <w:rPr>
          <w:rFonts w:cs="Times New Roman"/>
          <w:noProof/>
          <w:lang w:val="en-GB"/>
        </w:rPr>
        <w:t xml:space="preserve"> allocate around </w:t>
      </w:r>
      <w:r w:rsidR="00AD7495" w:rsidRPr="00E34454">
        <w:rPr>
          <w:rFonts w:cs="Times New Roman"/>
          <w:noProof/>
          <w:lang w:val="en-GB"/>
        </w:rPr>
        <w:t>EUR 13 billion</w:t>
      </w:r>
      <w:r w:rsidR="00AD7495">
        <w:rPr>
          <w:rFonts w:cs="Times New Roman"/>
          <w:noProof/>
          <w:lang w:val="en-GB"/>
        </w:rPr>
        <w:t xml:space="preserve"> to grids, covering </w:t>
      </w:r>
      <w:r w:rsidR="000B3DD4">
        <w:rPr>
          <w:rFonts w:cs="Times New Roman"/>
          <w:noProof/>
          <w:lang w:val="en-GB"/>
        </w:rPr>
        <w:t xml:space="preserve">reforms and </w:t>
      </w:r>
      <w:r w:rsidR="00AD7495">
        <w:rPr>
          <w:rFonts w:cs="Times New Roman"/>
          <w:noProof/>
          <w:lang w:val="en-GB"/>
        </w:rPr>
        <w:t xml:space="preserve">investments in grid infrastructure, </w:t>
      </w:r>
      <w:r w:rsidR="00572BF7">
        <w:rPr>
          <w:rFonts w:cs="Times New Roman"/>
          <w:noProof/>
          <w:lang w:val="en-GB"/>
        </w:rPr>
        <w:t>s</w:t>
      </w:r>
      <w:r w:rsidR="00AD7495">
        <w:rPr>
          <w:rFonts w:cs="Times New Roman"/>
          <w:noProof/>
          <w:lang w:val="en-GB"/>
        </w:rPr>
        <w:t xml:space="preserve">mart </w:t>
      </w:r>
      <w:r w:rsidR="00572BF7">
        <w:rPr>
          <w:rFonts w:cs="Times New Roman"/>
          <w:noProof/>
          <w:lang w:val="en-GB"/>
        </w:rPr>
        <w:t>e</w:t>
      </w:r>
      <w:r w:rsidR="00AD7495">
        <w:rPr>
          <w:rFonts w:cs="Times New Roman"/>
          <w:noProof/>
          <w:lang w:val="en-GB"/>
        </w:rPr>
        <w:t xml:space="preserve">nergy </w:t>
      </w:r>
      <w:r w:rsidR="00572BF7">
        <w:rPr>
          <w:rFonts w:cs="Times New Roman"/>
          <w:noProof/>
          <w:lang w:val="en-GB"/>
        </w:rPr>
        <w:t>s</w:t>
      </w:r>
      <w:r w:rsidR="00AD7495">
        <w:rPr>
          <w:rFonts w:cs="Times New Roman"/>
          <w:noProof/>
          <w:lang w:val="en-GB"/>
        </w:rPr>
        <w:t>ystems, energy storage facilities and digitalisation of distribution and transmission networks</w:t>
      </w:r>
      <w:r w:rsidR="00F872AA">
        <w:rPr>
          <w:rFonts w:cs="Times New Roman"/>
          <w:noProof/>
          <w:lang w:val="en-GB"/>
        </w:rPr>
        <w:t xml:space="preserve">. </w:t>
      </w:r>
    </w:p>
    <w:p w14:paraId="40DD190B" w14:textId="7D9C5973" w:rsidR="007816C1" w:rsidRPr="00AA1EED" w:rsidRDefault="00F759F7" w:rsidP="007816C1">
      <w:pPr>
        <w:pStyle w:val="Body"/>
        <w:spacing w:after="240" w:line="240" w:lineRule="auto"/>
        <w:jc w:val="both"/>
        <w:rPr>
          <w:rFonts w:ascii="Times New Roman" w:hAnsi="Times New Roman"/>
          <w:noProof/>
          <w:sz w:val="24"/>
          <w:lang w:val="en-GB"/>
        </w:rPr>
      </w:pPr>
      <w:r w:rsidRPr="00377522">
        <w:rPr>
          <w:rStyle w:val="None"/>
          <w:rFonts w:ascii="Times New Roman" w:hAnsi="Times New Roman"/>
          <w:noProof/>
          <w:sz w:val="24"/>
          <w:szCs w:val="24"/>
          <w:lang w:val="en-GB"/>
        </w:rPr>
        <w:lastRenderedPageBreak/>
        <w:t>A</w:t>
      </w:r>
      <w:r w:rsidR="00BF4CEE" w:rsidRPr="00377522">
        <w:rPr>
          <w:rStyle w:val="None"/>
          <w:rFonts w:ascii="Times New Roman" w:hAnsi="Times New Roman"/>
          <w:noProof/>
          <w:sz w:val="24"/>
          <w:szCs w:val="24"/>
          <w:lang w:val="en-GB"/>
        </w:rPr>
        <w:t>s</w:t>
      </w:r>
      <w:r w:rsidR="007816C1" w:rsidRPr="00377522">
        <w:rPr>
          <w:rStyle w:val="None"/>
          <w:rFonts w:ascii="Times New Roman" w:hAnsi="Times New Roman"/>
          <w:noProof/>
          <w:sz w:val="24"/>
          <w:szCs w:val="24"/>
          <w:lang w:val="en-GB"/>
        </w:rPr>
        <w:t xml:space="preserve"> insufficient investment in distribution grids and storage is already hampering citizens’ and businesses’</w:t>
      </w:r>
      <w:r w:rsidR="00BF4CEE" w:rsidRPr="00377522">
        <w:rPr>
          <w:rStyle w:val="None"/>
          <w:rFonts w:ascii="Times New Roman" w:hAnsi="Times New Roman"/>
          <w:noProof/>
          <w:sz w:val="24"/>
          <w:szCs w:val="24"/>
          <w:lang w:val="en-GB"/>
        </w:rPr>
        <w:t xml:space="preserve"> efforts, </w:t>
      </w:r>
      <w:r w:rsidR="007816C1" w:rsidRPr="00377522">
        <w:rPr>
          <w:rStyle w:val="None"/>
          <w:rFonts w:ascii="Times New Roman" w:hAnsi="Times New Roman"/>
          <w:noProof/>
          <w:sz w:val="24"/>
          <w:szCs w:val="24"/>
          <w:lang w:val="en-GB"/>
        </w:rPr>
        <w:t xml:space="preserve">a </w:t>
      </w:r>
      <w:r w:rsidR="007816C1" w:rsidRPr="00377522">
        <w:rPr>
          <w:rStyle w:val="None"/>
          <w:rFonts w:ascii="Times New Roman" w:hAnsi="Times New Roman"/>
          <w:b/>
          <w:bCs/>
          <w:noProof/>
          <w:sz w:val="24"/>
          <w:szCs w:val="24"/>
          <w:lang w:val="en-GB"/>
        </w:rPr>
        <w:t>new approach to identify and support local grid projects</w:t>
      </w:r>
      <w:r w:rsidR="00BF4CEE" w:rsidRPr="00377522">
        <w:rPr>
          <w:rStyle w:val="None"/>
          <w:rFonts w:ascii="Times New Roman" w:hAnsi="Times New Roman"/>
          <w:noProof/>
          <w:sz w:val="24"/>
          <w:szCs w:val="24"/>
          <w:lang w:val="en-GB"/>
        </w:rPr>
        <w:t xml:space="preserve"> appear</w:t>
      </w:r>
      <w:r w:rsidR="00134212">
        <w:rPr>
          <w:rStyle w:val="None"/>
          <w:rFonts w:ascii="Times New Roman" w:hAnsi="Times New Roman"/>
          <w:noProof/>
          <w:sz w:val="24"/>
          <w:szCs w:val="24"/>
          <w:lang w:val="en-GB"/>
        </w:rPr>
        <w:t>s</w:t>
      </w:r>
      <w:r w:rsidR="007816C1" w:rsidRPr="00377522">
        <w:rPr>
          <w:rStyle w:val="None"/>
          <w:rFonts w:ascii="Times New Roman" w:hAnsi="Times New Roman"/>
          <w:noProof/>
          <w:sz w:val="24"/>
          <w:szCs w:val="24"/>
          <w:lang w:val="en-GB"/>
        </w:rPr>
        <w:t xml:space="preserve"> necessary</w:t>
      </w:r>
      <w:r w:rsidR="00BF4CEE" w:rsidRPr="00377522">
        <w:rPr>
          <w:rStyle w:val="None"/>
          <w:rFonts w:ascii="Times New Roman" w:hAnsi="Times New Roman"/>
          <w:noProof/>
          <w:sz w:val="24"/>
          <w:szCs w:val="24"/>
          <w:lang w:val="en-GB"/>
        </w:rPr>
        <w:t xml:space="preserve"> to prevent gaps in the future.</w:t>
      </w:r>
    </w:p>
    <w:p w14:paraId="4941CAF1" w14:textId="3AC4A7BC" w:rsidR="00766D5D" w:rsidRPr="00AA1EED" w:rsidRDefault="00147117" w:rsidP="00892DAC">
      <w:pPr>
        <w:pStyle w:val="Heading2"/>
        <w:rPr>
          <w:noProof/>
          <w:lang w:val="en-GB"/>
        </w:rPr>
      </w:pPr>
      <w:bookmarkStart w:id="5" w:name="_Hlk151469771"/>
      <w:r w:rsidRPr="00AA1EED">
        <w:rPr>
          <w:noProof/>
          <w:lang w:val="en-GB"/>
        </w:rPr>
        <w:t>Action 1:</w:t>
      </w:r>
      <w:bookmarkEnd w:id="3"/>
      <w:r w:rsidRPr="00AA1EED">
        <w:rPr>
          <w:noProof/>
          <w:lang w:val="en-GB"/>
        </w:rPr>
        <w:t xml:space="preserve"> </w:t>
      </w:r>
      <w:bookmarkStart w:id="6" w:name="_Hlk148681728"/>
      <w:r w:rsidRPr="00AA1EED">
        <w:rPr>
          <w:noProof/>
          <w:lang w:val="en-GB"/>
        </w:rPr>
        <w:t xml:space="preserve">Commission, Member States and </w:t>
      </w:r>
      <w:r w:rsidR="00A25036" w:rsidRPr="00AA1EED">
        <w:rPr>
          <w:noProof/>
          <w:lang w:val="en-GB"/>
        </w:rPr>
        <w:t>Transmission System Operators (</w:t>
      </w:r>
      <w:r w:rsidRPr="00AA1EED">
        <w:rPr>
          <w:noProof/>
          <w:lang w:val="en-GB"/>
        </w:rPr>
        <w:t>TSOs</w:t>
      </w:r>
      <w:r w:rsidR="00A25036" w:rsidRPr="00AA1EED">
        <w:rPr>
          <w:noProof/>
          <w:lang w:val="en-GB"/>
        </w:rPr>
        <w:t>)</w:t>
      </w:r>
      <w:r w:rsidRPr="00AA1EED">
        <w:rPr>
          <w:noProof/>
          <w:lang w:val="en-GB"/>
        </w:rPr>
        <w:t xml:space="preserve"> to strengthen </w:t>
      </w:r>
      <w:r w:rsidR="00690558" w:rsidRPr="00AA1EED">
        <w:rPr>
          <w:noProof/>
          <w:lang w:val="en-GB"/>
        </w:rPr>
        <w:t>support</w:t>
      </w:r>
      <w:r w:rsidR="007816C1" w:rsidRPr="00AA1EED">
        <w:rPr>
          <w:noProof/>
          <w:lang w:val="en-GB"/>
        </w:rPr>
        <w:t xml:space="preserve"> </w:t>
      </w:r>
      <w:r w:rsidR="00AA1EED" w:rsidRPr="00AA1EED">
        <w:rPr>
          <w:noProof/>
          <w:lang w:val="en-GB"/>
        </w:rPr>
        <w:t>to</w:t>
      </w:r>
      <w:r w:rsidRPr="00AA1EED">
        <w:rPr>
          <w:noProof/>
          <w:lang w:val="en-GB"/>
        </w:rPr>
        <w:t xml:space="preserve"> PCI </w:t>
      </w:r>
      <w:r w:rsidR="00BA743F" w:rsidRPr="00AA1EED">
        <w:rPr>
          <w:noProof/>
          <w:lang w:val="en-GB"/>
        </w:rPr>
        <w:t xml:space="preserve">and PMI </w:t>
      </w:r>
      <w:r w:rsidR="007816C1" w:rsidRPr="00AA1EED">
        <w:rPr>
          <w:noProof/>
          <w:lang w:val="en-GB"/>
        </w:rPr>
        <w:t xml:space="preserve">preparation, faster implementation </w:t>
      </w:r>
      <w:r w:rsidR="00E148D5" w:rsidRPr="00AA1EED">
        <w:rPr>
          <w:noProof/>
          <w:lang w:val="en-GB"/>
        </w:rPr>
        <w:t>and funding</w:t>
      </w:r>
      <w:bookmarkEnd w:id="4"/>
      <w:bookmarkEnd w:id="6"/>
    </w:p>
    <w:bookmarkEnd w:id="5"/>
    <w:p w14:paraId="79AE2F07" w14:textId="470BCB3B" w:rsidR="00F759F7" w:rsidRPr="00AA1EED" w:rsidRDefault="00CE5AAB" w:rsidP="00CE5AAB">
      <w:pPr>
        <w:pStyle w:val="BodyA"/>
        <w:spacing w:after="120"/>
        <w:rPr>
          <w:rFonts w:cs="Times New Roman"/>
          <w:noProof/>
          <w:lang w:val="en-GB"/>
        </w:rPr>
      </w:pPr>
      <w:r w:rsidRPr="00AA1EED">
        <w:rPr>
          <w:noProof/>
          <w:lang w:val="en-GB"/>
        </w:rPr>
        <w:t>To accelerate</w:t>
      </w:r>
      <w:r w:rsidR="0074692D" w:rsidRPr="00377522">
        <w:rPr>
          <w:noProof/>
          <w:lang w:val="en-GB"/>
        </w:rPr>
        <w:t xml:space="preserve"> the</w:t>
      </w:r>
      <w:r w:rsidR="000735AE" w:rsidRPr="00377522">
        <w:rPr>
          <w:noProof/>
          <w:lang w:val="en-GB"/>
        </w:rPr>
        <w:t xml:space="preserve"> </w:t>
      </w:r>
      <w:r w:rsidRPr="00377522">
        <w:rPr>
          <w:noProof/>
          <w:lang w:val="en-GB"/>
        </w:rPr>
        <w:t>completion</w:t>
      </w:r>
      <w:r w:rsidR="000735AE" w:rsidRPr="00377522">
        <w:rPr>
          <w:noProof/>
          <w:lang w:val="en-GB"/>
        </w:rPr>
        <w:t xml:space="preserve"> of</w:t>
      </w:r>
      <w:r w:rsidR="0074692D" w:rsidRPr="00377522">
        <w:rPr>
          <w:noProof/>
          <w:lang w:val="en-GB"/>
        </w:rPr>
        <w:t xml:space="preserve"> PCIs on the Union list</w:t>
      </w:r>
      <w:r w:rsidR="00E148D5" w:rsidRPr="00AA1EED">
        <w:rPr>
          <w:noProof/>
          <w:lang w:val="en-GB"/>
        </w:rPr>
        <w:t>,</w:t>
      </w:r>
      <w:r w:rsidR="0074692D" w:rsidRPr="00377522">
        <w:rPr>
          <w:noProof/>
          <w:lang w:val="en-GB"/>
        </w:rPr>
        <w:t xml:space="preserve"> </w:t>
      </w:r>
      <w:r w:rsidR="00F759F7" w:rsidRPr="00AA1EED">
        <w:rPr>
          <w:rFonts w:cs="Times New Roman"/>
          <w:noProof/>
          <w:lang w:val="en-GB"/>
        </w:rPr>
        <w:t xml:space="preserve">the </w:t>
      </w:r>
      <w:r w:rsidR="000735AE" w:rsidRPr="00AA1EED">
        <w:rPr>
          <w:noProof/>
          <w:lang w:val="en-GB"/>
        </w:rPr>
        <w:t xml:space="preserve">Commission, Member States and project </w:t>
      </w:r>
      <w:r w:rsidR="000735AE" w:rsidRPr="00AA1EED">
        <w:rPr>
          <w:rFonts w:cs="Times New Roman"/>
          <w:noProof/>
          <w:lang w:val="en-GB"/>
        </w:rPr>
        <w:t xml:space="preserve">promoters </w:t>
      </w:r>
      <w:r w:rsidR="00F759F7" w:rsidRPr="00AA1EED">
        <w:rPr>
          <w:rFonts w:cs="Times New Roman"/>
          <w:noProof/>
          <w:lang w:val="en-GB"/>
        </w:rPr>
        <w:t>will</w:t>
      </w:r>
      <w:r w:rsidR="000735AE" w:rsidRPr="00AA1EED">
        <w:rPr>
          <w:rFonts w:cs="Times New Roman"/>
          <w:noProof/>
          <w:lang w:val="en-GB"/>
        </w:rPr>
        <w:t xml:space="preserve"> </w:t>
      </w:r>
      <w:r w:rsidR="00C24E30" w:rsidRPr="00377522">
        <w:rPr>
          <w:rFonts w:cs="Times New Roman"/>
          <w:b/>
          <w:noProof/>
          <w:lang w:val="en-GB"/>
        </w:rPr>
        <w:t>prioritise the implementation of</w:t>
      </w:r>
      <w:r w:rsidR="000735AE" w:rsidRPr="00377522">
        <w:rPr>
          <w:rFonts w:cs="Times New Roman"/>
          <w:b/>
          <w:noProof/>
          <w:lang w:val="en-GB"/>
        </w:rPr>
        <w:t xml:space="preserve"> PCIs</w:t>
      </w:r>
      <w:r w:rsidR="00E15FBD" w:rsidRPr="00377522">
        <w:rPr>
          <w:rFonts w:cs="Times New Roman"/>
          <w:b/>
          <w:noProof/>
          <w:lang w:val="en-GB"/>
        </w:rPr>
        <w:t xml:space="preserve"> and PMIs</w:t>
      </w:r>
      <w:r w:rsidR="007816C1" w:rsidRPr="00377522">
        <w:rPr>
          <w:rFonts w:cs="Times New Roman"/>
          <w:b/>
          <w:noProof/>
          <w:lang w:val="en-GB"/>
        </w:rPr>
        <w:t xml:space="preserve"> already identified</w:t>
      </w:r>
      <w:r w:rsidR="000735AE" w:rsidRPr="00AA1EED">
        <w:rPr>
          <w:rFonts w:cs="Times New Roman"/>
          <w:noProof/>
          <w:lang w:val="en-GB"/>
        </w:rPr>
        <w:t>.</w:t>
      </w:r>
      <w:r w:rsidR="008245E0" w:rsidRPr="00AA1EED">
        <w:rPr>
          <w:rFonts w:cs="Times New Roman"/>
          <w:noProof/>
          <w:lang w:val="en-GB"/>
        </w:rPr>
        <w:t xml:space="preserve"> </w:t>
      </w:r>
      <w:r w:rsidR="002A4A3D">
        <w:rPr>
          <w:rFonts w:cs="Times New Roman"/>
          <w:noProof/>
          <w:lang w:val="en-GB"/>
        </w:rPr>
        <w:t xml:space="preserve">Moreover, the </w:t>
      </w:r>
      <w:r w:rsidR="00E42733">
        <w:rPr>
          <w:rFonts w:cs="Times New Roman"/>
          <w:noProof/>
          <w:lang w:val="en-GB"/>
        </w:rPr>
        <w:t>development</w:t>
      </w:r>
      <w:r w:rsidR="002A4A3D" w:rsidRPr="00685859">
        <w:rPr>
          <w:rFonts w:cs="Times New Roman"/>
          <w:b/>
          <w:bCs/>
          <w:noProof/>
          <w:lang w:val="en-GB"/>
        </w:rPr>
        <w:t xml:space="preserve"> of new priority projects</w:t>
      </w:r>
      <w:r w:rsidR="002A4A3D">
        <w:rPr>
          <w:rFonts w:cs="Times New Roman"/>
          <w:noProof/>
          <w:lang w:val="en-GB"/>
        </w:rPr>
        <w:t xml:space="preserve"> need to be promoted.</w:t>
      </w:r>
    </w:p>
    <w:p w14:paraId="2B1B707E" w14:textId="2A8066FC" w:rsidR="00766D5D" w:rsidRPr="00377522" w:rsidRDefault="005D196C" w:rsidP="00377522">
      <w:pPr>
        <w:pStyle w:val="ListParagraph"/>
        <w:numPr>
          <w:ilvl w:val="0"/>
          <w:numId w:val="18"/>
        </w:numPr>
        <w:spacing w:after="120" w:line="240" w:lineRule="auto"/>
        <w:ind w:left="714" w:hanging="357"/>
        <w:jc w:val="both"/>
        <w:rPr>
          <w:rFonts w:ascii="Times New Roman" w:hAnsi="Times New Roman" w:cs="Times New Roman"/>
          <w:noProof/>
          <w:sz w:val="24"/>
          <w:szCs w:val="24"/>
          <w:lang w:val="en-GB"/>
        </w:rPr>
      </w:pPr>
      <w:r w:rsidRPr="00377522">
        <w:rPr>
          <w:rFonts w:ascii="Times New Roman" w:hAnsi="Times New Roman" w:cs="Times New Roman"/>
          <w:noProof/>
          <w:sz w:val="24"/>
          <w:szCs w:val="24"/>
          <w:lang w:val="en-GB"/>
        </w:rPr>
        <w:t>Based on</w:t>
      </w:r>
      <w:r w:rsidR="008245E0" w:rsidRPr="00377522">
        <w:rPr>
          <w:rFonts w:ascii="Times New Roman" w:hAnsi="Times New Roman" w:cs="Times New Roman"/>
          <w:noProof/>
          <w:sz w:val="24"/>
          <w:szCs w:val="24"/>
          <w:lang w:val="en-GB"/>
        </w:rPr>
        <w:t xml:space="preserve"> </w:t>
      </w:r>
      <w:r w:rsidR="00147117" w:rsidRPr="00377522">
        <w:rPr>
          <w:rFonts w:ascii="Times New Roman" w:hAnsi="Times New Roman" w:cs="Times New Roman"/>
          <w:noProof/>
          <w:sz w:val="24"/>
          <w:szCs w:val="24"/>
          <w:lang w:val="en-GB"/>
        </w:rPr>
        <w:t>reinforc</w:t>
      </w:r>
      <w:r w:rsidR="009528A0" w:rsidRPr="00377522">
        <w:rPr>
          <w:rFonts w:ascii="Times New Roman" w:hAnsi="Times New Roman" w:cs="Times New Roman"/>
          <w:noProof/>
          <w:sz w:val="24"/>
          <w:szCs w:val="24"/>
          <w:lang w:val="en-GB"/>
        </w:rPr>
        <w:t>ed</w:t>
      </w:r>
      <w:r w:rsidR="00147117" w:rsidRPr="00377522">
        <w:rPr>
          <w:rFonts w:ascii="Times New Roman" w:hAnsi="Times New Roman" w:cs="Times New Roman"/>
          <w:noProof/>
          <w:sz w:val="24"/>
          <w:szCs w:val="24"/>
          <w:lang w:val="en-GB"/>
        </w:rPr>
        <w:t xml:space="preserve"> monitoring </w:t>
      </w:r>
      <w:r w:rsidR="009528A0" w:rsidRPr="00377522">
        <w:rPr>
          <w:rFonts w:ascii="Times New Roman" w:hAnsi="Times New Roman" w:cs="Times New Roman"/>
          <w:noProof/>
          <w:sz w:val="24"/>
          <w:szCs w:val="24"/>
          <w:lang w:val="en-GB"/>
        </w:rPr>
        <w:t xml:space="preserve">of project implementation, </w:t>
      </w:r>
      <w:r w:rsidR="00147117" w:rsidRPr="00377522">
        <w:rPr>
          <w:rFonts w:ascii="Times New Roman" w:hAnsi="Times New Roman" w:cs="Times New Roman"/>
          <w:noProof/>
          <w:sz w:val="24"/>
          <w:szCs w:val="24"/>
          <w:lang w:val="en-GB"/>
        </w:rPr>
        <w:t xml:space="preserve">project promoters </w:t>
      </w:r>
      <w:r w:rsidR="008059E5" w:rsidRPr="00377522">
        <w:rPr>
          <w:rFonts w:ascii="Times New Roman" w:hAnsi="Times New Roman" w:cs="Times New Roman"/>
          <w:noProof/>
          <w:sz w:val="24"/>
          <w:szCs w:val="24"/>
          <w:lang w:val="en-GB"/>
        </w:rPr>
        <w:t>should</w:t>
      </w:r>
      <w:r w:rsidR="009528A0" w:rsidRPr="00377522">
        <w:rPr>
          <w:rFonts w:ascii="Times New Roman" w:hAnsi="Times New Roman" w:cs="Times New Roman"/>
          <w:noProof/>
          <w:sz w:val="24"/>
          <w:szCs w:val="24"/>
          <w:lang w:val="en-GB"/>
        </w:rPr>
        <w:t xml:space="preserve"> </w:t>
      </w:r>
      <w:r w:rsidR="001F03A0" w:rsidRPr="00377522">
        <w:rPr>
          <w:rFonts w:ascii="Times New Roman" w:hAnsi="Times New Roman" w:cs="Times New Roman"/>
          <w:noProof/>
          <w:sz w:val="24"/>
          <w:szCs w:val="24"/>
          <w:lang w:val="en-GB"/>
        </w:rPr>
        <w:t xml:space="preserve">update </w:t>
      </w:r>
      <w:r w:rsidR="00147117" w:rsidRPr="00377522">
        <w:rPr>
          <w:rFonts w:ascii="Times New Roman" w:hAnsi="Times New Roman" w:cs="Times New Roman"/>
          <w:noProof/>
          <w:sz w:val="24"/>
          <w:szCs w:val="24"/>
          <w:lang w:val="en-GB"/>
        </w:rPr>
        <w:t>Member States</w:t>
      </w:r>
      <w:r w:rsidR="001F03A0" w:rsidRPr="00377522">
        <w:rPr>
          <w:rFonts w:ascii="Times New Roman" w:hAnsi="Times New Roman" w:cs="Times New Roman"/>
          <w:noProof/>
          <w:sz w:val="24"/>
          <w:szCs w:val="24"/>
          <w:lang w:val="en-GB"/>
        </w:rPr>
        <w:t xml:space="preserve"> and the Commission </w:t>
      </w:r>
      <w:r w:rsidR="005C2F86" w:rsidRPr="00377522">
        <w:rPr>
          <w:rFonts w:ascii="Times New Roman" w:hAnsi="Times New Roman" w:cs="Times New Roman"/>
          <w:noProof/>
          <w:sz w:val="24"/>
          <w:szCs w:val="24"/>
          <w:lang w:val="en-GB"/>
        </w:rPr>
        <w:t>on progress and identify issues to be solved</w:t>
      </w:r>
      <w:r w:rsidR="00CE5AAB" w:rsidRPr="00377522">
        <w:rPr>
          <w:rFonts w:ascii="Times New Roman" w:hAnsi="Times New Roman" w:cs="Times New Roman"/>
          <w:noProof/>
          <w:sz w:val="24"/>
          <w:szCs w:val="24"/>
          <w:lang w:val="en-GB"/>
        </w:rPr>
        <w:t>, including on permitting</w:t>
      </w:r>
      <w:r w:rsidR="007C504D" w:rsidRPr="00377522">
        <w:rPr>
          <w:rFonts w:ascii="Times New Roman" w:hAnsi="Times New Roman" w:cs="Times New Roman"/>
          <w:noProof/>
          <w:sz w:val="24"/>
          <w:szCs w:val="24"/>
          <w:lang w:val="en-GB"/>
        </w:rPr>
        <w:t xml:space="preserve">. </w:t>
      </w:r>
      <w:r w:rsidR="009752FB" w:rsidRPr="00377522">
        <w:rPr>
          <w:rFonts w:ascii="Times New Roman" w:hAnsi="Times New Roman" w:cs="Times New Roman"/>
          <w:noProof/>
          <w:sz w:val="24"/>
          <w:szCs w:val="24"/>
          <w:lang w:val="en-GB"/>
        </w:rPr>
        <w:t>For that purpose, e</w:t>
      </w:r>
      <w:r w:rsidR="00147117" w:rsidRPr="00377522">
        <w:rPr>
          <w:rFonts w:ascii="Times New Roman" w:hAnsi="Times New Roman" w:cs="Times New Roman"/>
          <w:noProof/>
          <w:sz w:val="24"/>
          <w:szCs w:val="24"/>
          <w:lang w:val="en-GB"/>
        </w:rPr>
        <w:t xml:space="preserve">ach </w:t>
      </w:r>
      <w:r w:rsidR="007816C1" w:rsidRPr="00377522">
        <w:rPr>
          <w:rFonts w:ascii="Times New Roman" w:hAnsi="Times New Roman" w:cs="Times New Roman"/>
          <w:noProof/>
          <w:sz w:val="24"/>
          <w:szCs w:val="24"/>
          <w:lang w:val="en-GB"/>
        </w:rPr>
        <w:t xml:space="preserve">of the existing </w:t>
      </w:r>
      <w:r w:rsidR="00147117" w:rsidRPr="00377522">
        <w:rPr>
          <w:rFonts w:ascii="Times New Roman" w:hAnsi="Times New Roman" w:cs="Times New Roman"/>
          <w:noProof/>
          <w:sz w:val="24"/>
          <w:szCs w:val="24"/>
          <w:lang w:val="en-GB"/>
        </w:rPr>
        <w:t>High-</w:t>
      </w:r>
      <w:r w:rsidR="00825878" w:rsidRPr="00377522">
        <w:rPr>
          <w:rFonts w:ascii="Times New Roman" w:hAnsi="Times New Roman" w:cs="Times New Roman"/>
          <w:noProof/>
          <w:sz w:val="24"/>
          <w:szCs w:val="24"/>
          <w:lang w:val="en-GB"/>
        </w:rPr>
        <w:t>L</w:t>
      </w:r>
      <w:r w:rsidR="00147117" w:rsidRPr="00377522">
        <w:rPr>
          <w:rFonts w:ascii="Times New Roman" w:hAnsi="Times New Roman" w:cs="Times New Roman"/>
          <w:noProof/>
          <w:sz w:val="24"/>
          <w:szCs w:val="24"/>
          <w:lang w:val="en-GB"/>
        </w:rPr>
        <w:t>evel Group</w:t>
      </w:r>
      <w:r w:rsidR="00745E84" w:rsidRPr="00377522">
        <w:rPr>
          <w:rFonts w:ascii="Times New Roman" w:hAnsi="Times New Roman" w:cs="Times New Roman"/>
          <w:noProof/>
          <w:sz w:val="24"/>
          <w:szCs w:val="24"/>
          <w:lang w:val="en-GB"/>
        </w:rPr>
        <w:t>s</w:t>
      </w:r>
      <w:r w:rsidR="00B220E5" w:rsidRPr="00377522">
        <w:rPr>
          <w:rFonts w:ascii="Times New Roman" w:hAnsi="Times New Roman" w:cs="Times New Roman"/>
          <w:noProof/>
          <w:sz w:val="24"/>
          <w:szCs w:val="24"/>
          <w:lang w:val="en-GB"/>
        </w:rPr>
        <w:t xml:space="preserve"> </w:t>
      </w:r>
      <w:r w:rsidR="008059E5" w:rsidRPr="00377522">
        <w:rPr>
          <w:rFonts w:ascii="Times New Roman" w:hAnsi="Times New Roman" w:cs="Times New Roman"/>
          <w:noProof/>
          <w:sz w:val="24"/>
          <w:szCs w:val="24"/>
          <w:lang w:val="en-GB"/>
        </w:rPr>
        <w:t>should</w:t>
      </w:r>
      <w:r w:rsidR="00B220E5" w:rsidRPr="00377522">
        <w:rPr>
          <w:rFonts w:ascii="Times New Roman" w:hAnsi="Times New Roman" w:cs="Times New Roman"/>
          <w:noProof/>
          <w:sz w:val="24"/>
          <w:szCs w:val="24"/>
          <w:lang w:val="en-GB"/>
        </w:rPr>
        <w:t xml:space="preserve"> closely follow priority projects</w:t>
      </w:r>
      <w:r w:rsidR="005128C5" w:rsidRPr="00377522">
        <w:rPr>
          <w:rFonts w:ascii="Times New Roman" w:hAnsi="Times New Roman" w:cs="Times New Roman"/>
          <w:noProof/>
          <w:sz w:val="24"/>
          <w:szCs w:val="24"/>
          <w:lang w:val="en-GB"/>
        </w:rPr>
        <w:t xml:space="preserve">, </w:t>
      </w:r>
      <w:r w:rsidR="00B220E5" w:rsidRPr="00377522">
        <w:rPr>
          <w:rFonts w:ascii="Times New Roman" w:hAnsi="Times New Roman" w:cs="Times New Roman"/>
          <w:noProof/>
          <w:sz w:val="24"/>
          <w:szCs w:val="24"/>
          <w:lang w:val="en-GB"/>
        </w:rPr>
        <w:t>including through</w:t>
      </w:r>
      <w:r w:rsidR="00147117" w:rsidRPr="00377522">
        <w:rPr>
          <w:rFonts w:ascii="Times New Roman" w:hAnsi="Times New Roman" w:cs="Times New Roman"/>
          <w:noProof/>
          <w:sz w:val="24"/>
          <w:szCs w:val="24"/>
          <w:lang w:val="en-GB"/>
        </w:rPr>
        <w:t xml:space="preserve"> annual ministerial meetings </w:t>
      </w:r>
      <w:r w:rsidR="007816C1" w:rsidRPr="00377522">
        <w:rPr>
          <w:rFonts w:ascii="Times New Roman" w:hAnsi="Times New Roman" w:cs="Times New Roman"/>
          <w:noProof/>
          <w:sz w:val="24"/>
          <w:szCs w:val="24"/>
          <w:lang w:val="en-GB"/>
        </w:rPr>
        <w:t>to ensure</w:t>
      </w:r>
      <w:r w:rsidR="00690558" w:rsidRPr="00377522">
        <w:rPr>
          <w:rFonts w:ascii="Times New Roman" w:hAnsi="Times New Roman" w:cs="Times New Roman"/>
          <w:noProof/>
          <w:sz w:val="24"/>
          <w:szCs w:val="24"/>
          <w:lang w:val="en-GB"/>
        </w:rPr>
        <w:t xml:space="preserve"> </w:t>
      </w:r>
      <w:r w:rsidR="00147117" w:rsidRPr="00377522">
        <w:rPr>
          <w:rFonts w:ascii="Times New Roman" w:hAnsi="Times New Roman" w:cs="Times New Roman"/>
          <w:noProof/>
          <w:sz w:val="24"/>
          <w:szCs w:val="24"/>
          <w:lang w:val="en-GB"/>
        </w:rPr>
        <w:t>political steer and close follow-up</w:t>
      </w:r>
      <w:r w:rsidR="00F71AAF" w:rsidRPr="00377522">
        <w:rPr>
          <w:rFonts w:ascii="Times New Roman" w:hAnsi="Times New Roman" w:cs="Times New Roman"/>
          <w:noProof/>
          <w:sz w:val="24"/>
          <w:szCs w:val="24"/>
          <w:lang w:val="en-GB"/>
        </w:rPr>
        <w:t xml:space="preserve"> </w:t>
      </w:r>
      <w:r w:rsidR="007816C1" w:rsidRPr="00377522">
        <w:rPr>
          <w:rFonts w:ascii="Times New Roman" w:hAnsi="Times New Roman" w:cs="Times New Roman"/>
          <w:noProof/>
          <w:sz w:val="24"/>
          <w:szCs w:val="24"/>
          <w:lang w:val="en-GB"/>
        </w:rPr>
        <w:t xml:space="preserve">of implementation progress </w:t>
      </w:r>
      <w:r w:rsidR="00F71AAF" w:rsidRPr="00377522">
        <w:rPr>
          <w:rFonts w:ascii="Times New Roman" w:hAnsi="Times New Roman" w:cs="Times New Roman"/>
          <w:noProof/>
          <w:sz w:val="24"/>
          <w:szCs w:val="24"/>
          <w:lang w:val="en-GB"/>
        </w:rPr>
        <w:t>with the involvement of partner countries, when relevant</w:t>
      </w:r>
      <w:r w:rsidR="00FB659C" w:rsidRPr="00377522">
        <w:rPr>
          <w:rFonts w:ascii="Times New Roman" w:hAnsi="Times New Roman" w:cs="Times New Roman"/>
          <w:noProof/>
          <w:sz w:val="24"/>
          <w:szCs w:val="24"/>
          <w:lang w:val="en-GB"/>
        </w:rPr>
        <w:t>. The High-Level Groups will also support</w:t>
      </w:r>
      <w:r w:rsidR="00D352A6" w:rsidRPr="00377522">
        <w:rPr>
          <w:rFonts w:ascii="Times New Roman" w:hAnsi="Times New Roman" w:cs="Times New Roman"/>
          <w:noProof/>
          <w:sz w:val="24"/>
          <w:szCs w:val="24"/>
          <w:lang w:val="en-GB"/>
        </w:rPr>
        <w:t xml:space="preserve"> the </w:t>
      </w:r>
      <w:r w:rsidR="00D352A6" w:rsidRPr="00377522">
        <w:rPr>
          <w:rFonts w:ascii="Times New Roman" w:hAnsi="Times New Roman" w:cs="Times New Roman"/>
          <w:b/>
          <w:noProof/>
          <w:sz w:val="24"/>
          <w:szCs w:val="24"/>
          <w:lang w:val="en-GB"/>
        </w:rPr>
        <w:t>identification of possible future priority projects</w:t>
      </w:r>
      <w:r w:rsidR="00147117" w:rsidRPr="00377522">
        <w:rPr>
          <w:rFonts w:ascii="Times New Roman" w:hAnsi="Times New Roman" w:cs="Times New Roman"/>
          <w:noProof/>
          <w:sz w:val="24"/>
          <w:szCs w:val="24"/>
          <w:lang w:val="en-GB"/>
        </w:rPr>
        <w:t>.</w:t>
      </w:r>
    </w:p>
    <w:p w14:paraId="513DC13F" w14:textId="54F5AB6A" w:rsidR="004A5233" w:rsidRPr="00AA1EED" w:rsidRDefault="00F759F7" w:rsidP="00377522">
      <w:pPr>
        <w:pStyle w:val="BodyA"/>
        <w:numPr>
          <w:ilvl w:val="0"/>
          <w:numId w:val="18"/>
        </w:numPr>
        <w:rPr>
          <w:noProof/>
          <w:lang w:val="en-GB"/>
        </w:rPr>
      </w:pPr>
      <w:r w:rsidRPr="00AA1EED">
        <w:rPr>
          <w:rFonts w:cs="Times New Roman"/>
          <w:noProof/>
          <w:lang w:val="en-GB"/>
        </w:rPr>
        <w:t xml:space="preserve">Looking forward, the </w:t>
      </w:r>
      <w:r w:rsidR="00147117" w:rsidRPr="00AA1EED">
        <w:rPr>
          <w:rFonts w:cs="Times New Roman"/>
          <w:noProof/>
          <w:lang w:val="en-GB"/>
        </w:rPr>
        <w:t xml:space="preserve">Commission </w:t>
      </w:r>
      <w:r w:rsidRPr="00AA1EED">
        <w:rPr>
          <w:rFonts w:cs="Times New Roman"/>
          <w:noProof/>
          <w:lang w:val="en-GB"/>
        </w:rPr>
        <w:t>will also</w:t>
      </w:r>
      <w:r w:rsidR="00147117" w:rsidRPr="00AA1EED">
        <w:rPr>
          <w:rFonts w:cs="Times New Roman"/>
          <w:noProof/>
          <w:lang w:val="en-GB"/>
        </w:rPr>
        <w:t xml:space="preserve"> assess </w:t>
      </w:r>
      <w:r w:rsidR="00AD2DC0" w:rsidRPr="00AA1EED">
        <w:rPr>
          <w:rFonts w:cs="Times New Roman"/>
          <w:noProof/>
          <w:lang w:val="en-GB"/>
        </w:rPr>
        <w:t xml:space="preserve">investment </w:t>
      </w:r>
      <w:r w:rsidR="00147117" w:rsidRPr="00AA1EED">
        <w:rPr>
          <w:rFonts w:cs="Times New Roman"/>
          <w:noProof/>
          <w:lang w:val="en-GB"/>
        </w:rPr>
        <w:t>needs for future public funding for infrastructure projects both at transmission and distribution</w:t>
      </w:r>
      <w:r w:rsidR="007816C1" w:rsidRPr="00AA1EED">
        <w:rPr>
          <w:rFonts w:cs="Times New Roman"/>
          <w:bCs/>
          <w:noProof/>
          <w:lang w:val="en-GB"/>
        </w:rPr>
        <w:t>,</w:t>
      </w:r>
      <w:r w:rsidR="007816C1" w:rsidRPr="00AA1EED">
        <w:rPr>
          <w:rFonts w:cs="Times New Roman"/>
          <w:noProof/>
          <w:lang w:val="en-GB"/>
        </w:rPr>
        <w:t xml:space="preserve"> </w:t>
      </w:r>
      <w:r w:rsidR="00C36A5C">
        <w:rPr>
          <w:rFonts w:cs="Times New Roman"/>
          <w:noProof/>
          <w:lang w:val="en-GB"/>
        </w:rPr>
        <w:t xml:space="preserve">covering also storage, </w:t>
      </w:r>
      <w:r w:rsidR="00E42733">
        <w:rPr>
          <w:rFonts w:cs="Times New Roman"/>
          <w:noProof/>
          <w:lang w:val="en-GB"/>
        </w:rPr>
        <w:t>hydrogen and</w:t>
      </w:r>
      <w:r w:rsidR="00C36A5C">
        <w:rPr>
          <w:rFonts w:cs="Times New Roman"/>
          <w:noProof/>
          <w:lang w:val="en-GB"/>
        </w:rPr>
        <w:t xml:space="preserve"> C</w:t>
      </w:r>
      <w:r w:rsidR="00E42733">
        <w:rPr>
          <w:rFonts w:cs="Times New Roman"/>
          <w:noProof/>
          <w:lang w:val="en-GB"/>
        </w:rPr>
        <w:t>O</w:t>
      </w:r>
      <w:r w:rsidR="00C36A5C" w:rsidRPr="00D935E1">
        <w:rPr>
          <w:rFonts w:cs="Times New Roman"/>
          <w:noProof/>
          <w:vertAlign w:val="subscript"/>
          <w:lang w:val="en-GB"/>
        </w:rPr>
        <w:t>2</w:t>
      </w:r>
      <w:r w:rsidR="00C36A5C">
        <w:rPr>
          <w:rFonts w:cs="Times New Roman"/>
          <w:noProof/>
          <w:lang w:val="en-GB"/>
        </w:rPr>
        <w:t xml:space="preserve"> </w:t>
      </w:r>
      <w:r w:rsidR="00E42733">
        <w:rPr>
          <w:rFonts w:cs="Times New Roman"/>
          <w:noProof/>
          <w:lang w:val="en-GB"/>
        </w:rPr>
        <w:t>infrastructure</w:t>
      </w:r>
      <w:r w:rsidR="007816C1" w:rsidRPr="00AA1EED">
        <w:rPr>
          <w:noProof/>
          <w:lang w:val="en-GB"/>
        </w:rPr>
        <w:t>.</w:t>
      </w:r>
      <w:r w:rsidR="007816C1" w:rsidRPr="00AA1EED">
        <w:rPr>
          <w:rFonts w:cs="Times New Roman"/>
          <w:noProof/>
          <w:lang w:val="en-GB"/>
        </w:rPr>
        <w:t xml:space="preserve"> </w:t>
      </w:r>
    </w:p>
    <w:p w14:paraId="06DBAC1A" w14:textId="5068BBCF" w:rsidR="00766D5D" w:rsidRPr="00AA1EED" w:rsidRDefault="00147117">
      <w:pPr>
        <w:pStyle w:val="ListParagraph"/>
        <w:keepNext/>
        <w:numPr>
          <w:ilvl w:val="0"/>
          <w:numId w:val="19"/>
        </w:numPr>
        <w:spacing w:before="480" w:after="160"/>
        <w:rPr>
          <w:rFonts w:ascii="Times New Roman" w:hAnsi="Times New Roman"/>
          <w:b/>
          <w:bCs/>
          <w:i/>
          <w:iCs/>
          <w:noProof/>
          <w:sz w:val="24"/>
          <w:szCs w:val="24"/>
          <w:lang w:val="en-GB"/>
        </w:rPr>
      </w:pPr>
      <w:bookmarkStart w:id="7" w:name="_Hlk151469776"/>
      <w:r w:rsidRPr="00AA1EED">
        <w:rPr>
          <w:rFonts w:ascii="Times New Roman" w:hAnsi="Times New Roman"/>
          <w:b/>
          <w:bCs/>
          <w:i/>
          <w:iCs/>
          <w:noProof/>
          <w:sz w:val="24"/>
          <w:szCs w:val="24"/>
          <w:u w:val="single"/>
          <w:lang w:val="en-GB"/>
        </w:rPr>
        <w:t xml:space="preserve">IMPROVING LONG-TERM GRID PLANNING FOR </w:t>
      </w:r>
      <w:r w:rsidR="004D35B5" w:rsidRPr="00AA1EED">
        <w:rPr>
          <w:rFonts w:ascii="Times New Roman" w:hAnsi="Times New Roman"/>
          <w:b/>
          <w:bCs/>
          <w:i/>
          <w:iCs/>
          <w:noProof/>
          <w:sz w:val="24"/>
          <w:szCs w:val="24"/>
          <w:u w:val="single"/>
          <w:lang w:val="en-GB"/>
        </w:rPr>
        <w:t xml:space="preserve">A HIGHER SHARE OF </w:t>
      </w:r>
      <w:r w:rsidRPr="00AA1EED">
        <w:rPr>
          <w:rFonts w:ascii="Times New Roman" w:hAnsi="Times New Roman"/>
          <w:b/>
          <w:bCs/>
          <w:i/>
          <w:iCs/>
          <w:noProof/>
          <w:sz w:val="24"/>
          <w:szCs w:val="24"/>
          <w:u w:val="single"/>
          <w:lang w:val="en-GB"/>
        </w:rPr>
        <w:t xml:space="preserve">RENEWABLES AND </w:t>
      </w:r>
      <w:r w:rsidR="004D35B5" w:rsidRPr="00AA1EED">
        <w:rPr>
          <w:rFonts w:ascii="Times New Roman" w:hAnsi="Times New Roman"/>
          <w:b/>
          <w:bCs/>
          <w:i/>
          <w:iCs/>
          <w:noProof/>
          <w:sz w:val="24"/>
          <w:szCs w:val="24"/>
          <w:u w:val="single"/>
          <w:lang w:val="en-GB"/>
        </w:rPr>
        <w:t xml:space="preserve">INCREASED </w:t>
      </w:r>
      <w:r w:rsidRPr="00AA1EED">
        <w:rPr>
          <w:rFonts w:ascii="Times New Roman" w:hAnsi="Times New Roman"/>
          <w:b/>
          <w:bCs/>
          <w:i/>
          <w:iCs/>
          <w:noProof/>
          <w:sz w:val="24"/>
          <w:szCs w:val="24"/>
          <w:u w:val="single"/>
          <w:lang w:val="en-GB"/>
        </w:rPr>
        <w:t>ELECTRIFI</w:t>
      </w:r>
      <w:r w:rsidR="004D35B5" w:rsidRPr="00AA1EED">
        <w:rPr>
          <w:rFonts w:ascii="Times New Roman" w:hAnsi="Times New Roman"/>
          <w:b/>
          <w:bCs/>
          <w:i/>
          <w:iCs/>
          <w:noProof/>
          <w:sz w:val="24"/>
          <w:szCs w:val="24"/>
          <w:u w:val="single"/>
          <w:lang w:val="en-GB"/>
        </w:rPr>
        <w:t>CATION</w:t>
      </w:r>
    </w:p>
    <w:bookmarkEnd w:id="7"/>
    <w:p w14:paraId="7734F2A9" w14:textId="0CFBE62C" w:rsidR="00BF4CEE" w:rsidRPr="00AA1EED" w:rsidRDefault="00BF4CEE" w:rsidP="0081332B">
      <w:pPr>
        <w:pStyle w:val="Body"/>
        <w:spacing w:after="120" w:line="240" w:lineRule="auto"/>
        <w:jc w:val="both"/>
        <w:rPr>
          <w:rFonts w:ascii="Times New Roman" w:hAnsi="Times New Roman"/>
          <w:noProof/>
          <w:sz w:val="24"/>
          <w:szCs w:val="24"/>
          <w:lang w:val="en-GB"/>
        </w:rPr>
      </w:pPr>
      <w:r w:rsidRPr="00AA1EED">
        <w:rPr>
          <w:rFonts w:ascii="Times New Roman" w:hAnsi="Times New Roman"/>
          <w:noProof/>
          <w:sz w:val="24"/>
          <w:szCs w:val="24"/>
          <w:lang w:val="en-GB"/>
        </w:rPr>
        <w:t xml:space="preserve">A rapidly changing energy landscape requires dynamic and comprehensive long-term </w:t>
      </w:r>
      <w:r w:rsidR="004845FE" w:rsidRPr="00AA1EED">
        <w:rPr>
          <w:rFonts w:ascii="Times New Roman" w:hAnsi="Times New Roman"/>
          <w:noProof/>
          <w:sz w:val="24"/>
          <w:szCs w:val="24"/>
          <w:lang w:val="en-GB"/>
        </w:rPr>
        <w:t xml:space="preserve">planning of the electricity transmission system </w:t>
      </w:r>
      <w:r w:rsidRPr="00AA1EED">
        <w:rPr>
          <w:rFonts w:ascii="Times New Roman" w:hAnsi="Times New Roman"/>
          <w:noProof/>
          <w:sz w:val="24"/>
          <w:szCs w:val="24"/>
          <w:lang w:val="en-GB"/>
        </w:rPr>
        <w:t xml:space="preserve">to </w:t>
      </w:r>
      <w:r w:rsidR="004845FE" w:rsidRPr="00AA1EED">
        <w:rPr>
          <w:rFonts w:ascii="Times New Roman" w:hAnsi="Times New Roman"/>
          <w:noProof/>
          <w:sz w:val="24"/>
          <w:szCs w:val="24"/>
          <w:lang w:val="en-GB"/>
        </w:rPr>
        <w:t xml:space="preserve">ensure </w:t>
      </w:r>
      <w:r w:rsidR="00134212">
        <w:rPr>
          <w:rFonts w:ascii="Times New Roman" w:hAnsi="Times New Roman"/>
          <w:noProof/>
          <w:sz w:val="24"/>
          <w:szCs w:val="24"/>
          <w:lang w:val="en-GB"/>
        </w:rPr>
        <w:t xml:space="preserve">the </w:t>
      </w:r>
      <w:r w:rsidR="004845FE" w:rsidRPr="00AA1EED">
        <w:rPr>
          <w:rFonts w:ascii="Times New Roman" w:hAnsi="Times New Roman"/>
          <w:noProof/>
          <w:sz w:val="24"/>
          <w:szCs w:val="24"/>
          <w:lang w:val="en-GB"/>
        </w:rPr>
        <w:t xml:space="preserve">integration of offshore and onshore assessments </w:t>
      </w:r>
      <w:r w:rsidR="00134212">
        <w:rPr>
          <w:rFonts w:ascii="Times New Roman" w:hAnsi="Times New Roman"/>
          <w:noProof/>
          <w:sz w:val="24"/>
          <w:szCs w:val="24"/>
          <w:lang w:val="en-GB"/>
        </w:rPr>
        <w:t>as well as</w:t>
      </w:r>
      <w:r w:rsidR="004845FE" w:rsidRPr="00AA1EED">
        <w:rPr>
          <w:rFonts w:ascii="Times New Roman" w:hAnsi="Times New Roman"/>
          <w:noProof/>
          <w:sz w:val="24"/>
          <w:szCs w:val="24"/>
          <w:lang w:val="en-GB"/>
        </w:rPr>
        <w:t xml:space="preserve"> across sectors</w:t>
      </w:r>
      <w:r w:rsidR="004845FE" w:rsidRPr="00377522">
        <w:rPr>
          <w:rStyle w:val="Hyperlink0"/>
          <w:rFonts w:ascii="Times New Roman" w:hAnsi="Times New Roman"/>
          <w:noProof/>
          <w:sz w:val="24"/>
          <w:szCs w:val="24"/>
          <w:u w:val="none"/>
          <w:lang w:val="en-GB"/>
        </w:rPr>
        <w:t xml:space="preserve"> </w:t>
      </w:r>
      <w:r w:rsidR="004845FE" w:rsidRPr="00377522">
        <w:rPr>
          <w:rStyle w:val="None"/>
          <w:rFonts w:ascii="Times New Roman" w:hAnsi="Times New Roman"/>
          <w:noProof/>
          <w:sz w:val="24"/>
          <w:szCs w:val="24"/>
          <w:lang w:val="en-GB"/>
        </w:rPr>
        <w:t xml:space="preserve">including hydrogen, </w:t>
      </w:r>
      <w:r w:rsidR="00ED57F7" w:rsidRPr="00377522">
        <w:rPr>
          <w:rStyle w:val="None"/>
          <w:rFonts w:ascii="Times New Roman" w:hAnsi="Times New Roman"/>
          <w:noProof/>
          <w:sz w:val="24"/>
          <w:szCs w:val="24"/>
          <w:lang w:val="en-GB"/>
        </w:rPr>
        <w:t>re</w:t>
      </w:r>
      <w:r w:rsidR="004845FE" w:rsidRPr="00377522">
        <w:rPr>
          <w:rStyle w:val="None"/>
          <w:rFonts w:ascii="Times New Roman" w:hAnsi="Times New Roman"/>
          <w:noProof/>
          <w:sz w:val="24"/>
          <w:szCs w:val="24"/>
          <w:lang w:val="en-GB"/>
        </w:rPr>
        <w:t>charging infrastructure</w:t>
      </w:r>
      <w:r w:rsidR="00A55D6C" w:rsidRPr="00377522">
        <w:rPr>
          <w:rStyle w:val="None"/>
          <w:rFonts w:ascii="Times New Roman" w:hAnsi="Times New Roman"/>
          <w:noProof/>
          <w:sz w:val="24"/>
          <w:szCs w:val="24"/>
          <w:lang w:val="en-GB"/>
        </w:rPr>
        <w:t xml:space="preserve"> for the transport sector</w:t>
      </w:r>
      <w:r w:rsidR="00641BFE" w:rsidRPr="00377522">
        <w:rPr>
          <w:rStyle w:val="None"/>
          <w:rFonts w:ascii="Times New Roman" w:hAnsi="Times New Roman"/>
          <w:noProof/>
          <w:sz w:val="24"/>
          <w:szCs w:val="24"/>
          <w:lang w:val="en-GB"/>
        </w:rPr>
        <w:t>,</w:t>
      </w:r>
      <w:r w:rsidR="004845FE" w:rsidRPr="00377522">
        <w:rPr>
          <w:rStyle w:val="None"/>
          <w:rFonts w:ascii="Times New Roman" w:hAnsi="Times New Roman"/>
          <w:noProof/>
          <w:sz w:val="24"/>
          <w:szCs w:val="24"/>
          <w:lang w:val="en-GB"/>
        </w:rPr>
        <w:t xml:space="preserve"> heating</w:t>
      </w:r>
      <w:r w:rsidR="00C475DE" w:rsidRPr="00377522">
        <w:rPr>
          <w:rStyle w:val="None"/>
          <w:rFonts w:ascii="Times New Roman" w:hAnsi="Times New Roman"/>
          <w:noProof/>
          <w:sz w:val="24"/>
          <w:szCs w:val="24"/>
          <w:lang w:val="en-GB"/>
        </w:rPr>
        <w:t xml:space="preserve"> and cooling</w:t>
      </w:r>
      <w:r w:rsidR="00E02A4C" w:rsidRPr="00377522">
        <w:rPr>
          <w:rStyle w:val="None"/>
          <w:rFonts w:ascii="Times New Roman" w:hAnsi="Times New Roman"/>
          <w:noProof/>
          <w:sz w:val="24"/>
          <w:szCs w:val="24"/>
          <w:lang w:val="en-GB"/>
        </w:rPr>
        <w:t>, carbon dioxide</w:t>
      </w:r>
      <w:r w:rsidR="002A4A3D">
        <w:rPr>
          <w:rStyle w:val="None"/>
          <w:rFonts w:ascii="Times New Roman" w:hAnsi="Times New Roman"/>
          <w:noProof/>
          <w:sz w:val="24"/>
          <w:szCs w:val="24"/>
          <w:lang w:val="en-GB"/>
        </w:rPr>
        <w:t>,</w:t>
      </w:r>
      <w:r w:rsidR="00E02A4C" w:rsidRPr="00377522">
        <w:rPr>
          <w:rStyle w:val="None"/>
          <w:rFonts w:ascii="Times New Roman" w:hAnsi="Times New Roman"/>
          <w:noProof/>
          <w:sz w:val="24"/>
          <w:szCs w:val="24"/>
          <w:lang w:val="en-GB"/>
        </w:rPr>
        <w:t xml:space="preserve"> electrified industrial processes</w:t>
      </w:r>
      <w:r w:rsidR="00C54EDE">
        <w:rPr>
          <w:rStyle w:val="None"/>
          <w:rFonts w:ascii="Times New Roman" w:hAnsi="Times New Roman"/>
          <w:noProof/>
          <w:sz w:val="24"/>
          <w:szCs w:val="24"/>
          <w:lang w:val="en-GB"/>
        </w:rPr>
        <w:t>,</w:t>
      </w:r>
      <w:r w:rsidR="002A4A3D">
        <w:rPr>
          <w:rStyle w:val="None"/>
          <w:rFonts w:ascii="Times New Roman" w:hAnsi="Times New Roman"/>
          <w:noProof/>
          <w:sz w:val="24"/>
          <w:szCs w:val="24"/>
          <w:lang w:val="en-GB"/>
        </w:rPr>
        <w:t xml:space="preserve"> and gas</w:t>
      </w:r>
      <w:r w:rsidR="004845FE" w:rsidRPr="00AA1EED">
        <w:rPr>
          <w:rFonts w:ascii="Times New Roman" w:hAnsi="Times New Roman"/>
          <w:noProof/>
          <w:sz w:val="24"/>
          <w:szCs w:val="24"/>
          <w:lang w:val="en-GB"/>
        </w:rPr>
        <w:t xml:space="preserve">. </w:t>
      </w:r>
    </w:p>
    <w:p w14:paraId="632AA7B9" w14:textId="36B9D112" w:rsidR="004845FE" w:rsidRDefault="00DB2025" w:rsidP="0081332B">
      <w:pPr>
        <w:pStyle w:val="Body"/>
        <w:spacing w:after="120" w:line="240" w:lineRule="auto"/>
        <w:jc w:val="both"/>
        <w:rPr>
          <w:rFonts w:ascii="Times New Roman" w:hAnsi="Times New Roman"/>
          <w:noProof/>
          <w:sz w:val="24"/>
          <w:szCs w:val="24"/>
          <w:lang w:val="en-GB"/>
        </w:rPr>
      </w:pPr>
      <w:r w:rsidRPr="00AA1EED">
        <w:rPr>
          <w:rFonts w:ascii="Times New Roman" w:hAnsi="Times New Roman"/>
          <w:noProof/>
          <w:sz w:val="24"/>
          <w:szCs w:val="24"/>
          <w:lang w:val="en-GB"/>
        </w:rPr>
        <w:t>There is also</w:t>
      </w:r>
      <w:r w:rsidR="008909BF" w:rsidRPr="00AA1EED">
        <w:rPr>
          <w:rFonts w:ascii="Times New Roman" w:hAnsi="Times New Roman"/>
          <w:noProof/>
          <w:sz w:val="24"/>
          <w:szCs w:val="24"/>
          <w:lang w:val="en-GB"/>
        </w:rPr>
        <w:t xml:space="preserve"> i</w:t>
      </w:r>
      <w:r w:rsidR="004845FE" w:rsidRPr="00AA1EED">
        <w:rPr>
          <w:rFonts w:ascii="Times New Roman" w:hAnsi="Times New Roman"/>
          <w:noProof/>
          <w:sz w:val="24"/>
          <w:szCs w:val="24"/>
          <w:lang w:val="en-GB"/>
        </w:rPr>
        <w:t xml:space="preserve">nsufficient long-term visibility of network needs, in particular at DSO level, where needs are growing. </w:t>
      </w:r>
      <w:r w:rsidR="008909BF" w:rsidRPr="00AA1EED">
        <w:rPr>
          <w:rFonts w:ascii="Times New Roman" w:hAnsi="Times New Roman"/>
          <w:noProof/>
          <w:sz w:val="24"/>
          <w:szCs w:val="24"/>
          <w:lang w:val="en-GB"/>
        </w:rPr>
        <w:t>In addition,</w:t>
      </w:r>
      <w:r w:rsidR="00CC37E8" w:rsidRPr="00AA1EED">
        <w:rPr>
          <w:rFonts w:ascii="Times New Roman" w:hAnsi="Times New Roman"/>
          <w:noProof/>
          <w:sz w:val="24"/>
          <w:szCs w:val="24"/>
          <w:lang w:val="en-GB"/>
        </w:rPr>
        <w:t xml:space="preserve"> a future-proof power grid requires</w:t>
      </w:r>
      <w:r w:rsidR="005C2567" w:rsidRPr="00AA1EED">
        <w:rPr>
          <w:rFonts w:ascii="Times New Roman" w:hAnsi="Times New Roman"/>
          <w:noProof/>
          <w:sz w:val="24"/>
          <w:szCs w:val="24"/>
          <w:lang w:val="en-GB"/>
        </w:rPr>
        <w:t xml:space="preserve"> </w:t>
      </w:r>
      <w:r w:rsidR="004845FE" w:rsidRPr="00AA1EED">
        <w:rPr>
          <w:rFonts w:ascii="Times New Roman" w:hAnsi="Times New Roman"/>
          <w:noProof/>
          <w:sz w:val="24"/>
          <w:szCs w:val="24"/>
          <w:lang w:val="en-GB"/>
        </w:rPr>
        <w:t xml:space="preserve">increased focus on coordination in network planning and data exchange between TSOs, DSOs, </w:t>
      </w:r>
      <w:r w:rsidR="00083BB9" w:rsidRPr="00AA1EED">
        <w:rPr>
          <w:rFonts w:ascii="Times New Roman" w:hAnsi="Times New Roman"/>
          <w:noProof/>
          <w:sz w:val="24"/>
          <w:szCs w:val="24"/>
          <w:lang w:val="en-GB"/>
        </w:rPr>
        <w:t xml:space="preserve">generators, </w:t>
      </w:r>
      <w:r w:rsidR="00977F72">
        <w:rPr>
          <w:rFonts w:ascii="Times New Roman" w:hAnsi="Times New Roman"/>
          <w:noProof/>
          <w:sz w:val="24"/>
          <w:szCs w:val="24"/>
          <w:lang w:val="en-GB"/>
        </w:rPr>
        <w:t xml:space="preserve">aggregators, </w:t>
      </w:r>
      <w:r w:rsidR="004845FE" w:rsidRPr="00AA1EED">
        <w:rPr>
          <w:rFonts w:ascii="Times New Roman" w:hAnsi="Times New Roman"/>
          <w:noProof/>
          <w:sz w:val="24"/>
          <w:szCs w:val="24"/>
          <w:lang w:val="en-GB"/>
        </w:rPr>
        <w:t>recharging point operators, hydrogen infrastructure operators and administrations driving heat pump rollout, for a common understanding of future network needs.</w:t>
      </w:r>
    </w:p>
    <w:p w14:paraId="7DA05B76" w14:textId="21F80004" w:rsidR="00B65C08" w:rsidRPr="00685859" w:rsidRDefault="003A6EAC" w:rsidP="00685859">
      <w:pPr>
        <w:pStyle w:val="Body"/>
        <w:spacing w:after="240" w:line="240" w:lineRule="auto"/>
        <w:jc w:val="both"/>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 xml:space="preserve">Beyond </w:t>
      </w:r>
      <w:r w:rsidR="00DB4D5F">
        <w:rPr>
          <w:rFonts w:ascii="Times New Roman" w:eastAsia="Times New Roman" w:hAnsi="Times New Roman" w:cs="Times New Roman"/>
          <w:noProof/>
          <w:sz w:val="24"/>
          <w:szCs w:val="24"/>
          <w:lang w:val="en-GB"/>
        </w:rPr>
        <w:t xml:space="preserve">the </w:t>
      </w:r>
      <w:r w:rsidR="00DB4D5F" w:rsidRPr="00685859">
        <w:rPr>
          <w:rFonts w:ascii="Times New Roman" w:eastAsia="Times New Roman" w:hAnsi="Times New Roman" w:cs="Times New Roman"/>
          <w:b/>
          <w:bCs/>
          <w:noProof/>
          <w:sz w:val="24"/>
          <w:szCs w:val="24"/>
          <w:lang w:val="en-GB"/>
        </w:rPr>
        <w:t>new loads</w:t>
      </w:r>
      <w:r w:rsidR="00DB4D5F">
        <w:rPr>
          <w:rFonts w:ascii="Times New Roman" w:eastAsia="Times New Roman" w:hAnsi="Times New Roman" w:cs="Times New Roman"/>
          <w:noProof/>
          <w:sz w:val="24"/>
          <w:szCs w:val="24"/>
          <w:lang w:val="en-GB"/>
        </w:rPr>
        <w:t xml:space="preserve"> </w:t>
      </w:r>
      <w:r>
        <w:rPr>
          <w:rFonts w:ascii="Times New Roman" w:eastAsia="Times New Roman" w:hAnsi="Times New Roman" w:cs="Times New Roman"/>
          <w:noProof/>
          <w:sz w:val="24"/>
          <w:szCs w:val="24"/>
          <w:lang w:val="en-GB"/>
        </w:rPr>
        <w:t xml:space="preserve">needed for </w:t>
      </w:r>
      <w:r w:rsidRPr="00746F36">
        <w:rPr>
          <w:rFonts w:ascii="Times New Roman" w:eastAsia="Times New Roman" w:hAnsi="Times New Roman" w:cs="Times New Roman"/>
          <w:b/>
          <w:bCs/>
          <w:noProof/>
          <w:sz w:val="24"/>
          <w:szCs w:val="24"/>
          <w:lang w:val="en-GB"/>
        </w:rPr>
        <w:t>electromobility</w:t>
      </w:r>
      <w:r>
        <w:rPr>
          <w:rFonts w:ascii="Times New Roman" w:eastAsia="Times New Roman" w:hAnsi="Times New Roman" w:cs="Times New Roman"/>
          <w:noProof/>
          <w:sz w:val="24"/>
          <w:szCs w:val="24"/>
          <w:lang w:val="en-GB"/>
        </w:rPr>
        <w:t>,</w:t>
      </w:r>
      <w:r w:rsidR="00DB4D5F">
        <w:rPr>
          <w:rFonts w:ascii="Times New Roman" w:eastAsia="Times New Roman" w:hAnsi="Times New Roman" w:cs="Times New Roman"/>
          <w:noProof/>
          <w:sz w:val="24"/>
          <w:szCs w:val="24"/>
          <w:lang w:val="en-GB"/>
        </w:rPr>
        <w:t xml:space="preserve"> the integration of </w:t>
      </w:r>
      <w:r w:rsidR="00DB4D5F" w:rsidRPr="00685859">
        <w:rPr>
          <w:rFonts w:ascii="Times New Roman" w:eastAsia="Times New Roman" w:hAnsi="Times New Roman" w:cs="Times New Roman"/>
          <w:b/>
          <w:bCs/>
          <w:noProof/>
          <w:sz w:val="24"/>
          <w:szCs w:val="24"/>
          <w:lang w:val="en-GB"/>
        </w:rPr>
        <w:t>smart and bidirectional recharging</w:t>
      </w:r>
      <w:r w:rsidRPr="00685859">
        <w:rPr>
          <w:rFonts w:ascii="Times New Roman" w:eastAsia="Times New Roman" w:hAnsi="Times New Roman" w:cs="Times New Roman"/>
          <w:noProof/>
          <w:sz w:val="24"/>
          <w:szCs w:val="24"/>
          <w:lang w:val="en-GB"/>
        </w:rPr>
        <w:t xml:space="preserve"> has </w:t>
      </w:r>
      <w:r>
        <w:rPr>
          <w:rFonts w:ascii="Times New Roman" w:eastAsia="Times New Roman" w:hAnsi="Times New Roman" w:cs="Times New Roman"/>
          <w:noProof/>
          <w:sz w:val="24"/>
          <w:szCs w:val="24"/>
          <w:lang w:val="en-GB"/>
        </w:rPr>
        <w:t>a substantial impact on the electricity grids</w:t>
      </w:r>
      <w:r w:rsidR="00B65C08">
        <w:rPr>
          <w:rFonts w:ascii="Times New Roman" w:eastAsia="Times New Roman" w:hAnsi="Times New Roman" w:cs="Times New Roman"/>
          <w:noProof/>
          <w:sz w:val="24"/>
          <w:szCs w:val="24"/>
          <w:lang w:val="en-GB"/>
        </w:rPr>
        <w:t xml:space="preserve">. </w:t>
      </w:r>
      <w:r w:rsidR="00DB4D5F">
        <w:rPr>
          <w:rFonts w:ascii="Times New Roman" w:eastAsia="Times New Roman" w:hAnsi="Times New Roman" w:cs="Times New Roman"/>
          <w:noProof/>
          <w:sz w:val="24"/>
          <w:szCs w:val="24"/>
          <w:lang w:val="en-GB"/>
        </w:rPr>
        <w:t xml:space="preserve">This requires the timely transposition of the </w:t>
      </w:r>
      <w:r w:rsidR="00DB4D5F" w:rsidRPr="00685859">
        <w:rPr>
          <w:rFonts w:ascii="Times New Roman" w:eastAsia="Times New Roman" w:hAnsi="Times New Roman" w:cs="Times New Roman"/>
          <w:b/>
          <w:bCs/>
          <w:noProof/>
          <w:sz w:val="24"/>
          <w:szCs w:val="24"/>
          <w:lang w:val="en-GB"/>
        </w:rPr>
        <w:t>revised RED</w:t>
      </w:r>
      <w:r w:rsidR="00DB4D5F">
        <w:rPr>
          <w:rFonts w:ascii="Times New Roman" w:eastAsia="Times New Roman" w:hAnsi="Times New Roman" w:cs="Times New Roman"/>
          <w:noProof/>
          <w:sz w:val="24"/>
          <w:szCs w:val="24"/>
          <w:lang w:val="en-GB"/>
        </w:rPr>
        <w:t xml:space="preserve">, the implementation of the </w:t>
      </w:r>
      <w:r w:rsidR="00DB4D5F" w:rsidRPr="00DB4D5F">
        <w:rPr>
          <w:rFonts w:ascii="Times New Roman" w:eastAsia="Times New Roman" w:hAnsi="Times New Roman" w:cs="Times New Roman"/>
          <w:noProof/>
          <w:sz w:val="24"/>
          <w:szCs w:val="24"/>
          <w:lang w:val="en-GB"/>
        </w:rPr>
        <w:t>recently adopted regulation on the deployment of alternative fuels infrastructure (‘</w:t>
      </w:r>
      <w:r w:rsidR="00DB4D5F" w:rsidRPr="00685859">
        <w:rPr>
          <w:rFonts w:ascii="Times New Roman" w:eastAsia="Times New Roman" w:hAnsi="Times New Roman" w:cs="Times New Roman"/>
          <w:b/>
          <w:bCs/>
          <w:noProof/>
          <w:sz w:val="24"/>
          <w:szCs w:val="24"/>
          <w:lang w:val="en-GB"/>
        </w:rPr>
        <w:t>AFIR’</w:t>
      </w:r>
      <w:r w:rsidR="00DB4D5F" w:rsidRPr="00DB4D5F">
        <w:rPr>
          <w:rFonts w:ascii="Times New Roman" w:eastAsia="Times New Roman" w:hAnsi="Times New Roman" w:cs="Times New Roman"/>
          <w:noProof/>
          <w:sz w:val="24"/>
          <w:szCs w:val="24"/>
          <w:lang w:val="en-GB"/>
        </w:rPr>
        <w:t>)</w:t>
      </w:r>
      <w:r w:rsidR="00DB4D5F">
        <w:rPr>
          <w:rFonts w:ascii="Times New Roman" w:eastAsia="Times New Roman" w:hAnsi="Times New Roman" w:cs="Times New Roman"/>
          <w:noProof/>
          <w:sz w:val="24"/>
          <w:szCs w:val="24"/>
          <w:lang w:val="en-GB"/>
        </w:rPr>
        <w:t xml:space="preserve"> and the adoption of a new </w:t>
      </w:r>
      <w:r w:rsidR="00DB4D5F" w:rsidRPr="00685859">
        <w:rPr>
          <w:rFonts w:ascii="Times New Roman" w:eastAsia="Times New Roman" w:hAnsi="Times New Roman" w:cs="Times New Roman"/>
          <w:b/>
          <w:bCs/>
          <w:noProof/>
          <w:sz w:val="24"/>
          <w:szCs w:val="24"/>
          <w:lang w:val="en-GB"/>
        </w:rPr>
        <w:t>network code on demand-side flexibility</w:t>
      </w:r>
      <w:r w:rsidR="00DB4D5F" w:rsidRPr="00685859">
        <w:rPr>
          <w:rStyle w:val="FootnoteReference"/>
          <w:rFonts w:ascii="Times New Roman" w:eastAsia="Times New Roman" w:hAnsi="Times New Roman" w:cs="Times New Roman"/>
          <w:noProof/>
          <w:sz w:val="24"/>
          <w:szCs w:val="24"/>
          <w:lang w:val="en-GB"/>
        </w:rPr>
        <w:footnoteReference w:id="21"/>
      </w:r>
      <w:r w:rsidR="00DB4D5F" w:rsidRPr="00DB4D5F">
        <w:rPr>
          <w:rFonts w:ascii="Times New Roman" w:eastAsia="Times New Roman" w:hAnsi="Times New Roman" w:cs="Times New Roman"/>
          <w:noProof/>
          <w:sz w:val="24"/>
          <w:szCs w:val="24"/>
          <w:lang w:val="en-GB"/>
        </w:rPr>
        <w:t>.</w:t>
      </w:r>
      <w:r w:rsidR="008A344A">
        <w:rPr>
          <w:rFonts w:ascii="Times New Roman" w:eastAsia="Times New Roman" w:hAnsi="Times New Roman" w:cs="Times New Roman"/>
          <w:noProof/>
          <w:sz w:val="24"/>
          <w:szCs w:val="24"/>
          <w:lang w:val="en-GB"/>
        </w:rPr>
        <w:t xml:space="preserve"> </w:t>
      </w:r>
      <w:r w:rsidR="00380716" w:rsidRPr="00380716">
        <w:rPr>
          <w:rFonts w:ascii="Times New Roman" w:eastAsia="Times New Roman" w:hAnsi="Times New Roman" w:cs="Times New Roman"/>
          <w:noProof/>
          <w:sz w:val="24"/>
          <w:szCs w:val="24"/>
          <w:lang w:val="en-GB"/>
        </w:rPr>
        <w:t>The Commission</w:t>
      </w:r>
      <w:r w:rsidR="00C75836">
        <w:rPr>
          <w:rFonts w:ascii="Times New Roman" w:eastAsia="Times New Roman" w:hAnsi="Times New Roman" w:cs="Times New Roman"/>
          <w:noProof/>
          <w:sz w:val="24"/>
          <w:szCs w:val="24"/>
          <w:lang w:val="en-GB"/>
        </w:rPr>
        <w:t xml:space="preserve">, </w:t>
      </w:r>
      <w:r w:rsidR="00244984">
        <w:rPr>
          <w:rFonts w:ascii="Times New Roman" w:eastAsia="Times New Roman" w:hAnsi="Times New Roman" w:cs="Times New Roman"/>
          <w:noProof/>
          <w:sz w:val="24"/>
          <w:szCs w:val="24"/>
          <w:lang w:val="en-GB"/>
        </w:rPr>
        <w:t xml:space="preserve">following consultation </w:t>
      </w:r>
      <w:r w:rsidR="00244984">
        <w:rPr>
          <w:rFonts w:ascii="Times New Roman" w:eastAsia="Times New Roman" w:hAnsi="Times New Roman" w:cs="Times New Roman"/>
          <w:noProof/>
          <w:sz w:val="24"/>
          <w:szCs w:val="24"/>
          <w:lang w:val="en-GB"/>
        </w:rPr>
        <w:lastRenderedPageBreak/>
        <w:t>with all relevant stakeholders</w:t>
      </w:r>
      <w:r w:rsidR="00244984">
        <w:rPr>
          <w:rStyle w:val="FootnoteReference"/>
          <w:rFonts w:ascii="Times New Roman" w:eastAsia="Times New Roman" w:hAnsi="Times New Roman" w:cs="Times New Roman"/>
          <w:noProof/>
          <w:sz w:val="24"/>
          <w:szCs w:val="24"/>
          <w:lang w:val="en-GB"/>
        </w:rPr>
        <w:footnoteReference w:id="22"/>
      </w:r>
      <w:r w:rsidR="00244984">
        <w:rPr>
          <w:rFonts w:ascii="Times New Roman" w:eastAsia="Times New Roman" w:hAnsi="Times New Roman" w:cs="Times New Roman"/>
          <w:noProof/>
          <w:sz w:val="24"/>
          <w:szCs w:val="24"/>
          <w:lang w:val="en-GB"/>
        </w:rPr>
        <w:t>,</w:t>
      </w:r>
      <w:r w:rsidR="00380716" w:rsidRPr="00380716">
        <w:rPr>
          <w:rFonts w:ascii="Times New Roman" w:eastAsia="Times New Roman" w:hAnsi="Times New Roman" w:cs="Times New Roman"/>
          <w:noProof/>
          <w:sz w:val="24"/>
          <w:szCs w:val="24"/>
          <w:lang w:val="en-GB"/>
        </w:rPr>
        <w:t xml:space="preserve"> </w:t>
      </w:r>
      <w:r w:rsidR="00BD25E3">
        <w:rPr>
          <w:rFonts w:ascii="Times New Roman" w:eastAsia="Times New Roman" w:hAnsi="Times New Roman" w:cs="Times New Roman"/>
          <w:noProof/>
          <w:sz w:val="24"/>
          <w:szCs w:val="24"/>
          <w:lang w:val="en-GB"/>
        </w:rPr>
        <w:t>will enhance work</w:t>
      </w:r>
      <w:r w:rsidR="00380716">
        <w:rPr>
          <w:rFonts w:ascii="Times New Roman" w:eastAsia="Times New Roman" w:hAnsi="Times New Roman" w:cs="Times New Roman"/>
          <w:noProof/>
          <w:sz w:val="24"/>
          <w:szCs w:val="24"/>
          <w:lang w:val="en-GB"/>
        </w:rPr>
        <w:t xml:space="preserve"> </w:t>
      </w:r>
      <w:r w:rsidR="00244984">
        <w:rPr>
          <w:rFonts w:ascii="Times New Roman" w:eastAsia="Times New Roman" w:hAnsi="Times New Roman" w:cs="Times New Roman"/>
          <w:noProof/>
          <w:sz w:val="24"/>
          <w:szCs w:val="24"/>
          <w:lang w:val="en-GB"/>
        </w:rPr>
        <w:t>with view to propose</w:t>
      </w:r>
      <w:r w:rsidR="00380716">
        <w:rPr>
          <w:rFonts w:ascii="Times New Roman" w:eastAsia="Times New Roman" w:hAnsi="Times New Roman" w:cs="Times New Roman"/>
          <w:noProof/>
          <w:sz w:val="24"/>
          <w:szCs w:val="24"/>
          <w:lang w:val="en-GB"/>
        </w:rPr>
        <w:t xml:space="preserve"> the necessary policy, regulatory and standardisation </w:t>
      </w:r>
      <w:r w:rsidR="00244984">
        <w:rPr>
          <w:rFonts w:ascii="Times New Roman" w:eastAsia="Times New Roman" w:hAnsi="Times New Roman" w:cs="Times New Roman"/>
          <w:noProof/>
          <w:sz w:val="24"/>
          <w:szCs w:val="24"/>
          <w:lang w:val="en-GB"/>
        </w:rPr>
        <w:t>solutions for smart and</w:t>
      </w:r>
      <w:r w:rsidR="00380716">
        <w:rPr>
          <w:rFonts w:ascii="Times New Roman" w:eastAsia="Times New Roman" w:hAnsi="Times New Roman" w:cs="Times New Roman"/>
          <w:noProof/>
          <w:sz w:val="24"/>
          <w:szCs w:val="24"/>
          <w:lang w:val="en-GB"/>
        </w:rPr>
        <w:t xml:space="preserve"> bi-directional charging in Europe.</w:t>
      </w:r>
      <w:r w:rsidR="001249F0">
        <w:rPr>
          <w:rFonts w:ascii="Times New Roman" w:eastAsia="Times New Roman" w:hAnsi="Times New Roman" w:cs="Times New Roman"/>
          <w:noProof/>
          <w:sz w:val="24"/>
          <w:szCs w:val="24"/>
          <w:lang w:val="en-GB"/>
        </w:rPr>
        <w:t xml:space="preserve"> </w:t>
      </w:r>
    </w:p>
    <w:p w14:paraId="49ED2289" w14:textId="1F2E1866" w:rsidR="00766D5D" w:rsidRPr="00AA1EED" w:rsidRDefault="00147117">
      <w:pPr>
        <w:pStyle w:val="Heading2"/>
        <w:rPr>
          <w:b w:val="0"/>
          <w:bCs w:val="0"/>
          <w:noProof/>
          <w:lang w:val="en-GB"/>
        </w:rPr>
      </w:pPr>
      <w:bookmarkStart w:id="8" w:name="_Hlk151469781"/>
      <w:r w:rsidRPr="00AA1EED">
        <w:rPr>
          <w:rFonts w:eastAsia="Arial Unicode MS" w:cs="Arial Unicode MS"/>
          <w:noProof/>
          <w:lang w:val="en-GB"/>
        </w:rPr>
        <w:t xml:space="preserve">Action 2: </w:t>
      </w:r>
      <w:bookmarkStart w:id="9" w:name="_Hlk148681831"/>
      <w:r w:rsidRPr="00AA1EED">
        <w:rPr>
          <w:rFonts w:eastAsia="Arial Unicode MS" w:cs="Arial Unicode MS"/>
          <w:noProof/>
          <w:lang w:val="en-GB"/>
        </w:rPr>
        <w:t xml:space="preserve">ENTSO-E to enhance top-down planning towards 2050 by integrating the identification of offshore and onshore system needs and further considering hydrogen </w:t>
      </w:r>
      <w:bookmarkEnd w:id="9"/>
    </w:p>
    <w:bookmarkEnd w:id="8"/>
    <w:p w14:paraId="40137A4D" w14:textId="1E212232" w:rsidR="00BF4CEE" w:rsidRPr="00AA1EED" w:rsidRDefault="00147117" w:rsidP="00AC6FF0">
      <w:pPr>
        <w:pStyle w:val="BodyA"/>
        <w:rPr>
          <w:noProof/>
          <w:lang w:val="en-GB"/>
        </w:rPr>
      </w:pPr>
      <w:r w:rsidRPr="00AA1EED">
        <w:rPr>
          <w:noProof/>
          <w:lang w:val="en-GB"/>
        </w:rPr>
        <w:t xml:space="preserve">Cross-border transmission infrastructure development builds on a decade of experience in pan-European network planning through the ten-year network development plans (TYNDP). The revised TEN-E Regulation adopted in 2022 went a step further by making the long-term direction set by Member States on regional offshore ambitions </w:t>
      </w:r>
      <w:r w:rsidR="005926BE">
        <w:rPr>
          <w:noProof/>
          <w:lang w:val="en-GB"/>
        </w:rPr>
        <w:t>to</w:t>
      </w:r>
      <w:r w:rsidR="005926BE" w:rsidRPr="00AA1EED">
        <w:rPr>
          <w:noProof/>
          <w:lang w:val="en-GB"/>
        </w:rPr>
        <w:t xml:space="preserve"> </w:t>
      </w:r>
      <w:r w:rsidR="00666528" w:rsidRPr="00AA1EED">
        <w:rPr>
          <w:noProof/>
          <w:lang w:val="en-GB"/>
        </w:rPr>
        <w:t xml:space="preserve">2050 </w:t>
      </w:r>
      <w:r w:rsidRPr="00AA1EED">
        <w:rPr>
          <w:noProof/>
          <w:lang w:val="en-GB"/>
        </w:rPr>
        <w:t xml:space="preserve">the starting point </w:t>
      </w:r>
      <w:r w:rsidR="005926BE">
        <w:rPr>
          <w:noProof/>
          <w:lang w:val="en-GB"/>
        </w:rPr>
        <w:t>for</w:t>
      </w:r>
      <w:r w:rsidR="005926BE" w:rsidRPr="00AA1EED">
        <w:rPr>
          <w:noProof/>
          <w:lang w:val="en-GB"/>
        </w:rPr>
        <w:t xml:space="preserve"> </w:t>
      </w:r>
      <w:r w:rsidRPr="00AA1EED">
        <w:rPr>
          <w:noProof/>
          <w:lang w:val="en-GB"/>
        </w:rPr>
        <w:t xml:space="preserve">the offshore network planning exercise, closing the gap between policy expectations and grid development. This strategic long-term logic currently implemented in the first offshore network development plans (ONDPs) due </w:t>
      </w:r>
      <w:r w:rsidR="00E933B1" w:rsidRPr="00AA1EED">
        <w:rPr>
          <w:noProof/>
          <w:lang w:val="en-GB"/>
        </w:rPr>
        <w:t xml:space="preserve">on </w:t>
      </w:r>
      <w:r w:rsidRPr="00AA1EED">
        <w:rPr>
          <w:noProof/>
          <w:lang w:val="en-GB"/>
        </w:rPr>
        <w:t xml:space="preserve">January </w:t>
      </w:r>
      <w:r w:rsidR="00D22409" w:rsidRPr="00AA1EED">
        <w:rPr>
          <w:noProof/>
          <w:lang w:val="en-GB"/>
        </w:rPr>
        <w:t>2024</w:t>
      </w:r>
      <w:r w:rsidRPr="00AA1EED">
        <w:rPr>
          <w:noProof/>
          <w:lang w:val="en-GB"/>
        </w:rPr>
        <w:t xml:space="preserve"> should be expanded to the rest of the European network</w:t>
      </w:r>
      <w:r w:rsidR="00E933B1" w:rsidRPr="00AA1EED">
        <w:rPr>
          <w:noProof/>
          <w:lang w:val="en-GB"/>
        </w:rPr>
        <w:t xml:space="preserve"> with the objective of</w:t>
      </w:r>
      <w:r w:rsidRPr="00AA1EED">
        <w:rPr>
          <w:noProof/>
          <w:lang w:val="en-GB"/>
        </w:rPr>
        <w:t xml:space="preserve"> </w:t>
      </w:r>
      <w:r w:rsidRPr="00AA1EED">
        <w:rPr>
          <w:b/>
          <w:bCs/>
          <w:noProof/>
          <w:lang w:val="en-GB"/>
        </w:rPr>
        <w:t>bringing together offshore and o</w:t>
      </w:r>
      <w:r w:rsidR="00DD131E" w:rsidRPr="00AA1EED">
        <w:rPr>
          <w:b/>
          <w:bCs/>
          <w:noProof/>
          <w:lang w:val="en-GB"/>
        </w:rPr>
        <w:t>n</w:t>
      </w:r>
      <w:r w:rsidRPr="00AA1EED">
        <w:rPr>
          <w:b/>
          <w:bCs/>
          <w:noProof/>
          <w:lang w:val="en-GB"/>
        </w:rPr>
        <w:t>shore network planning</w:t>
      </w:r>
      <w:r w:rsidRPr="00AA1EED">
        <w:rPr>
          <w:noProof/>
          <w:lang w:val="en-GB"/>
        </w:rPr>
        <w:t xml:space="preserve"> under a common framework through the next TYNDP process.</w:t>
      </w:r>
    </w:p>
    <w:p w14:paraId="2952D0F7" w14:textId="2A2060F3" w:rsidR="00766D5D" w:rsidRDefault="00DE36C8" w:rsidP="00AC6FF0">
      <w:pPr>
        <w:pStyle w:val="BodyA"/>
        <w:rPr>
          <w:noProof/>
          <w:lang w:val="en-GB"/>
        </w:rPr>
      </w:pPr>
      <w:r w:rsidRPr="00AA1EED">
        <w:rPr>
          <w:noProof/>
          <w:lang w:val="en-GB"/>
        </w:rPr>
        <w:t>In that regard, t</w:t>
      </w:r>
      <w:r w:rsidR="009B0543" w:rsidRPr="00AA1EED">
        <w:rPr>
          <w:noProof/>
          <w:lang w:val="en-GB"/>
        </w:rPr>
        <w:t xml:space="preserve">he </w:t>
      </w:r>
      <w:r w:rsidR="009B0543" w:rsidRPr="00AA1EED">
        <w:rPr>
          <w:b/>
          <w:bCs/>
          <w:noProof/>
          <w:lang w:val="en-GB"/>
        </w:rPr>
        <w:t>Commission will</w:t>
      </w:r>
      <w:r w:rsidR="002B78E2" w:rsidRPr="00AA1EED">
        <w:rPr>
          <w:noProof/>
          <w:lang w:val="en-GB"/>
        </w:rPr>
        <w:t>, from Q1 2024 after publication of the first ONDPs,</w:t>
      </w:r>
      <w:r w:rsidR="009B0543" w:rsidRPr="00AA1EED">
        <w:rPr>
          <w:b/>
          <w:bCs/>
          <w:noProof/>
          <w:lang w:val="en-GB"/>
        </w:rPr>
        <w:t xml:space="preserve"> </w:t>
      </w:r>
      <w:r w:rsidR="007A6D66" w:rsidRPr="00AA1EED">
        <w:rPr>
          <w:b/>
          <w:bCs/>
          <w:noProof/>
          <w:lang w:val="en-GB"/>
        </w:rPr>
        <w:t xml:space="preserve">work closely with </w:t>
      </w:r>
      <w:r w:rsidR="009B0543" w:rsidRPr="00AA1EED">
        <w:rPr>
          <w:b/>
          <w:bCs/>
          <w:noProof/>
          <w:lang w:val="en-GB"/>
        </w:rPr>
        <w:t>ENTSO-E</w:t>
      </w:r>
      <w:r w:rsidR="009B0543" w:rsidRPr="00AA1EED">
        <w:rPr>
          <w:noProof/>
          <w:lang w:val="en-GB"/>
        </w:rPr>
        <w:t xml:space="preserve"> in the further development of </w:t>
      </w:r>
      <w:r w:rsidR="003A7627" w:rsidRPr="00AA1EED">
        <w:rPr>
          <w:noProof/>
          <w:lang w:val="en-GB"/>
        </w:rPr>
        <w:t xml:space="preserve">the </w:t>
      </w:r>
      <w:r w:rsidR="009B0543" w:rsidRPr="00AA1EED">
        <w:rPr>
          <w:noProof/>
          <w:lang w:val="en-GB"/>
        </w:rPr>
        <w:t>TYNDP.</w:t>
      </w:r>
      <w:r w:rsidR="00147117" w:rsidRPr="00AA1EED">
        <w:rPr>
          <w:noProof/>
          <w:lang w:val="en-GB"/>
        </w:rPr>
        <w:t xml:space="preserve"> In addition, </w:t>
      </w:r>
      <w:r w:rsidR="005926BE">
        <w:rPr>
          <w:noProof/>
          <w:lang w:val="en-GB"/>
        </w:rPr>
        <w:t>to ensure</w:t>
      </w:r>
      <w:r w:rsidR="003F2E2A" w:rsidRPr="00AA1EED">
        <w:rPr>
          <w:noProof/>
          <w:lang w:val="en-GB"/>
        </w:rPr>
        <w:t xml:space="preserve"> integrated energy system planning</w:t>
      </w:r>
      <w:r w:rsidR="0089289C" w:rsidRPr="00AA1EED">
        <w:rPr>
          <w:noProof/>
          <w:lang w:val="en-GB"/>
        </w:rPr>
        <w:t>,</w:t>
      </w:r>
      <w:r w:rsidR="003F2E2A" w:rsidRPr="00AA1EED">
        <w:rPr>
          <w:noProof/>
          <w:lang w:val="en-GB"/>
        </w:rPr>
        <w:t xml:space="preserve"> </w:t>
      </w:r>
      <w:r w:rsidR="00147117" w:rsidRPr="00AA1EED">
        <w:rPr>
          <w:noProof/>
          <w:lang w:val="en-GB"/>
        </w:rPr>
        <w:t xml:space="preserve">hydrogen </w:t>
      </w:r>
      <w:r w:rsidR="00A172D8" w:rsidRPr="00AA1EED">
        <w:rPr>
          <w:noProof/>
          <w:lang w:val="en-GB"/>
        </w:rPr>
        <w:t>transport</w:t>
      </w:r>
      <w:r w:rsidR="00A172D8" w:rsidRPr="00377522">
        <w:rPr>
          <w:noProof/>
          <w:lang w:val="en-GB"/>
        </w:rPr>
        <w:t xml:space="preserve"> </w:t>
      </w:r>
      <w:r w:rsidR="00147117" w:rsidRPr="00377522">
        <w:rPr>
          <w:noProof/>
          <w:lang w:val="en-GB"/>
        </w:rPr>
        <w:t xml:space="preserve">should be </w:t>
      </w:r>
      <w:r w:rsidR="005765C6" w:rsidRPr="00377522">
        <w:rPr>
          <w:noProof/>
          <w:lang w:val="en-GB"/>
        </w:rPr>
        <w:t>better reflected</w:t>
      </w:r>
      <w:r w:rsidR="000535C5" w:rsidRPr="00AA1EED">
        <w:rPr>
          <w:b/>
          <w:bCs/>
          <w:noProof/>
          <w:lang w:val="en-GB"/>
        </w:rPr>
        <w:t xml:space="preserve"> </w:t>
      </w:r>
      <w:r w:rsidR="00147117" w:rsidRPr="00AA1EED">
        <w:rPr>
          <w:noProof/>
          <w:lang w:val="en-GB"/>
        </w:rPr>
        <w:t xml:space="preserve">to </w:t>
      </w:r>
      <w:r w:rsidR="005765C6" w:rsidRPr="00AA1EED">
        <w:rPr>
          <w:noProof/>
          <w:lang w:val="en-GB"/>
        </w:rPr>
        <w:t>provide</w:t>
      </w:r>
      <w:r w:rsidR="00147117" w:rsidRPr="00AA1EED">
        <w:rPr>
          <w:noProof/>
          <w:lang w:val="en-GB"/>
        </w:rPr>
        <w:t xml:space="preserve"> </w:t>
      </w:r>
      <w:r w:rsidR="008A094F">
        <w:rPr>
          <w:noProof/>
          <w:lang w:val="en-GB"/>
        </w:rPr>
        <w:t>sound</w:t>
      </w:r>
      <w:r w:rsidR="008A094F" w:rsidRPr="00AA1EED">
        <w:rPr>
          <w:noProof/>
          <w:lang w:val="en-GB"/>
        </w:rPr>
        <w:t xml:space="preserve"> </w:t>
      </w:r>
      <w:r w:rsidR="00147117" w:rsidRPr="00AA1EED">
        <w:rPr>
          <w:noProof/>
          <w:lang w:val="en-GB"/>
        </w:rPr>
        <w:t xml:space="preserve">expectations </w:t>
      </w:r>
      <w:r w:rsidR="00A172D8" w:rsidRPr="00AA1EED">
        <w:rPr>
          <w:noProof/>
          <w:lang w:val="en-GB"/>
        </w:rPr>
        <w:t>of</w:t>
      </w:r>
      <w:r w:rsidR="00A172D8" w:rsidRPr="00AA1EED">
        <w:rPr>
          <w:b/>
          <w:bCs/>
          <w:noProof/>
          <w:lang w:val="en-GB"/>
        </w:rPr>
        <w:t xml:space="preserve"> </w:t>
      </w:r>
      <w:r w:rsidR="00147117" w:rsidRPr="00AA1EED">
        <w:rPr>
          <w:b/>
          <w:bCs/>
          <w:noProof/>
          <w:lang w:val="en-GB"/>
        </w:rPr>
        <w:t>hydrogen infrastructure needs</w:t>
      </w:r>
      <w:r w:rsidR="00107B5B" w:rsidRPr="00AA1EED">
        <w:rPr>
          <w:noProof/>
          <w:lang w:val="en-GB"/>
        </w:rPr>
        <w:t xml:space="preserve">, </w:t>
      </w:r>
      <w:r w:rsidR="008A094F">
        <w:rPr>
          <w:noProof/>
          <w:lang w:val="en-GB"/>
        </w:rPr>
        <w:t>for which Member States</w:t>
      </w:r>
      <w:r w:rsidR="00646204">
        <w:rPr>
          <w:noProof/>
          <w:lang w:val="en-GB"/>
        </w:rPr>
        <w:t>’</w:t>
      </w:r>
      <w:r w:rsidR="008A094F">
        <w:rPr>
          <w:noProof/>
          <w:lang w:val="en-GB"/>
        </w:rPr>
        <w:t xml:space="preserve"> </w:t>
      </w:r>
      <w:r w:rsidR="00107B5B" w:rsidRPr="00AA1EED">
        <w:rPr>
          <w:noProof/>
          <w:lang w:val="en-GB"/>
        </w:rPr>
        <w:t>hydrogen strategies</w:t>
      </w:r>
      <w:r w:rsidR="001B5291" w:rsidRPr="001B5291">
        <w:rPr>
          <w:noProof/>
          <w:lang w:val="en-GB"/>
        </w:rPr>
        <w:t xml:space="preserve"> </w:t>
      </w:r>
      <w:r w:rsidR="001B5291">
        <w:rPr>
          <w:noProof/>
          <w:lang w:val="en-GB"/>
        </w:rPr>
        <w:t>where these exist</w:t>
      </w:r>
      <w:r w:rsidR="006A5667">
        <w:rPr>
          <w:noProof/>
          <w:lang w:val="en-GB"/>
        </w:rPr>
        <w:t xml:space="preserve">, including </w:t>
      </w:r>
      <w:r w:rsidR="001B5291">
        <w:rPr>
          <w:noProof/>
          <w:lang w:val="en-GB"/>
        </w:rPr>
        <w:t xml:space="preserve">for the production of hydrogen </w:t>
      </w:r>
      <w:r w:rsidR="006A5667">
        <w:rPr>
          <w:noProof/>
          <w:lang w:val="en-GB"/>
        </w:rPr>
        <w:t>offshore</w:t>
      </w:r>
      <w:r w:rsidR="001B5291">
        <w:rPr>
          <w:noProof/>
          <w:lang w:val="en-GB"/>
        </w:rPr>
        <w:t xml:space="preserve"> and its further transport to demand</w:t>
      </w:r>
      <w:r w:rsidR="00646204">
        <w:rPr>
          <w:noProof/>
          <w:lang w:val="en-GB"/>
        </w:rPr>
        <w:t>, should be considered</w:t>
      </w:r>
      <w:r w:rsidR="00147117" w:rsidRPr="00AA1EED">
        <w:rPr>
          <w:noProof/>
          <w:lang w:val="en-GB"/>
        </w:rPr>
        <w:t xml:space="preserve">. </w:t>
      </w:r>
      <w:r w:rsidR="000535C5" w:rsidRPr="00AA1EED">
        <w:rPr>
          <w:noProof/>
          <w:lang w:val="en-GB"/>
        </w:rPr>
        <w:t xml:space="preserve">For that purpose, </w:t>
      </w:r>
      <w:r w:rsidR="00A377E6" w:rsidRPr="00AA1EED">
        <w:rPr>
          <w:noProof/>
          <w:lang w:val="en-GB"/>
        </w:rPr>
        <w:t xml:space="preserve">relevant stakeholders from the hydrogen sector should be more closely involved in </w:t>
      </w:r>
      <w:r w:rsidR="00517EA5" w:rsidRPr="00AA1EED">
        <w:rPr>
          <w:noProof/>
          <w:lang w:val="en-GB"/>
        </w:rPr>
        <w:t>the preparation of future ONDPs.</w:t>
      </w:r>
      <w:r w:rsidR="00AE6AAB">
        <w:rPr>
          <w:noProof/>
          <w:lang w:val="en-GB"/>
        </w:rPr>
        <w:t xml:space="preserve"> </w:t>
      </w:r>
      <w:r w:rsidR="00ED4D63">
        <w:rPr>
          <w:noProof/>
          <w:lang w:val="en-GB"/>
        </w:rPr>
        <w:t>ENTSO-E should further strengthen the</w:t>
      </w:r>
      <w:r w:rsidR="00AE6AAB">
        <w:rPr>
          <w:noProof/>
          <w:lang w:val="en-GB"/>
        </w:rPr>
        <w:t xml:space="preserve"> </w:t>
      </w:r>
      <w:r w:rsidR="00ED4D63">
        <w:rPr>
          <w:noProof/>
          <w:lang w:val="en-GB"/>
        </w:rPr>
        <w:t xml:space="preserve">synergies between different energy carriers </w:t>
      </w:r>
      <w:r w:rsidR="00DB4D5F">
        <w:rPr>
          <w:noProof/>
          <w:lang w:val="en-GB"/>
        </w:rPr>
        <w:t xml:space="preserve">in the TYNDP, ensuring </w:t>
      </w:r>
      <w:r w:rsidR="00DB4D5F" w:rsidRPr="00AC6144">
        <w:rPr>
          <w:noProof/>
          <w:lang w:val="en-GB"/>
        </w:rPr>
        <w:t>engagement of the relevant stakeholders for distribution, storage, hydrogen, CO</w:t>
      </w:r>
      <w:r w:rsidR="00DB4D5F" w:rsidRPr="00AC6144">
        <w:rPr>
          <w:noProof/>
          <w:vertAlign w:val="subscript"/>
          <w:lang w:val="en-GB"/>
        </w:rPr>
        <w:t>2</w:t>
      </w:r>
      <w:r w:rsidR="00B152B7" w:rsidRPr="00AC6144">
        <w:rPr>
          <w:noProof/>
          <w:vertAlign w:val="subscript"/>
          <w:lang w:val="en-GB"/>
        </w:rPr>
        <w:t>,</w:t>
      </w:r>
      <w:r w:rsidR="00DB4D5F" w:rsidRPr="00AC6144">
        <w:rPr>
          <w:noProof/>
          <w:lang w:val="en-GB"/>
        </w:rPr>
        <w:t xml:space="preserve"> and gas sectors</w:t>
      </w:r>
      <w:r w:rsidR="004F13DE" w:rsidRPr="00AC6144">
        <w:rPr>
          <w:noProof/>
          <w:lang w:val="en-GB"/>
        </w:rPr>
        <w:t xml:space="preserve"> in view of </w:t>
      </w:r>
      <w:r w:rsidR="00380716" w:rsidRPr="00AC6144">
        <w:rPr>
          <w:noProof/>
          <w:lang w:val="en-GB"/>
        </w:rPr>
        <w:t xml:space="preserve">progressively </w:t>
      </w:r>
      <w:r w:rsidR="004F13DE" w:rsidRPr="00AC6144">
        <w:rPr>
          <w:noProof/>
          <w:lang w:val="en-GB"/>
        </w:rPr>
        <w:t>integrated energy system planning once these sectors reach adequate maturity</w:t>
      </w:r>
      <w:r w:rsidR="00DB4D5F" w:rsidRPr="00AC6144">
        <w:rPr>
          <w:noProof/>
          <w:lang w:val="en-GB"/>
        </w:rPr>
        <w:t>.</w:t>
      </w:r>
    </w:p>
    <w:p w14:paraId="69275C7C" w14:textId="77B240F1" w:rsidR="00766D5D" w:rsidRPr="00AA1EED" w:rsidRDefault="00147117" w:rsidP="00AC6FF0">
      <w:pPr>
        <w:pStyle w:val="BodyA"/>
        <w:rPr>
          <w:noProof/>
          <w:lang w:val="en-GB"/>
        </w:rPr>
      </w:pPr>
      <w:r w:rsidRPr="00AA1EED">
        <w:rPr>
          <w:noProof/>
          <w:lang w:val="en-GB"/>
        </w:rPr>
        <w:t>Lastly, at national level</w:t>
      </w:r>
      <w:r w:rsidR="0089289C" w:rsidRPr="00AA1EED">
        <w:rPr>
          <w:noProof/>
          <w:lang w:val="en-GB"/>
        </w:rPr>
        <w:t>,</w:t>
      </w:r>
      <w:r w:rsidRPr="00AA1EED">
        <w:rPr>
          <w:noProof/>
          <w:lang w:val="en-GB"/>
        </w:rPr>
        <w:t xml:space="preserve"> </w:t>
      </w:r>
      <w:r w:rsidR="006033B8" w:rsidRPr="00AA1EED">
        <w:rPr>
          <w:noProof/>
          <w:lang w:val="en-GB"/>
        </w:rPr>
        <w:t>National Regulatory Authorities (</w:t>
      </w:r>
      <w:r w:rsidRPr="00AA1EED">
        <w:rPr>
          <w:noProof/>
          <w:lang w:val="en-GB"/>
        </w:rPr>
        <w:t>NRAs</w:t>
      </w:r>
      <w:r w:rsidR="006033B8" w:rsidRPr="00AA1EED">
        <w:rPr>
          <w:noProof/>
          <w:lang w:val="en-GB"/>
        </w:rPr>
        <w:t>)</w:t>
      </w:r>
      <w:r w:rsidRPr="00AA1EED">
        <w:rPr>
          <w:noProof/>
          <w:lang w:val="en-GB"/>
        </w:rPr>
        <w:t xml:space="preserve"> should ensure </w:t>
      </w:r>
      <w:r w:rsidRPr="008C5C62">
        <w:rPr>
          <w:noProof/>
          <w:lang w:val="en-GB"/>
        </w:rPr>
        <w:t xml:space="preserve">that </w:t>
      </w:r>
      <w:r w:rsidR="008C5C62">
        <w:rPr>
          <w:b/>
          <w:bCs/>
          <w:noProof/>
          <w:lang w:val="en-GB"/>
        </w:rPr>
        <w:t>system operators</w:t>
      </w:r>
      <w:r w:rsidR="008C5C62" w:rsidRPr="00AA1EED">
        <w:rPr>
          <w:b/>
          <w:bCs/>
          <w:noProof/>
          <w:lang w:val="en-GB"/>
        </w:rPr>
        <w:t xml:space="preserve"> </w:t>
      </w:r>
      <w:r w:rsidRPr="00AA1EED">
        <w:rPr>
          <w:b/>
          <w:bCs/>
          <w:noProof/>
          <w:lang w:val="en-GB"/>
        </w:rPr>
        <w:t>further assess the flexibility needs</w:t>
      </w:r>
      <w:r w:rsidRPr="00AA1EED">
        <w:rPr>
          <w:noProof/>
          <w:lang w:val="en-GB"/>
        </w:rPr>
        <w:t xml:space="preserve"> of their energy systems </w:t>
      </w:r>
      <w:r w:rsidRPr="00377522">
        <w:rPr>
          <w:noProof/>
          <w:lang w:val="en-GB"/>
        </w:rPr>
        <w:t>when planning</w:t>
      </w:r>
      <w:r w:rsidRPr="00AA1EED">
        <w:rPr>
          <w:noProof/>
          <w:lang w:val="en-GB"/>
        </w:rPr>
        <w:t xml:space="preserve"> transmission networks, including the potential of </w:t>
      </w:r>
      <w:r w:rsidRPr="00AA1EED">
        <w:rPr>
          <w:b/>
          <w:bCs/>
          <w:noProof/>
          <w:lang w:val="en-GB"/>
        </w:rPr>
        <w:t>energy storage</w:t>
      </w:r>
      <w:r w:rsidRPr="00AA1EED">
        <w:rPr>
          <w:noProof/>
          <w:vertAlign w:val="superscript"/>
          <w:lang w:val="en-GB"/>
        </w:rPr>
        <w:footnoteReference w:id="23"/>
      </w:r>
      <w:r w:rsidRPr="00AA1EED">
        <w:rPr>
          <w:noProof/>
          <w:lang w:val="en-GB"/>
        </w:rPr>
        <w:t>.</w:t>
      </w:r>
      <w:r w:rsidR="00B90215" w:rsidRPr="00AA1EED">
        <w:rPr>
          <w:noProof/>
          <w:lang w:val="en-GB"/>
        </w:rPr>
        <w:t xml:space="preserve"> </w:t>
      </w:r>
      <w:r w:rsidR="000A1BF6" w:rsidRPr="00AA1EED">
        <w:rPr>
          <w:noProof/>
          <w:lang w:val="en-GB"/>
        </w:rPr>
        <w:t>This</w:t>
      </w:r>
      <w:r w:rsidR="00B90215" w:rsidRPr="00AA1EED">
        <w:rPr>
          <w:noProof/>
          <w:lang w:val="en-GB"/>
        </w:rPr>
        <w:t xml:space="preserve"> should be </w:t>
      </w:r>
      <w:r w:rsidR="009B0543" w:rsidRPr="00AA1EED">
        <w:rPr>
          <w:noProof/>
          <w:lang w:val="en-GB"/>
        </w:rPr>
        <w:t xml:space="preserve">made in accordance with </w:t>
      </w:r>
      <w:r w:rsidR="00B90215" w:rsidRPr="00AA1EED">
        <w:rPr>
          <w:noProof/>
          <w:lang w:val="en-GB"/>
        </w:rPr>
        <w:t xml:space="preserve">the </w:t>
      </w:r>
      <w:r w:rsidR="009B0543" w:rsidRPr="00AA1EED">
        <w:rPr>
          <w:noProof/>
          <w:lang w:val="en-GB"/>
        </w:rPr>
        <w:t xml:space="preserve">upcoming revised </w:t>
      </w:r>
      <w:r w:rsidR="00B90215" w:rsidRPr="00AA1EED">
        <w:rPr>
          <w:noProof/>
          <w:lang w:val="en-GB"/>
        </w:rPr>
        <w:t xml:space="preserve">Electricity Market Design legislative </w:t>
      </w:r>
      <w:r w:rsidR="009B0543" w:rsidRPr="00AA1EED">
        <w:rPr>
          <w:noProof/>
          <w:lang w:val="en-GB"/>
        </w:rPr>
        <w:t>framework</w:t>
      </w:r>
      <w:r w:rsidR="00B90215" w:rsidRPr="00AA1EED">
        <w:rPr>
          <w:noProof/>
          <w:lang w:val="en-GB"/>
        </w:rPr>
        <w:t>.</w:t>
      </w:r>
    </w:p>
    <w:p w14:paraId="6AD1F03E" w14:textId="7F84028E" w:rsidR="00C24E30" w:rsidRPr="00AA1EED" w:rsidRDefault="00C24E30" w:rsidP="00AC6FF0">
      <w:pPr>
        <w:pStyle w:val="BodyA"/>
        <w:rPr>
          <w:noProof/>
          <w:lang w:val="en-GB"/>
        </w:rPr>
      </w:pPr>
      <w:r w:rsidRPr="00AA1EED">
        <w:rPr>
          <w:noProof/>
          <w:lang w:val="en-GB"/>
        </w:rPr>
        <w:t>TSOs and Member States should ensure that sufficient electricity transmission projects are designed, planned for and developed to fulfil the identified 2030, 2040 and 2050 infrastructure needs of the EU</w:t>
      </w:r>
      <w:r w:rsidR="00630E68" w:rsidRPr="00AA1EED">
        <w:rPr>
          <w:noProof/>
          <w:lang w:val="en-GB"/>
        </w:rPr>
        <w:t>, taking into account the National Energy and Climate Plans (NECPs)</w:t>
      </w:r>
      <w:r w:rsidRPr="00AA1EED">
        <w:rPr>
          <w:noProof/>
          <w:lang w:val="en-GB"/>
        </w:rPr>
        <w:t xml:space="preserve">. Where network development needs are identified but </w:t>
      </w:r>
      <w:r w:rsidR="00BE38A2" w:rsidRPr="00AA1EED">
        <w:rPr>
          <w:noProof/>
          <w:lang w:val="en-GB"/>
        </w:rPr>
        <w:t xml:space="preserve">there is a lack of </w:t>
      </w:r>
      <w:r w:rsidRPr="00AA1EED">
        <w:rPr>
          <w:noProof/>
          <w:lang w:val="en-GB"/>
        </w:rPr>
        <w:t>concrete projects to deliver on th</w:t>
      </w:r>
      <w:r w:rsidR="00BE38A2" w:rsidRPr="00AA1EED">
        <w:rPr>
          <w:noProof/>
          <w:lang w:val="en-GB"/>
        </w:rPr>
        <w:t>os</w:t>
      </w:r>
      <w:r w:rsidRPr="00AA1EED">
        <w:rPr>
          <w:noProof/>
          <w:lang w:val="en-GB"/>
        </w:rPr>
        <w:t>e needs, Member States and their regulatory authorities should encourage TSOs to develop new project concepts.</w:t>
      </w:r>
    </w:p>
    <w:p w14:paraId="2613E933" w14:textId="177889D6" w:rsidR="00766D5D" w:rsidRPr="00AA1EED" w:rsidRDefault="00147117">
      <w:pPr>
        <w:pStyle w:val="Heading2"/>
        <w:rPr>
          <w:b w:val="0"/>
          <w:bCs w:val="0"/>
          <w:noProof/>
          <w:lang w:val="en-GB"/>
        </w:rPr>
      </w:pPr>
      <w:bookmarkStart w:id="10" w:name="_Hlk151469787"/>
      <w:r w:rsidRPr="00AA1EED">
        <w:rPr>
          <w:rFonts w:eastAsia="Arial Unicode MS" w:cs="Arial Unicode MS"/>
          <w:noProof/>
          <w:lang w:val="en-GB"/>
        </w:rPr>
        <w:t xml:space="preserve">Action 3: </w:t>
      </w:r>
      <w:bookmarkStart w:id="11" w:name="_Hlk148681870"/>
      <w:r w:rsidRPr="00AA1EED">
        <w:rPr>
          <w:rFonts w:eastAsia="Arial Unicode MS" w:cs="Arial Unicode MS"/>
          <w:noProof/>
          <w:lang w:val="en-GB"/>
        </w:rPr>
        <w:t>EU DSO Entity to support DSO grid planning by mapping the existence and characteristics of distribution development plans</w:t>
      </w:r>
      <w:bookmarkEnd w:id="11"/>
    </w:p>
    <w:bookmarkEnd w:id="10"/>
    <w:p w14:paraId="0BAC6FAB" w14:textId="219E64C5" w:rsidR="00E42733" w:rsidRPr="00AA1EED" w:rsidRDefault="00147117" w:rsidP="00E42733">
      <w:pPr>
        <w:pStyle w:val="BodyA"/>
        <w:rPr>
          <w:noProof/>
          <w:lang w:val="en-GB"/>
        </w:rPr>
      </w:pPr>
      <w:r w:rsidRPr="00AA1EED">
        <w:rPr>
          <w:noProof/>
          <w:lang w:val="en-GB"/>
        </w:rPr>
        <w:t>Reliable, comprehensive, forward-looking and transparent distribution network development plans (NDPs) will be essential to incorporate renewables and flexible demand and reduce future connection request delays. DSOs</w:t>
      </w:r>
      <w:r w:rsidR="000A1BF6" w:rsidRPr="00AA1EED">
        <w:rPr>
          <w:noProof/>
          <w:vertAlign w:val="superscript"/>
          <w:lang w:val="en-GB"/>
        </w:rPr>
        <w:footnoteReference w:id="24"/>
      </w:r>
      <w:r w:rsidRPr="00AA1EED">
        <w:rPr>
          <w:noProof/>
          <w:lang w:val="en-GB"/>
        </w:rPr>
        <w:t xml:space="preserve"> are already legally mandated by the Internal </w:t>
      </w:r>
      <w:r w:rsidRPr="00AA1EED">
        <w:rPr>
          <w:noProof/>
          <w:lang w:val="en-GB"/>
        </w:rPr>
        <w:lastRenderedPageBreak/>
        <w:t>Electricity Market Directive to develop biennial 5-to-10-year NDPs and submit them to their NRAs</w:t>
      </w:r>
      <w:r w:rsidR="000A1BF6" w:rsidRPr="00AA1EED">
        <w:rPr>
          <w:noProof/>
          <w:lang w:val="en-GB"/>
        </w:rPr>
        <w:t xml:space="preserve"> after consultation </w:t>
      </w:r>
      <w:r w:rsidR="0089289C" w:rsidRPr="00AA1EED">
        <w:rPr>
          <w:noProof/>
          <w:lang w:val="en-GB"/>
        </w:rPr>
        <w:t xml:space="preserve">with </w:t>
      </w:r>
      <w:r w:rsidR="000A1BF6" w:rsidRPr="00AA1EED">
        <w:rPr>
          <w:noProof/>
          <w:lang w:val="en-GB"/>
        </w:rPr>
        <w:t>all relevant system users</w:t>
      </w:r>
      <w:r w:rsidRPr="00AA1EED">
        <w:rPr>
          <w:noProof/>
          <w:lang w:val="en-GB"/>
        </w:rPr>
        <w:t xml:space="preserve">. Moreover, the EU DSO Entity has legal tasks enshrined in </w:t>
      </w:r>
      <w:r w:rsidR="009B0543" w:rsidRPr="00AA1EED">
        <w:rPr>
          <w:noProof/>
          <w:lang w:val="en-GB"/>
        </w:rPr>
        <w:t xml:space="preserve">the </w:t>
      </w:r>
      <w:r w:rsidRPr="00AA1EED">
        <w:rPr>
          <w:noProof/>
          <w:lang w:val="en-GB"/>
        </w:rPr>
        <w:t>Internal Electricity Market Regulation to promote the planning of distribution networks in coordination with the planning of transmission networks and to cooperate with ENTSO-E and adopt best practices on the coordinated planning of transmission and distribution systems, including data exchange between operators for network planning. Around 2,560 DSOs in the EU cover 10 million kilometres of distribution grids</w:t>
      </w:r>
      <w:r w:rsidRPr="00AA1EED">
        <w:rPr>
          <w:noProof/>
          <w:vertAlign w:val="superscript"/>
          <w:lang w:val="en-GB"/>
        </w:rPr>
        <w:footnoteReference w:id="25"/>
      </w:r>
      <w:r w:rsidRPr="00AA1EED">
        <w:rPr>
          <w:noProof/>
          <w:lang w:val="en-GB"/>
        </w:rPr>
        <w:t>, containing a wide spectrum of company sizes and disparities in national concentrations.</w:t>
      </w:r>
      <w:r w:rsidR="00D00A84" w:rsidRPr="00AA1EED">
        <w:rPr>
          <w:noProof/>
          <w:lang w:val="en-GB"/>
        </w:rPr>
        <w:t xml:space="preserve"> </w:t>
      </w:r>
      <w:r w:rsidR="000A1BF6" w:rsidRPr="00AA1EED">
        <w:rPr>
          <w:noProof/>
          <w:lang w:val="en-GB"/>
        </w:rPr>
        <w:t>S</w:t>
      </w:r>
      <w:r w:rsidR="000861F3" w:rsidRPr="00AA1EED">
        <w:rPr>
          <w:noProof/>
          <w:lang w:val="en-GB"/>
        </w:rPr>
        <w:t xml:space="preserve">mall </w:t>
      </w:r>
      <w:r w:rsidR="00D00A84" w:rsidRPr="00AA1EED">
        <w:rPr>
          <w:noProof/>
          <w:lang w:val="en-GB"/>
        </w:rPr>
        <w:t xml:space="preserve">DSOs </w:t>
      </w:r>
      <w:r w:rsidR="000A1BF6" w:rsidRPr="00AA1EED">
        <w:rPr>
          <w:noProof/>
          <w:lang w:val="en-GB"/>
        </w:rPr>
        <w:t xml:space="preserve">can </w:t>
      </w:r>
      <w:r w:rsidR="000861F3" w:rsidRPr="00AA1EED">
        <w:rPr>
          <w:noProof/>
          <w:lang w:val="en-GB"/>
        </w:rPr>
        <w:t>face additional challenges due to limited resources</w:t>
      </w:r>
      <w:r w:rsidR="00D00A84" w:rsidRPr="00AA1EED">
        <w:rPr>
          <w:noProof/>
          <w:lang w:val="en-GB"/>
        </w:rPr>
        <w:t>.</w:t>
      </w:r>
      <w:r w:rsidRPr="00AA1EED">
        <w:rPr>
          <w:noProof/>
          <w:lang w:val="en-GB"/>
        </w:rPr>
        <w:t xml:space="preserve"> Over 900 </w:t>
      </w:r>
      <w:r w:rsidR="000A1BF6" w:rsidRPr="00AA1EED">
        <w:rPr>
          <w:noProof/>
          <w:lang w:val="en-GB"/>
        </w:rPr>
        <w:t>DSOs</w:t>
      </w:r>
      <w:r w:rsidRPr="00AA1EED">
        <w:rPr>
          <w:noProof/>
          <w:lang w:val="en-GB"/>
        </w:rPr>
        <w:t xml:space="preserve"> – small, medium and large – are members of the EU DSO Entity.</w:t>
      </w:r>
    </w:p>
    <w:p w14:paraId="28BBCB34" w14:textId="70D23202" w:rsidR="00E42733" w:rsidRDefault="00147117" w:rsidP="00685859">
      <w:pPr>
        <w:spacing w:after="240"/>
        <w:jc w:val="both"/>
        <w:rPr>
          <w:noProof/>
          <w:lang w:val="en-GB"/>
        </w:rPr>
      </w:pPr>
      <w:r w:rsidRPr="00E42733">
        <w:rPr>
          <w:noProof/>
          <w:lang w:val="en-GB"/>
        </w:rPr>
        <w:t>This action complements and supports initia</w:t>
      </w:r>
      <w:r w:rsidR="005926BE" w:rsidRPr="00E42733">
        <w:rPr>
          <w:noProof/>
          <w:lang w:val="en-GB"/>
        </w:rPr>
        <w:t>l</w:t>
      </w:r>
      <w:r w:rsidRPr="00E42733">
        <w:rPr>
          <w:noProof/>
          <w:lang w:val="en-GB"/>
        </w:rPr>
        <w:t xml:space="preserve"> work on legal requirements. The EU DSO Entity should</w:t>
      </w:r>
      <w:r w:rsidR="002B78E2" w:rsidRPr="00E42733">
        <w:rPr>
          <w:noProof/>
          <w:lang w:val="en-GB"/>
        </w:rPr>
        <w:t>, by mid-2024,</w:t>
      </w:r>
      <w:r w:rsidRPr="00E42733">
        <w:rPr>
          <w:noProof/>
          <w:lang w:val="en-GB"/>
        </w:rPr>
        <w:t xml:space="preserve"> explore </w:t>
      </w:r>
      <w:r w:rsidRPr="00E42733">
        <w:rPr>
          <w:b/>
          <w:bCs/>
          <w:noProof/>
          <w:lang w:val="en-GB"/>
        </w:rPr>
        <w:t xml:space="preserve">case studies and best practices </w:t>
      </w:r>
      <w:r w:rsidR="00AF0861" w:rsidRPr="00E42733">
        <w:rPr>
          <w:b/>
          <w:bCs/>
          <w:noProof/>
          <w:lang w:val="en-GB"/>
        </w:rPr>
        <w:t xml:space="preserve">and publish recommendations </w:t>
      </w:r>
      <w:r w:rsidRPr="00E42733">
        <w:rPr>
          <w:b/>
          <w:bCs/>
          <w:noProof/>
          <w:lang w:val="en-GB"/>
        </w:rPr>
        <w:t>to improve distribution network planning</w:t>
      </w:r>
      <w:r w:rsidRPr="00AA1EED">
        <w:rPr>
          <w:rFonts w:eastAsia="Times New Roman"/>
          <w:noProof/>
          <w:vertAlign w:val="superscript"/>
          <w:lang w:val="en-GB"/>
        </w:rPr>
        <w:footnoteReference w:id="26"/>
      </w:r>
      <w:r w:rsidRPr="00E42733">
        <w:rPr>
          <w:noProof/>
          <w:lang w:val="en-GB"/>
        </w:rPr>
        <w:t xml:space="preserve"> </w:t>
      </w:r>
      <w:r w:rsidR="00836BA6" w:rsidRPr="00685859">
        <w:rPr>
          <w:rFonts w:cs="Arial Unicode MS"/>
          <w:noProof/>
          <w:color w:val="000000"/>
          <w:u w:color="000000"/>
          <w:lang w:val="en-GB" w:eastAsia="en-IE"/>
        </w:rPr>
        <w:t xml:space="preserve">in close </w:t>
      </w:r>
      <w:r w:rsidRPr="00685859">
        <w:rPr>
          <w:rFonts w:cs="Arial Unicode MS"/>
          <w:noProof/>
          <w:color w:val="000000"/>
          <w:u w:color="000000"/>
          <w:lang w:val="en-GB" w:eastAsia="en-IE"/>
        </w:rPr>
        <w:t xml:space="preserve">coordination with </w:t>
      </w:r>
      <w:r w:rsidR="00D30223" w:rsidRPr="00685859">
        <w:rPr>
          <w:rFonts w:cs="Arial Unicode MS"/>
          <w:noProof/>
          <w:color w:val="000000"/>
          <w:u w:color="000000"/>
          <w:lang w:val="en-GB" w:eastAsia="en-IE"/>
        </w:rPr>
        <w:t xml:space="preserve">ENTSO-E and </w:t>
      </w:r>
      <w:r w:rsidRPr="00685859">
        <w:rPr>
          <w:rFonts w:cs="Arial Unicode MS"/>
          <w:noProof/>
          <w:color w:val="000000"/>
          <w:u w:color="000000"/>
          <w:lang w:val="en-GB" w:eastAsia="en-IE"/>
        </w:rPr>
        <w:t>TSOs</w:t>
      </w:r>
      <w:r w:rsidRPr="00E42733">
        <w:rPr>
          <w:noProof/>
          <w:lang w:val="en-GB"/>
        </w:rPr>
        <w:t xml:space="preserve">, </w:t>
      </w:r>
      <w:r w:rsidR="00AF0861" w:rsidRPr="00E42733">
        <w:rPr>
          <w:noProof/>
          <w:lang w:val="en-GB"/>
        </w:rPr>
        <w:t xml:space="preserve">as well as relevant representatives of the network users, such as renewables, electromobility or heating and cooling, </w:t>
      </w:r>
      <w:r w:rsidR="00225E1C" w:rsidRPr="00E42733">
        <w:rPr>
          <w:noProof/>
          <w:lang w:val="en-GB"/>
        </w:rPr>
        <w:t>taking into account the uncertainties that most affect the activities of the DSOs, and the heterogenous size of the DSOs</w:t>
      </w:r>
      <w:r w:rsidR="00C41ED1" w:rsidRPr="00AA1EED">
        <w:rPr>
          <w:rStyle w:val="FootnoteReference"/>
          <w:noProof/>
          <w:lang w:val="en-GB"/>
        </w:rPr>
        <w:footnoteReference w:id="27"/>
      </w:r>
      <w:r w:rsidR="00C26CBA" w:rsidRPr="00E42733">
        <w:rPr>
          <w:noProof/>
          <w:lang w:val="en-GB"/>
        </w:rPr>
        <w:t xml:space="preserve">. </w:t>
      </w:r>
      <w:r w:rsidR="00C26CBA" w:rsidRPr="00E42733">
        <w:rPr>
          <w:b/>
          <w:bCs/>
          <w:noProof/>
          <w:lang w:val="en-GB"/>
        </w:rPr>
        <w:t>Transparent and regular exchanges with stakeholders</w:t>
      </w:r>
      <w:r w:rsidR="00C26CBA" w:rsidRPr="00E42733">
        <w:rPr>
          <w:noProof/>
          <w:lang w:val="en-GB"/>
        </w:rPr>
        <w:t xml:space="preserve"> from renewable, electromobility, heating and cooling, consumer and civil society regional representat</w:t>
      </w:r>
      <w:r w:rsidR="005926BE" w:rsidRPr="00E42733">
        <w:rPr>
          <w:noProof/>
          <w:lang w:val="en-GB"/>
        </w:rPr>
        <w:t>ives</w:t>
      </w:r>
      <w:r w:rsidR="00C26CBA" w:rsidRPr="00E42733">
        <w:rPr>
          <w:noProof/>
          <w:lang w:val="en-GB"/>
        </w:rPr>
        <w:t xml:space="preserve"> in the preparation of distribution NDPs will be essential. </w:t>
      </w:r>
      <w:r w:rsidR="009E42BE" w:rsidRPr="00E42733">
        <w:rPr>
          <w:noProof/>
          <w:lang w:val="en-GB"/>
        </w:rPr>
        <w:t>For example, national</w:t>
      </w:r>
      <w:r w:rsidR="00BA2F9D" w:rsidRPr="00E42733">
        <w:rPr>
          <w:noProof/>
          <w:lang w:val="en-GB"/>
        </w:rPr>
        <w:t>,</w:t>
      </w:r>
      <w:r w:rsidR="009E42BE" w:rsidRPr="00E42733">
        <w:rPr>
          <w:noProof/>
          <w:lang w:val="en-GB"/>
        </w:rPr>
        <w:t xml:space="preserve"> municipal </w:t>
      </w:r>
      <w:r w:rsidR="00BA2F9D" w:rsidRPr="00E42733">
        <w:rPr>
          <w:noProof/>
          <w:lang w:val="en-GB"/>
        </w:rPr>
        <w:t xml:space="preserve">and private </w:t>
      </w:r>
      <w:r w:rsidR="000A482E" w:rsidRPr="00E42733">
        <w:rPr>
          <w:noProof/>
          <w:lang w:val="en-GB"/>
        </w:rPr>
        <w:t xml:space="preserve">firm </w:t>
      </w:r>
      <w:r w:rsidR="009E42BE" w:rsidRPr="00E42733">
        <w:rPr>
          <w:noProof/>
          <w:lang w:val="en-GB"/>
        </w:rPr>
        <w:t xml:space="preserve">plans on EV </w:t>
      </w:r>
      <w:r w:rsidR="007E25A9" w:rsidRPr="00E42733">
        <w:rPr>
          <w:noProof/>
          <w:lang w:val="en-GB"/>
        </w:rPr>
        <w:t>re</w:t>
      </w:r>
      <w:r w:rsidR="009E42BE" w:rsidRPr="00E42733">
        <w:rPr>
          <w:noProof/>
          <w:lang w:val="en-GB"/>
        </w:rPr>
        <w:t>charging infrastructure</w:t>
      </w:r>
      <w:r w:rsidR="00F21C21" w:rsidRPr="00E42733">
        <w:rPr>
          <w:noProof/>
          <w:lang w:val="en-GB"/>
        </w:rPr>
        <w:t>, shore</w:t>
      </w:r>
      <w:r w:rsidR="0098357B" w:rsidRPr="00E42733">
        <w:rPr>
          <w:noProof/>
          <w:lang w:val="en-GB"/>
        </w:rPr>
        <w:t>-</w:t>
      </w:r>
      <w:r w:rsidR="00F21C21" w:rsidRPr="00E42733">
        <w:rPr>
          <w:noProof/>
          <w:lang w:val="en-GB"/>
        </w:rPr>
        <w:t>side electricity supply in maritime ports</w:t>
      </w:r>
      <w:r w:rsidR="009E42BE" w:rsidRPr="00E42733">
        <w:rPr>
          <w:noProof/>
          <w:lang w:val="en-GB"/>
        </w:rPr>
        <w:t>, heat pump rollout</w:t>
      </w:r>
      <w:r w:rsidR="000A482E" w:rsidRPr="00E42733">
        <w:rPr>
          <w:noProof/>
          <w:lang w:val="en-GB"/>
        </w:rPr>
        <w:t xml:space="preserve"> or</w:t>
      </w:r>
      <w:r w:rsidR="009E42BE" w:rsidRPr="00E42733">
        <w:rPr>
          <w:noProof/>
          <w:lang w:val="en-GB"/>
        </w:rPr>
        <w:t xml:space="preserve"> </w:t>
      </w:r>
      <w:r w:rsidR="0098357B" w:rsidRPr="00E42733">
        <w:rPr>
          <w:noProof/>
          <w:lang w:val="en-GB"/>
        </w:rPr>
        <w:t xml:space="preserve">alternatively </w:t>
      </w:r>
      <w:r w:rsidR="000A482E" w:rsidRPr="00E42733">
        <w:rPr>
          <w:noProof/>
          <w:lang w:val="en-GB"/>
        </w:rPr>
        <w:t xml:space="preserve">district heating deployment </w:t>
      </w:r>
      <w:r w:rsidR="00751A6F">
        <w:rPr>
          <w:noProof/>
          <w:lang w:val="en-GB"/>
        </w:rPr>
        <w:t>will</w:t>
      </w:r>
      <w:r w:rsidR="00751A6F" w:rsidRPr="00E42733">
        <w:rPr>
          <w:noProof/>
          <w:lang w:val="en-GB"/>
        </w:rPr>
        <w:t xml:space="preserve"> </w:t>
      </w:r>
      <w:r w:rsidR="000A482E" w:rsidRPr="00E42733">
        <w:rPr>
          <w:noProof/>
          <w:lang w:val="en-GB"/>
        </w:rPr>
        <w:t xml:space="preserve">have </w:t>
      </w:r>
      <w:r w:rsidR="00967FFA" w:rsidRPr="00E42733">
        <w:rPr>
          <w:noProof/>
          <w:lang w:val="en-GB"/>
        </w:rPr>
        <w:t xml:space="preserve">a </w:t>
      </w:r>
      <w:r w:rsidR="000A482E" w:rsidRPr="00E42733">
        <w:rPr>
          <w:noProof/>
          <w:lang w:val="en-GB"/>
        </w:rPr>
        <w:t xml:space="preserve">substantial impact on the need to reinforce </w:t>
      </w:r>
      <w:r w:rsidR="00DD2A4D" w:rsidRPr="00E42733">
        <w:rPr>
          <w:noProof/>
          <w:lang w:val="en-GB"/>
        </w:rPr>
        <w:t xml:space="preserve">electricity </w:t>
      </w:r>
      <w:r w:rsidR="000A482E" w:rsidRPr="00E42733">
        <w:rPr>
          <w:noProof/>
          <w:lang w:val="en-GB"/>
        </w:rPr>
        <w:t>distribution grids</w:t>
      </w:r>
      <w:r w:rsidR="008A094F">
        <w:rPr>
          <w:noProof/>
          <w:lang w:val="en-GB"/>
        </w:rPr>
        <w:t>, which in turn enables opportunities for new flexibility markets,</w:t>
      </w:r>
      <w:r w:rsidR="00BA2F9D" w:rsidRPr="00E42733">
        <w:rPr>
          <w:noProof/>
          <w:lang w:val="en-GB"/>
        </w:rPr>
        <w:t xml:space="preserve"> and </w:t>
      </w:r>
      <w:r w:rsidR="00751A6F">
        <w:rPr>
          <w:noProof/>
          <w:lang w:val="en-GB"/>
        </w:rPr>
        <w:t>need to</w:t>
      </w:r>
      <w:r w:rsidR="00BA2F9D" w:rsidRPr="00E42733">
        <w:rPr>
          <w:noProof/>
          <w:lang w:val="en-GB"/>
        </w:rPr>
        <w:t xml:space="preserve"> be integrated in network planning</w:t>
      </w:r>
      <w:r w:rsidR="00751A6F">
        <w:rPr>
          <w:noProof/>
          <w:lang w:val="en-GB"/>
        </w:rPr>
        <w:t xml:space="preserve">, to ensure that </w:t>
      </w:r>
      <w:r w:rsidR="00D36031">
        <w:rPr>
          <w:noProof/>
          <w:lang w:val="en-GB"/>
        </w:rPr>
        <w:t xml:space="preserve">the necessary </w:t>
      </w:r>
      <w:r w:rsidR="00751A6F">
        <w:rPr>
          <w:noProof/>
          <w:lang w:val="en-GB"/>
        </w:rPr>
        <w:t>network buildout is rapidly conducted</w:t>
      </w:r>
      <w:r w:rsidR="009E42BE" w:rsidRPr="00E42733">
        <w:rPr>
          <w:noProof/>
          <w:lang w:val="en-GB"/>
        </w:rPr>
        <w:t xml:space="preserve">. </w:t>
      </w:r>
    </w:p>
    <w:p w14:paraId="5BFF3EBC" w14:textId="109CFF6F" w:rsidR="00E42733" w:rsidRDefault="00C26CBA" w:rsidP="00685859">
      <w:pPr>
        <w:spacing w:after="240"/>
        <w:jc w:val="both"/>
        <w:rPr>
          <w:rFonts w:eastAsia="Times New Roman"/>
          <w:noProof/>
          <w:lang w:val="en-GB"/>
        </w:rPr>
      </w:pPr>
      <w:r w:rsidRPr="00E42733">
        <w:rPr>
          <w:b/>
          <w:bCs/>
          <w:noProof/>
          <w:lang w:val="en-GB"/>
        </w:rPr>
        <w:t>Adequate data sharing</w:t>
      </w:r>
      <w:r w:rsidRPr="00E42733">
        <w:rPr>
          <w:noProof/>
          <w:lang w:val="en-GB"/>
        </w:rPr>
        <w:t xml:space="preserve"> </w:t>
      </w:r>
      <w:r w:rsidR="00E47283" w:rsidRPr="00E42733">
        <w:rPr>
          <w:noProof/>
          <w:lang w:val="en-GB"/>
        </w:rPr>
        <w:t xml:space="preserve">will </w:t>
      </w:r>
      <w:r w:rsidR="00967FFA" w:rsidRPr="00E42733">
        <w:rPr>
          <w:noProof/>
          <w:lang w:val="en-GB"/>
        </w:rPr>
        <w:t xml:space="preserve">also </w:t>
      </w:r>
      <w:r w:rsidR="00E47283" w:rsidRPr="00E42733">
        <w:rPr>
          <w:noProof/>
          <w:lang w:val="en-GB"/>
        </w:rPr>
        <w:t xml:space="preserve">support DSOs </w:t>
      </w:r>
      <w:r w:rsidR="00A247E5" w:rsidRPr="00E42733">
        <w:rPr>
          <w:noProof/>
          <w:lang w:val="en-GB"/>
        </w:rPr>
        <w:t xml:space="preserve">in the </w:t>
      </w:r>
      <w:r w:rsidR="00A247E5" w:rsidRPr="00E42733">
        <w:rPr>
          <w:b/>
          <w:bCs/>
          <w:noProof/>
          <w:lang w:val="en-GB"/>
        </w:rPr>
        <w:t xml:space="preserve">planning </w:t>
      </w:r>
      <w:r w:rsidR="00967FFA" w:rsidRPr="00E42733">
        <w:rPr>
          <w:b/>
          <w:bCs/>
          <w:noProof/>
          <w:lang w:val="en-GB"/>
        </w:rPr>
        <w:t>of</w:t>
      </w:r>
      <w:r w:rsidR="00A247E5" w:rsidRPr="00E42733">
        <w:rPr>
          <w:b/>
          <w:bCs/>
          <w:noProof/>
          <w:lang w:val="en-GB"/>
        </w:rPr>
        <w:t xml:space="preserve"> network needs</w:t>
      </w:r>
      <w:r w:rsidR="001C5C20" w:rsidRPr="00E42733">
        <w:rPr>
          <w:noProof/>
          <w:lang w:val="en-GB"/>
        </w:rPr>
        <w:t xml:space="preserve"> to </w:t>
      </w:r>
      <w:r w:rsidR="003D6CA5" w:rsidRPr="00E42733">
        <w:rPr>
          <w:noProof/>
          <w:lang w:val="en-GB"/>
        </w:rPr>
        <w:t>shorten</w:t>
      </w:r>
      <w:r w:rsidR="001C5C20" w:rsidRPr="00E42733">
        <w:rPr>
          <w:noProof/>
          <w:lang w:val="en-GB"/>
        </w:rPr>
        <w:t xml:space="preserve"> grid connection times</w:t>
      </w:r>
      <w:r w:rsidR="00A247E5" w:rsidRPr="00E42733">
        <w:rPr>
          <w:noProof/>
          <w:lang w:val="en-GB"/>
        </w:rPr>
        <w:t>.</w:t>
      </w:r>
      <w:r w:rsidR="00A247E5" w:rsidRPr="00E42733">
        <w:rPr>
          <w:b/>
          <w:bCs/>
          <w:noProof/>
          <w:lang w:val="en-GB"/>
        </w:rPr>
        <w:t xml:space="preserve"> </w:t>
      </w:r>
      <w:r w:rsidR="00A247E5" w:rsidRPr="00E42733">
        <w:rPr>
          <w:noProof/>
          <w:lang w:val="en-GB"/>
        </w:rPr>
        <w:t>For that purpose,</w:t>
      </w:r>
      <w:r w:rsidRPr="00E42733">
        <w:rPr>
          <w:noProof/>
          <w:lang w:val="en-GB"/>
        </w:rPr>
        <w:t xml:space="preserve"> network users </w:t>
      </w:r>
      <w:r w:rsidR="00980AB5" w:rsidRPr="00E42733">
        <w:rPr>
          <w:noProof/>
          <w:lang w:val="en-GB"/>
        </w:rPr>
        <w:t>should provide data on</w:t>
      </w:r>
      <w:r w:rsidRPr="00E42733">
        <w:rPr>
          <w:noProof/>
          <w:lang w:val="en-GB"/>
        </w:rPr>
        <w:t xml:space="preserve"> their respective power capacities and project locations </w:t>
      </w:r>
      <w:r w:rsidR="00980AB5" w:rsidRPr="00E42733">
        <w:rPr>
          <w:noProof/>
          <w:lang w:val="en-GB"/>
        </w:rPr>
        <w:t xml:space="preserve">to </w:t>
      </w:r>
      <w:r w:rsidRPr="00E42733">
        <w:rPr>
          <w:noProof/>
          <w:lang w:val="en-GB"/>
        </w:rPr>
        <w:t>support DSOs in understanding new power flow patterns within their grids. Moreover, NRAs</w:t>
      </w:r>
      <w:r w:rsidR="00A167DA" w:rsidRPr="00E42733">
        <w:rPr>
          <w:noProof/>
          <w:lang w:val="en-GB"/>
        </w:rPr>
        <w:t>, in cooperation with ACER</w:t>
      </w:r>
      <w:r w:rsidR="00873AED" w:rsidRPr="00E42733">
        <w:rPr>
          <w:noProof/>
          <w:lang w:val="en-GB"/>
        </w:rPr>
        <w:t xml:space="preserve"> and CEER</w:t>
      </w:r>
      <w:r w:rsidR="00A167DA" w:rsidRPr="00E42733">
        <w:rPr>
          <w:noProof/>
          <w:lang w:val="en-GB"/>
        </w:rPr>
        <w:t>,</w:t>
      </w:r>
      <w:r w:rsidRPr="00E42733">
        <w:rPr>
          <w:noProof/>
          <w:lang w:val="en-GB"/>
        </w:rPr>
        <w:t xml:space="preserve"> should</w:t>
      </w:r>
      <w:r w:rsidR="002B78E2" w:rsidRPr="00E42733">
        <w:rPr>
          <w:noProof/>
          <w:lang w:val="en-GB"/>
        </w:rPr>
        <w:t xml:space="preserve">, </w:t>
      </w:r>
      <w:r w:rsidR="002969BB" w:rsidRPr="00E42733">
        <w:rPr>
          <w:noProof/>
          <w:lang w:val="en-GB"/>
        </w:rPr>
        <w:t>by Q4 2024</w:t>
      </w:r>
      <w:r w:rsidR="002B78E2" w:rsidRPr="00E42733">
        <w:rPr>
          <w:noProof/>
          <w:lang w:val="en-GB"/>
        </w:rPr>
        <w:t>,</w:t>
      </w:r>
      <w:r w:rsidRPr="00E42733">
        <w:rPr>
          <w:noProof/>
          <w:lang w:val="en-GB"/>
        </w:rPr>
        <w:t xml:space="preserve"> provide guidance </w:t>
      </w:r>
      <w:r w:rsidR="002B78E2" w:rsidRPr="00E42733">
        <w:rPr>
          <w:noProof/>
          <w:lang w:val="en-GB"/>
        </w:rPr>
        <w:t xml:space="preserve">to DSOs </w:t>
      </w:r>
      <w:r w:rsidRPr="00E42733">
        <w:rPr>
          <w:noProof/>
          <w:lang w:val="en-GB"/>
        </w:rPr>
        <w:t>on planning and promote consistency among plans</w:t>
      </w:r>
      <w:r w:rsidRPr="00AA1EED">
        <w:rPr>
          <w:rStyle w:val="FootnoteReference"/>
          <w:noProof/>
          <w:lang w:val="en-GB"/>
        </w:rPr>
        <w:footnoteReference w:id="28"/>
      </w:r>
      <w:r w:rsidR="000A1BF6" w:rsidRPr="00E42733">
        <w:rPr>
          <w:noProof/>
          <w:lang w:val="en-GB"/>
        </w:rPr>
        <w:t>.</w:t>
      </w:r>
      <w:r w:rsidR="00181EB3" w:rsidRPr="00E42733">
        <w:rPr>
          <w:noProof/>
          <w:lang w:val="en-GB"/>
        </w:rPr>
        <w:t xml:space="preserve"> T</w:t>
      </w:r>
      <w:r w:rsidR="006452E2" w:rsidRPr="00E42733">
        <w:rPr>
          <w:rFonts w:eastAsia="Times New Roman"/>
          <w:noProof/>
          <w:lang w:val="en-GB"/>
        </w:rPr>
        <w:t>he Commission</w:t>
      </w:r>
      <w:r w:rsidR="00181EB3" w:rsidRPr="00E42733">
        <w:rPr>
          <w:rFonts w:eastAsia="Times New Roman"/>
          <w:noProof/>
          <w:lang w:val="en-GB"/>
        </w:rPr>
        <w:t>,</w:t>
      </w:r>
      <w:r w:rsidR="006452E2" w:rsidRPr="00E42733">
        <w:rPr>
          <w:rFonts w:eastAsia="Times New Roman"/>
          <w:noProof/>
          <w:lang w:val="en-GB"/>
        </w:rPr>
        <w:t xml:space="preserve"> with</w:t>
      </w:r>
      <w:r w:rsidR="00951406" w:rsidRPr="00E42733">
        <w:rPr>
          <w:rFonts w:eastAsia="Times New Roman"/>
          <w:noProof/>
          <w:lang w:val="en-GB"/>
        </w:rPr>
        <w:t xml:space="preserve"> the</w:t>
      </w:r>
      <w:r w:rsidR="006452E2" w:rsidRPr="00E42733">
        <w:rPr>
          <w:rFonts w:eastAsia="Times New Roman"/>
          <w:noProof/>
          <w:lang w:val="en-GB"/>
        </w:rPr>
        <w:t xml:space="preserve"> EU DSO Entity</w:t>
      </w:r>
      <w:r w:rsidR="00181EB3" w:rsidRPr="00E42733">
        <w:rPr>
          <w:rFonts w:eastAsia="Times New Roman"/>
          <w:noProof/>
          <w:lang w:val="en-GB"/>
        </w:rPr>
        <w:t xml:space="preserve">, will also </w:t>
      </w:r>
      <w:r w:rsidR="006452E2" w:rsidRPr="00E42733">
        <w:rPr>
          <w:rFonts w:eastAsia="Times New Roman"/>
          <w:noProof/>
          <w:lang w:val="en-GB"/>
        </w:rPr>
        <w:t xml:space="preserve">reinforce </w:t>
      </w:r>
      <w:r w:rsidR="002B78E2" w:rsidRPr="00E42733">
        <w:rPr>
          <w:rFonts w:eastAsia="Times New Roman"/>
          <w:noProof/>
          <w:lang w:val="en-GB"/>
        </w:rPr>
        <w:t xml:space="preserve">from 2024 </w:t>
      </w:r>
      <w:r w:rsidR="00C705E9" w:rsidRPr="00E42733">
        <w:rPr>
          <w:rFonts w:eastAsia="Times New Roman"/>
          <w:noProof/>
          <w:lang w:val="en-GB"/>
        </w:rPr>
        <w:t xml:space="preserve">their </w:t>
      </w:r>
      <w:r w:rsidR="006452E2" w:rsidRPr="00E42733">
        <w:rPr>
          <w:rFonts w:eastAsia="Times New Roman"/>
          <w:noProof/>
          <w:lang w:val="en-GB"/>
        </w:rPr>
        <w:t xml:space="preserve">support to </w:t>
      </w:r>
      <w:r w:rsidR="007C7F15" w:rsidRPr="00E42733">
        <w:rPr>
          <w:rFonts w:eastAsia="Times New Roman"/>
          <w:noProof/>
          <w:lang w:val="en-GB"/>
        </w:rPr>
        <w:t xml:space="preserve">the </w:t>
      </w:r>
      <w:r w:rsidR="006452E2" w:rsidRPr="00E42733">
        <w:rPr>
          <w:rFonts w:eastAsia="Times New Roman"/>
          <w:noProof/>
          <w:lang w:val="en-GB"/>
        </w:rPr>
        <w:t>design and submi</w:t>
      </w:r>
      <w:r w:rsidR="007C7F15" w:rsidRPr="00E42733">
        <w:rPr>
          <w:rFonts w:eastAsia="Times New Roman"/>
          <w:noProof/>
          <w:lang w:val="en-GB"/>
        </w:rPr>
        <w:t>ssion of</w:t>
      </w:r>
      <w:r w:rsidR="006452E2" w:rsidRPr="00E42733">
        <w:rPr>
          <w:rFonts w:eastAsia="Times New Roman"/>
          <w:noProof/>
          <w:lang w:val="en-GB"/>
        </w:rPr>
        <w:t xml:space="preserve"> PCI applications for smart grid projects.</w:t>
      </w:r>
    </w:p>
    <w:p w14:paraId="71FFF7D3" w14:textId="1F83E61F" w:rsidR="004352A2" w:rsidRDefault="004352A2" w:rsidP="00685859">
      <w:pPr>
        <w:spacing w:after="240"/>
        <w:jc w:val="both"/>
        <w:rPr>
          <w:rFonts w:eastAsia="Times New Roman" w:cs="Arial Unicode MS"/>
          <w:noProof/>
          <w:color w:val="000000"/>
          <w:u w:color="000000"/>
          <w:lang w:val="en-GB" w:eastAsia="en-IE"/>
        </w:rPr>
      </w:pPr>
      <w:r>
        <w:rPr>
          <w:rFonts w:eastAsia="Times New Roman" w:cs="Arial Unicode MS"/>
          <w:noProof/>
          <w:color w:val="000000"/>
          <w:u w:color="000000"/>
          <w:lang w:val="en-GB" w:eastAsia="en-IE"/>
        </w:rPr>
        <w:t xml:space="preserve">The main driver for </w:t>
      </w:r>
      <w:r w:rsidR="00B211A5">
        <w:rPr>
          <w:rFonts w:eastAsia="Times New Roman" w:cs="Arial Unicode MS"/>
          <w:noProof/>
          <w:color w:val="000000"/>
          <w:u w:color="000000"/>
          <w:lang w:val="en-GB" w:eastAsia="en-IE"/>
        </w:rPr>
        <w:t>making</w:t>
      </w:r>
      <w:r>
        <w:rPr>
          <w:rFonts w:eastAsia="Times New Roman" w:cs="Arial Unicode MS"/>
          <w:noProof/>
          <w:color w:val="000000"/>
          <w:u w:color="000000"/>
          <w:lang w:val="en-GB" w:eastAsia="en-IE"/>
        </w:rPr>
        <w:t xml:space="preserve"> investment plan </w:t>
      </w:r>
      <w:r w:rsidR="00B211A5">
        <w:rPr>
          <w:rFonts w:eastAsia="Times New Roman" w:cs="Arial Unicode MS"/>
          <w:noProof/>
          <w:color w:val="000000"/>
          <w:u w:color="000000"/>
          <w:lang w:val="en-GB" w:eastAsia="en-IE"/>
        </w:rPr>
        <w:t xml:space="preserve">decisions </w:t>
      </w:r>
      <w:r w:rsidR="006F27F8">
        <w:rPr>
          <w:rFonts w:eastAsia="Times New Roman" w:cs="Arial Unicode MS"/>
          <w:noProof/>
          <w:color w:val="000000"/>
          <w:u w:color="000000"/>
          <w:lang w:val="en-GB" w:eastAsia="en-IE"/>
        </w:rPr>
        <w:t>is</w:t>
      </w:r>
      <w:r>
        <w:rPr>
          <w:rFonts w:eastAsia="Times New Roman" w:cs="Arial Unicode MS"/>
          <w:noProof/>
          <w:color w:val="000000"/>
          <w:u w:color="000000"/>
          <w:lang w:val="en-GB" w:eastAsia="en-IE"/>
        </w:rPr>
        <w:t xml:space="preserve"> therefore</w:t>
      </w:r>
      <w:r w:rsidR="006F27F8">
        <w:rPr>
          <w:rFonts w:eastAsia="Times New Roman" w:cs="Arial Unicode MS"/>
          <w:noProof/>
          <w:color w:val="000000"/>
          <w:u w:color="000000"/>
          <w:lang w:val="en-GB" w:eastAsia="en-IE"/>
        </w:rPr>
        <w:t xml:space="preserve"> having</w:t>
      </w:r>
      <w:r>
        <w:rPr>
          <w:rFonts w:eastAsia="Times New Roman" w:cs="Arial Unicode MS"/>
          <w:noProof/>
          <w:color w:val="000000"/>
          <w:u w:color="000000"/>
          <w:lang w:val="en-GB" w:eastAsia="en-IE"/>
        </w:rPr>
        <w:t xml:space="preserve"> </w:t>
      </w:r>
      <w:r w:rsidR="006F27F8">
        <w:rPr>
          <w:rFonts w:eastAsia="Times New Roman" w:cs="Arial Unicode MS"/>
          <w:noProof/>
          <w:color w:val="000000"/>
          <w:u w:color="000000"/>
          <w:lang w:val="en-GB" w:eastAsia="en-IE"/>
        </w:rPr>
        <w:t>comprehensive</w:t>
      </w:r>
      <w:r>
        <w:rPr>
          <w:rFonts w:eastAsia="Times New Roman" w:cs="Arial Unicode MS"/>
          <w:noProof/>
          <w:color w:val="000000"/>
          <w:u w:color="000000"/>
          <w:lang w:val="en-GB" w:eastAsia="en-IE"/>
        </w:rPr>
        <w:t xml:space="preserve"> network development plans</w:t>
      </w:r>
      <w:r w:rsidR="006F27F8">
        <w:rPr>
          <w:rFonts w:eastAsia="Times New Roman" w:cs="Arial Unicode MS"/>
          <w:noProof/>
          <w:color w:val="000000"/>
          <w:u w:color="000000"/>
          <w:lang w:val="en-GB" w:eastAsia="en-IE"/>
        </w:rPr>
        <w:t xml:space="preserve"> in place</w:t>
      </w:r>
      <w:r>
        <w:rPr>
          <w:rFonts w:eastAsia="Times New Roman" w:cs="Arial Unicode MS"/>
          <w:noProof/>
          <w:color w:val="000000"/>
          <w:u w:color="000000"/>
          <w:lang w:val="en-GB" w:eastAsia="en-IE"/>
        </w:rPr>
        <w:t xml:space="preserve">. Complementing these, National Energy and Climate Plans can be effective tools in supporting the development of distribution networks, </w:t>
      </w:r>
      <w:r w:rsidR="008343BA">
        <w:rPr>
          <w:rFonts w:eastAsia="Times New Roman" w:cs="Arial Unicode MS"/>
          <w:noProof/>
          <w:color w:val="000000"/>
          <w:u w:color="000000"/>
          <w:lang w:val="en-GB" w:eastAsia="en-IE"/>
        </w:rPr>
        <w:t>in particular</w:t>
      </w:r>
      <w:r>
        <w:rPr>
          <w:rFonts w:eastAsia="Times New Roman" w:cs="Arial Unicode MS"/>
          <w:noProof/>
          <w:color w:val="000000"/>
          <w:u w:color="000000"/>
          <w:lang w:val="en-GB" w:eastAsia="en-IE"/>
        </w:rPr>
        <w:t xml:space="preserve"> through reforms to be conducted by Member States. The </w:t>
      </w:r>
      <w:r w:rsidRPr="00D935E1">
        <w:rPr>
          <w:rFonts w:eastAsia="Times New Roman" w:cs="Arial Unicode MS"/>
          <w:b/>
          <w:bCs/>
          <w:noProof/>
          <w:color w:val="000000"/>
          <w:u w:color="000000"/>
          <w:lang w:val="en-GB" w:eastAsia="en-IE"/>
        </w:rPr>
        <w:t>Commission</w:t>
      </w:r>
      <w:r>
        <w:rPr>
          <w:rFonts w:eastAsia="Times New Roman" w:cs="Arial Unicode MS"/>
          <w:noProof/>
          <w:color w:val="000000"/>
          <w:u w:color="000000"/>
          <w:lang w:val="en-GB" w:eastAsia="en-IE"/>
        </w:rPr>
        <w:t xml:space="preserve"> will </w:t>
      </w:r>
      <w:r w:rsidRPr="00D935E1">
        <w:rPr>
          <w:rFonts w:eastAsia="Times New Roman" w:cs="Arial Unicode MS"/>
          <w:b/>
          <w:bCs/>
          <w:noProof/>
          <w:color w:val="000000"/>
          <w:u w:color="000000"/>
          <w:lang w:val="en-GB" w:eastAsia="en-IE"/>
        </w:rPr>
        <w:t>include grid</w:t>
      </w:r>
      <w:r w:rsidR="008343BA">
        <w:rPr>
          <w:rFonts w:eastAsia="Times New Roman" w:cs="Arial Unicode MS"/>
          <w:b/>
          <w:bCs/>
          <w:noProof/>
          <w:color w:val="000000"/>
          <w:u w:color="000000"/>
          <w:lang w:val="en-GB" w:eastAsia="en-IE"/>
        </w:rPr>
        <w:t>-</w:t>
      </w:r>
      <w:r w:rsidR="008343BA" w:rsidRPr="006F27F8">
        <w:rPr>
          <w:rFonts w:eastAsia="Times New Roman" w:cs="Arial Unicode MS"/>
          <w:b/>
          <w:bCs/>
          <w:noProof/>
          <w:color w:val="000000"/>
          <w:u w:color="000000"/>
          <w:lang w:val="en-GB" w:eastAsia="en-IE"/>
        </w:rPr>
        <w:t>related</w:t>
      </w:r>
      <w:r w:rsidRPr="00D935E1">
        <w:rPr>
          <w:rFonts w:eastAsia="Times New Roman" w:cs="Arial Unicode MS"/>
          <w:b/>
          <w:bCs/>
          <w:noProof/>
          <w:color w:val="000000"/>
          <w:u w:color="000000"/>
          <w:lang w:val="en-GB" w:eastAsia="en-IE"/>
        </w:rPr>
        <w:t xml:space="preserve"> actions</w:t>
      </w:r>
      <w:r w:rsidRPr="004352A2">
        <w:rPr>
          <w:rFonts w:eastAsia="Times New Roman" w:cs="Arial Unicode MS"/>
          <w:noProof/>
          <w:color w:val="000000"/>
          <w:u w:color="000000"/>
          <w:lang w:val="en-GB" w:eastAsia="en-IE"/>
        </w:rPr>
        <w:t xml:space="preserve"> in the </w:t>
      </w:r>
      <w:r w:rsidR="00954D4B">
        <w:rPr>
          <w:rFonts w:eastAsia="Times New Roman" w:cs="Arial Unicode MS"/>
          <w:noProof/>
          <w:color w:val="000000"/>
          <w:u w:color="000000"/>
          <w:lang w:val="en-GB" w:eastAsia="en-IE"/>
        </w:rPr>
        <w:t>iterative process</w:t>
      </w:r>
      <w:r w:rsidRPr="004352A2">
        <w:rPr>
          <w:rFonts w:eastAsia="Times New Roman" w:cs="Arial Unicode MS"/>
          <w:noProof/>
          <w:color w:val="000000"/>
          <w:u w:color="000000"/>
          <w:lang w:val="en-GB" w:eastAsia="en-IE"/>
        </w:rPr>
        <w:t xml:space="preserve"> with Member States on their </w:t>
      </w:r>
      <w:r w:rsidRPr="00D935E1">
        <w:rPr>
          <w:rFonts w:eastAsia="Times New Roman" w:cs="Arial Unicode MS"/>
          <w:b/>
          <w:bCs/>
          <w:noProof/>
          <w:color w:val="000000"/>
          <w:u w:color="000000"/>
          <w:lang w:val="en-GB" w:eastAsia="en-IE"/>
        </w:rPr>
        <w:t>National Energy and Climate Plans</w:t>
      </w:r>
      <w:r w:rsidRPr="004352A2">
        <w:rPr>
          <w:rFonts w:eastAsia="Times New Roman" w:cs="Arial Unicode MS"/>
          <w:noProof/>
          <w:color w:val="000000"/>
          <w:u w:color="000000"/>
          <w:lang w:val="en-GB" w:eastAsia="en-IE"/>
        </w:rPr>
        <w:t>.</w:t>
      </w:r>
    </w:p>
    <w:p w14:paraId="77F4AC6D" w14:textId="066D2ADD" w:rsidR="00E42733" w:rsidRPr="00AA1EED" w:rsidRDefault="00E42733" w:rsidP="00685859">
      <w:pPr>
        <w:pStyle w:val="ListParagraph"/>
        <w:keepNext/>
        <w:numPr>
          <w:ilvl w:val="0"/>
          <w:numId w:val="19"/>
        </w:numPr>
        <w:spacing w:before="480" w:after="160"/>
        <w:rPr>
          <w:rFonts w:ascii="Times New Roman" w:hAnsi="Times New Roman"/>
          <w:b/>
          <w:bCs/>
          <w:i/>
          <w:iCs/>
          <w:noProof/>
          <w:sz w:val="24"/>
          <w:szCs w:val="24"/>
          <w:lang w:val="en-GB"/>
        </w:rPr>
      </w:pPr>
      <w:r w:rsidRPr="00E42733">
        <w:rPr>
          <w:rFonts w:ascii="Times New Roman" w:hAnsi="Times New Roman"/>
          <w:b/>
          <w:bCs/>
          <w:i/>
          <w:iCs/>
          <w:noProof/>
          <w:sz w:val="24"/>
          <w:szCs w:val="24"/>
          <w:u w:val="single"/>
          <w:lang w:val="en-GB"/>
        </w:rPr>
        <w:t>INTRODUCING REGULATORY INCENTIVES FOR FORWARD-LOOKING GRID BUILD-OUT</w:t>
      </w:r>
    </w:p>
    <w:p w14:paraId="2A7E952A" w14:textId="6EF3E01E" w:rsidR="001F3113" w:rsidRPr="00AA1EED" w:rsidRDefault="00602B33" w:rsidP="00685859">
      <w:pPr>
        <w:pStyle w:val="Body"/>
        <w:spacing w:after="120" w:line="240" w:lineRule="auto"/>
        <w:jc w:val="both"/>
        <w:rPr>
          <w:rFonts w:ascii="Times New Roman" w:hAnsi="Times New Roman"/>
          <w:noProof/>
          <w:sz w:val="24"/>
          <w:szCs w:val="24"/>
          <w:lang w:val="en-GB"/>
        </w:rPr>
      </w:pPr>
      <w:r w:rsidRPr="00AA1EED">
        <w:rPr>
          <w:rFonts w:ascii="Times New Roman" w:hAnsi="Times New Roman"/>
          <w:noProof/>
          <w:sz w:val="24"/>
          <w:szCs w:val="24"/>
          <w:lang w:val="en-GB"/>
        </w:rPr>
        <w:t>Among the</w:t>
      </w:r>
      <w:r w:rsidR="00E969DD" w:rsidRPr="00AA1EED">
        <w:rPr>
          <w:rFonts w:ascii="Times New Roman" w:hAnsi="Times New Roman"/>
          <w:noProof/>
          <w:sz w:val="24"/>
          <w:szCs w:val="24"/>
          <w:lang w:val="en-GB"/>
        </w:rPr>
        <w:t xml:space="preserve"> main drivers </w:t>
      </w:r>
      <w:r w:rsidR="00472348" w:rsidRPr="00AA1EED">
        <w:rPr>
          <w:rFonts w:ascii="Times New Roman" w:hAnsi="Times New Roman"/>
          <w:noProof/>
          <w:sz w:val="24"/>
          <w:szCs w:val="24"/>
          <w:lang w:val="en-GB"/>
        </w:rPr>
        <w:t xml:space="preserve">impacting the level </w:t>
      </w:r>
      <w:r w:rsidR="00CB6B5A" w:rsidRPr="00AA1EED">
        <w:rPr>
          <w:rFonts w:ascii="Times New Roman" w:hAnsi="Times New Roman"/>
          <w:noProof/>
          <w:sz w:val="24"/>
          <w:szCs w:val="24"/>
          <w:lang w:val="en-GB"/>
        </w:rPr>
        <w:t xml:space="preserve">and effectiveness </w:t>
      </w:r>
      <w:r w:rsidR="00472348" w:rsidRPr="00AA1EED">
        <w:rPr>
          <w:rFonts w:ascii="Times New Roman" w:hAnsi="Times New Roman"/>
          <w:noProof/>
          <w:sz w:val="24"/>
          <w:szCs w:val="24"/>
          <w:lang w:val="en-GB"/>
        </w:rPr>
        <w:t>of</w:t>
      </w:r>
      <w:r w:rsidR="00E969DD" w:rsidRPr="00AA1EED">
        <w:rPr>
          <w:rFonts w:ascii="Times New Roman" w:hAnsi="Times New Roman"/>
          <w:noProof/>
          <w:sz w:val="24"/>
          <w:szCs w:val="24"/>
          <w:lang w:val="en-GB"/>
        </w:rPr>
        <w:t xml:space="preserve"> investments</w:t>
      </w:r>
      <w:r w:rsidR="00472348" w:rsidRPr="00AA1EED">
        <w:rPr>
          <w:rFonts w:ascii="Times New Roman" w:hAnsi="Times New Roman"/>
          <w:noProof/>
          <w:sz w:val="24"/>
          <w:szCs w:val="24"/>
          <w:lang w:val="en-GB"/>
        </w:rPr>
        <w:t xml:space="preserve"> in network development is</w:t>
      </w:r>
      <w:r w:rsidR="00D377F3" w:rsidRPr="00AA1EED">
        <w:rPr>
          <w:rFonts w:ascii="Times New Roman" w:hAnsi="Times New Roman"/>
          <w:noProof/>
          <w:sz w:val="24"/>
          <w:szCs w:val="24"/>
          <w:lang w:val="en-GB"/>
        </w:rPr>
        <w:t xml:space="preserve"> the </w:t>
      </w:r>
      <w:r w:rsidR="00D377F3" w:rsidRPr="00AA1EED">
        <w:rPr>
          <w:rFonts w:ascii="Times New Roman" w:hAnsi="Times New Roman"/>
          <w:b/>
          <w:bCs/>
          <w:noProof/>
          <w:sz w:val="24"/>
          <w:szCs w:val="24"/>
          <w:lang w:val="en-GB"/>
        </w:rPr>
        <w:t>regulatory framework</w:t>
      </w:r>
      <w:r w:rsidR="00D377F3" w:rsidRPr="00AA1EED">
        <w:rPr>
          <w:rFonts w:ascii="Times New Roman" w:hAnsi="Times New Roman"/>
          <w:noProof/>
          <w:color w:val="000000" w:themeColor="text1"/>
          <w:sz w:val="24"/>
          <w:szCs w:val="24"/>
          <w:lang w:val="en-GB"/>
        </w:rPr>
        <w:t xml:space="preserve">. Grids are typically regulated assets and investments are paid for by all consumers through network tariffs. Higher energy system development </w:t>
      </w:r>
      <w:r w:rsidR="00CB6B5A" w:rsidRPr="00AA1EED">
        <w:rPr>
          <w:rFonts w:ascii="Times New Roman" w:hAnsi="Times New Roman"/>
          <w:noProof/>
          <w:color w:val="000000" w:themeColor="text1"/>
          <w:sz w:val="24"/>
          <w:szCs w:val="24"/>
          <w:lang w:val="en-GB"/>
        </w:rPr>
        <w:t>costs</w:t>
      </w:r>
      <w:r w:rsidR="00D377F3" w:rsidRPr="00AA1EED">
        <w:rPr>
          <w:rFonts w:ascii="Times New Roman" w:hAnsi="Times New Roman"/>
          <w:noProof/>
          <w:color w:val="000000" w:themeColor="text1"/>
          <w:sz w:val="24"/>
          <w:szCs w:val="24"/>
          <w:lang w:val="en-GB"/>
        </w:rPr>
        <w:t xml:space="preserve"> will therefore normally lead to an increase of </w:t>
      </w:r>
      <w:r w:rsidR="00967FFA">
        <w:rPr>
          <w:rFonts w:ascii="Times New Roman" w:hAnsi="Times New Roman"/>
          <w:noProof/>
          <w:color w:val="000000" w:themeColor="text1"/>
          <w:sz w:val="24"/>
          <w:szCs w:val="24"/>
          <w:lang w:val="en-GB"/>
        </w:rPr>
        <w:t>network</w:t>
      </w:r>
      <w:r w:rsidR="00967FFA" w:rsidRPr="00AA1EED">
        <w:rPr>
          <w:rFonts w:ascii="Times New Roman" w:hAnsi="Times New Roman"/>
          <w:noProof/>
          <w:color w:val="000000" w:themeColor="text1"/>
          <w:sz w:val="24"/>
          <w:szCs w:val="24"/>
          <w:lang w:val="en-GB"/>
        </w:rPr>
        <w:t xml:space="preserve"> </w:t>
      </w:r>
      <w:r w:rsidR="00D377F3" w:rsidRPr="00AA1EED">
        <w:rPr>
          <w:rFonts w:ascii="Times New Roman" w:hAnsi="Times New Roman"/>
          <w:noProof/>
          <w:color w:val="000000" w:themeColor="text1"/>
          <w:sz w:val="24"/>
          <w:szCs w:val="24"/>
          <w:lang w:val="en-GB"/>
        </w:rPr>
        <w:t>tariffs</w:t>
      </w:r>
      <w:r w:rsidR="00472348" w:rsidRPr="00AA1EED">
        <w:rPr>
          <w:rFonts w:ascii="Times New Roman" w:hAnsi="Times New Roman"/>
          <w:noProof/>
          <w:color w:val="000000" w:themeColor="text1"/>
          <w:sz w:val="24"/>
          <w:szCs w:val="24"/>
          <w:lang w:val="en-GB"/>
        </w:rPr>
        <w:t>, and hence consumer prices</w:t>
      </w:r>
      <w:r w:rsidR="00D377F3" w:rsidRPr="00AA1EED">
        <w:rPr>
          <w:rFonts w:ascii="Times New Roman" w:hAnsi="Times New Roman"/>
          <w:noProof/>
          <w:color w:val="000000" w:themeColor="text1"/>
          <w:sz w:val="24"/>
          <w:szCs w:val="24"/>
          <w:lang w:val="en-GB"/>
        </w:rPr>
        <w:t xml:space="preserve">, </w:t>
      </w:r>
      <w:r w:rsidR="00967FFA">
        <w:rPr>
          <w:rFonts w:ascii="Times New Roman" w:hAnsi="Times New Roman"/>
          <w:noProof/>
          <w:color w:val="000000" w:themeColor="text1"/>
          <w:sz w:val="24"/>
          <w:szCs w:val="24"/>
          <w:lang w:val="en-GB"/>
        </w:rPr>
        <w:t>even though</w:t>
      </w:r>
      <w:r w:rsidR="00967FFA" w:rsidRPr="00AA1EED">
        <w:rPr>
          <w:rFonts w:ascii="Times New Roman" w:hAnsi="Times New Roman"/>
          <w:noProof/>
          <w:color w:val="000000" w:themeColor="text1"/>
          <w:sz w:val="24"/>
          <w:szCs w:val="24"/>
          <w:lang w:val="en-GB"/>
        </w:rPr>
        <w:t xml:space="preserve"> </w:t>
      </w:r>
      <w:r w:rsidR="00CB6B5A" w:rsidRPr="00AA1EED">
        <w:rPr>
          <w:rFonts w:ascii="Times New Roman" w:hAnsi="Times New Roman"/>
          <w:noProof/>
          <w:color w:val="000000" w:themeColor="text1"/>
          <w:sz w:val="24"/>
          <w:szCs w:val="24"/>
          <w:lang w:val="en-GB"/>
        </w:rPr>
        <w:t>final consumer prices</w:t>
      </w:r>
      <w:r w:rsidR="00D377F3" w:rsidRPr="00AA1EED">
        <w:rPr>
          <w:rFonts w:ascii="Times New Roman" w:hAnsi="Times New Roman"/>
          <w:noProof/>
          <w:color w:val="000000" w:themeColor="text1"/>
          <w:sz w:val="24"/>
          <w:szCs w:val="24"/>
          <w:lang w:val="en-GB"/>
        </w:rPr>
        <w:t xml:space="preserve"> need to remain affordable. </w:t>
      </w:r>
      <w:r w:rsidR="00DE750A" w:rsidRPr="00AA1EED">
        <w:rPr>
          <w:rFonts w:ascii="Times New Roman" w:hAnsi="Times New Roman"/>
          <w:noProof/>
          <w:color w:val="000000" w:themeColor="text1"/>
          <w:sz w:val="24"/>
          <w:szCs w:val="24"/>
          <w:lang w:val="en-GB"/>
        </w:rPr>
        <w:t xml:space="preserve">In addition, </w:t>
      </w:r>
      <w:r w:rsidR="005168A4" w:rsidRPr="00AA1EED">
        <w:rPr>
          <w:rFonts w:ascii="Times New Roman" w:hAnsi="Times New Roman" w:cs="Times New Roman"/>
          <w:noProof/>
          <w:sz w:val="24"/>
          <w:szCs w:val="24"/>
          <w:lang w:val="en-GB"/>
        </w:rPr>
        <w:t>l</w:t>
      </w:r>
      <w:r w:rsidR="00D377F3" w:rsidRPr="00AA1EED">
        <w:rPr>
          <w:rFonts w:ascii="Times New Roman" w:hAnsi="Times New Roman" w:cs="Times New Roman"/>
          <w:noProof/>
          <w:sz w:val="24"/>
          <w:szCs w:val="24"/>
          <w:lang w:val="en-GB"/>
        </w:rPr>
        <w:t xml:space="preserve">imiting project </w:t>
      </w:r>
      <w:r w:rsidR="00CB6B5A" w:rsidRPr="00AA1EED">
        <w:rPr>
          <w:rFonts w:ascii="Times New Roman" w:hAnsi="Times New Roman" w:cs="Times New Roman"/>
          <w:noProof/>
          <w:sz w:val="24"/>
          <w:szCs w:val="24"/>
          <w:lang w:val="en-GB"/>
        </w:rPr>
        <w:t xml:space="preserve">development </w:t>
      </w:r>
      <w:r w:rsidR="00D377F3" w:rsidRPr="00AA1EED">
        <w:rPr>
          <w:rFonts w:ascii="Times New Roman" w:hAnsi="Times New Roman" w:cs="Times New Roman"/>
          <w:noProof/>
          <w:sz w:val="24"/>
          <w:szCs w:val="24"/>
          <w:lang w:val="en-GB"/>
        </w:rPr>
        <w:t xml:space="preserve">to those </w:t>
      </w:r>
      <w:r w:rsidR="00CB6B5A" w:rsidRPr="00AA1EED">
        <w:rPr>
          <w:rFonts w:ascii="Times New Roman" w:hAnsi="Times New Roman" w:cs="Times New Roman"/>
          <w:noProof/>
          <w:sz w:val="24"/>
          <w:szCs w:val="24"/>
          <w:lang w:val="en-GB"/>
        </w:rPr>
        <w:t>based on current system needs may</w:t>
      </w:r>
      <w:r w:rsidR="00D377F3" w:rsidRPr="00AA1EED">
        <w:rPr>
          <w:rFonts w:ascii="Times New Roman" w:hAnsi="Times New Roman" w:cs="Times New Roman"/>
          <w:noProof/>
          <w:sz w:val="24"/>
          <w:szCs w:val="24"/>
          <w:lang w:val="en-GB"/>
        </w:rPr>
        <w:t xml:space="preserve"> increase the future</w:t>
      </w:r>
      <w:r w:rsidR="00CB6B5A" w:rsidRPr="00AA1EED">
        <w:rPr>
          <w:rFonts w:ascii="Times New Roman" w:hAnsi="Times New Roman" w:cs="Times New Roman"/>
          <w:noProof/>
          <w:sz w:val="24"/>
          <w:szCs w:val="24"/>
          <w:lang w:val="en-GB"/>
        </w:rPr>
        <w:t xml:space="preserve"> system</w:t>
      </w:r>
      <w:r w:rsidR="00D377F3" w:rsidRPr="00AA1EED">
        <w:rPr>
          <w:rFonts w:ascii="Times New Roman" w:hAnsi="Times New Roman" w:cs="Times New Roman"/>
          <w:noProof/>
          <w:sz w:val="24"/>
          <w:szCs w:val="24"/>
          <w:lang w:val="en-GB"/>
        </w:rPr>
        <w:t xml:space="preserve"> costs</w:t>
      </w:r>
      <w:r w:rsidR="00CB6B5A" w:rsidRPr="00AA1EED">
        <w:rPr>
          <w:rFonts w:ascii="Times New Roman" w:hAnsi="Times New Roman" w:cs="Times New Roman"/>
          <w:noProof/>
          <w:sz w:val="24"/>
          <w:szCs w:val="24"/>
          <w:lang w:val="en-GB"/>
        </w:rPr>
        <w:t xml:space="preserve"> and hence costs</w:t>
      </w:r>
      <w:r w:rsidR="00D377F3" w:rsidRPr="00AA1EED">
        <w:rPr>
          <w:rFonts w:ascii="Times New Roman" w:hAnsi="Times New Roman" w:cs="Times New Roman"/>
          <w:noProof/>
          <w:sz w:val="24"/>
          <w:szCs w:val="24"/>
          <w:lang w:val="en-GB"/>
        </w:rPr>
        <w:t xml:space="preserve"> for consumers. </w:t>
      </w:r>
      <w:r w:rsidR="005168A4" w:rsidRPr="00AA1EED">
        <w:rPr>
          <w:rFonts w:ascii="Times New Roman" w:hAnsi="Times New Roman" w:cs="Times New Roman"/>
          <w:noProof/>
          <w:sz w:val="24"/>
          <w:szCs w:val="24"/>
          <w:lang w:val="en-GB"/>
        </w:rPr>
        <w:t xml:space="preserve">An agreement of concerned parties on the need for anticipatory investments is </w:t>
      </w:r>
      <w:r w:rsidR="001F3113" w:rsidRPr="00AA1EED">
        <w:rPr>
          <w:rFonts w:ascii="Times New Roman" w:hAnsi="Times New Roman" w:cs="Times New Roman"/>
          <w:noProof/>
          <w:sz w:val="24"/>
          <w:szCs w:val="24"/>
          <w:lang w:val="en-GB"/>
        </w:rPr>
        <w:t xml:space="preserve">therefore </w:t>
      </w:r>
      <w:r w:rsidR="005168A4" w:rsidRPr="00AA1EED">
        <w:rPr>
          <w:rFonts w:ascii="Times New Roman" w:hAnsi="Times New Roman" w:cs="Times New Roman"/>
          <w:noProof/>
          <w:sz w:val="24"/>
          <w:szCs w:val="24"/>
          <w:lang w:val="en-GB"/>
        </w:rPr>
        <w:t>important.</w:t>
      </w:r>
      <w:r w:rsidR="005168A4" w:rsidRPr="00AA1EED">
        <w:rPr>
          <w:rFonts w:ascii="Times New Roman" w:hAnsi="Times New Roman"/>
          <w:noProof/>
          <w:sz w:val="24"/>
          <w:szCs w:val="24"/>
          <w:lang w:val="en-GB"/>
        </w:rPr>
        <w:t xml:space="preserve"> </w:t>
      </w:r>
    </w:p>
    <w:p w14:paraId="5208CF56" w14:textId="66D8905F" w:rsidR="00E969DD" w:rsidRPr="00AA1EED" w:rsidRDefault="00D377F3" w:rsidP="00685859">
      <w:pPr>
        <w:pStyle w:val="Body"/>
        <w:spacing w:after="120" w:line="240" w:lineRule="auto"/>
        <w:jc w:val="both"/>
        <w:rPr>
          <w:noProof/>
          <w:lang w:val="en-GB"/>
        </w:rPr>
      </w:pPr>
      <w:r w:rsidRPr="00AA1EED">
        <w:rPr>
          <w:rFonts w:ascii="Times New Roman" w:hAnsi="Times New Roman"/>
          <w:noProof/>
          <w:sz w:val="24"/>
          <w:szCs w:val="24"/>
          <w:lang w:val="en-GB"/>
        </w:rPr>
        <w:t xml:space="preserve">Offshore renewables </w:t>
      </w:r>
      <w:r w:rsidR="00CB6B5A" w:rsidRPr="00AA1EED">
        <w:rPr>
          <w:rFonts w:ascii="Times New Roman" w:hAnsi="Times New Roman"/>
          <w:noProof/>
          <w:sz w:val="24"/>
          <w:szCs w:val="24"/>
          <w:lang w:val="en-GB"/>
        </w:rPr>
        <w:t xml:space="preserve">in particular </w:t>
      </w:r>
      <w:r w:rsidRPr="00AA1EED">
        <w:rPr>
          <w:rFonts w:ascii="Times New Roman" w:hAnsi="Times New Roman"/>
          <w:noProof/>
          <w:sz w:val="24"/>
          <w:szCs w:val="24"/>
          <w:lang w:val="en-GB"/>
        </w:rPr>
        <w:t xml:space="preserve">will bring enormous benefits to society, likely to extend beyond the borders of the hosting Member States. This </w:t>
      </w:r>
      <w:r w:rsidR="00472348" w:rsidRPr="00AA1EED">
        <w:rPr>
          <w:rFonts w:ascii="Times New Roman" w:hAnsi="Times New Roman"/>
          <w:noProof/>
          <w:sz w:val="24"/>
          <w:szCs w:val="24"/>
          <w:lang w:val="en-GB"/>
        </w:rPr>
        <w:t>brings about</w:t>
      </w:r>
      <w:r w:rsidRPr="00AA1EED">
        <w:rPr>
          <w:rFonts w:ascii="Times New Roman" w:hAnsi="Times New Roman"/>
          <w:noProof/>
          <w:sz w:val="24"/>
          <w:szCs w:val="24"/>
          <w:lang w:val="en-GB"/>
        </w:rPr>
        <w:t xml:space="preserve"> complexities in agreeing on the appropriate sharing of costs, including for hybrid interconnectors.</w:t>
      </w:r>
    </w:p>
    <w:p w14:paraId="3B7C0680" w14:textId="6FB515C2" w:rsidR="00766D5D" w:rsidRPr="00AA1EED" w:rsidRDefault="00147117" w:rsidP="00AC6FF0">
      <w:pPr>
        <w:pStyle w:val="BodyA"/>
        <w:rPr>
          <w:noProof/>
          <w:lang w:val="en-GB"/>
        </w:rPr>
      </w:pPr>
      <w:r w:rsidRPr="00AA1EED">
        <w:rPr>
          <w:noProof/>
          <w:lang w:val="en-GB"/>
        </w:rPr>
        <w:t xml:space="preserve">Providing </w:t>
      </w:r>
      <w:r w:rsidR="006D641B" w:rsidRPr="00AA1EED">
        <w:rPr>
          <w:noProof/>
          <w:lang w:val="en-GB"/>
        </w:rPr>
        <w:t xml:space="preserve">appropriate </w:t>
      </w:r>
      <w:r w:rsidRPr="00AA1EED">
        <w:rPr>
          <w:noProof/>
          <w:lang w:val="en-GB"/>
        </w:rPr>
        <w:t xml:space="preserve">regulatory incentives starts </w:t>
      </w:r>
      <w:r w:rsidR="006721B4" w:rsidRPr="00AA1EED">
        <w:rPr>
          <w:noProof/>
          <w:lang w:val="en-GB"/>
        </w:rPr>
        <w:t>by</w:t>
      </w:r>
      <w:r w:rsidRPr="00AA1EED">
        <w:rPr>
          <w:noProof/>
          <w:lang w:val="en-GB"/>
        </w:rPr>
        <w:t xml:space="preserve"> establishing a</w:t>
      </w:r>
      <w:r w:rsidR="006D641B" w:rsidRPr="00AA1EED">
        <w:rPr>
          <w:noProof/>
          <w:lang w:val="en-GB"/>
        </w:rPr>
        <w:t xml:space="preserve"> supportive </w:t>
      </w:r>
      <w:r w:rsidRPr="00AA1EED">
        <w:rPr>
          <w:noProof/>
          <w:lang w:val="en-GB"/>
        </w:rPr>
        <w:t>regulatory framework that brings investment certainty. This calls for a rapid agreement o</w:t>
      </w:r>
      <w:r w:rsidR="009B0543" w:rsidRPr="00AA1EED">
        <w:rPr>
          <w:noProof/>
          <w:lang w:val="en-GB"/>
        </w:rPr>
        <w:t>n</w:t>
      </w:r>
      <w:r w:rsidRPr="00AA1EED">
        <w:rPr>
          <w:noProof/>
          <w:lang w:val="en-GB"/>
        </w:rPr>
        <w:t xml:space="preserve"> the Electricity Market Design reform </w:t>
      </w:r>
      <w:r w:rsidR="006D641B" w:rsidRPr="00AA1EED">
        <w:rPr>
          <w:noProof/>
          <w:lang w:val="en-GB"/>
        </w:rPr>
        <w:t xml:space="preserve">with its provisions recognising </w:t>
      </w:r>
      <w:r w:rsidRPr="00AA1EED">
        <w:rPr>
          <w:noProof/>
          <w:lang w:val="en-GB"/>
        </w:rPr>
        <w:t>the importance of anticipatory investments</w:t>
      </w:r>
      <w:r w:rsidR="009B0543" w:rsidRPr="00AA1EED">
        <w:rPr>
          <w:noProof/>
          <w:lang w:val="en-GB"/>
        </w:rPr>
        <w:t>, a transmission access guarantee for offshore renewables</w:t>
      </w:r>
      <w:r w:rsidRPr="00AA1EED">
        <w:rPr>
          <w:noProof/>
          <w:lang w:val="en-GB"/>
        </w:rPr>
        <w:t xml:space="preserve"> and accounting for both CAPEX and OPEX in network tariffs.</w:t>
      </w:r>
    </w:p>
    <w:p w14:paraId="5202E71F" w14:textId="5362D74B" w:rsidR="006D641B" w:rsidRPr="00AA1EED" w:rsidRDefault="006D641B" w:rsidP="006D641B">
      <w:pPr>
        <w:pStyle w:val="BodyA"/>
        <w:rPr>
          <w:noProof/>
          <w:lang w:val="en-GB"/>
        </w:rPr>
      </w:pPr>
      <w:r w:rsidRPr="00AA1EED">
        <w:rPr>
          <w:noProof/>
          <w:lang w:val="en-GB"/>
        </w:rPr>
        <w:t>However, such a major overhaul of tariff methodologies require</w:t>
      </w:r>
      <w:r w:rsidR="00967FFA">
        <w:rPr>
          <w:noProof/>
          <w:lang w:val="en-GB"/>
        </w:rPr>
        <w:t>s</w:t>
      </w:r>
      <w:r w:rsidRPr="00AA1EED">
        <w:rPr>
          <w:noProof/>
          <w:lang w:val="en-GB"/>
        </w:rPr>
        <w:t xml:space="preserve"> the right balance between, on the one hand, anticipating future infrastructure needs, accepting a higher degree of uncertainty that an infrastructure asset might not be fully utilised from its commissioning and allowing for the early recovery of the related costs on the one side, and, on the other, affordability for consumers who bear the costs through network tariffs. The </w:t>
      </w:r>
      <w:r w:rsidRPr="00AA1EED">
        <w:rPr>
          <w:b/>
          <w:bCs/>
          <w:noProof/>
          <w:lang w:val="en-GB"/>
        </w:rPr>
        <w:t>socio-economic welfare losses of delaying the network upgrades</w:t>
      </w:r>
      <w:r w:rsidRPr="00AA1EED">
        <w:rPr>
          <w:noProof/>
          <w:lang w:val="en-GB"/>
        </w:rPr>
        <w:t xml:space="preserve"> necessary to connect renewables and flexible demand will </w:t>
      </w:r>
      <w:r w:rsidRPr="00AA1EED">
        <w:rPr>
          <w:b/>
          <w:bCs/>
          <w:noProof/>
          <w:lang w:val="en-GB"/>
        </w:rPr>
        <w:t xml:space="preserve">frequently outweigh the additional </w:t>
      </w:r>
      <w:r w:rsidR="006721B4" w:rsidRPr="00AA1EED">
        <w:rPr>
          <w:b/>
          <w:bCs/>
          <w:noProof/>
          <w:lang w:val="en-GB"/>
        </w:rPr>
        <w:t xml:space="preserve">initial </w:t>
      </w:r>
      <w:r w:rsidRPr="00AA1EED">
        <w:rPr>
          <w:b/>
          <w:bCs/>
          <w:noProof/>
          <w:lang w:val="en-GB"/>
        </w:rPr>
        <w:t>cost</w:t>
      </w:r>
      <w:r w:rsidRPr="00AA1EED">
        <w:rPr>
          <w:noProof/>
          <w:lang w:val="en-GB"/>
        </w:rPr>
        <w:t xml:space="preserve"> of anticipatory investments. Moreover, given the long lifespan of network assets, significant cost reductions can occur in the future when today’s investments are done already considering upcoming needs.</w:t>
      </w:r>
    </w:p>
    <w:p w14:paraId="2012384A" w14:textId="2CB1506E" w:rsidR="00766D5D" w:rsidRPr="00AA1EED" w:rsidRDefault="00147117">
      <w:pPr>
        <w:pStyle w:val="Heading2"/>
        <w:rPr>
          <w:b w:val="0"/>
          <w:bCs w:val="0"/>
          <w:noProof/>
          <w:lang w:val="en-GB"/>
        </w:rPr>
      </w:pPr>
      <w:bookmarkStart w:id="12" w:name="_Hlk151469798"/>
      <w:r w:rsidRPr="00AA1EED">
        <w:rPr>
          <w:rFonts w:eastAsia="Arial Unicode MS" w:cs="Arial Unicode MS"/>
          <w:noProof/>
          <w:lang w:val="en-GB"/>
        </w:rPr>
        <w:t xml:space="preserve">Action 4: </w:t>
      </w:r>
      <w:bookmarkStart w:id="13" w:name="_Hlk148681926"/>
      <w:r w:rsidRPr="00AA1EED">
        <w:rPr>
          <w:rFonts w:eastAsia="Arial Unicode MS" w:cs="Arial Unicode MS"/>
          <w:noProof/>
          <w:lang w:val="en-GB"/>
        </w:rPr>
        <w:t xml:space="preserve">Commission to propose </w:t>
      </w:r>
      <w:r w:rsidR="006721B4" w:rsidRPr="002969BB">
        <w:rPr>
          <w:rFonts w:eastAsia="Arial Unicode MS" w:cs="Arial Unicode MS"/>
          <w:noProof/>
          <w:lang w:val="en-GB"/>
        </w:rPr>
        <w:t>guiding</w:t>
      </w:r>
      <w:r w:rsidR="006721B4" w:rsidRPr="00AA1EED">
        <w:rPr>
          <w:rFonts w:eastAsia="Arial Unicode MS" w:cs="Arial Unicode MS"/>
          <w:noProof/>
          <w:lang w:val="en-GB"/>
        </w:rPr>
        <w:t xml:space="preserve"> </w:t>
      </w:r>
      <w:r w:rsidR="00723010" w:rsidRPr="00AA1EED">
        <w:rPr>
          <w:rFonts w:eastAsia="Arial Unicode MS" w:cs="Arial Unicode MS"/>
          <w:noProof/>
          <w:lang w:val="en-GB"/>
        </w:rPr>
        <w:t xml:space="preserve">principles </w:t>
      </w:r>
      <w:r w:rsidRPr="00AA1EED">
        <w:rPr>
          <w:rFonts w:eastAsia="Arial Unicode MS" w:cs="Arial Unicode MS"/>
          <w:noProof/>
          <w:lang w:val="en-GB"/>
        </w:rPr>
        <w:t>identifying conditions under which anticipatory investments in grid projects should be granted</w:t>
      </w:r>
      <w:bookmarkEnd w:id="13"/>
    </w:p>
    <w:bookmarkEnd w:id="12"/>
    <w:p w14:paraId="760635E9" w14:textId="5FE0EF8D" w:rsidR="00766D5D" w:rsidRPr="00AA1EED" w:rsidRDefault="00147117" w:rsidP="00AC6FF0">
      <w:pPr>
        <w:pStyle w:val="BodyA"/>
        <w:rPr>
          <w:noProof/>
          <w:lang w:val="en-GB"/>
        </w:rPr>
      </w:pPr>
      <w:r w:rsidRPr="00AA1EED">
        <w:rPr>
          <w:noProof/>
          <w:lang w:val="en-GB"/>
        </w:rPr>
        <w:t xml:space="preserve">The electricity market design reform </w:t>
      </w:r>
      <w:r w:rsidR="009B0543" w:rsidRPr="00AA1EED">
        <w:rPr>
          <w:noProof/>
          <w:lang w:val="en-GB"/>
        </w:rPr>
        <w:t xml:space="preserve">proposal made by the Commission </w:t>
      </w:r>
      <w:r w:rsidR="00306294">
        <w:rPr>
          <w:noProof/>
          <w:lang w:val="en-GB"/>
        </w:rPr>
        <w:t xml:space="preserve">clearly indicates that </w:t>
      </w:r>
      <w:r w:rsidRPr="00AA1EED">
        <w:rPr>
          <w:noProof/>
          <w:lang w:val="en-GB"/>
        </w:rPr>
        <w:t>anticipatory investments</w:t>
      </w:r>
      <w:r w:rsidR="009772E4" w:rsidRPr="00AA1EED">
        <w:rPr>
          <w:noProof/>
          <w:lang w:val="en-GB"/>
        </w:rPr>
        <w:t xml:space="preserve"> </w:t>
      </w:r>
      <w:r w:rsidR="00306294">
        <w:rPr>
          <w:noProof/>
          <w:lang w:val="en-GB"/>
        </w:rPr>
        <w:t xml:space="preserve">should be used </w:t>
      </w:r>
      <w:r w:rsidR="009B0543" w:rsidRPr="00AA1EED">
        <w:rPr>
          <w:noProof/>
          <w:lang w:val="en-GB"/>
        </w:rPr>
        <w:t>for the relevant network projects</w:t>
      </w:r>
      <w:r w:rsidRPr="00AA1EED">
        <w:rPr>
          <w:noProof/>
          <w:lang w:val="en-GB"/>
        </w:rPr>
        <w:t xml:space="preserve">. </w:t>
      </w:r>
      <w:r w:rsidR="004D0181" w:rsidRPr="00AA1EED">
        <w:rPr>
          <w:noProof/>
          <w:lang w:val="en-GB"/>
        </w:rPr>
        <w:t xml:space="preserve">At the same time, its usage should remain proportional to the needs. </w:t>
      </w:r>
    </w:p>
    <w:p w14:paraId="674F3356" w14:textId="78E97A52" w:rsidR="00766D5D" w:rsidRPr="00AA1EED" w:rsidRDefault="00147117" w:rsidP="00AC6FF0">
      <w:pPr>
        <w:pStyle w:val="BodyA"/>
        <w:rPr>
          <w:noProof/>
          <w:lang w:val="en-GB"/>
        </w:rPr>
      </w:pPr>
      <w:r w:rsidRPr="00AA1EED">
        <w:rPr>
          <w:noProof/>
          <w:lang w:val="en-GB"/>
        </w:rPr>
        <w:t xml:space="preserve">Anticipatory investments can be relevant for example for investing in future-proof offshore networks that allow for future expansions </w:t>
      </w:r>
      <w:r w:rsidR="009772E4" w:rsidRPr="00AA1EED">
        <w:rPr>
          <w:noProof/>
          <w:lang w:val="en-GB"/>
        </w:rPr>
        <w:t>of</w:t>
      </w:r>
      <w:r w:rsidRPr="00AA1EED">
        <w:rPr>
          <w:noProof/>
          <w:lang w:val="en-GB"/>
        </w:rPr>
        <w:t xml:space="preserve"> meshed offshore grid</w:t>
      </w:r>
      <w:r w:rsidR="00107B5B" w:rsidRPr="00AA1EED">
        <w:rPr>
          <w:noProof/>
          <w:lang w:val="en-GB"/>
        </w:rPr>
        <w:t>s</w:t>
      </w:r>
      <w:r w:rsidRPr="00AA1EED">
        <w:rPr>
          <w:noProof/>
          <w:lang w:val="en-GB"/>
        </w:rPr>
        <w:t xml:space="preserve">; for areas with high untapped onshore PV potential such as renewable acceleration areas set in accordance with </w:t>
      </w:r>
      <w:r w:rsidR="00754C99" w:rsidRPr="00AA1EED">
        <w:rPr>
          <w:noProof/>
          <w:lang w:val="en-GB"/>
        </w:rPr>
        <w:t>RED</w:t>
      </w:r>
      <w:r w:rsidRPr="00AA1EED">
        <w:rPr>
          <w:noProof/>
          <w:lang w:val="en-GB"/>
        </w:rPr>
        <w:t xml:space="preserve">; </w:t>
      </w:r>
      <w:r w:rsidR="00E53AF7">
        <w:rPr>
          <w:noProof/>
          <w:lang w:val="en-GB"/>
        </w:rPr>
        <w:t xml:space="preserve">for grid connections to ports for the provision on shore-side electricity supply, </w:t>
      </w:r>
      <w:r w:rsidRPr="00AA1EED">
        <w:rPr>
          <w:noProof/>
          <w:lang w:val="en-GB"/>
        </w:rPr>
        <w:t>or for building smart grids that support EV infrastructure charging national plans</w:t>
      </w:r>
      <w:r w:rsidR="00CD4C8D" w:rsidRPr="00AA1EED">
        <w:rPr>
          <w:noProof/>
          <w:lang w:val="en-GB"/>
        </w:rPr>
        <w:t xml:space="preserve"> or municipal plans for heat pump rollout</w:t>
      </w:r>
      <w:r w:rsidRPr="00AA1EED">
        <w:rPr>
          <w:noProof/>
          <w:lang w:val="en-GB"/>
        </w:rPr>
        <w:t xml:space="preserve">. </w:t>
      </w:r>
    </w:p>
    <w:p w14:paraId="647168A5" w14:textId="0919AB55" w:rsidR="00766D5D" w:rsidRPr="00AA1EED" w:rsidRDefault="0089528C" w:rsidP="00AC6FF0">
      <w:pPr>
        <w:pStyle w:val="BodyA"/>
        <w:rPr>
          <w:noProof/>
          <w:lang w:val="en-GB"/>
        </w:rPr>
      </w:pPr>
      <w:r w:rsidRPr="00AA1EED">
        <w:rPr>
          <w:noProof/>
          <w:lang w:val="en-GB"/>
        </w:rPr>
        <w:t>Complementing the work on anticipatory investments being conducted by the Copenhagen Forum</w:t>
      </w:r>
      <w:r w:rsidR="005D0AC4" w:rsidRPr="00AA1EED">
        <w:rPr>
          <w:rStyle w:val="FootnoteReference"/>
          <w:noProof/>
          <w:lang w:val="en-GB"/>
        </w:rPr>
        <w:footnoteReference w:id="29"/>
      </w:r>
      <w:r w:rsidRPr="00AA1EED">
        <w:rPr>
          <w:noProof/>
          <w:lang w:val="en-GB"/>
        </w:rPr>
        <w:t>, t</w:t>
      </w:r>
      <w:r w:rsidR="00147117" w:rsidRPr="00AA1EED">
        <w:rPr>
          <w:noProof/>
          <w:lang w:val="en-GB"/>
        </w:rPr>
        <w:t>he Commission, with support from ACER, ENTSO-E and EU DSO Entity</w:t>
      </w:r>
      <w:r w:rsidR="00D36031">
        <w:rPr>
          <w:noProof/>
          <w:lang w:val="en-GB"/>
        </w:rPr>
        <w:t xml:space="preserve"> and in consultation with relevant stakeholders</w:t>
      </w:r>
      <w:r w:rsidR="00E53AF7">
        <w:rPr>
          <w:noProof/>
          <w:lang w:val="en-GB"/>
        </w:rPr>
        <w:t xml:space="preserve"> on both electricity supply and demand side</w:t>
      </w:r>
      <w:r w:rsidR="00D36031">
        <w:rPr>
          <w:noProof/>
          <w:lang w:val="en-GB"/>
        </w:rPr>
        <w:t>,</w:t>
      </w:r>
      <w:r w:rsidR="00147117" w:rsidRPr="00AA1EED">
        <w:rPr>
          <w:noProof/>
          <w:lang w:val="en-GB"/>
        </w:rPr>
        <w:t xml:space="preserve"> will </w:t>
      </w:r>
      <w:r w:rsidR="00C910A8" w:rsidRPr="00AA1EED">
        <w:rPr>
          <w:noProof/>
          <w:lang w:val="en-GB"/>
        </w:rPr>
        <w:t xml:space="preserve">by </w:t>
      </w:r>
      <w:r w:rsidR="0045118E">
        <w:rPr>
          <w:noProof/>
          <w:lang w:val="en-GB"/>
        </w:rPr>
        <w:t>Q1-2025</w:t>
      </w:r>
      <w:r w:rsidR="00C910A8" w:rsidRPr="00AA1EED">
        <w:rPr>
          <w:noProof/>
          <w:lang w:val="en-GB"/>
        </w:rPr>
        <w:t xml:space="preserve"> </w:t>
      </w:r>
      <w:r w:rsidR="00147117" w:rsidRPr="00AA1EED">
        <w:rPr>
          <w:noProof/>
          <w:lang w:val="en-GB"/>
        </w:rPr>
        <w:t>propose</w:t>
      </w:r>
      <w:r w:rsidR="002B78E2" w:rsidRPr="00AA1EED">
        <w:rPr>
          <w:noProof/>
          <w:lang w:val="en-GB"/>
        </w:rPr>
        <w:t xml:space="preserve"> </w:t>
      </w:r>
      <w:r w:rsidR="00452B91" w:rsidRPr="00377522">
        <w:rPr>
          <w:b/>
          <w:bCs/>
          <w:noProof/>
          <w:lang w:val="en-GB"/>
        </w:rPr>
        <w:t>guid</w:t>
      </w:r>
      <w:r w:rsidR="0045118E">
        <w:rPr>
          <w:b/>
          <w:bCs/>
          <w:noProof/>
          <w:lang w:val="en-GB"/>
        </w:rPr>
        <w:t>ance</w:t>
      </w:r>
      <w:r w:rsidR="002E09FF" w:rsidRPr="00AA1EED">
        <w:rPr>
          <w:b/>
          <w:bCs/>
          <w:noProof/>
          <w:lang w:val="en-GB"/>
        </w:rPr>
        <w:t xml:space="preserve"> </w:t>
      </w:r>
      <w:r w:rsidR="00147117" w:rsidRPr="00AA1EED">
        <w:rPr>
          <w:b/>
          <w:bCs/>
          <w:noProof/>
          <w:lang w:val="en-GB"/>
        </w:rPr>
        <w:t>identifying conditions under which the approval of anticipatory investments should</w:t>
      </w:r>
      <w:r w:rsidR="00B310B1" w:rsidRPr="00AA1EED">
        <w:rPr>
          <w:b/>
          <w:bCs/>
          <w:noProof/>
          <w:lang w:val="en-GB"/>
        </w:rPr>
        <w:t xml:space="preserve"> normally</w:t>
      </w:r>
      <w:r w:rsidR="00147117" w:rsidRPr="00AA1EED">
        <w:rPr>
          <w:b/>
          <w:bCs/>
          <w:noProof/>
          <w:lang w:val="en-GB"/>
        </w:rPr>
        <w:t xml:space="preserve"> be expected</w:t>
      </w:r>
      <w:r w:rsidR="00147117" w:rsidRPr="00AA1EED">
        <w:rPr>
          <w:noProof/>
          <w:lang w:val="en-GB"/>
        </w:rPr>
        <w:t>, taking into consideration different levels of development certainty of projects</w:t>
      </w:r>
      <w:r w:rsidR="00B310B1" w:rsidRPr="00AA1EED">
        <w:rPr>
          <w:noProof/>
          <w:lang w:val="en-GB"/>
        </w:rPr>
        <w:t xml:space="preserve"> and ways to address the different levels</w:t>
      </w:r>
      <w:r w:rsidR="00147117" w:rsidRPr="00AA1EED">
        <w:rPr>
          <w:noProof/>
          <w:lang w:val="en-GB"/>
        </w:rPr>
        <w:t xml:space="preserve">, such as </w:t>
      </w:r>
      <w:r w:rsidR="00B310B1" w:rsidRPr="00AA1EED">
        <w:rPr>
          <w:noProof/>
          <w:lang w:val="en-GB"/>
        </w:rPr>
        <w:t xml:space="preserve">via the </w:t>
      </w:r>
      <w:r w:rsidR="00147117" w:rsidRPr="00AA1EED">
        <w:rPr>
          <w:noProof/>
          <w:lang w:val="en-GB"/>
        </w:rPr>
        <w:t>conditional provision of the anticipatory investment</w:t>
      </w:r>
      <w:r w:rsidR="00B310B1" w:rsidRPr="00AA1EED">
        <w:rPr>
          <w:noProof/>
          <w:lang w:val="en-GB"/>
        </w:rPr>
        <w:t>s</w:t>
      </w:r>
      <w:r w:rsidR="00147117" w:rsidRPr="00AA1EED">
        <w:rPr>
          <w:noProof/>
          <w:lang w:val="en-GB"/>
        </w:rPr>
        <w:t>.</w:t>
      </w:r>
    </w:p>
    <w:p w14:paraId="6DC86C30" w14:textId="67CE1446" w:rsidR="00766D5D" w:rsidRPr="00AA1EED" w:rsidRDefault="00147117">
      <w:pPr>
        <w:pStyle w:val="Heading2"/>
        <w:rPr>
          <w:b w:val="0"/>
          <w:bCs w:val="0"/>
          <w:noProof/>
          <w:lang w:val="en-GB"/>
        </w:rPr>
      </w:pPr>
      <w:bookmarkStart w:id="14" w:name="_Hlk151469804"/>
      <w:r w:rsidRPr="00AA1EED">
        <w:rPr>
          <w:rFonts w:eastAsia="Arial Unicode MS" w:cs="Arial Unicode MS"/>
          <w:noProof/>
          <w:lang w:val="en-GB"/>
        </w:rPr>
        <w:t xml:space="preserve">Action 5: </w:t>
      </w:r>
      <w:bookmarkStart w:id="15" w:name="_Hlk148681973"/>
      <w:r w:rsidRPr="00AA1EED">
        <w:rPr>
          <w:rFonts w:eastAsia="Arial Unicode MS" w:cs="Arial Unicode MS"/>
          <w:noProof/>
          <w:lang w:val="en-GB"/>
        </w:rPr>
        <w:t xml:space="preserve">Commission to issue guidance on cross-border cost sharing </w:t>
      </w:r>
      <w:r w:rsidR="009772E4" w:rsidRPr="00AA1EED">
        <w:rPr>
          <w:rFonts w:eastAsia="Arial Unicode MS" w:cs="Arial Unicode MS"/>
          <w:noProof/>
          <w:lang w:val="en-GB"/>
        </w:rPr>
        <w:t>for offshore projects</w:t>
      </w:r>
      <w:bookmarkEnd w:id="14"/>
      <w:bookmarkEnd w:id="15"/>
    </w:p>
    <w:p w14:paraId="3CEB5D02" w14:textId="01370FE4" w:rsidR="00766D5D" w:rsidRPr="00AA1EED" w:rsidRDefault="00147117" w:rsidP="00F7784F">
      <w:pPr>
        <w:pStyle w:val="Body"/>
        <w:spacing w:after="240" w:line="240" w:lineRule="auto"/>
        <w:jc w:val="both"/>
        <w:rPr>
          <w:rFonts w:ascii="Times New Roman" w:eastAsia="Times New Roman" w:hAnsi="Times New Roman" w:cs="Times New Roman"/>
          <w:noProof/>
          <w:sz w:val="24"/>
          <w:szCs w:val="24"/>
          <w:lang w:val="en-GB"/>
        </w:rPr>
      </w:pPr>
      <w:r w:rsidRPr="00AA1EED">
        <w:rPr>
          <w:rFonts w:ascii="Times New Roman" w:hAnsi="Times New Roman"/>
          <w:b/>
          <w:bCs/>
          <w:noProof/>
          <w:sz w:val="24"/>
          <w:szCs w:val="24"/>
          <w:lang w:val="en-GB"/>
        </w:rPr>
        <w:t>Offshore networks</w:t>
      </w:r>
      <w:r w:rsidRPr="00AA1EED">
        <w:rPr>
          <w:rFonts w:ascii="Times New Roman" w:hAnsi="Times New Roman"/>
          <w:noProof/>
          <w:sz w:val="24"/>
          <w:szCs w:val="24"/>
          <w:lang w:val="en-GB"/>
        </w:rPr>
        <w:t xml:space="preserve"> will be composed of radial and hybrid transmission projects evolving towards a future meshed grid. The connection of energy islands and other large offshore projects will bring </w:t>
      </w:r>
      <w:r w:rsidR="00DF3328" w:rsidRPr="00AA1EED">
        <w:rPr>
          <w:rFonts w:ascii="Times New Roman" w:hAnsi="Times New Roman"/>
          <w:noProof/>
          <w:sz w:val="24"/>
          <w:szCs w:val="24"/>
          <w:lang w:val="en-GB"/>
        </w:rPr>
        <w:t xml:space="preserve">large </w:t>
      </w:r>
      <w:r w:rsidRPr="00AA1EED">
        <w:rPr>
          <w:rFonts w:ascii="Times New Roman" w:hAnsi="Times New Roman"/>
          <w:noProof/>
          <w:sz w:val="24"/>
          <w:szCs w:val="24"/>
          <w:lang w:val="en-GB"/>
        </w:rPr>
        <w:t xml:space="preserve">benefits to society, likely to extend beyond the borders of the hosting countries. This poses challenges in agreeing on the </w:t>
      </w:r>
      <w:r w:rsidRPr="00AA1EED">
        <w:rPr>
          <w:rFonts w:ascii="Times New Roman" w:hAnsi="Times New Roman"/>
          <w:b/>
          <w:bCs/>
          <w:noProof/>
          <w:sz w:val="24"/>
          <w:szCs w:val="24"/>
          <w:lang w:val="en-GB"/>
        </w:rPr>
        <w:t>appropriate sharing of costs</w:t>
      </w:r>
      <w:r w:rsidRPr="00AA1EED">
        <w:rPr>
          <w:rFonts w:ascii="Times New Roman" w:hAnsi="Times New Roman"/>
          <w:noProof/>
          <w:sz w:val="24"/>
          <w:szCs w:val="24"/>
          <w:lang w:val="en-GB"/>
        </w:rPr>
        <w:t xml:space="preserve">, </w:t>
      </w:r>
      <w:r w:rsidR="00472A02" w:rsidRPr="00AA1EED">
        <w:rPr>
          <w:rFonts w:ascii="Times New Roman" w:hAnsi="Times New Roman"/>
          <w:noProof/>
          <w:sz w:val="24"/>
          <w:szCs w:val="24"/>
          <w:lang w:val="en-GB"/>
        </w:rPr>
        <w:t>taking into account consumer and producer benefits but also the inherent uncertainty of future investments and their timing</w:t>
      </w:r>
      <w:r w:rsidRPr="00AA1EED">
        <w:rPr>
          <w:rFonts w:ascii="Times New Roman" w:hAnsi="Times New Roman"/>
          <w:noProof/>
          <w:sz w:val="24"/>
          <w:szCs w:val="24"/>
          <w:lang w:val="en-GB"/>
        </w:rPr>
        <w:t xml:space="preserve">. Hybrid projects </w:t>
      </w:r>
      <w:r w:rsidR="007F1D80" w:rsidRPr="00AA1EED">
        <w:rPr>
          <w:rFonts w:ascii="Times New Roman" w:hAnsi="Times New Roman"/>
          <w:noProof/>
          <w:sz w:val="24"/>
          <w:szCs w:val="24"/>
          <w:lang w:val="en-GB"/>
        </w:rPr>
        <w:t xml:space="preserve">that interconnect countries while connecting offshore renewables </w:t>
      </w:r>
      <w:r w:rsidRPr="00AA1EED">
        <w:rPr>
          <w:rFonts w:ascii="Times New Roman" w:hAnsi="Times New Roman"/>
          <w:noProof/>
          <w:sz w:val="24"/>
          <w:szCs w:val="24"/>
          <w:lang w:val="en-GB"/>
        </w:rPr>
        <w:t xml:space="preserve">will face additional particularities. </w:t>
      </w:r>
      <w:r w:rsidR="00BB5348" w:rsidRPr="00AA1EED">
        <w:rPr>
          <w:rFonts w:ascii="Times New Roman" w:hAnsi="Times New Roman"/>
          <w:noProof/>
          <w:sz w:val="24"/>
          <w:szCs w:val="24"/>
          <w:lang w:val="en-GB"/>
        </w:rPr>
        <w:t>This will also require increasing transport infrastructure from coastal regions towards landlocked regions in Europe to unblock a larger number of onshore and offshore wind projects.</w:t>
      </w:r>
    </w:p>
    <w:p w14:paraId="2C5BDB09" w14:textId="38CEA05D" w:rsidR="00766D5D" w:rsidRPr="00AA1EED" w:rsidRDefault="00147117" w:rsidP="00AC6FF0">
      <w:pPr>
        <w:pStyle w:val="Body"/>
        <w:spacing w:after="240" w:line="240" w:lineRule="auto"/>
        <w:jc w:val="both"/>
        <w:rPr>
          <w:rFonts w:ascii="Times New Roman" w:hAnsi="Times New Roman"/>
          <w:noProof/>
          <w:sz w:val="24"/>
          <w:szCs w:val="24"/>
          <w:lang w:val="en-GB"/>
        </w:rPr>
      </w:pPr>
      <w:r w:rsidRPr="00AA1EED">
        <w:rPr>
          <w:rFonts w:ascii="Times New Roman" w:hAnsi="Times New Roman"/>
          <w:noProof/>
          <w:sz w:val="24"/>
          <w:szCs w:val="24"/>
          <w:lang w:val="en-GB"/>
        </w:rPr>
        <w:t xml:space="preserve">Taking into consideration the offshore network development needs, Member States and regulatory authorities </w:t>
      </w:r>
      <w:r w:rsidR="00703CB4" w:rsidRPr="00AA1EED">
        <w:rPr>
          <w:rFonts w:ascii="Times New Roman" w:hAnsi="Times New Roman"/>
          <w:noProof/>
          <w:sz w:val="24"/>
          <w:szCs w:val="24"/>
          <w:lang w:val="en-GB"/>
        </w:rPr>
        <w:t xml:space="preserve">should </w:t>
      </w:r>
      <w:r w:rsidR="009772E4" w:rsidRPr="00AA1EED">
        <w:rPr>
          <w:rFonts w:ascii="Times New Roman" w:hAnsi="Times New Roman"/>
          <w:noProof/>
          <w:sz w:val="24"/>
          <w:szCs w:val="24"/>
          <w:lang w:val="en-GB"/>
        </w:rPr>
        <w:t xml:space="preserve">engage in discussions </w:t>
      </w:r>
      <w:r w:rsidRPr="00AA1EED">
        <w:rPr>
          <w:rFonts w:ascii="Times New Roman" w:hAnsi="Times New Roman"/>
          <w:noProof/>
          <w:sz w:val="24"/>
          <w:szCs w:val="24"/>
          <w:lang w:val="en-GB"/>
        </w:rPr>
        <w:t>on principles for collaboration – including on costs – already at the stage of identifying the network needs</w:t>
      </w:r>
      <w:r w:rsidR="00BB0A2B" w:rsidRPr="00AA1EED">
        <w:rPr>
          <w:rFonts w:ascii="Times New Roman" w:hAnsi="Times New Roman"/>
          <w:noProof/>
          <w:sz w:val="24"/>
          <w:szCs w:val="24"/>
          <w:lang w:val="en-GB"/>
        </w:rPr>
        <w:t xml:space="preserve"> to </w:t>
      </w:r>
      <w:r w:rsidRPr="00AA1EED">
        <w:rPr>
          <w:rFonts w:ascii="Times New Roman" w:hAnsi="Times New Roman"/>
          <w:noProof/>
          <w:sz w:val="24"/>
          <w:szCs w:val="24"/>
          <w:lang w:val="en-GB"/>
        </w:rPr>
        <w:t>accelerat</w:t>
      </w:r>
      <w:r w:rsidR="00BB0A2B" w:rsidRPr="00AA1EED">
        <w:rPr>
          <w:rFonts w:ascii="Times New Roman" w:hAnsi="Times New Roman"/>
          <w:noProof/>
          <w:sz w:val="24"/>
          <w:szCs w:val="24"/>
          <w:lang w:val="en-GB"/>
        </w:rPr>
        <w:t>e</w:t>
      </w:r>
      <w:r w:rsidRPr="00AA1EED">
        <w:rPr>
          <w:rFonts w:ascii="Times New Roman" w:hAnsi="Times New Roman"/>
          <w:noProof/>
          <w:sz w:val="24"/>
          <w:szCs w:val="24"/>
          <w:lang w:val="en-GB"/>
        </w:rPr>
        <w:t xml:space="preserve"> the emergence of new cross-border projects. ENTSO-E </w:t>
      </w:r>
      <w:r w:rsidR="000450BB" w:rsidRPr="00AA1EED">
        <w:rPr>
          <w:rFonts w:ascii="Times New Roman" w:hAnsi="Times New Roman"/>
          <w:noProof/>
          <w:sz w:val="24"/>
          <w:szCs w:val="24"/>
          <w:lang w:val="en-GB"/>
        </w:rPr>
        <w:t xml:space="preserve">should </w:t>
      </w:r>
      <w:r w:rsidRPr="00AA1EED">
        <w:rPr>
          <w:rFonts w:ascii="Times New Roman" w:hAnsi="Times New Roman"/>
          <w:noProof/>
          <w:sz w:val="24"/>
          <w:szCs w:val="24"/>
          <w:lang w:val="en-GB"/>
        </w:rPr>
        <w:t xml:space="preserve">further develop </w:t>
      </w:r>
      <w:r w:rsidR="000450BB" w:rsidRPr="00AA1EED">
        <w:rPr>
          <w:rFonts w:ascii="Times New Roman" w:hAnsi="Times New Roman"/>
          <w:noProof/>
          <w:sz w:val="24"/>
          <w:szCs w:val="24"/>
          <w:lang w:val="en-GB"/>
        </w:rPr>
        <w:t xml:space="preserve">effective </w:t>
      </w:r>
      <w:r w:rsidRPr="00AA1EED">
        <w:rPr>
          <w:rFonts w:ascii="Times New Roman" w:hAnsi="Times New Roman"/>
          <w:noProof/>
          <w:sz w:val="24"/>
          <w:szCs w:val="24"/>
          <w:lang w:val="en-GB"/>
        </w:rPr>
        <w:t xml:space="preserve">modelling tools to better account for Member States’ needs for information relevant to kickstart such exchanges. Moreover, current approaches on cost allocation </w:t>
      </w:r>
      <w:r w:rsidR="000450BB" w:rsidRPr="00AA1EED">
        <w:rPr>
          <w:rFonts w:ascii="Times New Roman" w:hAnsi="Times New Roman"/>
          <w:noProof/>
          <w:sz w:val="24"/>
          <w:szCs w:val="24"/>
          <w:lang w:val="en-GB"/>
        </w:rPr>
        <w:t>sh</w:t>
      </w:r>
      <w:r w:rsidRPr="00AA1EED">
        <w:rPr>
          <w:rFonts w:ascii="Times New Roman" w:hAnsi="Times New Roman"/>
          <w:noProof/>
          <w:sz w:val="24"/>
          <w:szCs w:val="24"/>
          <w:lang w:val="en-GB"/>
        </w:rPr>
        <w:t>ould consider new complexities, such as offshore hybrid</w:t>
      </w:r>
      <w:r w:rsidR="007F1D80" w:rsidRPr="00AA1EED">
        <w:rPr>
          <w:rFonts w:ascii="Times New Roman" w:hAnsi="Times New Roman"/>
          <w:noProof/>
          <w:sz w:val="24"/>
          <w:szCs w:val="24"/>
          <w:lang w:val="en-GB"/>
        </w:rPr>
        <w:t xml:space="preserve"> project</w:t>
      </w:r>
      <w:r w:rsidRPr="00AA1EED">
        <w:rPr>
          <w:rFonts w:ascii="Times New Roman" w:hAnsi="Times New Roman"/>
          <w:noProof/>
          <w:sz w:val="24"/>
          <w:szCs w:val="24"/>
          <w:lang w:val="en-GB"/>
        </w:rPr>
        <w:t xml:space="preserve">s. The Commission will address these challenges in a </w:t>
      </w:r>
      <w:r w:rsidRPr="00AA1EED">
        <w:rPr>
          <w:rFonts w:ascii="Times New Roman" w:hAnsi="Times New Roman"/>
          <w:b/>
          <w:bCs/>
          <w:noProof/>
          <w:sz w:val="24"/>
          <w:szCs w:val="24"/>
          <w:lang w:val="en-GB"/>
        </w:rPr>
        <w:t>guidance aiming to support Member States and NRAs</w:t>
      </w:r>
      <w:r w:rsidRPr="00AA1EED">
        <w:rPr>
          <w:rFonts w:ascii="Times New Roman" w:hAnsi="Times New Roman"/>
          <w:noProof/>
          <w:sz w:val="24"/>
          <w:szCs w:val="24"/>
          <w:lang w:val="en-GB"/>
        </w:rPr>
        <w:t xml:space="preserve"> in such activities</w:t>
      </w:r>
      <w:r w:rsidR="00703CB4" w:rsidRPr="00AA1EED">
        <w:rPr>
          <w:rFonts w:ascii="Times New Roman" w:hAnsi="Times New Roman"/>
          <w:noProof/>
          <w:sz w:val="24"/>
          <w:szCs w:val="24"/>
          <w:lang w:val="en-GB"/>
        </w:rPr>
        <w:t xml:space="preserve"> by </w:t>
      </w:r>
      <w:r w:rsidR="00703CB4" w:rsidRPr="00377522">
        <w:rPr>
          <w:rFonts w:ascii="Times New Roman" w:hAnsi="Times New Roman"/>
          <w:b/>
          <w:noProof/>
          <w:sz w:val="24"/>
          <w:lang w:val="en-GB"/>
        </w:rPr>
        <w:t>June 2024</w:t>
      </w:r>
      <w:r w:rsidRPr="00AA1EED">
        <w:rPr>
          <w:rFonts w:ascii="Times New Roman" w:hAnsi="Times New Roman"/>
          <w:noProof/>
          <w:sz w:val="24"/>
          <w:szCs w:val="24"/>
          <w:lang w:val="en-GB"/>
        </w:rPr>
        <w:t>.</w:t>
      </w:r>
      <w:r w:rsidR="000958F8">
        <w:rPr>
          <w:rFonts w:ascii="Times New Roman" w:hAnsi="Times New Roman"/>
          <w:noProof/>
          <w:sz w:val="24"/>
          <w:szCs w:val="24"/>
          <w:lang w:val="en-GB"/>
        </w:rPr>
        <w:t xml:space="preserve"> Dedicated </w:t>
      </w:r>
      <w:r w:rsidR="000958F8" w:rsidRPr="000958F8">
        <w:rPr>
          <w:rFonts w:ascii="Times New Roman" w:hAnsi="Times New Roman"/>
          <w:noProof/>
          <w:sz w:val="24"/>
          <w:szCs w:val="24"/>
          <w:lang w:val="en-GB"/>
        </w:rPr>
        <w:t xml:space="preserve">meetings </w:t>
      </w:r>
      <w:r w:rsidR="000958F8">
        <w:rPr>
          <w:rFonts w:ascii="Times New Roman" w:hAnsi="Times New Roman"/>
          <w:noProof/>
          <w:sz w:val="24"/>
          <w:szCs w:val="24"/>
          <w:lang w:val="en-GB"/>
        </w:rPr>
        <w:t xml:space="preserve">with </w:t>
      </w:r>
      <w:r w:rsidR="00E34454">
        <w:rPr>
          <w:rFonts w:ascii="Times New Roman" w:hAnsi="Times New Roman"/>
          <w:noProof/>
          <w:sz w:val="24"/>
          <w:szCs w:val="24"/>
          <w:lang w:val="en-GB"/>
        </w:rPr>
        <w:t>Member States</w:t>
      </w:r>
      <w:r w:rsidR="000958F8">
        <w:rPr>
          <w:rFonts w:ascii="Times New Roman" w:hAnsi="Times New Roman"/>
          <w:noProof/>
          <w:sz w:val="24"/>
          <w:szCs w:val="24"/>
          <w:lang w:val="en-GB"/>
        </w:rPr>
        <w:t xml:space="preserve"> </w:t>
      </w:r>
      <w:r w:rsidR="000958F8" w:rsidRPr="000958F8">
        <w:rPr>
          <w:rFonts w:ascii="Times New Roman" w:hAnsi="Times New Roman"/>
          <w:noProof/>
          <w:sz w:val="24"/>
          <w:szCs w:val="24"/>
          <w:lang w:val="en-GB"/>
        </w:rPr>
        <w:t>at political and technical level</w:t>
      </w:r>
      <w:r w:rsidR="000958F8">
        <w:rPr>
          <w:rFonts w:ascii="Times New Roman" w:hAnsi="Times New Roman"/>
          <w:noProof/>
          <w:sz w:val="24"/>
          <w:szCs w:val="24"/>
          <w:lang w:val="en-GB"/>
        </w:rPr>
        <w:t>s will steer the work on cost sharing</w:t>
      </w:r>
      <w:r w:rsidR="00950208">
        <w:rPr>
          <w:rFonts w:ascii="Times New Roman" w:hAnsi="Times New Roman"/>
          <w:noProof/>
          <w:sz w:val="24"/>
          <w:szCs w:val="24"/>
          <w:lang w:val="en-GB"/>
        </w:rPr>
        <w:t xml:space="preserve"> </w:t>
      </w:r>
      <w:r w:rsidR="000958F8">
        <w:rPr>
          <w:rFonts w:ascii="Times New Roman" w:hAnsi="Times New Roman"/>
          <w:noProof/>
          <w:sz w:val="24"/>
          <w:szCs w:val="24"/>
          <w:lang w:val="en-GB"/>
        </w:rPr>
        <w:t>.</w:t>
      </w:r>
      <w:r w:rsidR="00472A02" w:rsidRPr="00AA1EED">
        <w:rPr>
          <w:rFonts w:ascii="Times New Roman" w:hAnsi="Times New Roman"/>
          <w:noProof/>
          <w:sz w:val="24"/>
          <w:szCs w:val="24"/>
          <w:lang w:val="en-GB"/>
        </w:rPr>
        <w:t xml:space="preserve"> In addition, the Commission will organise a series of meetings with Member States to exchange ideas and </w:t>
      </w:r>
      <w:r w:rsidR="00472A02" w:rsidRPr="00377522">
        <w:rPr>
          <w:rFonts w:ascii="Times New Roman" w:hAnsi="Times New Roman"/>
          <w:noProof/>
          <w:sz w:val="24"/>
          <w:lang w:val="en-GB"/>
        </w:rPr>
        <w:t>support</w:t>
      </w:r>
      <w:r w:rsidR="00472A02" w:rsidRPr="00AA1EED">
        <w:rPr>
          <w:rFonts w:ascii="Times New Roman" w:hAnsi="Times New Roman"/>
          <w:noProof/>
          <w:sz w:val="24"/>
          <w:szCs w:val="24"/>
          <w:lang w:val="en-GB"/>
        </w:rPr>
        <w:t xml:space="preserve"> them in </w:t>
      </w:r>
      <w:r w:rsidR="00A6450A" w:rsidRPr="00AA1EED">
        <w:rPr>
          <w:rFonts w:ascii="Times New Roman" w:hAnsi="Times New Roman"/>
          <w:noProof/>
          <w:sz w:val="24"/>
          <w:szCs w:val="24"/>
          <w:lang w:val="en-GB"/>
        </w:rPr>
        <w:t>finding</w:t>
      </w:r>
      <w:r w:rsidR="00472A02" w:rsidRPr="00AA1EED">
        <w:rPr>
          <w:rFonts w:ascii="Times New Roman" w:hAnsi="Times New Roman"/>
          <w:noProof/>
          <w:sz w:val="24"/>
          <w:szCs w:val="24"/>
          <w:lang w:val="en-GB"/>
        </w:rPr>
        <w:t xml:space="preserve"> agreements </w:t>
      </w:r>
      <w:r w:rsidR="00472A02" w:rsidRPr="00377522">
        <w:rPr>
          <w:rFonts w:ascii="Times New Roman" w:hAnsi="Times New Roman"/>
          <w:noProof/>
          <w:sz w:val="24"/>
          <w:lang w:val="en-GB"/>
        </w:rPr>
        <w:t>on particular projects</w:t>
      </w:r>
      <w:r w:rsidR="00472A02" w:rsidRPr="00AA1EED">
        <w:rPr>
          <w:rFonts w:ascii="Times New Roman" w:hAnsi="Times New Roman"/>
          <w:noProof/>
          <w:sz w:val="24"/>
          <w:szCs w:val="24"/>
          <w:lang w:val="en-GB"/>
        </w:rPr>
        <w:t>.</w:t>
      </w:r>
    </w:p>
    <w:p w14:paraId="1C67C7D4" w14:textId="2DB4016F" w:rsidR="009C1B13" w:rsidRPr="00AA1EED" w:rsidRDefault="009C1B13" w:rsidP="00F7784F">
      <w:pPr>
        <w:pStyle w:val="ListParagraph"/>
        <w:keepNext/>
        <w:numPr>
          <w:ilvl w:val="0"/>
          <w:numId w:val="16"/>
        </w:numPr>
        <w:spacing w:before="360" w:after="160"/>
        <w:rPr>
          <w:rFonts w:ascii="Times New Roman" w:hAnsi="Times New Roman"/>
          <w:b/>
          <w:bCs/>
          <w:i/>
          <w:iCs/>
          <w:noProof/>
          <w:sz w:val="24"/>
          <w:szCs w:val="24"/>
          <w:lang w:val="en-GB"/>
        </w:rPr>
      </w:pPr>
      <w:bookmarkStart w:id="16" w:name="_Hlk151469811"/>
      <w:r w:rsidRPr="00AA1EED">
        <w:rPr>
          <w:rFonts w:ascii="Times New Roman" w:hAnsi="Times New Roman"/>
          <w:b/>
          <w:bCs/>
          <w:i/>
          <w:iCs/>
          <w:noProof/>
          <w:sz w:val="24"/>
          <w:szCs w:val="24"/>
          <w:u w:val="single"/>
          <w:lang w:val="en-GB"/>
        </w:rPr>
        <w:t xml:space="preserve">INCENTIVISING A BETTER USAGE OF THE GRIDS </w:t>
      </w:r>
    </w:p>
    <w:bookmarkEnd w:id="16"/>
    <w:p w14:paraId="6DFD1BBE" w14:textId="3F2B20F2" w:rsidR="00E969DD" w:rsidRPr="00AA1EED" w:rsidRDefault="00E969DD" w:rsidP="0081332B">
      <w:pPr>
        <w:spacing w:after="120"/>
        <w:jc w:val="both"/>
        <w:rPr>
          <w:noProof/>
          <w:lang w:val="en-GB"/>
        </w:rPr>
      </w:pPr>
      <w:r w:rsidRPr="00AA1EED">
        <w:rPr>
          <w:noProof/>
          <w:lang w:val="en-GB"/>
        </w:rPr>
        <w:t>Queues on grid connections caus</w:t>
      </w:r>
      <w:r w:rsidR="00472348" w:rsidRPr="00AA1EED">
        <w:rPr>
          <w:noProof/>
          <w:lang w:val="en-GB"/>
        </w:rPr>
        <w:t>e</w:t>
      </w:r>
      <w:r w:rsidRPr="00AA1EED">
        <w:rPr>
          <w:noProof/>
          <w:lang w:val="en-GB"/>
        </w:rPr>
        <w:t xml:space="preserve"> long delays in bringing renewables on stream. </w:t>
      </w:r>
      <w:r w:rsidR="00475182" w:rsidRPr="00AA1EED">
        <w:rPr>
          <w:noProof/>
          <w:lang w:val="en-GB"/>
        </w:rPr>
        <w:t xml:space="preserve">These are often the result of insufficient information for project promoters but also of the modalities of the permitting process. Thus, </w:t>
      </w:r>
      <w:r w:rsidR="00090F62" w:rsidRPr="00AA1EED">
        <w:rPr>
          <w:noProof/>
          <w:lang w:val="en-GB"/>
        </w:rPr>
        <w:t>bringing</w:t>
      </w:r>
      <w:r w:rsidRPr="00AA1EED">
        <w:rPr>
          <w:noProof/>
          <w:lang w:val="en-GB"/>
        </w:rPr>
        <w:t xml:space="preserve"> visibility on available grid capacities helps directing connection requests to where they can be dealt with most readily. Many system operators have made grid hosting capacity maps available, but with divergent clarity and quality</w:t>
      </w:r>
      <w:r w:rsidRPr="00AA1EED">
        <w:rPr>
          <w:rFonts w:eastAsia="Times New Roman"/>
          <w:noProof/>
          <w:vertAlign w:val="superscript"/>
          <w:lang w:val="en-GB"/>
        </w:rPr>
        <w:footnoteReference w:id="30"/>
      </w:r>
      <w:r w:rsidRPr="00AA1EED">
        <w:rPr>
          <w:noProof/>
          <w:lang w:val="en-GB"/>
        </w:rPr>
        <w:t>.</w:t>
      </w:r>
      <w:r w:rsidR="00475182" w:rsidRPr="00AA1EED">
        <w:rPr>
          <w:noProof/>
          <w:lang w:val="en-GB"/>
        </w:rPr>
        <w:t xml:space="preserve"> On the other hand, some administrations have pioneered practical ways to prioritise applications or disincentivise abusive demands, thus helping to reduce the backlog and cut waiting times. </w:t>
      </w:r>
    </w:p>
    <w:p w14:paraId="221E2FA7" w14:textId="749BB116" w:rsidR="00E969DD" w:rsidRPr="00AA1EED" w:rsidRDefault="009A3860" w:rsidP="0081332B">
      <w:pPr>
        <w:spacing w:after="120"/>
        <w:jc w:val="both"/>
        <w:rPr>
          <w:noProof/>
          <w:lang w:val="en-GB"/>
        </w:rPr>
      </w:pPr>
      <w:r w:rsidRPr="00AA1EED">
        <w:rPr>
          <w:noProof/>
          <w:lang w:val="en-GB"/>
        </w:rPr>
        <w:t>To</w:t>
      </w:r>
      <w:r w:rsidR="00A05F39" w:rsidRPr="00AA1EED">
        <w:rPr>
          <w:noProof/>
          <w:lang w:val="en-GB"/>
        </w:rPr>
        <w:t xml:space="preserve"> improve the usage of existing grids</w:t>
      </w:r>
      <w:r w:rsidR="006721B4" w:rsidRPr="00AA1EED">
        <w:rPr>
          <w:noProof/>
          <w:lang w:val="en-GB"/>
        </w:rPr>
        <w:t>, project</w:t>
      </w:r>
      <w:r w:rsidR="00A05F39" w:rsidRPr="00AA1EED">
        <w:rPr>
          <w:noProof/>
          <w:lang w:val="en-GB"/>
        </w:rPr>
        <w:t xml:space="preserve"> p</w:t>
      </w:r>
      <w:r w:rsidR="00E969DD" w:rsidRPr="00AA1EED">
        <w:rPr>
          <w:noProof/>
          <w:lang w:val="en-GB"/>
        </w:rPr>
        <w:t>romoters’ lack of awareness of the rapid evolution of technologies for smart and efficient grids</w:t>
      </w:r>
      <w:r w:rsidR="00472348" w:rsidRPr="00AA1EED">
        <w:rPr>
          <w:noProof/>
          <w:lang w:val="en-GB"/>
        </w:rPr>
        <w:t xml:space="preserve"> needs to be addressed</w:t>
      </w:r>
      <w:r w:rsidR="00E969DD" w:rsidRPr="00AA1EED">
        <w:rPr>
          <w:noProof/>
          <w:lang w:val="en-GB"/>
        </w:rPr>
        <w:t xml:space="preserve">, including </w:t>
      </w:r>
      <w:r w:rsidR="00F05315" w:rsidRPr="00AA1EED">
        <w:rPr>
          <w:noProof/>
          <w:lang w:val="en-GB"/>
        </w:rPr>
        <w:t xml:space="preserve">technologies </w:t>
      </w:r>
      <w:r w:rsidR="00E969DD" w:rsidRPr="00AA1EED">
        <w:rPr>
          <w:noProof/>
          <w:lang w:val="en-GB"/>
        </w:rPr>
        <w:t>promoted by Horizon Europe, their degree of utilisation across Europe and the benefits already provided to other projects.</w:t>
      </w:r>
    </w:p>
    <w:p w14:paraId="7B16D53C" w14:textId="40685D5C" w:rsidR="00E969DD" w:rsidRPr="00AA1EED" w:rsidRDefault="00A05F39" w:rsidP="0081332B">
      <w:pPr>
        <w:spacing w:after="240"/>
        <w:jc w:val="both"/>
        <w:rPr>
          <w:noProof/>
          <w:lang w:val="en-GB"/>
        </w:rPr>
      </w:pPr>
      <w:r w:rsidRPr="00AA1EED">
        <w:rPr>
          <w:noProof/>
          <w:lang w:val="en-GB"/>
        </w:rPr>
        <w:t>Finally, there are i</w:t>
      </w:r>
      <w:r w:rsidR="00E969DD" w:rsidRPr="00AA1EED">
        <w:rPr>
          <w:noProof/>
          <w:lang w:val="en-GB"/>
        </w:rPr>
        <w:t xml:space="preserve">nsufficient incentives for the uptake of smart grid, network efficiency and innovative technologies due to prevailing tariff structures with a focus on CAPEX. Insufficient compensation of OPEX as </w:t>
      </w:r>
      <w:r w:rsidR="00E877C0" w:rsidRPr="00AA1EED">
        <w:rPr>
          <w:noProof/>
          <w:lang w:val="en-GB"/>
        </w:rPr>
        <w:t xml:space="preserve">so far </w:t>
      </w:r>
      <w:r w:rsidR="00090F62" w:rsidRPr="00AA1EED">
        <w:rPr>
          <w:noProof/>
          <w:lang w:val="en-GB"/>
        </w:rPr>
        <w:t xml:space="preserve">largely </w:t>
      </w:r>
      <w:r w:rsidR="00E969DD" w:rsidRPr="00AA1EED">
        <w:rPr>
          <w:noProof/>
          <w:lang w:val="en-GB"/>
        </w:rPr>
        <w:t xml:space="preserve">linked to human resource costs </w:t>
      </w:r>
      <w:r w:rsidR="00D40E81" w:rsidRPr="00AA1EED">
        <w:rPr>
          <w:noProof/>
          <w:lang w:val="en-GB"/>
        </w:rPr>
        <w:t xml:space="preserve">does not adequately reflect </w:t>
      </w:r>
      <w:r w:rsidR="00E969DD" w:rsidRPr="00AA1EED">
        <w:rPr>
          <w:noProof/>
          <w:lang w:val="en-GB"/>
        </w:rPr>
        <w:t xml:space="preserve">the rising costs of digitalisation, data processing or flexibility procurement. </w:t>
      </w:r>
    </w:p>
    <w:p w14:paraId="5469CAE9" w14:textId="722D8926" w:rsidR="009C1B13" w:rsidRPr="00AA1EED" w:rsidRDefault="009C1B13" w:rsidP="009C1B13">
      <w:pPr>
        <w:pStyle w:val="BodyA"/>
        <w:keepNext/>
        <w:spacing w:before="360"/>
        <w:rPr>
          <w:b/>
          <w:bCs/>
          <w:noProof/>
          <w:lang w:val="en-GB"/>
        </w:rPr>
      </w:pPr>
      <w:bookmarkStart w:id="17" w:name="_Hlk151469822"/>
      <w:r w:rsidRPr="00AA1EED">
        <w:rPr>
          <w:b/>
          <w:bCs/>
          <w:noProof/>
          <w:lang w:val="en-GB"/>
        </w:rPr>
        <w:t xml:space="preserve">Action </w:t>
      </w:r>
      <w:r w:rsidR="00954623" w:rsidRPr="00AA1EED">
        <w:rPr>
          <w:b/>
          <w:bCs/>
          <w:noProof/>
          <w:lang w:val="en-GB"/>
        </w:rPr>
        <w:t>6</w:t>
      </w:r>
      <w:r w:rsidRPr="00AA1EED">
        <w:rPr>
          <w:b/>
          <w:bCs/>
          <w:noProof/>
          <w:lang w:val="en-GB"/>
        </w:rPr>
        <w:t xml:space="preserve">: </w:t>
      </w:r>
      <w:bookmarkStart w:id="18" w:name="_Hlk149668792"/>
      <w:r w:rsidRPr="00AA1EED">
        <w:rPr>
          <w:b/>
          <w:bCs/>
          <w:noProof/>
          <w:lang w:val="en-GB"/>
        </w:rPr>
        <w:t xml:space="preserve">ENTSO-E and EU DSO Entity to agree on harmonised definitions for available grid hosting capacity for system operators and </w:t>
      </w:r>
      <w:r w:rsidR="00D40E81" w:rsidRPr="00AA1EED">
        <w:rPr>
          <w:b/>
          <w:bCs/>
          <w:noProof/>
          <w:lang w:val="en-GB"/>
        </w:rPr>
        <w:t xml:space="preserve">to </w:t>
      </w:r>
      <w:r w:rsidRPr="00AA1EED">
        <w:rPr>
          <w:b/>
          <w:bCs/>
          <w:noProof/>
          <w:lang w:val="en-GB"/>
        </w:rPr>
        <w:t>establish a pan-EU overview</w:t>
      </w:r>
      <w:bookmarkEnd w:id="18"/>
    </w:p>
    <w:bookmarkEnd w:id="17"/>
    <w:p w14:paraId="459E1F77" w14:textId="3A12A2AE" w:rsidR="006A5A45" w:rsidRPr="00AA1EED" w:rsidRDefault="006A5A45" w:rsidP="009C1B13">
      <w:pPr>
        <w:pStyle w:val="BodyA"/>
        <w:rPr>
          <w:noProof/>
          <w:lang w:val="en-GB"/>
        </w:rPr>
      </w:pPr>
      <w:r w:rsidRPr="00AA1EED">
        <w:rPr>
          <w:noProof/>
          <w:lang w:val="en-GB"/>
        </w:rPr>
        <w:t xml:space="preserve">System operators should provide transparent, understandable, granular and regularly updated information on grid hosting capacities and connection request </w:t>
      </w:r>
      <w:r w:rsidR="006030E6" w:rsidRPr="00AA1EED">
        <w:rPr>
          <w:noProof/>
          <w:lang w:val="en-GB"/>
        </w:rPr>
        <w:t>volumes</w:t>
      </w:r>
      <w:r w:rsidRPr="00AA1EED">
        <w:rPr>
          <w:noProof/>
          <w:lang w:val="en-GB"/>
        </w:rPr>
        <w:t xml:space="preserve">, in line with the Commission proposal for a revision of the Electricity Market Design. Regulatory authorities should establish frameworks for non-firm connection agreements, where relevant. </w:t>
      </w:r>
    </w:p>
    <w:p w14:paraId="799A1DA4" w14:textId="69EAEA5F" w:rsidR="009C1B13" w:rsidRPr="00AA1EED" w:rsidRDefault="006D1A0E" w:rsidP="009C1B13">
      <w:pPr>
        <w:pStyle w:val="BodyA"/>
        <w:rPr>
          <w:noProof/>
          <w:lang w:val="en-GB"/>
        </w:rPr>
      </w:pPr>
      <w:r w:rsidRPr="00AA1EED">
        <w:rPr>
          <w:noProof/>
          <w:lang w:val="en-GB"/>
        </w:rPr>
        <w:t xml:space="preserve">From the publication of this Action Plan, ENTSO-E and </w:t>
      </w:r>
      <w:r w:rsidR="00C119E5" w:rsidRPr="00AA1EED">
        <w:rPr>
          <w:noProof/>
          <w:lang w:val="en-GB"/>
        </w:rPr>
        <w:t xml:space="preserve">the </w:t>
      </w:r>
      <w:r w:rsidRPr="00AA1EED">
        <w:rPr>
          <w:noProof/>
          <w:lang w:val="en-GB"/>
        </w:rPr>
        <w:t>EU DSO Entity</w:t>
      </w:r>
      <w:r w:rsidR="00FB4BAE" w:rsidRPr="00AA1EED">
        <w:rPr>
          <w:noProof/>
          <w:lang w:val="en-GB"/>
        </w:rPr>
        <w:t>, in cooperation with the Commission and regulatory authorities, s</w:t>
      </w:r>
      <w:r w:rsidR="009879E6" w:rsidRPr="00AA1EED">
        <w:rPr>
          <w:noProof/>
          <w:lang w:val="en-GB"/>
        </w:rPr>
        <w:t>hould work towards harmonised definitions for available grid hosting capacity.</w:t>
      </w:r>
      <w:r w:rsidR="00FD6D53" w:rsidRPr="00AA1EED">
        <w:rPr>
          <w:noProof/>
          <w:lang w:val="en-GB"/>
        </w:rPr>
        <w:t xml:space="preserve"> This should </w:t>
      </w:r>
      <w:r w:rsidR="00C119E5" w:rsidRPr="00AA1EED">
        <w:rPr>
          <w:noProof/>
          <w:lang w:val="en-GB"/>
        </w:rPr>
        <w:t>lead to</w:t>
      </w:r>
      <w:r w:rsidRPr="00AA1EED">
        <w:rPr>
          <w:noProof/>
          <w:lang w:val="en-GB"/>
        </w:rPr>
        <w:t xml:space="preserve"> </w:t>
      </w:r>
      <w:r w:rsidR="004543A4">
        <w:rPr>
          <w:b/>
          <w:bCs/>
          <w:noProof/>
          <w:lang w:val="en-GB"/>
        </w:rPr>
        <w:t>a pan-EU overview</w:t>
      </w:r>
      <w:r w:rsidR="004543A4" w:rsidRPr="00AA1EED">
        <w:rPr>
          <w:noProof/>
          <w:lang w:val="en-GB"/>
        </w:rPr>
        <w:t xml:space="preserve"> </w:t>
      </w:r>
      <w:r w:rsidR="009C1B13" w:rsidRPr="00AA1EED">
        <w:rPr>
          <w:noProof/>
          <w:lang w:val="en-GB"/>
        </w:rPr>
        <w:t>of available grid hosting capacities</w:t>
      </w:r>
      <w:r w:rsidR="009C1B13" w:rsidRPr="00AA1EED">
        <w:rPr>
          <w:noProof/>
          <w:vertAlign w:val="superscript"/>
          <w:lang w:val="en-GB"/>
        </w:rPr>
        <w:footnoteReference w:id="31"/>
      </w:r>
      <w:r w:rsidR="009C1B13" w:rsidRPr="00AA1EED">
        <w:rPr>
          <w:noProof/>
          <w:lang w:val="en-GB"/>
        </w:rPr>
        <w:t xml:space="preserve"> for new network users to connect, together with </w:t>
      </w:r>
      <w:r w:rsidR="00A944E1" w:rsidRPr="00AA1EED">
        <w:rPr>
          <w:noProof/>
          <w:lang w:val="en-GB"/>
        </w:rPr>
        <w:t>information</w:t>
      </w:r>
      <w:r w:rsidR="009C1B13" w:rsidRPr="00AA1EED">
        <w:rPr>
          <w:noProof/>
          <w:lang w:val="en-GB"/>
        </w:rPr>
        <w:t xml:space="preserve"> on </w:t>
      </w:r>
      <w:r w:rsidR="006030E6" w:rsidRPr="00AA1EED">
        <w:rPr>
          <w:noProof/>
          <w:lang w:val="en-GB"/>
        </w:rPr>
        <w:t xml:space="preserve">the volumes </w:t>
      </w:r>
      <w:r w:rsidR="009C1B13" w:rsidRPr="00AA1EED">
        <w:rPr>
          <w:noProof/>
          <w:lang w:val="en-GB"/>
        </w:rPr>
        <w:t>of connection requests being processed</w:t>
      </w:r>
      <w:r w:rsidR="00560582" w:rsidRPr="00AA1EED">
        <w:rPr>
          <w:noProof/>
          <w:lang w:val="en-GB"/>
        </w:rPr>
        <w:t>.</w:t>
      </w:r>
      <w:r w:rsidR="004543A4">
        <w:rPr>
          <w:noProof/>
          <w:lang w:val="en-GB"/>
        </w:rPr>
        <w:t xml:space="preserve"> Such overview should consider the capacity mappings already done by TSOs and DSOs, when applicable.</w:t>
      </w:r>
      <w:r w:rsidR="00560582" w:rsidRPr="00AA1EED">
        <w:rPr>
          <w:noProof/>
          <w:lang w:val="en-GB"/>
        </w:rPr>
        <w:t xml:space="preserve"> By </w:t>
      </w:r>
      <w:r w:rsidR="00407EA9" w:rsidRPr="00AA1EED">
        <w:rPr>
          <w:noProof/>
          <w:lang w:val="en-GB"/>
        </w:rPr>
        <w:t>mid-2025</w:t>
      </w:r>
      <w:r w:rsidR="00BF32E7" w:rsidRPr="00AA1EED">
        <w:rPr>
          <w:noProof/>
          <w:lang w:val="en-GB"/>
        </w:rPr>
        <w:t xml:space="preserve">, ENTSO-E and </w:t>
      </w:r>
      <w:r w:rsidR="00C119E5" w:rsidRPr="00AA1EED">
        <w:rPr>
          <w:noProof/>
          <w:lang w:val="en-GB"/>
        </w:rPr>
        <w:t xml:space="preserve">the </w:t>
      </w:r>
      <w:r w:rsidR="00BF32E7" w:rsidRPr="00AA1EED">
        <w:rPr>
          <w:noProof/>
          <w:lang w:val="en-GB"/>
        </w:rPr>
        <w:t>EU DSO Entity should establish a pan-EU overview that</w:t>
      </w:r>
      <w:r w:rsidR="00B91B4F" w:rsidRPr="00AA1EED">
        <w:rPr>
          <w:noProof/>
          <w:lang w:val="en-GB"/>
        </w:rPr>
        <w:t xml:space="preserve"> </w:t>
      </w:r>
      <w:r w:rsidR="009E39BE" w:rsidRPr="00AA1EED">
        <w:rPr>
          <w:noProof/>
          <w:lang w:val="en-GB"/>
        </w:rPr>
        <w:t>should</w:t>
      </w:r>
      <w:r w:rsidR="009C1B13" w:rsidRPr="00AA1EED">
        <w:rPr>
          <w:noProof/>
          <w:lang w:val="en-GB"/>
        </w:rPr>
        <w:t xml:space="preserve"> </w:t>
      </w:r>
      <w:r w:rsidR="009C1B13" w:rsidRPr="00AA1EED">
        <w:rPr>
          <w:b/>
          <w:bCs/>
          <w:noProof/>
          <w:lang w:val="en-GB"/>
        </w:rPr>
        <w:t>give visibility to project developers</w:t>
      </w:r>
      <w:r w:rsidR="009C1B13" w:rsidRPr="00AA1EED">
        <w:rPr>
          <w:noProof/>
          <w:lang w:val="en-GB"/>
        </w:rPr>
        <w:t xml:space="preserve"> </w:t>
      </w:r>
      <w:r w:rsidR="00A944E1" w:rsidRPr="00AA1EED">
        <w:rPr>
          <w:noProof/>
          <w:lang w:val="en-GB"/>
        </w:rPr>
        <w:t>when c</w:t>
      </w:r>
      <w:r w:rsidR="009C1B13" w:rsidRPr="00AA1EED">
        <w:rPr>
          <w:noProof/>
          <w:lang w:val="en-GB"/>
        </w:rPr>
        <w:t>onceptualising their projects</w:t>
      </w:r>
      <w:r w:rsidR="00C9011E" w:rsidRPr="00AA1EED">
        <w:rPr>
          <w:noProof/>
          <w:lang w:val="en-GB"/>
        </w:rPr>
        <w:t xml:space="preserve">, such as new renewable or EV </w:t>
      </w:r>
      <w:r w:rsidR="00D36031">
        <w:rPr>
          <w:noProof/>
          <w:lang w:val="en-GB"/>
        </w:rPr>
        <w:t>re</w:t>
      </w:r>
      <w:r w:rsidR="00C9011E" w:rsidRPr="00AA1EED">
        <w:rPr>
          <w:noProof/>
          <w:lang w:val="en-GB"/>
        </w:rPr>
        <w:t xml:space="preserve">charging </w:t>
      </w:r>
      <w:r w:rsidR="00D36031">
        <w:rPr>
          <w:noProof/>
          <w:lang w:val="en-GB"/>
        </w:rPr>
        <w:t xml:space="preserve">infrastructure </w:t>
      </w:r>
      <w:r w:rsidR="00C9011E" w:rsidRPr="00AA1EED">
        <w:rPr>
          <w:noProof/>
          <w:lang w:val="en-GB"/>
        </w:rPr>
        <w:t>projects</w:t>
      </w:r>
      <w:r w:rsidR="00A944E1" w:rsidRPr="00AA1EED">
        <w:rPr>
          <w:noProof/>
          <w:lang w:val="en-GB"/>
        </w:rPr>
        <w:t xml:space="preserve"> and </w:t>
      </w:r>
      <w:r w:rsidR="009C1B13" w:rsidRPr="00AA1EED">
        <w:rPr>
          <w:noProof/>
          <w:lang w:val="en-GB"/>
        </w:rPr>
        <w:t>help developers estimat</w:t>
      </w:r>
      <w:r w:rsidR="00A944E1" w:rsidRPr="00AA1EED">
        <w:rPr>
          <w:noProof/>
          <w:lang w:val="en-GB"/>
        </w:rPr>
        <w:t>e</w:t>
      </w:r>
      <w:r w:rsidR="009C1B13" w:rsidRPr="00AA1EED">
        <w:rPr>
          <w:noProof/>
          <w:lang w:val="en-GB"/>
        </w:rPr>
        <w:t xml:space="preserve"> the risk of connection request approval delays and, thus, </w:t>
      </w:r>
      <w:r w:rsidR="00A944E1" w:rsidRPr="00AA1EED">
        <w:rPr>
          <w:noProof/>
          <w:lang w:val="en-GB"/>
        </w:rPr>
        <w:t>have a clearer forecast about when projects c</w:t>
      </w:r>
      <w:r w:rsidR="009C1B13" w:rsidRPr="00AA1EED">
        <w:rPr>
          <w:noProof/>
          <w:lang w:val="en-GB"/>
        </w:rPr>
        <w:t xml:space="preserve">an start receiving revenues. </w:t>
      </w:r>
      <w:r w:rsidR="00A944E1" w:rsidRPr="00AA1EED">
        <w:rPr>
          <w:noProof/>
          <w:lang w:val="en-GB"/>
        </w:rPr>
        <w:t>T</w:t>
      </w:r>
      <w:r w:rsidR="009C1B13" w:rsidRPr="00AA1EED">
        <w:rPr>
          <w:noProof/>
          <w:lang w:val="en-GB"/>
        </w:rPr>
        <w:t xml:space="preserve">his will benefit new </w:t>
      </w:r>
      <w:r w:rsidR="00A944E1" w:rsidRPr="00AA1EED">
        <w:rPr>
          <w:noProof/>
          <w:lang w:val="en-GB"/>
        </w:rPr>
        <w:t xml:space="preserve">projects for </w:t>
      </w:r>
      <w:r w:rsidR="009C1B13" w:rsidRPr="00AA1EED">
        <w:rPr>
          <w:noProof/>
          <w:lang w:val="en-GB"/>
        </w:rPr>
        <w:t>renewables and flexible demand such as storage or EVs. Some system operators already provide this visibility today</w:t>
      </w:r>
      <w:r w:rsidR="00FD4F10" w:rsidRPr="00AA1EED">
        <w:rPr>
          <w:noProof/>
          <w:lang w:val="en-GB"/>
        </w:rPr>
        <w:t xml:space="preserve"> locally</w:t>
      </w:r>
      <w:r w:rsidR="009C1B13" w:rsidRPr="00AA1EED">
        <w:rPr>
          <w:noProof/>
          <w:lang w:val="en-GB"/>
        </w:rPr>
        <w:t xml:space="preserve">. </w:t>
      </w:r>
      <w:r w:rsidR="00FD4F10" w:rsidRPr="00AA1EED">
        <w:rPr>
          <w:noProof/>
          <w:lang w:val="en-GB"/>
        </w:rPr>
        <w:t xml:space="preserve">Furthermore, </w:t>
      </w:r>
      <w:r w:rsidR="00774D0E" w:rsidRPr="00AA1EED">
        <w:rPr>
          <w:noProof/>
          <w:lang w:val="en-GB"/>
        </w:rPr>
        <w:t xml:space="preserve">ENTSO-E and the EU DSO Entity should </w:t>
      </w:r>
      <w:r w:rsidR="0033511E" w:rsidRPr="00AA1EED">
        <w:rPr>
          <w:noProof/>
          <w:lang w:val="en-GB"/>
        </w:rPr>
        <w:t xml:space="preserve">support system operators </w:t>
      </w:r>
      <w:r w:rsidR="004543A4">
        <w:rPr>
          <w:noProof/>
          <w:lang w:val="en-GB"/>
        </w:rPr>
        <w:t>in</w:t>
      </w:r>
      <w:r w:rsidR="0033511E" w:rsidRPr="00AA1EED">
        <w:rPr>
          <w:noProof/>
          <w:lang w:val="en-GB"/>
        </w:rPr>
        <w:t xml:space="preserve"> </w:t>
      </w:r>
      <w:r w:rsidR="0033511E" w:rsidRPr="00377522">
        <w:rPr>
          <w:b/>
          <w:bCs/>
          <w:noProof/>
          <w:lang w:val="en-GB"/>
        </w:rPr>
        <w:t>digitalis</w:t>
      </w:r>
      <w:r w:rsidR="004543A4">
        <w:rPr>
          <w:b/>
          <w:bCs/>
          <w:noProof/>
          <w:lang w:val="en-GB"/>
        </w:rPr>
        <w:t>ing and streamlining procedures for</w:t>
      </w:r>
      <w:r w:rsidR="0033511E" w:rsidRPr="00377522">
        <w:rPr>
          <w:b/>
          <w:bCs/>
          <w:noProof/>
          <w:lang w:val="en-GB"/>
        </w:rPr>
        <w:t xml:space="preserve"> grid connection requests</w:t>
      </w:r>
      <w:r w:rsidR="00737EC1">
        <w:rPr>
          <w:noProof/>
          <w:lang w:val="en-GB"/>
        </w:rPr>
        <w:t>,</w:t>
      </w:r>
      <w:r w:rsidR="00737EC1" w:rsidRPr="00737EC1">
        <w:rPr>
          <w:noProof/>
          <w:lang w:val="en-GB"/>
        </w:rPr>
        <w:t xml:space="preserve"> </w:t>
      </w:r>
      <w:r w:rsidR="00737EC1">
        <w:rPr>
          <w:noProof/>
          <w:lang w:val="en-GB"/>
        </w:rPr>
        <w:t>for example by issuing guidance and recommendations,</w:t>
      </w:r>
      <w:r w:rsidR="00915ED0">
        <w:rPr>
          <w:noProof/>
          <w:lang w:val="en-GB"/>
        </w:rPr>
        <w:t xml:space="preserve"> at the latest by mid-2025</w:t>
      </w:r>
      <w:r w:rsidR="00737EC1">
        <w:rPr>
          <w:noProof/>
          <w:lang w:val="en-GB"/>
        </w:rPr>
        <w:t>.</w:t>
      </w:r>
    </w:p>
    <w:p w14:paraId="75A8B68F" w14:textId="3A3CECD2" w:rsidR="00406E2C" w:rsidRPr="00AA1EED" w:rsidRDefault="009C1B13" w:rsidP="009C1B13">
      <w:pPr>
        <w:pStyle w:val="BodyA"/>
        <w:rPr>
          <w:noProof/>
          <w:lang w:val="en-GB"/>
        </w:rPr>
      </w:pPr>
      <w:r w:rsidRPr="00AA1EED">
        <w:rPr>
          <w:noProof/>
          <w:lang w:val="en-GB"/>
        </w:rPr>
        <w:t xml:space="preserve">Such </w:t>
      </w:r>
      <w:r w:rsidR="00A944E1" w:rsidRPr="00AA1EED">
        <w:rPr>
          <w:noProof/>
          <w:lang w:val="en-GB"/>
        </w:rPr>
        <w:t xml:space="preserve">an </w:t>
      </w:r>
      <w:r w:rsidRPr="00AA1EED">
        <w:rPr>
          <w:noProof/>
          <w:lang w:val="en-GB"/>
        </w:rPr>
        <w:t xml:space="preserve">overview can </w:t>
      </w:r>
      <w:r w:rsidRPr="00AA1EED">
        <w:rPr>
          <w:b/>
          <w:bCs/>
          <w:noProof/>
          <w:lang w:val="en-GB"/>
        </w:rPr>
        <w:t>further support NRAs</w:t>
      </w:r>
      <w:r w:rsidRPr="00AA1EED">
        <w:rPr>
          <w:noProof/>
          <w:lang w:val="en-GB"/>
        </w:rPr>
        <w:t xml:space="preserve"> in understanding </w:t>
      </w:r>
      <w:r w:rsidRPr="00AA1EED">
        <w:rPr>
          <w:b/>
          <w:bCs/>
          <w:noProof/>
          <w:lang w:val="en-GB"/>
        </w:rPr>
        <w:t>where in the network</w:t>
      </w:r>
      <w:r w:rsidRPr="00AA1EED">
        <w:rPr>
          <w:noProof/>
          <w:lang w:val="en-GB"/>
        </w:rPr>
        <w:t xml:space="preserve"> </w:t>
      </w:r>
      <w:r w:rsidRPr="00AA1EED">
        <w:rPr>
          <w:b/>
          <w:bCs/>
          <w:noProof/>
          <w:lang w:val="en-GB"/>
        </w:rPr>
        <w:t>flexible</w:t>
      </w:r>
      <w:r w:rsidRPr="00AA1EED">
        <w:rPr>
          <w:noProof/>
          <w:lang w:val="en-GB"/>
        </w:rPr>
        <w:t xml:space="preserve"> (non-firm) </w:t>
      </w:r>
      <w:r w:rsidRPr="00AA1EED">
        <w:rPr>
          <w:b/>
          <w:bCs/>
          <w:noProof/>
          <w:lang w:val="en-GB"/>
        </w:rPr>
        <w:t>connections could be beneficial</w:t>
      </w:r>
      <w:r w:rsidRPr="00AA1EED">
        <w:rPr>
          <w:noProof/>
          <w:lang w:val="en-GB"/>
        </w:rPr>
        <w:t xml:space="preserve"> to the system until the necessary grid buildout takes place. Where network development is the structural solution of the capacity problem, non-firm connection frameworks should be designed so that system operators do not delay grid buildout. In other cases, </w:t>
      </w:r>
      <w:r w:rsidR="006030E6" w:rsidRPr="00AA1EED">
        <w:rPr>
          <w:noProof/>
          <w:lang w:val="en-GB"/>
        </w:rPr>
        <w:t xml:space="preserve">where </w:t>
      </w:r>
      <w:r w:rsidRPr="00AA1EED">
        <w:rPr>
          <w:noProof/>
          <w:lang w:val="en-GB"/>
        </w:rPr>
        <w:t>grid development may not be an economic solution, non-firm connections could be considered as a long-term solution</w:t>
      </w:r>
      <w:r w:rsidRPr="00AA1EED">
        <w:rPr>
          <w:noProof/>
          <w:vertAlign w:val="superscript"/>
          <w:lang w:val="en-GB"/>
        </w:rPr>
        <w:footnoteReference w:id="32"/>
      </w:r>
      <w:r w:rsidRPr="00AA1EED">
        <w:rPr>
          <w:noProof/>
          <w:lang w:val="en-GB"/>
        </w:rPr>
        <w:t xml:space="preserve">. </w:t>
      </w:r>
    </w:p>
    <w:p w14:paraId="40129C94" w14:textId="61A70F70" w:rsidR="00A944E1" w:rsidRPr="00AA1EED" w:rsidRDefault="00A944E1" w:rsidP="009C1B13">
      <w:pPr>
        <w:pStyle w:val="BodyA"/>
        <w:rPr>
          <w:noProof/>
          <w:lang w:val="en-GB"/>
        </w:rPr>
      </w:pPr>
      <w:r w:rsidRPr="00AA1EED">
        <w:rPr>
          <w:noProof/>
          <w:lang w:val="en-GB"/>
        </w:rPr>
        <w:t xml:space="preserve">NRAs should also provide a clear framework to disincentivise the application for connection request where the request is not substantiated by a solid project and not sufficiently committed by a developer, </w:t>
      </w:r>
      <w:r w:rsidR="002B5324" w:rsidRPr="00AA1EED">
        <w:rPr>
          <w:noProof/>
          <w:lang w:val="en-GB"/>
        </w:rPr>
        <w:t xml:space="preserve">or the requests of over-capacities beyond what needed for the project, </w:t>
      </w:r>
      <w:r w:rsidRPr="00AA1EED">
        <w:rPr>
          <w:noProof/>
          <w:lang w:val="en-GB"/>
        </w:rPr>
        <w:t>to avoid that the reservation of connection capacities is given to projects less likely to materialise or whose main business plan is to sell the right for connection</w:t>
      </w:r>
      <w:r w:rsidR="002B5324" w:rsidRPr="00AA1EED">
        <w:rPr>
          <w:noProof/>
          <w:lang w:val="en-GB"/>
        </w:rPr>
        <w:t>,</w:t>
      </w:r>
      <w:r w:rsidRPr="00AA1EED">
        <w:rPr>
          <w:noProof/>
          <w:lang w:val="en-GB"/>
        </w:rPr>
        <w:t xml:space="preserve"> where this is allowed. For instance, generation projects that are financially bound or pay for the grid connection costs when requesting connection are less likely not to proceed with their projects.</w:t>
      </w:r>
    </w:p>
    <w:p w14:paraId="2747E419" w14:textId="0F9A7F11" w:rsidR="009C1B13" w:rsidRPr="00AA1EED" w:rsidRDefault="009C1B13" w:rsidP="009C1B13">
      <w:pPr>
        <w:pStyle w:val="BodyA"/>
        <w:keepNext/>
        <w:spacing w:before="360"/>
        <w:rPr>
          <w:b/>
          <w:bCs/>
          <w:noProof/>
          <w:lang w:val="en-GB"/>
        </w:rPr>
      </w:pPr>
      <w:bookmarkStart w:id="19" w:name="_Hlk151469829"/>
      <w:r w:rsidRPr="00AA1EED">
        <w:rPr>
          <w:b/>
          <w:bCs/>
          <w:noProof/>
          <w:lang w:val="en-GB"/>
        </w:rPr>
        <w:t xml:space="preserve">Action </w:t>
      </w:r>
      <w:r w:rsidR="00FD3CE9" w:rsidRPr="00AA1EED">
        <w:rPr>
          <w:b/>
          <w:bCs/>
          <w:noProof/>
          <w:lang w:val="en-GB"/>
        </w:rPr>
        <w:t>7</w:t>
      </w:r>
      <w:r w:rsidRPr="00AA1EED">
        <w:rPr>
          <w:b/>
          <w:bCs/>
          <w:noProof/>
          <w:lang w:val="en-GB"/>
        </w:rPr>
        <w:t xml:space="preserve">: </w:t>
      </w:r>
      <w:bookmarkStart w:id="20" w:name="_Hlk149724852"/>
      <w:r w:rsidRPr="00AA1EED">
        <w:rPr>
          <w:b/>
          <w:bCs/>
          <w:noProof/>
          <w:lang w:val="en-GB"/>
        </w:rPr>
        <w:t>ENTSO-E and EU DSO Entity to promote uptake of smart grid, network efficiency and innovative technologies</w:t>
      </w:r>
      <w:bookmarkEnd w:id="20"/>
      <w:r w:rsidRPr="00AA1EED">
        <w:rPr>
          <w:b/>
          <w:bCs/>
          <w:noProof/>
          <w:lang w:val="en-GB"/>
        </w:rPr>
        <w:t xml:space="preserve"> </w:t>
      </w:r>
    </w:p>
    <w:bookmarkEnd w:id="19"/>
    <w:p w14:paraId="0C06588B" w14:textId="733CD6AE" w:rsidR="009C1B13" w:rsidRPr="00AA1EED" w:rsidRDefault="0000153C" w:rsidP="009C1B13">
      <w:pPr>
        <w:pStyle w:val="BodyA"/>
        <w:rPr>
          <w:noProof/>
          <w:lang w:val="en-GB"/>
        </w:rPr>
      </w:pPr>
      <w:r w:rsidRPr="00377522">
        <w:rPr>
          <w:noProof/>
          <w:lang w:val="en-GB"/>
        </w:rPr>
        <w:t>C</w:t>
      </w:r>
      <w:r w:rsidR="009C1B13" w:rsidRPr="00377522">
        <w:rPr>
          <w:noProof/>
          <w:lang w:val="en-GB"/>
        </w:rPr>
        <w:t xml:space="preserve">ommercial technologies </w:t>
      </w:r>
      <w:r w:rsidRPr="00377522">
        <w:rPr>
          <w:noProof/>
          <w:lang w:val="en-GB"/>
        </w:rPr>
        <w:t xml:space="preserve">that </w:t>
      </w:r>
      <w:r w:rsidR="009C1B13" w:rsidRPr="00377522">
        <w:rPr>
          <w:noProof/>
          <w:lang w:val="en-GB"/>
        </w:rPr>
        <w:t>can greatly improve</w:t>
      </w:r>
      <w:r w:rsidRPr="00377522">
        <w:rPr>
          <w:noProof/>
          <w:lang w:val="en-GB"/>
        </w:rPr>
        <w:t xml:space="preserve"> the functioning of the </w:t>
      </w:r>
      <w:r w:rsidR="009C1B13" w:rsidRPr="00377522">
        <w:rPr>
          <w:noProof/>
          <w:lang w:val="en-GB"/>
        </w:rPr>
        <w:t>electricity grids</w:t>
      </w:r>
      <w:r w:rsidR="009C1B13" w:rsidRPr="00AA1EED">
        <w:rPr>
          <w:noProof/>
          <w:lang w:val="en-GB"/>
        </w:rPr>
        <w:t xml:space="preserve"> are readily available but </w:t>
      </w:r>
      <w:r w:rsidR="00406E2C" w:rsidRPr="00AA1EED">
        <w:rPr>
          <w:noProof/>
          <w:lang w:val="en-GB"/>
        </w:rPr>
        <w:t xml:space="preserve">not </w:t>
      </w:r>
      <w:r w:rsidRPr="00AA1EED">
        <w:rPr>
          <w:noProof/>
          <w:lang w:val="en-GB"/>
        </w:rPr>
        <w:t>sufficiently used</w:t>
      </w:r>
      <w:r w:rsidR="00BD553D" w:rsidRPr="00AA1EED">
        <w:rPr>
          <w:noProof/>
          <w:vertAlign w:val="superscript"/>
          <w:lang w:val="en-GB"/>
        </w:rPr>
        <w:footnoteReference w:id="33"/>
      </w:r>
      <w:r w:rsidR="009C1B13" w:rsidRPr="00AA1EED">
        <w:rPr>
          <w:noProof/>
          <w:lang w:val="en-GB"/>
        </w:rPr>
        <w:t xml:space="preserve">. </w:t>
      </w:r>
      <w:r w:rsidR="00406E2C" w:rsidRPr="00AA1EED">
        <w:rPr>
          <w:noProof/>
          <w:lang w:val="en-GB"/>
        </w:rPr>
        <w:t>Yet, such technologies can lead to lower costs to consumers by reducing network losses</w:t>
      </w:r>
      <w:r w:rsidR="00BD553D" w:rsidRPr="00AA1EED">
        <w:rPr>
          <w:rStyle w:val="FootnoteReference"/>
          <w:noProof/>
          <w:lang w:val="en-GB"/>
        </w:rPr>
        <w:footnoteReference w:id="34"/>
      </w:r>
      <w:r w:rsidR="00406E2C" w:rsidRPr="00AA1EED">
        <w:rPr>
          <w:noProof/>
          <w:lang w:val="en-GB"/>
        </w:rPr>
        <w:t xml:space="preserve">. </w:t>
      </w:r>
      <w:r w:rsidR="009C1B13" w:rsidRPr="00AA1EED">
        <w:rPr>
          <w:noProof/>
          <w:lang w:val="en-GB"/>
        </w:rPr>
        <w:t>Being aware of the existing pipeline of projects where such technologies ha</w:t>
      </w:r>
      <w:r w:rsidR="00D1684F" w:rsidRPr="00AA1EED">
        <w:rPr>
          <w:noProof/>
          <w:lang w:val="en-GB"/>
        </w:rPr>
        <w:t>ve</w:t>
      </w:r>
      <w:r w:rsidR="009C1B13" w:rsidRPr="00AA1EED">
        <w:rPr>
          <w:noProof/>
          <w:lang w:val="en-GB"/>
        </w:rPr>
        <w:t xml:space="preserve"> already been demonstrated, and the </w:t>
      </w:r>
      <w:r w:rsidR="009C1B13" w:rsidRPr="00377522">
        <w:rPr>
          <w:noProof/>
          <w:lang w:val="en-GB"/>
        </w:rPr>
        <w:t xml:space="preserve">quantified benefits </w:t>
      </w:r>
      <w:r w:rsidR="0064201F" w:rsidRPr="00377522">
        <w:rPr>
          <w:noProof/>
          <w:lang w:val="en-GB"/>
        </w:rPr>
        <w:t>they</w:t>
      </w:r>
      <w:r w:rsidR="009C1B13" w:rsidRPr="00377522">
        <w:rPr>
          <w:noProof/>
          <w:lang w:val="en-GB"/>
        </w:rPr>
        <w:t xml:space="preserve"> ha</w:t>
      </w:r>
      <w:r w:rsidR="0064201F" w:rsidRPr="00377522">
        <w:rPr>
          <w:noProof/>
          <w:lang w:val="en-GB"/>
        </w:rPr>
        <w:t>ve</w:t>
      </w:r>
      <w:r w:rsidR="009C1B13" w:rsidRPr="00377522">
        <w:rPr>
          <w:noProof/>
          <w:lang w:val="en-GB"/>
        </w:rPr>
        <w:t xml:space="preserve"> brought</w:t>
      </w:r>
      <w:r w:rsidR="009C1B13" w:rsidRPr="00AA1EED">
        <w:rPr>
          <w:noProof/>
          <w:lang w:val="en-GB"/>
        </w:rPr>
        <w:t xml:space="preserve">, can </w:t>
      </w:r>
      <w:r w:rsidRPr="00AA1EED">
        <w:rPr>
          <w:noProof/>
          <w:lang w:val="en-GB"/>
        </w:rPr>
        <w:t>provide clear arguments</w:t>
      </w:r>
      <w:r w:rsidR="009C1B13" w:rsidRPr="00AA1EED">
        <w:rPr>
          <w:noProof/>
          <w:lang w:val="en-GB"/>
        </w:rPr>
        <w:t xml:space="preserve"> to project promoters</w:t>
      </w:r>
      <w:r w:rsidR="0064201F" w:rsidRPr="00AA1EED">
        <w:rPr>
          <w:noProof/>
          <w:lang w:val="en-GB"/>
        </w:rPr>
        <w:t xml:space="preserve"> </w:t>
      </w:r>
      <w:r w:rsidRPr="00AA1EED">
        <w:rPr>
          <w:noProof/>
          <w:lang w:val="en-GB"/>
        </w:rPr>
        <w:t>still</w:t>
      </w:r>
      <w:r w:rsidR="009C1B13" w:rsidRPr="00AA1EED">
        <w:rPr>
          <w:noProof/>
          <w:lang w:val="en-GB"/>
        </w:rPr>
        <w:t xml:space="preserve"> considering their use. </w:t>
      </w:r>
      <w:r w:rsidR="00475182" w:rsidRPr="00AA1EED">
        <w:rPr>
          <w:noProof/>
          <w:lang w:val="en-GB"/>
        </w:rPr>
        <w:t>Therefore, t</w:t>
      </w:r>
      <w:r w:rsidR="009C1B13" w:rsidRPr="00AA1EED">
        <w:rPr>
          <w:noProof/>
          <w:lang w:val="en-GB"/>
        </w:rPr>
        <w:t>here should be an increase o</w:t>
      </w:r>
      <w:r w:rsidR="00475182" w:rsidRPr="00AA1EED">
        <w:rPr>
          <w:noProof/>
          <w:lang w:val="en-GB"/>
        </w:rPr>
        <w:t>f</w:t>
      </w:r>
      <w:r w:rsidR="009C1B13" w:rsidRPr="00AA1EED">
        <w:rPr>
          <w:noProof/>
          <w:lang w:val="en-GB"/>
        </w:rPr>
        <w:t xml:space="preserve"> visibility </w:t>
      </w:r>
      <w:r w:rsidR="00475182" w:rsidRPr="00AA1EED">
        <w:rPr>
          <w:noProof/>
          <w:lang w:val="en-GB"/>
        </w:rPr>
        <w:t>for</w:t>
      </w:r>
      <w:r w:rsidR="009C1B13" w:rsidRPr="00AA1EED">
        <w:rPr>
          <w:noProof/>
          <w:lang w:val="en-GB"/>
        </w:rPr>
        <w:t xml:space="preserve"> technological assets available for rapid deployment as well as innovative solutions for smart grids and better network efficiency</w:t>
      </w:r>
      <w:r w:rsidR="00B26E70" w:rsidRPr="00AA1EED">
        <w:rPr>
          <w:noProof/>
          <w:lang w:val="en-GB"/>
        </w:rPr>
        <w:t>, such as dynamic line rating (DLR), high-temperature superconductor (HTS) cables, static synchronous compensators (STATCOM), voltage source converters (VSC) in HVDC systems, HVDC breakers or phase shifting transformers (PST)</w:t>
      </w:r>
      <w:r w:rsidR="00B26E70" w:rsidRPr="00AA1EED">
        <w:rPr>
          <w:rStyle w:val="FootnoteReference"/>
          <w:noProof/>
          <w:lang w:val="en-GB"/>
        </w:rPr>
        <w:footnoteReference w:id="35"/>
      </w:r>
      <w:r w:rsidR="009C1B13" w:rsidRPr="00AA1EED">
        <w:rPr>
          <w:noProof/>
          <w:lang w:val="en-GB"/>
        </w:rPr>
        <w:t>.</w:t>
      </w:r>
    </w:p>
    <w:p w14:paraId="6A7F8E95" w14:textId="156A18DA" w:rsidR="009C1B13" w:rsidRDefault="009C1B13" w:rsidP="009C1B13">
      <w:pPr>
        <w:pStyle w:val="BodyA"/>
        <w:rPr>
          <w:noProof/>
          <w:lang w:val="en-GB"/>
        </w:rPr>
      </w:pPr>
      <w:r w:rsidRPr="00AA1EED">
        <w:rPr>
          <w:noProof/>
          <w:lang w:val="en-GB"/>
        </w:rPr>
        <w:t xml:space="preserve">ENTSO-E and EU DSO Entity should jointly </w:t>
      </w:r>
      <w:r w:rsidRPr="00AA1EED">
        <w:rPr>
          <w:b/>
          <w:bCs/>
          <w:noProof/>
          <w:lang w:val="en-GB"/>
        </w:rPr>
        <w:t>update the Technopedia</w:t>
      </w:r>
      <w:r w:rsidRPr="00AA1EED">
        <w:rPr>
          <w:noProof/>
          <w:vertAlign w:val="superscript"/>
          <w:lang w:val="en-GB"/>
        </w:rPr>
        <w:footnoteReference w:id="36"/>
      </w:r>
      <w:r w:rsidRPr="00AA1EED">
        <w:rPr>
          <w:noProof/>
          <w:lang w:val="en-GB"/>
        </w:rPr>
        <w:t xml:space="preserve">, giving clarity on such elements and ensuring that the technologies being utilised in pilots across Europe relevant for </w:t>
      </w:r>
      <w:r w:rsidRPr="00AA1EED">
        <w:rPr>
          <w:b/>
          <w:bCs/>
          <w:noProof/>
          <w:lang w:val="en-GB"/>
        </w:rPr>
        <w:t>smart electricity grid</w:t>
      </w:r>
      <w:r w:rsidRPr="00AA1EED">
        <w:rPr>
          <w:noProof/>
          <w:lang w:val="en-GB"/>
        </w:rPr>
        <w:t xml:space="preserve"> projects and for increasing </w:t>
      </w:r>
      <w:r w:rsidRPr="00AA1EED">
        <w:rPr>
          <w:b/>
          <w:bCs/>
          <w:noProof/>
          <w:lang w:val="en-GB"/>
        </w:rPr>
        <w:t>network efficiency</w:t>
      </w:r>
      <w:r w:rsidRPr="00AA1EED">
        <w:rPr>
          <w:noProof/>
          <w:lang w:val="en-GB"/>
        </w:rPr>
        <w:t xml:space="preserve"> are covered, including those technologies developed under </w:t>
      </w:r>
      <w:r w:rsidRPr="00AA1EED">
        <w:rPr>
          <w:b/>
          <w:bCs/>
          <w:noProof/>
          <w:lang w:val="en-GB"/>
        </w:rPr>
        <w:t>Horizon Europe</w:t>
      </w:r>
      <w:r w:rsidRPr="00AA1EED">
        <w:rPr>
          <w:noProof/>
          <w:lang w:val="en-GB"/>
        </w:rPr>
        <w:t xml:space="preserve"> or Horizon2020 programmes. Technopedia should </w:t>
      </w:r>
      <w:r w:rsidRPr="00AA1EED">
        <w:rPr>
          <w:b/>
          <w:bCs/>
          <w:noProof/>
          <w:lang w:val="en-GB"/>
        </w:rPr>
        <w:t xml:space="preserve">inform of use cases and </w:t>
      </w:r>
      <w:r w:rsidR="0064201F" w:rsidRPr="00AA1EED">
        <w:rPr>
          <w:b/>
          <w:bCs/>
          <w:noProof/>
          <w:lang w:val="en-GB"/>
        </w:rPr>
        <w:t>benefits</w:t>
      </w:r>
      <w:r w:rsidRPr="00AA1EED">
        <w:rPr>
          <w:noProof/>
          <w:lang w:val="en-GB"/>
        </w:rPr>
        <w:t xml:space="preserve"> and be updated </w:t>
      </w:r>
      <w:r w:rsidR="002B78E2" w:rsidRPr="00AA1EED">
        <w:rPr>
          <w:noProof/>
          <w:lang w:val="en-GB"/>
        </w:rPr>
        <w:t xml:space="preserve">by end-2024 and </w:t>
      </w:r>
      <w:r w:rsidRPr="00AA1EED">
        <w:rPr>
          <w:noProof/>
          <w:lang w:val="en-GB"/>
        </w:rPr>
        <w:t>at least annually</w:t>
      </w:r>
      <w:r w:rsidR="00703CB4" w:rsidRPr="00AA1EED">
        <w:rPr>
          <w:noProof/>
          <w:lang w:val="en-GB"/>
        </w:rPr>
        <w:t xml:space="preserve">, so that promoters can appropriately consider them in their </w:t>
      </w:r>
      <w:r w:rsidR="005A6D4B" w:rsidRPr="00AA1EED">
        <w:rPr>
          <w:noProof/>
          <w:lang w:val="en-GB"/>
        </w:rPr>
        <w:t xml:space="preserve">respective </w:t>
      </w:r>
      <w:r w:rsidR="00703CB4" w:rsidRPr="00AA1EED">
        <w:rPr>
          <w:noProof/>
          <w:lang w:val="en-GB"/>
        </w:rPr>
        <w:t>project</w:t>
      </w:r>
      <w:r w:rsidR="005A6D4B" w:rsidRPr="00AA1EED">
        <w:rPr>
          <w:noProof/>
          <w:lang w:val="en-GB"/>
        </w:rPr>
        <w:t>s’</w:t>
      </w:r>
      <w:r w:rsidR="00703CB4" w:rsidRPr="00AA1EED">
        <w:rPr>
          <w:noProof/>
          <w:lang w:val="en-GB"/>
        </w:rPr>
        <w:t xml:space="preserve"> conceptualisation, and regulatory authorities can encourage their usage to promoters.</w:t>
      </w:r>
      <w:r w:rsidR="00406E2C" w:rsidRPr="00AA1EED">
        <w:rPr>
          <w:noProof/>
          <w:lang w:val="en-GB"/>
        </w:rPr>
        <w:t xml:space="preserve"> Updates should be disseminated in future Smart Electricity Grid Summits organised with support from the Commission and the EU DSO Entity.</w:t>
      </w:r>
    </w:p>
    <w:p w14:paraId="2248328C" w14:textId="2AE13E68" w:rsidR="00304360" w:rsidRPr="00AA1EED" w:rsidRDefault="00304360" w:rsidP="009C1B13">
      <w:pPr>
        <w:pStyle w:val="BodyA"/>
        <w:rPr>
          <w:noProof/>
          <w:lang w:val="en-GB"/>
        </w:rPr>
      </w:pPr>
      <w:r w:rsidRPr="00AC6144">
        <w:rPr>
          <w:noProof/>
          <w:lang w:val="en-GB"/>
        </w:rPr>
        <w:t>To further promote smart grids, network efficiency and innovative technologies, the Commission w</w:t>
      </w:r>
      <w:r w:rsidR="00B10311" w:rsidRPr="00AC6144">
        <w:rPr>
          <w:noProof/>
          <w:lang w:val="en-GB"/>
        </w:rPr>
        <w:t>ill further facilitate with the upcoming network codes</w:t>
      </w:r>
      <w:r w:rsidR="0038432C" w:rsidRPr="00AC6144">
        <w:rPr>
          <w:noProof/>
          <w:lang w:val="en-GB"/>
        </w:rPr>
        <w:t xml:space="preserve"> regarding </w:t>
      </w:r>
      <w:r w:rsidR="00B10311" w:rsidRPr="00AC6144">
        <w:rPr>
          <w:noProof/>
          <w:lang w:val="en-GB"/>
        </w:rPr>
        <w:t>the</w:t>
      </w:r>
      <w:r w:rsidRPr="00AC6144">
        <w:rPr>
          <w:noProof/>
          <w:lang w:val="en-GB"/>
        </w:rPr>
        <w:t xml:space="preserve"> participation of decentralised energy resources to </w:t>
      </w:r>
      <w:r w:rsidR="00B10311" w:rsidRPr="00AC6144">
        <w:rPr>
          <w:noProof/>
          <w:lang w:val="en-GB"/>
        </w:rPr>
        <w:t>the</w:t>
      </w:r>
      <w:r w:rsidRPr="00AC6144">
        <w:rPr>
          <w:noProof/>
          <w:lang w:val="en-GB"/>
        </w:rPr>
        <w:t xml:space="preserve"> markets.</w:t>
      </w:r>
      <w:r>
        <w:rPr>
          <w:noProof/>
          <w:lang w:val="en-GB"/>
        </w:rPr>
        <w:t xml:space="preserve"> </w:t>
      </w:r>
    </w:p>
    <w:p w14:paraId="6CD4850E" w14:textId="3257CA33" w:rsidR="009C1B13" w:rsidRPr="00AA1EED" w:rsidRDefault="009C1B13" w:rsidP="009C1B13">
      <w:pPr>
        <w:pStyle w:val="BodyA"/>
        <w:keepNext/>
        <w:spacing w:before="360"/>
        <w:rPr>
          <w:b/>
          <w:bCs/>
          <w:noProof/>
          <w:lang w:val="en-GB"/>
        </w:rPr>
      </w:pPr>
      <w:bookmarkStart w:id="21" w:name="_Hlk151469833"/>
      <w:r w:rsidRPr="00AA1EED">
        <w:rPr>
          <w:b/>
          <w:bCs/>
          <w:noProof/>
          <w:lang w:val="en-GB"/>
        </w:rPr>
        <w:t xml:space="preserve">Action </w:t>
      </w:r>
      <w:r w:rsidR="00FD3CE9" w:rsidRPr="00AA1EED">
        <w:rPr>
          <w:b/>
          <w:bCs/>
          <w:noProof/>
          <w:lang w:val="en-GB"/>
        </w:rPr>
        <w:t>8</w:t>
      </w:r>
      <w:r w:rsidRPr="00AA1EED">
        <w:rPr>
          <w:b/>
          <w:bCs/>
          <w:noProof/>
          <w:lang w:val="en-GB"/>
        </w:rPr>
        <w:t xml:space="preserve">: </w:t>
      </w:r>
      <w:bookmarkStart w:id="22" w:name="_Hlk149724884"/>
      <w:r w:rsidRPr="00AA1EED">
        <w:rPr>
          <w:b/>
          <w:bCs/>
          <w:noProof/>
          <w:lang w:val="en-GB"/>
        </w:rPr>
        <w:t>ACER</w:t>
      </w:r>
      <w:r w:rsidR="00D80246" w:rsidRPr="00AA1EED">
        <w:rPr>
          <w:b/>
          <w:bCs/>
          <w:noProof/>
          <w:lang w:val="en-GB"/>
        </w:rPr>
        <w:t>,</w:t>
      </w:r>
      <w:r w:rsidRPr="00AA1EED">
        <w:rPr>
          <w:b/>
          <w:bCs/>
          <w:noProof/>
          <w:lang w:val="en-GB"/>
        </w:rPr>
        <w:t xml:space="preserve"> </w:t>
      </w:r>
      <w:r w:rsidR="00D80246" w:rsidRPr="00AA1EED">
        <w:rPr>
          <w:b/>
          <w:bCs/>
          <w:noProof/>
          <w:lang w:val="en-GB"/>
        </w:rPr>
        <w:t xml:space="preserve">in its next tariff report, </w:t>
      </w:r>
      <w:r w:rsidRPr="00AA1EED">
        <w:rPr>
          <w:b/>
          <w:bCs/>
          <w:noProof/>
          <w:lang w:val="en-GB"/>
        </w:rPr>
        <w:t xml:space="preserve">to </w:t>
      </w:r>
      <w:r w:rsidR="000929C7" w:rsidRPr="00AA1EED">
        <w:rPr>
          <w:b/>
          <w:bCs/>
          <w:noProof/>
          <w:lang w:val="en-GB"/>
        </w:rPr>
        <w:t xml:space="preserve">recommend best practices </w:t>
      </w:r>
      <w:r w:rsidR="00D80246" w:rsidRPr="00AA1EED">
        <w:rPr>
          <w:b/>
          <w:bCs/>
          <w:noProof/>
          <w:lang w:val="en-GB"/>
        </w:rPr>
        <w:t xml:space="preserve">in relation to the promotion of smart grids and network efficiency technologies through tariff design, focusing on </w:t>
      </w:r>
      <w:r w:rsidR="009A64D8" w:rsidRPr="00AA1EED">
        <w:rPr>
          <w:b/>
          <w:bCs/>
          <w:noProof/>
          <w:lang w:val="en-GB"/>
        </w:rPr>
        <w:t xml:space="preserve">the </w:t>
      </w:r>
      <w:r w:rsidR="00D80246" w:rsidRPr="00AA1EED">
        <w:rPr>
          <w:b/>
          <w:bCs/>
          <w:noProof/>
          <w:lang w:val="en-GB"/>
        </w:rPr>
        <w:t>consideration of</w:t>
      </w:r>
      <w:r w:rsidRPr="00AA1EED">
        <w:rPr>
          <w:b/>
          <w:bCs/>
          <w:noProof/>
          <w:lang w:val="en-GB"/>
        </w:rPr>
        <w:t xml:space="preserve"> </w:t>
      </w:r>
      <w:r w:rsidRPr="00AA1EED">
        <w:rPr>
          <w:b/>
          <w:noProof/>
          <w:lang w:val="en-GB"/>
        </w:rPr>
        <w:t>OPEX in addition to CAPEX</w:t>
      </w:r>
      <w:r w:rsidR="00D80246" w:rsidRPr="00AA1EED">
        <w:rPr>
          <w:b/>
          <w:bCs/>
          <w:noProof/>
          <w:lang w:val="en-GB"/>
        </w:rPr>
        <w:t xml:space="preserve"> and</w:t>
      </w:r>
      <w:r w:rsidRPr="00AA1EED">
        <w:rPr>
          <w:b/>
          <w:bCs/>
          <w:noProof/>
          <w:lang w:val="en-GB"/>
        </w:rPr>
        <w:t xml:space="preserve"> benefit sharing </w:t>
      </w:r>
      <w:bookmarkEnd w:id="22"/>
    </w:p>
    <w:bookmarkEnd w:id="21"/>
    <w:p w14:paraId="30015B01" w14:textId="163854EF" w:rsidR="009C1B13" w:rsidRPr="00AA1EED" w:rsidRDefault="009C1B13" w:rsidP="009C1B13">
      <w:pPr>
        <w:pStyle w:val="BodyA"/>
        <w:rPr>
          <w:noProof/>
          <w:lang w:val="en-GB"/>
        </w:rPr>
      </w:pPr>
      <w:r w:rsidRPr="00AA1EED">
        <w:rPr>
          <w:noProof/>
          <w:lang w:val="en-GB"/>
        </w:rPr>
        <w:t xml:space="preserve">Grids are typically financed via network tariffs, complemented with congestion income for cross-border transmission projects. Transmission and distribution </w:t>
      </w:r>
      <w:r w:rsidRPr="00AA1EED">
        <w:rPr>
          <w:b/>
          <w:bCs/>
          <w:noProof/>
          <w:lang w:val="en-GB"/>
        </w:rPr>
        <w:t xml:space="preserve">network tariffs </w:t>
      </w:r>
      <w:r w:rsidRPr="00377522">
        <w:rPr>
          <w:noProof/>
          <w:lang w:val="en-GB"/>
        </w:rPr>
        <w:t>should</w:t>
      </w:r>
      <w:r w:rsidRPr="00AA1EED">
        <w:rPr>
          <w:noProof/>
          <w:lang w:val="en-GB"/>
        </w:rPr>
        <w:t xml:space="preserve"> be regularly updated</w:t>
      </w:r>
      <w:r w:rsidR="00703CB4" w:rsidRPr="00AA1EED">
        <w:rPr>
          <w:noProof/>
          <w:lang w:val="en-GB"/>
        </w:rPr>
        <w:t>, with an efficient consideration of both OPEX and CAPEX,</w:t>
      </w:r>
      <w:r w:rsidRPr="00AA1EED">
        <w:rPr>
          <w:noProof/>
          <w:lang w:val="en-GB"/>
        </w:rPr>
        <w:t xml:space="preserve"> to </w:t>
      </w:r>
      <w:r w:rsidRPr="00AA1EED">
        <w:rPr>
          <w:b/>
          <w:bCs/>
          <w:noProof/>
          <w:lang w:val="en-GB"/>
        </w:rPr>
        <w:t xml:space="preserve">account for the changing energy system </w:t>
      </w:r>
      <w:r w:rsidR="00D8209B" w:rsidRPr="00AA1EED">
        <w:rPr>
          <w:b/>
          <w:bCs/>
          <w:noProof/>
          <w:lang w:val="en-GB"/>
        </w:rPr>
        <w:t>towards decarbonisation</w:t>
      </w:r>
      <w:r w:rsidR="00D8209B" w:rsidRPr="00AA1EED">
        <w:rPr>
          <w:noProof/>
          <w:lang w:val="en-GB"/>
        </w:rPr>
        <w:t xml:space="preserve"> </w:t>
      </w:r>
      <w:r w:rsidRPr="00AA1EED">
        <w:rPr>
          <w:noProof/>
          <w:lang w:val="en-GB"/>
        </w:rPr>
        <w:t xml:space="preserve">and </w:t>
      </w:r>
      <w:r w:rsidR="00D8209B" w:rsidRPr="00AA1EED">
        <w:rPr>
          <w:noProof/>
          <w:lang w:val="en-GB"/>
        </w:rPr>
        <w:t xml:space="preserve">an </w:t>
      </w:r>
      <w:r w:rsidRPr="00AA1EED">
        <w:rPr>
          <w:noProof/>
          <w:lang w:val="en-GB"/>
        </w:rPr>
        <w:t xml:space="preserve">increasingly active role of </w:t>
      </w:r>
      <w:r w:rsidR="00B554B7" w:rsidRPr="00AA1EED">
        <w:rPr>
          <w:noProof/>
          <w:lang w:val="en-GB"/>
        </w:rPr>
        <w:t>DSOs</w:t>
      </w:r>
      <w:r w:rsidRPr="00AA1EED">
        <w:rPr>
          <w:noProof/>
          <w:lang w:val="en-GB"/>
        </w:rPr>
        <w:t xml:space="preserve">. </w:t>
      </w:r>
      <w:r w:rsidR="000D1AB4" w:rsidRPr="00AA1EED">
        <w:rPr>
          <w:noProof/>
          <w:lang w:val="en-GB"/>
        </w:rPr>
        <w:t xml:space="preserve">There is a </w:t>
      </w:r>
      <w:r w:rsidR="000D1AB4" w:rsidRPr="00AA1EED">
        <w:rPr>
          <w:b/>
          <w:bCs/>
          <w:noProof/>
          <w:lang w:val="en-GB"/>
        </w:rPr>
        <w:t>need to acknowledge an increase of operational costs</w:t>
      </w:r>
      <w:r w:rsidR="000D1AB4" w:rsidRPr="00AA1EED">
        <w:rPr>
          <w:noProof/>
          <w:lang w:val="en-GB"/>
        </w:rPr>
        <w:t xml:space="preserve"> in the deployment and operation of our networks</w:t>
      </w:r>
      <w:r w:rsidR="009A64D8" w:rsidRPr="00AA1EED">
        <w:rPr>
          <w:noProof/>
          <w:lang w:val="en-GB"/>
        </w:rPr>
        <w:t xml:space="preserve">, including for </w:t>
      </w:r>
      <w:r w:rsidR="009A64D8" w:rsidRPr="00377522">
        <w:rPr>
          <w:noProof/>
          <w:lang w:val="en-GB"/>
        </w:rPr>
        <w:t>physical and cybersecurity</w:t>
      </w:r>
      <w:r w:rsidR="000D1AB4" w:rsidRPr="00AA1EED">
        <w:rPr>
          <w:noProof/>
          <w:lang w:val="en-GB"/>
        </w:rPr>
        <w:t>. Efficiency requirements stimulate the network operators to reduce costs and to work more efficiently</w:t>
      </w:r>
      <w:r w:rsidR="000D1AB4" w:rsidRPr="00AA1EED">
        <w:rPr>
          <w:noProof/>
          <w:vertAlign w:val="superscript"/>
          <w:lang w:val="en-GB"/>
        </w:rPr>
        <w:footnoteReference w:id="37"/>
      </w:r>
      <w:r w:rsidR="000D1AB4" w:rsidRPr="00AA1EED">
        <w:rPr>
          <w:noProof/>
          <w:lang w:val="en-GB"/>
        </w:rPr>
        <w:t xml:space="preserve">. </w:t>
      </w:r>
      <w:r w:rsidRPr="00AA1EED">
        <w:rPr>
          <w:b/>
          <w:bCs/>
          <w:noProof/>
          <w:lang w:val="en-GB"/>
        </w:rPr>
        <w:t>NRAs should regularly review</w:t>
      </w:r>
      <w:r w:rsidRPr="00AA1EED">
        <w:rPr>
          <w:noProof/>
          <w:lang w:val="en-GB"/>
        </w:rPr>
        <w:t xml:space="preserve"> </w:t>
      </w:r>
      <w:r w:rsidRPr="00377522">
        <w:rPr>
          <w:b/>
          <w:noProof/>
          <w:lang w:val="en-GB"/>
        </w:rPr>
        <w:t>their network tariff setting or methodologies</w:t>
      </w:r>
      <w:r w:rsidRPr="00AA1EED">
        <w:rPr>
          <w:noProof/>
          <w:lang w:val="en-GB"/>
        </w:rPr>
        <w:t>, including how they set long-term incentives, support peak demand shifting and incentivise the deployment of technologies that increase the efficiency and operability of the grids (see previous action), such as through output-</w:t>
      </w:r>
      <w:r w:rsidR="00D8209B" w:rsidRPr="00AA1EED">
        <w:rPr>
          <w:noProof/>
          <w:lang w:val="en-GB"/>
        </w:rPr>
        <w:t xml:space="preserve"> or performance-</w:t>
      </w:r>
      <w:r w:rsidRPr="00AA1EED">
        <w:rPr>
          <w:noProof/>
          <w:lang w:val="en-GB"/>
        </w:rPr>
        <w:t xml:space="preserve">based </w:t>
      </w:r>
      <w:r w:rsidR="00D8209B" w:rsidRPr="00AA1EED">
        <w:rPr>
          <w:noProof/>
          <w:lang w:val="en-GB"/>
        </w:rPr>
        <w:t xml:space="preserve">remuneration </w:t>
      </w:r>
      <w:r w:rsidRPr="00AA1EED">
        <w:rPr>
          <w:noProof/>
          <w:lang w:val="en-GB"/>
        </w:rPr>
        <w:t xml:space="preserve">schemes. </w:t>
      </w:r>
      <w:r w:rsidRPr="00AA1EED">
        <w:rPr>
          <w:b/>
          <w:bCs/>
          <w:noProof/>
          <w:lang w:val="en-GB"/>
        </w:rPr>
        <w:t>Network tariffs therefore need to evolve with the energy system</w:t>
      </w:r>
      <w:r w:rsidR="00B554B7" w:rsidRPr="00AA1EED">
        <w:rPr>
          <w:noProof/>
          <w:lang w:val="en-GB"/>
        </w:rPr>
        <w:t xml:space="preserve">. Innovative approaches such as </w:t>
      </w:r>
      <w:r w:rsidRPr="00AA1EED">
        <w:rPr>
          <w:noProof/>
          <w:lang w:val="en-GB"/>
        </w:rPr>
        <w:t>benefit sharing</w:t>
      </w:r>
      <w:r w:rsidRPr="00AA1EED">
        <w:rPr>
          <w:rStyle w:val="FootnoteReference"/>
          <w:noProof/>
          <w:lang w:val="en-GB"/>
        </w:rPr>
        <w:footnoteReference w:id="38"/>
      </w:r>
      <w:r w:rsidRPr="00AA1EED">
        <w:rPr>
          <w:noProof/>
          <w:lang w:val="en-GB"/>
        </w:rPr>
        <w:t xml:space="preserve"> </w:t>
      </w:r>
      <w:r w:rsidR="00B554B7" w:rsidRPr="00AA1EED">
        <w:rPr>
          <w:noProof/>
          <w:lang w:val="en-GB"/>
        </w:rPr>
        <w:t>can</w:t>
      </w:r>
      <w:r w:rsidRPr="00AA1EED">
        <w:rPr>
          <w:noProof/>
          <w:lang w:val="en-GB"/>
        </w:rPr>
        <w:t xml:space="preserve"> contribute to energy system resilience at affordable prices. Some Member States </w:t>
      </w:r>
      <w:r w:rsidR="00B554B7" w:rsidRPr="00AA1EED">
        <w:rPr>
          <w:noProof/>
          <w:lang w:val="en-GB"/>
        </w:rPr>
        <w:t xml:space="preserve">are introducing new </w:t>
      </w:r>
      <w:r w:rsidRPr="00AA1EED">
        <w:rPr>
          <w:noProof/>
          <w:lang w:val="en-GB"/>
        </w:rPr>
        <w:t>practices</w:t>
      </w:r>
      <w:r w:rsidR="005A6D4B" w:rsidRPr="00AA1EED">
        <w:rPr>
          <w:noProof/>
          <w:lang w:val="en-GB"/>
        </w:rPr>
        <w:t>, f</w:t>
      </w:r>
      <w:r w:rsidRPr="00AA1EED">
        <w:rPr>
          <w:noProof/>
          <w:lang w:val="en-GB"/>
        </w:rPr>
        <w:t>or example the Italian NRA</w:t>
      </w:r>
      <w:r w:rsidR="00B554B7" w:rsidRPr="00AA1EED">
        <w:rPr>
          <w:noProof/>
          <w:vertAlign w:val="superscript"/>
          <w:lang w:val="en-GB"/>
        </w:rPr>
        <w:footnoteReference w:id="39"/>
      </w:r>
      <w:r w:rsidRPr="00AA1EED">
        <w:rPr>
          <w:noProof/>
          <w:lang w:val="en-GB"/>
        </w:rPr>
        <w:t xml:space="preserve"> </w:t>
      </w:r>
      <w:r w:rsidR="00B554B7" w:rsidRPr="00AA1EED">
        <w:rPr>
          <w:noProof/>
          <w:lang w:val="en-GB"/>
        </w:rPr>
        <w:t>is moving</w:t>
      </w:r>
      <w:r w:rsidRPr="00AA1EED">
        <w:rPr>
          <w:noProof/>
          <w:lang w:val="en-GB"/>
        </w:rPr>
        <w:t xml:space="preserve"> from input-based </w:t>
      </w:r>
      <w:r w:rsidR="00C267A8" w:rsidRPr="00AA1EED">
        <w:rPr>
          <w:noProof/>
          <w:lang w:val="en-GB"/>
        </w:rPr>
        <w:t xml:space="preserve">regulation </w:t>
      </w:r>
      <w:r w:rsidRPr="00AA1EED">
        <w:rPr>
          <w:noProof/>
          <w:lang w:val="en-GB"/>
        </w:rPr>
        <w:t>to premiums to increase transfer capacity and CAPEX-efficiency incentives</w:t>
      </w:r>
      <w:r w:rsidR="000D1AB4" w:rsidRPr="00AA1EED">
        <w:rPr>
          <w:noProof/>
          <w:lang w:val="en-GB"/>
        </w:rPr>
        <w:t xml:space="preserve"> and </w:t>
      </w:r>
      <w:r w:rsidRPr="00AA1EED">
        <w:rPr>
          <w:noProof/>
          <w:lang w:val="en-GB"/>
        </w:rPr>
        <w:t>consider</w:t>
      </w:r>
      <w:r w:rsidR="000D1AB4" w:rsidRPr="00AA1EED">
        <w:rPr>
          <w:noProof/>
          <w:lang w:val="en-GB"/>
        </w:rPr>
        <w:t>ing</w:t>
      </w:r>
      <w:r w:rsidRPr="00AA1EED">
        <w:rPr>
          <w:noProof/>
          <w:lang w:val="en-GB"/>
        </w:rPr>
        <w:t xml:space="preserve"> both OPEX and CAPEX in 2024. </w:t>
      </w:r>
      <w:r w:rsidR="000D1AB4" w:rsidRPr="00377522">
        <w:rPr>
          <w:noProof/>
          <w:lang w:val="en-GB"/>
        </w:rPr>
        <w:t>ACER should</w:t>
      </w:r>
      <w:r w:rsidR="000D1AB4" w:rsidRPr="00AA1EED">
        <w:rPr>
          <w:noProof/>
          <w:lang w:val="en-GB"/>
        </w:rPr>
        <w:t xml:space="preserve"> further support NRAs through </w:t>
      </w:r>
      <w:r w:rsidR="000929C7" w:rsidRPr="00377522">
        <w:rPr>
          <w:b/>
          <w:bCs/>
          <w:noProof/>
          <w:lang w:val="en-GB"/>
        </w:rPr>
        <w:t>recommending</w:t>
      </w:r>
      <w:r w:rsidR="000D1AB4" w:rsidRPr="00AA1EED">
        <w:rPr>
          <w:noProof/>
          <w:lang w:val="en-GB"/>
        </w:rPr>
        <w:t xml:space="preserve"> </w:t>
      </w:r>
      <w:r w:rsidR="000D1AB4" w:rsidRPr="00AA1EED">
        <w:rPr>
          <w:b/>
          <w:bCs/>
          <w:noProof/>
          <w:lang w:val="en-GB"/>
        </w:rPr>
        <w:t>best practices in the next tariff report</w:t>
      </w:r>
      <w:r w:rsidR="002B78E2" w:rsidRPr="00AA1EED">
        <w:rPr>
          <w:rFonts w:eastAsia="Times New Roman" w:cs="Times New Roman"/>
          <w:noProof/>
          <w:vertAlign w:val="superscript"/>
          <w:lang w:val="en-GB"/>
        </w:rPr>
        <w:footnoteReference w:id="40"/>
      </w:r>
      <w:r w:rsidR="002B78E2" w:rsidRPr="00AA1EED">
        <w:rPr>
          <w:b/>
          <w:bCs/>
          <w:noProof/>
          <w:lang w:val="en-GB"/>
        </w:rPr>
        <w:t xml:space="preserve"> </w:t>
      </w:r>
      <w:r w:rsidR="002B78E2" w:rsidRPr="00AA1EED">
        <w:rPr>
          <w:noProof/>
          <w:lang w:val="en-GB"/>
        </w:rPr>
        <w:t xml:space="preserve">due </w:t>
      </w:r>
      <w:r w:rsidR="005A6D4B" w:rsidRPr="00AA1EED">
        <w:rPr>
          <w:noProof/>
          <w:lang w:val="en-GB"/>
        </w:rPr>
        <w:t>January</w:t>
      </w:r>
      <w:r w:rsidR="002B78E2" w:rsidRPr="00AA1EED">
        <w:rPr>
          <w:noProof/>
          <w:lang w:val="en-GB"/>
        </w:rPr>
        <w:t xml:space="preserve"> 2025</w:t>
      </w:r>
      <w:r w:rsidR="00D66473" w:rsidRPr="00AA1EED">
        <w:rPr>
          <w:noProof/>
          <w:lang w:val="en-GB"/>
        </w:rPr>
        <w:t>, based on thorough consultations with all relevant stakeholders</w:t>
      </w:r>
      <w:r w:rsidR="00737EC1">
        <w:rPr>
          <w:noProof/>
          <w:lang w:val="en-GB"/>
        </w:rPr>
        <w:t xml:space="preserve">, and subsequently </w:t>
      </w:r>
      <w:r w:rsidR="00737EC1">
        <w:rPr>
          <w:b/>
          <w:bCs/>
          <w:noProof/>
          <w:lang w:val="en-GB"/>
        </w:rPr>
        <w:t>support</w:t>
      </w:r>
      <w:r w:rsidR="00737EC1" w:rsidRPr="00746F36">
        <w:rPr>
          <w:b/>
          <w:bCs/>
          <w:noProof/>
          <w:lang w:val="en-GB"/>
        </w:rPr>
        <w:t xml:space="preserve"> NRAs </w:t>
      </w:r>
      <w:r w:rsidR="00737EC1">
        <w:rPr>
          <w:b/>
          <w:bCs/>
          <w:noProof/>
          <w:lang w:val="en-GB"/>
        </w:rPr>
        <w:t xml:space="preserve">in </w:t>
      </w:r>
      <w:r w:rsidR="00737EC1" w:rsidRPr="00746F36">
        <w:rPr>
          <w:b/>
          <w:bCs/>
          <w:noProof/>
          <w:lang w:val="en-GB"/>
        </w:rPr>
        <w:t>their implementation</w:t>
      </w:r>
      <w:r w:rsidR="000D1AB4" w:rsidRPr="00AA1EED">
        <w:rPr>
          <w:noProof/>
          <w:lang w:val="en-GB"/>
        </w:rPr>
        <w:t>.</w:t>
      </w:r>
    </w:p>
    <w:p w14:paraId="3F0D0503" w14:textId="39A535CB" w:rsidR="009C1B13" w:rsidRPr="00AA1EED" w:rsidRDefault="009C1B13" w:rsidP="00B44697">
      <w:pPr>
        <w:pStyle w:val="BodyA"/>
        <w:tabs>
          <w:tab w:val="left" w:pos="5103"/>
        </w:tabs>
        <w:rPr>
          <w:noProof/>
          <w:lang w:val="en-GB"/>
        </w:rPr>
      </w:pPr>
      <w:r w:rsidRPr="00AA1EED">
        <w:rPr>
          <w:noProof/>
          <w:lang w:val="en-GB"/>
        </w:rPr>
        <w:t xml:space="preserve">As established by the Electricity Regulation, tariff methodologies shall provide appropriate incentives, including in the long run, ensuring cost reflectiveness, which is enhanced by a careful consideration on the distribution of costs between producers and consumers. This is especially relevant considering that network development is increasingly driven by the need to connect areas where renewables can be generated, a trend that should be reflected in the appropriate level of injection and connection charges to cover related costs. </w:t>
      </w:r>
    </w:p>
    <w:p w14:paraId="1A819DE1" w14:textId="07EB834C" w:rsidR="00766D5D" w:rsidRPr="00AA1EED" w:rsidRDefault="002262DC" w:rsidP="00F7784F">
      <w:pPr>
        <w:pStyle w:val="ListParagraph"/>
        <w:keepNext/>
        <w:numPr>
          <w:ilvl w:val="0"/>
          <w:numId w:val="16"/>
        </w:numPr>
        <w:spacing w:before="360" w:after="160"/>
        <w:rPr>
          <w:rFonts w:ascii="Times New Roman" w:hAnsi="Times New Roman"/>
          <w:b/>
          <w:bCs/>
          <w:i/>
          <w:iCs/>
          <w:noProof/>
          <w:sz w:val="24"/>
          <w:szCs w:val="24"/>
          <w:lang w:val="en-GB"/>
        </w:rPr>
      </w:pPr>
      <w:bookmarkStart w:id="23" w:name="_Hlk151469839"/>
      <w:r w:rsidRPr="00AA1EED">
        <w:rPr>
          <w:rFonts w:ascii="Times New Roman" w:hAnsi="Times New Roman"/>
          <w:b/>
          <w:bCs/>
          <w:i/>
          <w:iCs/>
          <w:noProof/>
          <w:sz w:val="24"/>
          <w:szCs w:val="24"/>
          <w:u w:val="single"/>
          <w:lang w:val="en-GB"/>
        </w:rPr>
        <w:t xml:space="preserve">IMPROVING </w:t>
      </w:r>
      <w:r w:rsidR="00147117" w:rsidRPr="00AA1EED">
        <w:rPr>
          <w:rFonts w:ascii="Times New Roman" w:hAnsi="Times New Roman"/>
          <w:b/>
          <w:bCs/>
          <w:i/>
          <w:iCs/>
          <w:noProof/>
          <w:sz w:val="24"/>
          <w:szCs w:val="24"/>
          <w:u w:val="single"/>
          <w:lang w:val="en-GB"/>
        </w:rPr>
        <w:t xml:space="preserve">ACCESS TO FINANCE </w:t>
      </w:r>
    </w:p>
    <w:bookmarkEnd w:id="23"/>
    <w:p w14:paraId="1A295D11" w14:textId="148DEEF0" w:rsidR="00C96A05" w:rsidRPr="00AA1EED" w:rsidRDefault="002262DC" w:rsidP="00C96A05">
      <w:pPr>
        <w:pStyle w:val="BodyA"/>
        <w:rPr>
          <w:noProof/>
          <w:lang w:val="en-GB"/>
        </w:rPr>
      </w:pPr>
      <w:r w:rsidRPr="00AA1EED">
        <w:rPr>
          <w:noProof/>
          <w:lang w:val="en-GB"/>
        </w:rPr>
        <w:t xml:space="preserve">Funding the necessary grid </w:t>
      </w:r>
      <w:r w:rsidR="004462C4" w:rsidRPr="00AA1EED">
        <w:rPr>
          <w:noProof/>
          <w:lang w:val="en-GB"/>
        </w:rPr>
        <w:t>reinforcements</w:t>
      </w:r>
      <w:r w:rsidRPr="00AA1EED">
        <w:rPr>
          <w:noProof/>
          <w:lang w:val="en-GB"/>
        </w:rPr>
        <w:t xml:space="preserve"> and adaptations will require mobilisation of vast resources, close to half a trillion, in a context where public resources are constrained and inflation and rising interest rates are hitting projects. There are also emerging issues with the credit </w:t>
      </w:r>
      <w:r w:rsidR="00F51187">
        <w:rPr>
          <w:noProof/>
          <w:lang w:val="en-GB"/>
        </w:rPr>
        <w:t>rating</w:t>
      </w:r>
      <w:r w:rsidR="00F51187" w:rsidRPr="00AA1EED">
        <w:rPr>
          <w:noProof/>
          <w:lang w:val="en-GB"/>
        </w:rPr>
        <w:t xml:space="preserve"> </w:t>
      </w:r>
      <w:r w:rsidRPr="00AA1EED">
        <w:rPr>
          <w:noProof/>
          <w:lang w:val="en-GB"/>
        </w:rPr>
        <w:t xml:space="preserve">and access to capital for project promoters. </w:t>
      </w:r>
      <w:r w:rsidR="00147117" w:rsidRPr="00AA1EED">
        <w:rPr>
          <w:noProof/>
          <w:lang w:val="en-GB"/>
        </w:rPr>
        <w:t>Grid operators, both at the transmission and distribution level</w:t>
      </w:r>
      <w:r w:rsidR="003423FF" w:rsidRPr="00AA1EED">
        <w:rPr>
          <w:noProof/>
          <w:lang w:val="en-GB"/>
        </w:rPr>
        <w:t>s</w:t>
      </w:r>
      <w:r w:rsidR="00147117" w:rsidRPr="00AA1EED">
        <w:rPr>
          <w:noProof/>
          <w:lang w:val="en-GB"/>
        </w:rPr>
        <w:t xml:space="preserve">, are faced with an unprecedented increase in the volume of capital expenditure. </w:t>
      </w:r>
      <w:r w:rsidR="00D07D5D">
        <w:rPr>
          <w:noProof/>
          <w:lang w:val="en-GB"/>
        </w:rPr>
        <w:t>For example, t</w:t>
      </w:r>
      <w:r w:rsidR="00147117" w:rsidRPr="00AA1EED">
        <w:rPr>
          <w:noProof/>
          <w:lang w:val="en-GB"/>
        </w:rPr>
        <w:t xml:space="preserve">he size </w:t>
      </w:r>
      <w:r w:rsidR="00BB3975">
        <w:rPr>
          <w:noProof/>
          <w:lang w:val="en-GB"/>
        </w:rPr>
        <w:t>and</w:t>
      </w:r>
      <w:r w:rsidR="00D07D5D">
        <w:rPr>
          <w:noProof/>
          <w:lang w:val="en-GB"/>
        </w:rPr>
        <w:t xml:space="preserve"> rapid extension </w:t>
      </w:r>
      <w:r w:rsidR="00147117" w:rsidRPr="00AA1EED">
        <w:rPr>
          <w:noProof/>
          <w:lang w:val="en-GB"/>
        </w:rPr>
        <w:t xml:space="preserve">of a company’s investment programme </w:t>
      </w:r>
      <w:r w:rsidR="00D07D5D">
        <w:rPr>
          <w:noProof/>
          <w:lang w:val="en-GB"/>
        </w:rPr>
        <w:t xml:space="preserve">may </w:t>
      </w:r>
      <w:r w:rsidR="00147117" w:rsidRPr="00AA1EED">
        <w:rPr>
          <w:noProof/>
          <w:lang w:val="en-GB"/>
        </w:rPr>
        <w:t xml:space="preserve">affect </w:t>
      </w:r>
      <w:r w:rsidR="00D07D5D">
        <w:rPr>
          <w:noProof/>
          <w:lang w:val="en-GB"/>
        </w:rPr>
        <w:t xml:space="preserve">its </w:t>
      </w:r>
      <w:r w:rsidR="00854AD6" w:rsidRPr="00AA1EED">
        <w:rPr>
          <w:noProof/>
          <w:lang w:val="en-GB"/>
        </w:rPr>
        <w:t>credit rating</w:t>
      </w:r>
      <w:r w:rsidR="00D07D5D">
        <w:rPr>
          <w:noProof/>
          <w:lang w:val="en-GB"/>
        </w:rPr>
        <w:t>,</w:t>
      </w:r>
      <w:r w:rsidR="00147117" w:rsidRPr="00AA1EED">
        <w:rPr>
          <w:noProof/>
          <w:lang w:val="en-GB"/>
        </w:rPr>
        <w:t xml:space="preserve"> with negative consequences </w:t>
      </w:r>
      <w:r w:rsidR="00D07D5D">
        <w:rPr>
          <w:noProof/>
          <w:lang w:val="en-GB"/>
        </w:rPr>
        <w:t xml:space="preserve">in </w:t>
      </w:r>
      <w:r w:rsidR="00147117" w:rsidRPr="00AA1EED">
        <w:rPr>
          <w:noProof/>
          <w:lang w:val="en-GB"/>
        </w:rPr>
        <w:t>access to finance.</w:t>
      </w:r>
      <w:r w:rsidR="00807CA7" w:rsidRPr="00AA1EED">
        <w:rPr>
          <w:noProof/>
          <w:lang w:val="en-GB"/>
        </w:rPr>
        <w:t xml:space="preserve"> All of these require a new effort to identify tailor</w:t>
      </w:r>
      <w:r w:rsidR="0040674C" w:rsidRPr="00AA1EED">
        <w:rPr>
          <w:noProof/>
          <w:lang w:val="en-GB"/>
        </w:rPr>
        <w:t>-</w:t>
      </w:r>
      <w:r w:rsidR="00807CA7" w:rsidRPr="00AA1EED">
        <w:rPr>
          <w:noProof/>
          <w:lang w:val="en-GB"/>
        </w:rPr>
        <w:t xml:space="preserve">made financing products and </w:t>
      </w:r>
      <w:r w:rsidR="004462C4" w:rsidRPr="00AA1EED">
        <w:rPr>
          <w:noProof/>
          <w:lang w:val="en-GB"/>
        </w:rPr>
        <w:t>instruments</w:t>
      </w:r>
      <w:r w:rsidR="00807CA7" w:rsidRPr="00AA1EED">
        <w:rPr>
          <w:noProof/>
          <w:lang w:val="en-GB"/>
        </w:rPr>
        <w:t xml:space="preserve"> to support grid investments.</w:t>
      </w:r>
    </w:p>
    <w:p w14:paraId="07217E60" w14:textId="1E150D50" w:rsidR="00766D5D" w:rsidRPr="00AA1EED" w:rsidRDefault="00147117">
      <w:pPr>
        <w:pStyle w:val="Heading2"/>
        <w:rPr>
          <w:b w:val="0"/>
          <w:bCs w:val="0"/>
          <w:noProof/>
          <w:lang w:val="en-GB"/>
        </w:rPr>
      </w:pPr>
      <w:bookmarkStart w:id="24" w:name="_Hlk151469844"/>
      <w:r w:rsidRPr="00AA1EED">
        <w:rPr>
          <w:rFonts w:eastAsia="Arial Unicode MS" w:cs="Arial Unicode MS"/>
          <w:noProof/>
          <w:lang w:val="en-GB"/>
        </w:rPr>
        <w:t xml:space="preserve">Action </w:t>
      </w:r>
      <w:r w:rsidR="00FD3CE9" w:rsidRPr="00AA1EED">
        <w:rPr>
          <w:rFonts w:eastAsia="Arial Unicode MS" w:cs="Arial Unicode MS"/>
          <w:noProof/>
          <w:lang w:val="en-GB"/>
        </w:rPr>
        <w:t>9</w:t>
      </w:r>
      <w:r w:rsidRPr="00AA1EED">
        <w:rPr>
          <w:rFonts w:eastAsia="Arial Unicode MS" w:cs="Arial Unicode MS"/>
          <w:noProof/>
          <w:lang w:val="en-GB"/>
        </w:rPr>
        <w:t xml:space="preserve">: </w:t>
      </w:r>
      <w:bookmarkStart w:id="25" w:name="_Hlk148682119"/>
      <w:bookmarkStart w:id="26" w:name="_Hlk149724908"/>
      <w:r w:rsidRPr="00AA1EED">
        <w:rPr>
          <w:rFonts w:eastAsia="Arial Unicode MS" w:cs="Arial Unicode MS"/>
          <w:noProof/>
          <w:lang w:val="en-GB"/>
        </w:rPr>
        <w:t>C</w:t>
      </w:r>
      <w:bookmarkStart w:id="27" w:name="_Hlk148688711"/>
      <w:bookmarkEnd w:id="25"/>
      <w:r w:rsidRPr="00AA1EED">
        <w:rPr>
          <w:rFonts w:eastAsia="Arial Unicode MS" w:cs="Arial Unicode MS"/>
          <w:noProof/>
          <w:lang w:val="en-GB"/>
        </w:rPr>
        <w:t>ommission to identify tailored financing models and strengthen dialogue to address obstacles</w:t>
      </w:r>
      <w:bookmarkEnd w:id="26"/>
      <w:bookmarkEnd w:id="27"/>
      <w:r w:rsidRPr="00AA1EED">
        <w:rPr>
          <w:rFonts w:eastAsia="Arial Unicode MS" w:cs="Arial Unicode MS"/>
          <w:noProof/>
          <w:lang w:val="en-GB"/>
        </w:rPr>
        <w:t xml:space="preserve"> </w:t>
      </w:r>
      <w:r w:rsidR="002C17DF" w:rsidRPr="00AA1EED">
        <w:rPr>
          <w:rFonts w:eastAsia="Arial Unicode MS" w:cs="Arial Unicode MS"/>
          <w:noProof/>
          <w:lang w:val="en-GB"/>
        </w:rPr>
        <w:t>to private</w:t>
      </w:r>
      <w:r w:rsidRPr="00AA1EED">
        <w:rPr>
          <w:rFonts w:eastAsia="Arial Unicode MS" w:cs="Arial Unicode MS"/>
          <w:noProof/>
          <w:lang w:val="en-GB"/>
        </w:rPr>
        <w:t xml:space="preserve"> </w:t>
      </w:r>
      <w:r w:rsidR="002C17DF" w:rsidRPr="00AA1EED">
        <w:rPr>
          <w:rFonts w:eastAsia="Arial Unicode MS" w:cs="Arial Unicode MS"/>
          <w:noProof/>
          <w:lang w:val="en-GB"/>
        </w:rPr>
        <w:t>financing</w:t>
      </w:r>
    </w:p>
    <w:bookmarkEnd w:id="24"/>
    <w:p w14:paraId="21C9DA89" w14:textId="241424DC" w:rsidR="00EF1E39" w:rsidRDefault="004462C4" w:rsidP="00AC6FF0">
      <w:pPr>
        <w:pStyle w:val="BodyA"/>
        <w:rPr>
          <w:noProof/>
          <w:lang w:val="en-GB"/>
        </w:rPr>
      </w:pPr>
      <w:r w:rsidRPr="00AA1EED">
        <w:rPr>
          <w:noProof/>
          <w:lang w:val="en-GB"/>
        </w:rPr>
        <w:t>B</w:t>
      </w:r>
      <w:r w:rsidR="00147117" w:rsidRPr="00AA1EED">
        <w:rPr>
          <w:noProof/>
          <w:lang w:val="en-GB"/>
        </w:rPr>
        <w:t xml:space="preserve">uilding on the </w:t>
      </w:r>
      <w:r w:rsidR="00147117" w:rsidRPr="00AA1EED">
        <w:rPr>
          <w:b/>
          <w:bCs/>
          <w:noProof/>
          <w:lang w:val="en-GB"/>
        </w:rPr>
        <w:t>Investors Dialogue on Energy</w:t>
      </w:r>
      <w:r w:rsidR="00147117" w:rsidRPr="00AA1EED">
        <w:rPr>
          <w:noProof/>
          <w:lang w:val="en-GB"/>
        </w:rPr>
        <w:t xml:space="preserve">, </w:t>
      </w:r>
      <w:r w:rsidRPr="00AA1EED">
        <w:rPr>
          <w:noProof/>
          <w:lang w:val="en-GB"/>
        </w:rPr>
        <w:t xml:space="preserve">the Commission </w:t>
      </w:r>
      <w:r w:rsidR="00147117" w:rsidRPr="00AA1EED">
        <w:rPr>
          <w:noProof/>
          <w:lang w:val="en-GB"/>
        </w:rPr>
        <w:t xml:space="preserve">will launch by the end of </w:t>
      </w:r>
      <w:r w:rsidR="00EF1E39">
        <w:rPr>
          <w:noProof/>
          <w:lang w:val="en-GB"/>
        </w:rPr>
        <w:t>2023</w:t>
      </w:r>
      <w:r w:rsidR="00147117" w:rsidRPr="00AA1EED">
        <w:rPr>
          <w:noProof/>
          <w:lang w:val="en-GB"/>
        </w:rPr>
        <w:t xml:space="preserve"> a </w:t>
      </w:r>
      <w:r w:rsidR="00147117" w:rsidRPr="00AA1EED">
        <w:rPr>
          <w:b/>
          <w:bCs/>
          <w:noProof/>
          <w:lang w:val="en-GB"/>
        </w:rPr>
        <w:t>reinforced process</w:t>
      </w:r>
      <w:r w:rsidR="00147117" w:rsidRPr="00AA1EED">
        <w:rPr>
          <w:noProof/>
          <w:lang w:val="en-GB"/>
        </w:rPr>
        <w:t xml:space="preserve"> with </w:t>
      </w:r>
      <w:r w:rsidR="00147117" w:rsidRPr="00AA1EED">
        <w:rPr>
          <w:b/>
          <w:bCs/>
          <w:noProof/>
          <w:lang w:val="en-GB"/>
        </w:rPr>
        <w:t>investors</w:t>
      </w:r>
      <w:r w:rsidR="000958F8">
        <w:rPr>
          <w:b/>
          <w:bCs/>
          <w:noProof/>
          <w:lang w:val="en-GB"/>
        </w:rPr>
        <w:t xml:space="preserve"> </w:t>
      </w:r>
      <w:r w:rsidR="000958F8">
        <w:rPr>
          <w:noProof/>
          <w:lang w:val="en-GB"/>
        </w:rPr>
        <w:t>(including pension funds)</w:t>
      </w:r>
      <w:r w:rsidR="00147117" w:rsidRPr="00D935E1">
        <w:rPr>
          <w:noProof/>
          <w:lang w:val="en-GB"/>
        </w:rPr>
        <w:t>,</w:t>
      </w:r>
      <w:r w:rsidR="00147117" w:rsidRPr="00AA1EED">
        <w:rPr>
          <w:b/>
          <w:bCs/>
          <w:noProof/>
          <w:lang w:val="en-GB"/>
        </w:rPr>
        <w:t xml:space="preserve"> credit agencies</w:t>
      </w:r>
      <w:r w:rsidR="00147117" w:rsidRPr="00D935E1">
        <w:rPr>
          <w:noProof/>
          <w:lang w:val="en-GB"/>
        </w:rPr>
        <w:t xml:space="preserve">, </w:t>
      </w:r>
      <w:r w:rsidR="00147117" w:rsidRPr="00AA1EED">
        <w:rPr>
          <w:b/>
          <w:bCs/>
          <w:noProof/>
          <w:lang w:val="en-GB"/>
        </w:rPr>
        <w:t>financial institutions</w:t>
      </w:r>
      <w:r w:rsidR="00147117" w:rsidRPr="00D935E1">
        <w:rPr>
          <w:noProof/>
          <w:lang w:val="en-GB"/>
        </w:rPr>
        <w:t>,</w:t>
      </w:r>
      <w:r w:rsidR="00147117" w:rsidRPr="00AA1EED">
        <w:rPr>
          <w:b/>
          <w:bCs/>
          <w:noProof/>
          <w:lang w:val="en-GB"/>
        </w:rPr>
        <w:t xml:space="preserve"> regulatory authorities and system operators</w:t>
      </w:r>
      <w:r w:rsidR="00147117" w:rsidRPr="00AA1EED">
        <w:rPr>
          <w:noProof/>
          <w:lang w:val="en-GB"/>
        </w:rPr>
        <w:t xml:space="preserve"> to </w:t>
      </w:r>
      <w:r w:rsidR="00EF1E39">
        <w:rPr>
          <w:noProof/>
          <w:lang w:val="en-GB"/>
        </w:rPr>
        <w:t xml:space="preserve">identify and </w:t>
      </w:r>
      <w:r w:rsidR="00147117" w:rsidRPr="00AA1EED">
        <w:rPr>
          <w:noProof/>
          <w:lang w:val="en-GB"/>
        </w:rPr>
        <w:t>address obstacles to financing</w:t>
      </w:r>
      <w:r w:rsidR="005A3A94" w:rsidRPr="00AA1EED">
        <w:rPr>
          <w:noProof/>
          <w:lang w:val="en-GB"/>
        </w:rPr>
        <w:t xml:space="preserve"> including through</w:t>
      </w:r>
      <w:r w:rsidR="00BB3975">
        <w:rPr>
          <w:noProof/>
          <w:lang w:val="en-GB"/>
        </w:rPr>
        <w:t xml:space="preserve"> bank</w:t>
      </w:r>
      <w:r w:rsidR="005A3A94" w:rsidRPr="00AA1EED">
        <w:rPr>
          <w:noProof/>
          <w:lang w:val="en-GB"/>
        </w:rPr>
        <w:t xml:space="preserve"> loans</w:t>
      </w:r>
      <w:r w:rsidR="00EF1E39">
        <w:rPr>
          <w:noProof/>
          <w:lang w:val="en-GB"/>
        </w:rPr>
        <w:t>,</w:t>
      </w:r>
      <w:r w:rsidR="005A3A94" w:rsidRPr="00AA1EED">
        <w:rPr>
          <w:noProof/>
          <w:lang w:val="en-GB"/>
        </w:rPr>
        <w:t xml:space="preserve"> </w:t>
      </w:r>
      <w:r w:rsidR="00BB3975">
        <w:rPr>
          <w:noProof/>
          <w:lang w:val="en-GB"/>
        </w:rPr>
        <w:t xml:space="preserve">market-based instruments (debt and </w:t>
      </w:r>
      <w:r w:rsidR="005A3A94" w:rsidRPr="00AA1EED">
        <w:rPr>
          <w:noProof/>
          <w:lang w:val="en-GB"/>
        </w:rPr>
        <w:t>equity</w:t>
      </w:r>
      <w:r w:rsidR="00BB3975">
        <w:rPr>
          <w:noProof/>
          <w:lang w:val="en-GB"/>
        </w:rPr>
        <w:t>),</w:t>
      </w:r>
      <w:r w:rsidR="00EF1E39">
        <w:rPr>
          <w:noProof/>
          <w:lang w:val="en-GB"/>
        </w:rPr>
        <w:t xml:space="preserve"> guarantees</w:t>
      </w:r>
      <w:r w:rsidR="00BB3975">
        <w:rPr>
          <w:noProof/>
          <w:lang w:val="en-GB"/>
        </w:rPr>
        <w:t xml:space="preserve"> and blended finance</w:t>
      </w:r>
      <w:r w:rsidR="00147117" w:rsidRPr="00AA1EED">
        <w:rPr>
          <w:noProof/>
          <w:lang w:val="en-GB"/>
        </w:rPr>
        <w:t xml:space="preserve">. </w:t>
      </w:r>
      <w:r w:rsidR="00EF1E39">
        <w:rPr>
          <w:noProof/>
          <w:lang w:val="en-GB"/>
        </w:rPr>
        <w:t>C</w:t>
      </w:r>
      <w:r w:rsidR="00EF1E39" w:rsidRPr="00AA1EED">
        <w:rPr>
          <w:noProof/>
          <w:lang w:val="en-GB"/>
        </w:rPr>
        <w:t xml:space="preserve">onsidering the specificities of the business models of system operators, the Commission, with the support of relevant stakeholders, should explore </w:t>
      </w:r>
      <w:r w:rsidR="00EF1E39" w:rsidRPr="00AA1EED">
        <w:rPr>
          <w:b/>
          <w:bCs/>
          <w:noProof/>
          <w:lang w:val="en-GB"/>
        </w:rPr>
        <w:t xml:space="preserve">financing instruments </w:t>
      </w:r>
      <w:r w:rsidR="00EF1E39" w:rsidRPr="00AA1EED">
        <w:rPr>
          <w:noProof/>
          <w:lang w:val="en-GB"/>
        </w:rPr>
        <w:t>to provide the most appropriate solutions to match the investment needs, including guarantees or similar funding mechanisms that catalyse private financing.</w:t>
      </w:r>
    </w:p>
    <w:p w14:paraId="7B4CD189" w14:textId="708E651C" w:rsidR="00D30751" w:rsidRPr="00AA1EED" w:rsidRDefault="002D6751" w:rsidP="00AC6FF0">
      <w:pPr>
        <w:pStyle w:val="BodyA"/>
        <w:rPr>
          <w:noProof/>
          <w:lang w:val="en-GB"/>
        </w:rPr>
      </w:pPr>
      <w:r w:rsidRPr="00AA1EED">
        <w:rPr>
          <w:noProof/>
          <w:lang w:val="en-GB"/>
        </w:rPr>
        <w:t>T</w:t>
      </w:r>
      <w:r w:rsidR="00147117" w:rsidRPr="00AA1EED">
        <w:rPr>
          <w:noProof/>
          <w:lang w:val="en-GB"/>
        </w:rPr>
        <w:t xml:space="preserve">he </w:t>
      </w:r>
      <w:r w:rsidR="00147117" w:rsidRPr="00AA1EED">
        <w:rPr>
          <w:b/>
          <w:bCs/>
          <w:noProof/>
          <w:lang w:val="en-GB"/>
        </w:rPr>
        <w:t>Commission and the EIB</w:t>
      </w:r>
      <w:r w:rsidR="00147117" w:rsidRPr="00AA1EED">
        <w:rPr>
          <w:noProof/>
          <w:lang w:val="en-GB"/>
        </w:rPr>
        <w:t xml:space="preserve"> will explore</w:t>
      </w:r>
      <w:r w:rsidRPr="00AA1EED">
        <w:rPr>
          <w:noProof/>
          <w:lang w:val="en-GB"/>
        </w:rPr>
        <w:t xml:space="preserve"> further</w:t>
      </w:r>
      <w:r w:rsidR="00147117" w:rsidRPr="00AA1EED">
        <w:rPr>
          <w:noProof/>
          <w:lang w:val="en-GB"/>
        </w:rPr>
        <w:t xml:space="preserve"> the need for financing tools and instruments to support grid investments </w:t>
      </w:r>
      <w:r w:rsidRPr="00AA1EED">
        <w:rPr>
          <w:noProof/>
          <w:lang w:val="en-GB"/>
        </w:rPr>
        <w:t xml:space="preserve">at large, </w:t>
      </w:r>
      <w:r w:rsidR="00147117" w:rsidRPr="00AA1EED">
        <w:rPr>
          <w:noProof/>
          <w:lang w:val="en-GB"/>
        </w:rPr>
        <w:t>in the context of InvestEU. </w:t>
      </w:r>
    </w:p>
    <w:p w14:paraId="1F6EC069" w14:textId="036CD266" w:rsidR="00766D5D" w:rsidRDefault="00147117" w:rsidP="00AC6FF0">
      <w:pPr>
        <w:pStyle w:val="BodyA"/>
        <w:rPr>
          <w:noProof/>
          <w:lang w:val="en-GB"/>
        </w:rPr>
      </w:pPr>
      <w:r w:rsidRPr="00AA1EED">
        <w:rPr>
          <w:noProof/>
          <w:lang w:val="en-GB"/>
        </w:rPr>
        <w:t xml:space="preserve">The Commission will ensure the </w:t>
      </w:r>
      <w:r w:rsidRPr="00AA1EED">
        <w:rPr>
          <w:b/>
          <w:bCs/>
          <w:noProof/>
          <w:lang w:val="en-GB"/>
        </w:rPr>
        <w:t>coordination and synergies</w:t>
      </w:r>
      <w:r w:rsidRPr="00AA1EED">
        <w:rPr>
          <w:noProof/>
          <w:lang w:val="en-GB"/>
        </w:rPr>
        <w:t xml:space="preserve"> between this work and </w:t>
      </w:r>
      <w:r w:rsidR="00324E05" w:rsidRPr="00AA1EED">
        <w:rPr>
          <w:noProof/>
          <w:lang w:val="en-GB"/>
        </w:rPr>
        <w:t>relevant work on access to finance</w:t>
      </w:r>
      <w:r w:rsidR="006059D0" w:rsidRPr="00AA1EED">
        <w:rPr>
          <w:noProof/>
          <w:lang w:val="en-GB"/>
        </w:rPr>
        <w:t xml:space="preserve"> as set out in</w:t>
      </w:r>
      <w:r w:rsidRPr="00AA1EED">
        <w:rPr>
          <w:noProof/>
          <w:lang w:val="en-GB"/>
        </w:rPr>
        <w:t xml:space="preserve"> the </w:t>
      </w:r>
      <w:r w:rsidR="000D1AB4" w:rsidRPr="00AA1EED">
        <w:rPr>
          <w:b/>
          <w:bCs/>
          <w:noProof/>
          <w:lang w:val="en-GB"/>
        </w:rPr>
        <w:t>Wind Power Action Plan</w:t>
      </w:r>
      <w:r w:rsidR="000D1AB4" w:rsidRPr="00AA1EED" w:rsidDel="000D1AB4">
        <w:rPr>
          <w:noProof/>
          <w:lang w:val="en-GB"/>
        </w:rPr>
        <w:t xml:space="preserve"> </w:t>
      </w:r>
      <w:r w:rsidR="00D30751" w:rsidRPr="00AA1EED">
        <w:rPr>
          <w:noProof/>
          <w:lang w:val="en-GB"/>
        </w:rPr>
        <w:t xml:space="preserve">(action 8) </w:t>
      </w:r>
      <w:r w:rsidRPr="00AA1EED">
        <w:rPr>
          <w:noProof/>
          <w:lang w:val="en-GB"/>
        </w:rPr>
        <w:t>and other renewable technologies to ensure a coherent integration of the future electricity system.</w:t>
      </w:r>
    </w:p>
    <w:p w14:paraId="76D83DC7" w14:textId="33D6E430" w:rsidR="00766D5D" w:rsidRPr="00AA1EED" w:rsidRDefault="00147117">
      <w:pPr>
        <w:pStyle w:val="Heading2"/>
        <w:rPr>
          <w:b w:val="0"/>
          <w:bCs w:val="0"/>
          <w:noProof/>
          <w:lang w:val="en-GB"/>
        </w:rPr>
      </w:pPr>
      <w:bookmarkStart w:id="28" w:name="_Hlk151469850"/>
      <w:r w:rsidRPr="00AA1EED">
        <w:rPr>
          <w:rFonts w:eastAsia="Arial Unicode MS" w:cs="Arial Unicode MS"/>
          <w:noProof/>
          <w:lang w:val="en-GB"/>
        </w:rPr>
        <w:t xml:space="preserve">Action </w:t>
      </w:r>
      <w:r w:rsidR="00FD3CE9" w:rsidRPr="00AA1EED">
        <w:rPr>
          <w:rFonts w:eastAsia="Arial Unicode MS" w:cs="Arial Unicode MS"/>
          <w:noProof/>
          <w:lang w:val="en-GB"/>
        </w:rPr>
        <w:t>10</w:t>
      </w:r>
      <w:r w:rsidRPr="00AA1EED">
        <w:rPr>
          <w:rFonts w:eastAsia="Arial Unicode MS" w:cs="Arial Unicode MS"/>
          <w:noProof/>
          <w:lang w:val="en-GB"/>
        </w:rPr>
        <w:t xml:space="preserve">: </w:t>
      </w:r>
      <w:bookmarkStart w:id="29" w:name="_Hlk148689129"/>
      <w:bookmarkStart w:id="30" w:name="_Hlk149724947"/>
      <w:r w:rsidR="00AA1EED">
        <w:rPr>
          <w:rFonts w:eastAsia="Arial Unicode MS" w:cs="Arial Unicode MS"/>
          <w:noProof/>
          <w:lang w:val="en-GB"/>
        </w:rPr>
        <w:t>Commission to i</w:t>
      </w:r>
      <w:bookmarkStart w:id="31" w:name="_Hlk148689168"/>
      <w:bookmarkEnd w:id="29"/>
      <w:r w:rsidRPr="00AA1EED">
        <w:rPr>
          <w:rFonts w:eastAsia="Arial Unicode MS" w:cs="Arial Unicode MS"/>
          <w:noProof/>
          <w:lang w:val="en-GB"/>
        </w:rPr>
        <w:t>ncreas</w:t>
      </w:r>
      <w:r w:rsidR="00AA1EED">
        <w:rPr>
          <w:rFonts w:eastAsia="Arial Unicode MS" w:cs="Arial Unicode MS"/>
          <w:noProof/>
          <w:lang w:val="en-GB"/>
        </w:rPr>
        <w:t>e</w:t>
      </w:r>
      <w:r w:rsidRPr="00AA1EED">
        <w:rPr>
          <w:rFonts w:eastAsia="Arial Unicode MS" w:cs="Arial Unicode MS"/>
          <w:noProof/>
          <w:lang w:val="en-GB"/>
        </w:rPr>
        <w:t xml:space="preserve"> visibility on opportunities </w:t>
      </w:r>
      <w:r w:rsidR="00146EED" w:rsidRPr="00AA1EED">
        <w:rPr>
          <w:rFonts w:eastAsia="Arial Unicode MS" w:cs="Arial Unicode MS"/>
          <w:noProof/>
          <w:lang w:val="en-GB"/>
        </w:rPr>
        <w:t>from EU funding programmes</w:t>
      </w:r>
      <w:r w:rsidRPr="00AA1EED">
        <w:rPr>
          <w:rFonts w:eastAsia="Arial Unicode MS" w:cs="Arial Unicode MS"/>
          <w:noProof/>
          <w:lang w:val="en-GB"/>
        </w:rPr>
        <w:t xml:space="preserve"> for smart grids and modernisation of distribution grids</w:t>
      </w:r>
      <w:bookmarkEnd w:id="31"/>
      <w:r w:rsidRPr="00AA1EED">
        <w:rPr>
          <w:rFonts w:eastAsia="Arial Unicode MS" w:cs="Arial Unicode MS"/>
          <w:noProof/>
          <w:lang w:val="en-GB"/>
        </w:rPr>
        <w:t xml:space="preserve"> </w:t>
      </w:r>
      <w:bookmarkEnd w:id="30"/>
    </w:p>
    <w:bookmarkEnd w:id="28"/>
    <w:p w14:paraId="60C6FFFD" w14:textId="72D87B26" w:rsidR="00766D5D" w:rsidRPr="00AA1EED" w:rsidRDefault="00147117" w:rsidP="00F7784F">
      <w:pPr>
        <w:pStyle w:val="Body"/>
        <w:spacing w:after="240" w:line="240" w:lineRule="auto"/>
        <w:jc w:val="both"/>
        <w:rPr>
          <w:rFonts w:ascii="Times New Roman" w:eastAsia="Times New Roman" w:hAnsi="Times New Roman" w:cs="Times New Roman"/>
          <w:noProof/>
          <w:sz w:val="24"/>
          <w:szCs w:val="24"/>
          <w:lang w:val="en-GB"/>
        </w:rPr>
      </w:pPr>
      <w:r w:rsidRPr="00AA1EED">
        <w:rPr>
          <w:rFonts w:ascii="Times New Roman" w:hAnsi="Times New Roman"/>
          <w:noProof/>
          <w:sz w:val="24"/>
          <w:szCs w:val="24"/>
          <w:lang w:val="en-GB"/>
        </w:rPr>
        <w:t xml:space="preserve">Distribution grids are eligible for financing under different EU funding instruments. </w:t>
      </w:r>
      <w:r w:rsidR="00703CB4" w:rsidRPr="00AA1EED">
        <w:rPr>
          <w:rFonts w:ascii="Times New Roman" w:hAnsi="Times New Roman"/>
          <w:b/>
          <w:bCs/>
          <w:noProof/>
          <w:sz w:val="24"/>
          <w:szCs w:val="24"/>
          <w:lang w:val="en-GB"/>
        </w:rPr>
        <w:t>Major funding sources</w:t>
      </w:r>
      <w:r w:rsidRPr="00AA1EED">
        <w:rPr>
          <w:rFonts w:ascii="Times New Roman" w:hAnsi="Times New Roman"/>
          <w:noProof/>
          <w:sz w:val="24"/>
          <w:szCs w:val="24"/>
          <w:lang w:val="en-GB"/>
        </w:rPr>
        <w:t xml:space="preserve"> are the regional (ERDF)</w:t>
      </w:r>
      <w:r w:rsidR="0040674C" w:rsidRPr="00AA1EED">
        <w:rPr>
          <w:rFonts w:ascii="Times New Roman" w:hAnsi="Times New Roman"/>
          <w:noProof/>
          <w:sz w:val="24"/>
          <w:szCs w:val="24"/>
          <w:lang w:val="en-GB"/>
        </w:rPr>
        <w:t>,</w:t>
      </w:r>
      <w:r w:rsidRPr="00AA1EED">
        <w:rPr>
          <w:rFonts w:ascii="Times New Roman" w:hAnsi="Times New Roman"/>
          <w:noProof/>
          <w:sz w:val="24"/>
          <w:szCs w:val="24"/>
          <w:lang w:val="en-GB"/>
        </w:rPr>
        <w:t xml:space="preserve"> cohesion funds (CF) and the </w:t>
      </w:r>
      <w:r w:rsidR="000D37CB" w:rsidRPr="00AA1EED">
        <w:rPr>
          <w:rFonts w:ascii="Times New Roman" w:hAnsi="Times New Roman"/>
          <w:noProof/>
          <w:sz w:val="24"/>
          <w:szCs w:val="24"/>
          <w:lang w:val="en-GB"/>
        </w:rPr>
        <w:t>Recovery and Resilience Facility (</w:t>
      </w:r>
      <w:r w:rsidRPr="00AA1EED">
        <w:rPr>
          <w:rFonts w:ascii="Times New Roman" w:hAnsi="Times New Roman"/>
          <w:noProof/>
          <w:sz w:val="24"/>
          <w:szCs w:val="24"/>
          <w:lang w:val="en-GB"/>
        </w:rPr>
        <w:t>RRF</w:t>
      </w:r>
      <w:r w:rsidR="000D37CB" w:rsidRPr="00AA1EED">
        <w:rPr>
          <w:rFonts w:ascii="Times New Roman" w:hAnsi="Times New Roman"/>
          <w:noProof/>
          <w:sz w:val="24"/>
          <w:szCs w:val="24"/>
          <w:lang w:val="en-GB"/>
        </w:rPr>
        <w:t>)</w:t>
      </w:r>
      <w:r w:rsidR="00703CB4" w:rsidRPr="00AA1EED">
        <w:rPr>
          <w:rFonts w:ascii="Times New Roman" w:hAnsi="Times New Roman"/>
          <w:noProof/>
          <w:sz w:val="24"/>
          <w:szCs w:val="24"/>
          <w:lang w:val="en-GB"/>
        </w:rPr>
        <w:t xml:space="preserve"> </w:t>
      </w:r>
      <w:r w:rsidR="0040674C" w:rsidRPr="00AA1EED">
        <w:rPr>
          <w:rFonts w:ascii="Times New Roman" w:hAnsi="Times New Roman"/>
          <w:noProof/>
          <w:sz w:val="24"/>
          <w:szCs w:val="24"/>
          <w:lang w:val="en-GB"/>
        </w:rPr>
        <w:t xml:space="preserve">including </w:t>
      </w:r>
      <w:r w:rsidR="00703CB4" w:rsidRPr="00AA1EED">
        <w:rPr>
          <w:rFonts w:ascii="Times New Roman" w:hAnsi="Times New Roman"/>
          <w:noProof/>
          <w:sz w:val="24"/>
          <w:szCs w:val="24"/>
          <w:lang w:val="en-GB"/>
        </w:rPr>
        <w:t>its REPowerEU component</w:t>
      </w:r>
      <w:r w:rsidRPr="00AA1EED">
        <w:rPr>
          <w:rFonts w:ascii="Times New Roman" w:hAnsi="Times New Roman"/>
          <w:noProof/>
          <w:sz w:val="24"/>
          <w:szCs w:val="24"/>
          <w:lang w:val="en-GB"/>
        </w:rPr>
        <w:t xml:space="preserve">. ERDF and CF </w:t>
      </w:r>
      <w:r w:rsidR="008D1027" w:rsidRPr="00AA1EED">
        <w:rPr>
          <w:rFonts w:ascii="Times New Roman" w:hAnsi="Times New Roman"/>
          <w:noProof/>
          <w:sz w:val="24"/>
          <w:szCs w:val="24"/>
          <w:lang w:val="en-GB"/>
        </w:rPr>
        <w:t xml:space="preserve">may </w:t>
      </w:r>
      <w:r w:rsidRPr="00AA1EED">
        <w:rPr>
          <w:rFonts w:ascii="Times New Roman" w:hAnsi="Times New Roman"/>
          <w:noProof/>
          <w:sz w:val="24"/>
          <w:szCs w:val="24"/>
          <w:lang w:val="en-GB"/>
        </w:rPr>
        <w:t xml:space="preserve">co-finance the development of smart energy systems, grids and storage projects. In their operational programmes for the period 2021-27, Member States have so far in total </w:t>
      </w:r>
      <w:r w:rsidR="004003B8" w:rsidRPr="00AA1EED">
        <w:rPr>
          <w:rFonts w:ascii="Times New Roman" w:hAnsi="Times New Roman"/>
          <w:noProof/>
          <w:sz w:val="24"/>
          <w:szCs w:val="24"/>
          <w:lang w:val="en-GB"/>
        </w:rPr>
        <w:t>only</w:t>
      </w:r>
      <w:r w:rsidRPr="00AA1EED">
        <w:rPr>
          <w:rFonts w:ascii="Times New Roman" w:hAnsi="Times New Roman"/>
          <w:noProof/>
          <w:sz w:val="24"/>
          <w:szCs w:val="24"/>
          <w:lang w:val="en-GB"/>
        </w:rPr>
        <w:t xml:space="preserve"> allocated EUR 4.</w:t>
      </w:r>
      <w:r w:rsidR="00903619" w:rsidRPr="00AA1EED">
        <w:rPr>
          <w:rFonts w:ascii="Times New Roman" w:hAnsi="Times New Roman"/>
          <w:noProof/>
          <w:sz w:val="24"/>
          <w:szCs w:val="24"/>
          <w:lang w:val="en-GB"/>
        </w:rPr>
        <w:t>7</w:t>
      </w:r>
      <w:r w:rsidRPr="00AA1EED">
        <w:rPr>
          <w:rFonts w:ascii="Times New Roman" w:hAnsi="Times New Roman"/>
          <w:noProof/>
          <w:sz w:val="24"/>
          <w:szCs w:val="24"/>
          <w:lang w:val="en-GB"/>
        </w:rPr>
        <w:t xml:space="preserve"> billion leading to investments of EUR 6 billion. Allocated amounts vary strongly among Member States also since some Member States have used RRF to support such investments.</w:t>
      </w:r>
      <w:r w:rsidR="00A0346B" w:rsidRPr="00AA1EED">
        <w:rPr>
          <w:rFonts w:ascii="Times New Roman" w:hAnsi="Times New Roman"/>
          <w:noProof/>
          <w:sz w:val="24"/>
          <w:szCs w:val="24"/>
          <w:lang w:val="en-GB"/>
        </w:rPr>
        <w:t xml:space="preserve"> </w:t>
      </w:r>
      <w:r w:rsidR="008A4638" w:rsidRPr="00AA1EED">
        <w:rPr>
          <w:rFonts w:ascii="Times New Roman" w:hAnsi="Times New Roman"/>
          <w:noProof/>
          <w:sz w:val="24"/>
          <w:szCs w:val="24"/>
          <w:lang w:val="en-GB"/>
        </w:rPr>
        <w:t>The Modernisation Fund, financed via part of the revenues from the EU ETS</w:t>
      </w:r>
      <w:r w:rsidR="003E70BF" w:rsidRPr="00AA1EED">
        <w:rPr>
          <w:rStyle w:val="FootnoteReference"/>
          <w:rFonts w:ascii="Times New Roman" w:hAnsi="Times New Roman"/>
          <w:noProof/>
          <w:sz w:val="24"/>
          <w:szCs w:val="24"/>
          <w:lang w:val="en-GB"/>
        </w:rPr>
        <w:footnoteReference w:id="41"/>
      </w:r>
      <w:r w:rsidR="008A4638" w:rsidRPr="00AA1EED">
        <w:rPr>
          <w:rFonts w:ascii="Times New Roman" w:hAnsi="Times New Roman"/>
          <w:noProof/>
          <w:sz w:val="24"/>
          <w:szCs w:val="24"/>
          <w:lang w:val="en-GB"/>
        </w:rPr>
        <w:t xml:space="preserve">, and the RRF </w:t>
      </w:r>
      <w:r w:rsidR="002B6B52">
        <w:rPr>
          <w:rFonts w:ascii="Times New Roman" w:hAnsi="Times New Roman"/>
          <w:noProof/>
          <w:sz w:val="24"/>
          <w:szCs w:val="24"/>
          <w:lang w:val="en-GB"/>
        </w:rPr>
        <w:t>can</w:t>
      </w:r>
      <w:r w:rsidR="008A4638" w:rsidRPr="00AA1EED">
        <w:rPr>
          <w:rFonts w:ascii="Times New Roman" w:hAnsi="Times New Roman"/>
          <w:noProof/>
          <w:sz w:val="24"/>
          <w:szCs w:val="24"/>
          <w:lang w:val="en-GB"/>
        </w:rPr>
        <w:t xml:space="preserve"> contribute to part of </w:t>
      </w:r>
      <w:r w:rsidR="00146EED" w:rsidRPr="00AA1EED">
        <w:rPr>
          <w:rFonts w:ascii="Times New Roman" w:hAnsi="Times New Roman"/>
          <w:noProof/>
          <w:sz w:val="24"/>
          <w:szCs w:val="24"/>
          <w:lang w:val="en-GB"/>
        </w:rPr>
        <w:t>the investment needs.</w:t>
      </w:r>
    </w:p>
    <w:p w14:paraId="4D578120" w14:textId="7488626B" w:rsidR="00766D5D" w:rsidRPr="00AA1EED" w:rsidRDefault="00147117" w:rsidP="00AC6FF0">
      <w:pPr>
        <w:pStyle w:val="BodyA"/>
        <w:rPr>
          <w:noProof/>
          <w:lang w:val="en-GB"/>
        </w:rPr>
      </w:pPr>
      <w:r w:rsidRPr="00377522">
        <w:rPr>
          <w:noProof/>
          <w:lang w:val="en-GB"/>
        </w:rPr>
        <w:t>If modifying their operational programmes</w:t>
      </w:r>
      <w:r w:rsidRPr="00AA1EED">
        <w:rPr>
          <w:noProof/>
          <w:lang w:val="en-GB"/>
        </w:rPr>
        <w:t xml:space="preserve"> for the regional and cohesion funds, </w:t>
      </w:r>
      <w:r w:rsidRPr="00AA1EED">
        <w:rPr>
          <w:b/>
          <w:bCs/>
          <w:noProof/>
          <w:lang w:val="en-GB"/>
        </w:rPr>
        <w:t>Member States with</w:t>
      </w:r>
      <w:r w:rsidR="00903619" w:rsidRPr="00AA1EED">
        <w:rPr>
          <w:b/>
          <w:bCs/>
          <w:noProof/>
          <w:lang w:val="en-GB"/>
        </w:rPr>
        <w:t xml:space="preserve"> a</w:t>
      </w:r>
      <w:r w:rsidRPr="00AA1EED">
        <w:rPr>
          <w:b/>
          <w:bCs/>
          <w:noProof/>
          <w:lang w:val="en-GB"/>
        </w:rPr>
        <w:t xml:space="preserve"> high need for distribution grid</w:t>
      </w:r>
      <w:r w:rsidRPr="00AA1EED">
        <w:rPr>
          <w:noProof/>
          <w:lang w:val="en-GB"/>
        </w:rPr>
        <w:t xml:space="preserve"> modernisation and local smart grid deployment </w:t>
      </w:r>
      <w:r w:rsidRPr="00AA1EED">
        <w:rPr>
          <w:b/>
          <w:bCs/>
          <w:noProof/>
          <w:lang w:val="en-GB"/>
        </w:rPr>
        <w:t>should consider available options</w:t>
      </w:r>
      <w:r w:rsidR="0012181C" w:rsidRPr="00AA1EED">
        <w:rPr>
          <w:b/>
          <w:bCs/>
          <w:noProof/>
          <w:lang w:val="en-GB"/>
        </w:rPr>
        <w:t xml:space="preserve"> to increase allocations</w:t>
      </w:r>
      <w:r w:rsidR="008173AC" w:rsidRPr="00AA1EED">
        <w:rPr>
          <w:b/>
          <w:bCs/>
          <w:noProof/>
          <w:lang w:val="en-GB"/>
        </w:rPr>
        <w:t xml:space="preserve"> for this sector</w:t>
      </w:r>
      <w:r w:rsidRPr="00AA1EED">
        <w:rPr>
          <w:noProof/>
          <w:lang w:val="en-GB"/>
        </w:rPr>
        <w:t xml:space="preserve">. The Commission will </w:t>
      </w:r>
      <w:r w:rsidR="00682ED5" w:rsidRPr="00AA1EED">
        <w:rPr>
          <w:noProof/>
          <w:lang w:val="en-GB"/>
        </w:rPr>
        <w:t>kick-start</w:t>
      </w:r>
      <w:r w:rsidR="005A6D4B" w:rsidRPr="00AA1EED">
        <w:rPr>
          <w:noProof/>
          <w:lang w:val="en-GB"/>
        </w:rPr>
        <w:t xml:space="preserve"> from Q1 2024</w:t>
      </w:r>
      <w:r w:rsidR="00682ED5" w:rsidRPr="00AA1EED">
        <w:rPr>
          <w:noProof/>
          <w:lang w:val="en-GB"/>
        </w:rPr>
        <w:t xml:space="preserve"> a process to work with Member States on funding opportunities for </w:t>
      </w:r>
      <w:r w:rsidR="005A6D4B" w:rsidRPr="00AA1EED">
        <w:rPr>
          <w:noProof/>
          <w:lang w:val="en-GB"/>
        </w:rPr>
        <w:t>distribution</w:t>
      </w:r>
      <w:r w:rsidR="00682ED5" w:rsidRPr="00AA1EED">
        <w:rPr>
          <w:noProof/>
          <w:lang w:val="en-GB"/>
        </w:rPr>
        <w:t xml:space="preserve"> grids, including via </w:t>
      </w:r>
      <w:r w:rsidRPr="00AA1EED">
        <w:rPr>
          <w:noProof/>
          <w:lang w:val="en-GB"/>
        </w:rPr>
        <w:t xml:space="preserve">a </w:t>
      </w:r>
      <w:r w:rsidR="00682ED5" w:rsidRPr="00AA1EED">
        <w:rPr>
          <w:noProof/>
          <w:lang w:val="en-GB"/>
        </w:rPr>
        <w:t xml:space="preserve">dedicated </w:t>
      </w:r>
      <w:r w:rsidRPr="00AA1EED">
        <w:rPr>
          <w:noProof/>
          <w:lang w:val="en-GB"/>
        </w:rPr>
        <w:t>high-level meeting</w:t>
      </w:r>
      <w:r w:rsidR="00682ED5" w:rsidRPr="00AA1EED">
        <w:rPr>
          <w:noProof/>
          <w:lang w:val="en-GB"/>
        </w:rPr>
        <w:t xml:space="preserve">. The Commission </w:t>
      </w:r>
      <w:r w:rsidRPr="00AA1EED">
        <w:rPr>
          <w:noProof/>
          <w:lang w:val="en-GB"/>
        </w:rPr>
        <w:t xml:space="preserve">will </w:t>
      </w:r>
      <w:r w:rsidR="00682ED5" w:rsidRPr="00AA1EED">
        <w:rPr>
          <w:noProof/>
          <w:lang w:val="en-GB"/>
        </w:rPr>
        <w:t xml:space="preserve">also </w:t>
      </w:r>
      <w:r w:rsidRPr="00AA1EED">
        <w:rPr>
          <w:noProof/>
          <w:lang w:val="en-GB"/>
        </w:rPr>
        <w:t xml:space="preserve">put forward dedicated technical assistance within the </w:t>
      </w:r>
      <w:r w:rsidRPr="00AA1EED">
        <w:rPr>
          <w:b/>
          <w:bCs/>
          <w:noProof/>
          <w:lang w:val="en-GB"/>
        </w:rPr>
        <w:t>Technical Support Instrument</w:t>
      </w:r>
      <w:r w:rsidRPr="00AA1EED">
        <w:rPr>
          <w:noProof/>
          <w:lang w:val="en-GB"/>
        </w:rPr>
        <w:t xml:space="preserve"> to help </w:t>
      </w:r>
      <w:r w:rsidR="00682ED5" w:rsidRPr="00AA1EED">
        <w:rPr>
          <w:noProof/>
          <w:lang w:val="en-GB"/>
        </w:rPr>
        <w:t xml:space="preserve">enterprises </w:t>
      </w:r>
      <w:r w:rsidRPr="00AA1EED">
        <w:rPr>
          <w:noProof/>
          <w:lang w:val="en-GB"/>
        </w:rPr>
        <w:t xml:space="preserve">preparing </w:t>
      </w:r>
      <w:r w:rsidR="005A6D4B" w:rsidRPr="00AA1EED">
        <w:rPr>
          <w:noProof/>
          <w:lang w:val="en-GB"/>
        </w:rPr>
        <w:t xml:space="preserve">their </w:t>
      </w:r>
      <w:r w:rsidRPr="00AA1EED">
        <w:rPr>
          <w:noProof/>
          <w:lang w:val="en-GB"/>
        </w:rPr>
        <w:t>funding applications</w:t>
      </w:r>
      <w:r w:rsidR="00682ED5" w:rsidRPr="00AA1EED">
        <w:rPr>
          <w:noProof/>
          <w:lang w:val="en-GB"/>
        </w:rPr>
        <w:t xml:space="preserve"> and will collaborate with the EU DSO Entity to raise awareness </w:t>
      </w:r>
      <w:r w:rsidR="005A6D4B" w:rsidRPr="00AA1EED">
        <w:rPr>
          <w:noProof/>
          <w:lang w:val="en-GB"/>
        </w:rPr>
        <w:t xml:space="preserve">on this action </w:t>
      </w:r>
      <w:r w:rsidR="00682ED5" w:rsidRPr="00AA1EED">
        <w:rPr>
          <w:noProof/>
          <w:lang w:val="en-GB"/>
        </w:rPr>
        <w:t>among its DSO members</w:t>
      </w:r>
      <w:r w:rsidRPr="00AA1EED">
        <w:rPr>
          <w:noProof/>
          <w:lang w:val="en-GB"/>
        </w:rPr>
        <w:t>.</w:t>
      </w:r>
    </w:p>
    <w:p w14:paraId="3D593932" w14:textId="6586F4CE" w:rsidR="00766D5D" w:rsidRPr="00AA1EED" w:rsidRDefault="00147117" w:rsidP="00F7784F">
      <w:pPr>
        <w:pStyle w:val="ListParagraph"/>
        <w:keepNext/>
        <w:numPr>
          <w:ilvl w:val="0"/>
          <w:numId w:val="16"/>
        </w:numPr>
        <w:spacing w:before="360" w:after="160"/>
        <w:rPr>
          <w:rFonts w:ascii="Times New Roman" w:hAnsi="Times New Roman"/>
          <w:b/>
          <w:bCs/>
          <w:i/>
          <w:iCs/>
          <w:noProof/>
          <w:sz w:val="24"/>
          <w:szCs w:val="24"/>
          <w:lang w:val="en-GB"/>
        </w:rPr>
      </w:pPr>
      <w:bookmarkStart w:id="32" w:name="_Hlk151469856"/>
      <w:r w:rsidRPr="00AA1EED">
        <w:rPr>
          <w:rFonts w:ascii="Times New Roman" w:hAnsi="Times New Roman"/>
          <w:b/>
          <w:bCs/>
          <w:i/>
          <w:iCs/>
          <w:noProof/>
          <w:sz w:val="24"/>
          <w:szCs w:val="24"/>
          <w:u w:val="single"/>
          <w:lang w:val="en-GB"/>
        </w:rPr>
        <w:t>ACCELERATING DEPLOYMENT THROUGH FASTER PERMITTING</w:t>
      </w:r>
      <w:r w:rsidR="005F72CD" w:rsidRPr="00AA1EED">
        <w:rPr>
          <w:rFonts w:ascii="Times New Roman" w:hAnsi="Times New Roman"/>
          <w:b/>
          <w:bCs/>
          <w:i/>
          <w:iCs/>
          <w:noProof/>
          <w:sz w:val="24"/>
          <w:szCs w:val="24"/>
          <w:u w:val="single"/>
          <w:lang w:val="en-GB"/>
        </w:rPr>
        <w:t xml:space="preserve"> AND PUBLIC ENGAGEMENT</w:t>
      </w:r>
    </w:p>
    <w:bookmarkEnd w:id="32"/>
    <w:p w14:paraId="04CDA9C8" w14:textId="75F94AC0" w:rsidR="00D61106" w:rsidRPr="00AA1EED" w:rsidRDefault="00147117" w:rsidP="00AC6FF0">
      <w:pPr>
        <w:pStyle w:val="BodyA"/>
        <w:rPr>
          <w:noProof/>
          <w:lang w:val="en-GB"/>
        </w:rPr>
      </w:pPr>
      <w:r w:rsidRPr="00AA1EED">
        <w:rPr>
          <w:noProof/>
          <w:lang w:val="en-GB"/>
        </w:rPr>
        <w:t>Infrastructure projects encounter complex</w:t>
      </w:r>
      <w:r w:rsidR="00D61106" w:rsidRPr="00AA1EED">
        <w:rPr>
          <w:noProof/>
          <w:lang w:val="en-GB"/>
        </w:rPr>
        <w:t xml:space="preserve"> and</w:t>
      </w:r>
      <w:r w:rsidRPr="00AA1EED">
        <w:rPr>
          <w:noProof/>
          <w:lang w:val="en-GB"/>
        </w:rPr>
        <w:t xml:space="preserve"> lengthy</w:t>
      </w:r>
      <w:r w:rsidR="00F759F7" w:rsidRPr="00AA1EED">
        <w:rPr>
          <w:noProof/>
          <w:lang w:val="en-GB"/>
        </w:rPr>
        <w:t xml:space="preserve"> </w:t>
      </w:r>
      <w:r w:rsidRPr="00AA1EED">
        <w:rPr>
          <w:noProof/>
          <w:lang w:val="en-GB"/>
        </w:rPr>
        <w:t>permitting procedures as they cover long distances crossing very often several jurisdictions.</w:t>
      </w:r>
      <w:r w:rsidR="004C171F" w:rsidRPr="00AA1EED">
        <w:rPr>
          <w:noProof/>
          <w:lang w:val="en-GB"/>
        </w:rPr>
        <w:t xml:space="preserve"> </w:t>
      </w:r>
      <w:r w:rsidRPr="00AA1EED">
        <w:rPr>
          <w:noProof/>
          <w:lang w:val="en-GB"/>
        </w:rPr>
        <w:t xml:space="preserve">This entails the navigation </w:t>
      </w:r>
      <w:r w:rsidR="001A7D9D" w:rsidRPr="00AA1EED">
        <w:rPr>
          <w:noProof/>
          <w:lang w:val="en-GB"/>
        </w:rPr>
        <w:t>through</w:t>
      </w:r>
      <w:r w:rsidRPr="00AA1EED">
        <w:rPr>
          <w:noProof/>
          <w:lang w:val="en-GB"/>
        </w:rPr>
        <w:t xml:space="preserve"> different permitting procedures in </w:t>
      </w:r>
      <w:r w:rsidR="00183B55" w:rsidRPr="00AA1EED">
        <w:rPr>
          <w:noProof/>
          <w:lang w:val="en-GB"/>
        </w:rPr>
        <w:t xml:space="preserve">several </w:t>
      </w:r>
      <w:r w:rsidRPr="00AA1EED">
        <w:rPr>
          <w:noProof/>
          <w:lang w:val="en-GB"/>
        </w:rPr>
        <w:t xml:space="preserve">languages with </w:t>
      </w:r>
      <w:r w:rsidR="00183B55" w:rsidRPr="00AA1EED">
        <w:rPr>
          <w:noProof/>
          <w:lang w:val="en-GB"/>
        </w:rPr>
        <w:t xml:space="preserve">various </w:t>
      </w:r>
      <w:r w:rsidRPr="00AA1EED">
        <w:rPr>
          <w:noProof/>
          <w:lang w:val="en-GB"/>
        </w:rPr>
        <w:t xml:space="preserve">set-ups and deadlines. </w:t>
      </w:r>
      <w:r w:rsidR="009A6E47" w:rsidRPr="00AA1EED">
        <w:rPr>
          <w:noProof/>
          <w:lang w:val="en-GB"/>
        </w:rPr>
        <w:t xml:space="preserve">Some of these problems are linked to </w:t>
      </w:r>
      <w:r w:rsidR="00D61106" w:rsidRPr="00AA1EED">
        <w:rPr>
          <w:noProof/>
          <w:lang w:val="en-GB"/>
        </w:rPr>
        <w:t xml:space="preserve">constraints in staffing and digitalisation of the competent authorities. </w:t>
      </w:r>
      <w:r w:rsidRPr="00AA1EED">
        <w:rPr>
          <w:noProof/>
          <w:lang w:val="en-GB"/>
        </w:rPr>
        <w:t xml:space="preserve">The process of obtaining the necessary environmental permitting </w:t>
      </w:r>
      <w:r w:rsidR="00D61106" w:rsidRPr="00AA1EED">
        <w:rPr>
          <w:noProof/>
          <w:lang w:val="en-GB"/>
        </w:rPr>
        <w:t>for cross</w:t>
      </w:r>
      <w:r w:rsidR="00183B55" w:rsidRPr="00AA1EED">
        <w:rPr>
          <w:noProof/>
          <w:lang w:val="en-GB"/>
        </w:rPr>
        <w:t>-</w:t>
      </w:r>
      <w:r w:rsidR="00D61106" w:rsidRPr="00AA1EED">
        <w:rPr>
          <w:noProof/>
          <w:lang w:val="en-GB"/>
        </w:rPr>
        <w:t xml:space="preserve">border projects </w:t>
      </w:r>
      <w:r w:rsidRPr="00AA1EED">
        <w:rPr>
          <w:noProof/>
          <w:lang w:val="en-GB"/>
        </w:rPr>
        <w:t xml:space="preserve">is </w:t>
      </w:r>
      <w:r w:rsidR="00EC16A2" w:rsidRPr="00AA1EED">
        <w:rPr>
          <w:noProof/>
          <w:lang w:val="en-GB"/>
        </w:rPr>
        <w:t xml:space="preserve">sometimes </w:t>
      </w:r>
      <w:r w:rsidR="00D64C07" w:rsidRPr="00AA1EED">
        <w:rPr>
          <w:noProof/>
          <w:lang w:val="en-GB"/>
        </w:rPr>
        <w:t>difficult</w:t>
      </w:r>
      <w:r w:rsidRPr="00AA1EED">
        <w:rPr>
          <w:noProof/>
          <w:lang w:val="en-GB"/>
        </w:rPr>
        <w:t>, especially for projects crossing protected natural areas or certain species’ habitats</w:t>
      </w:r>
      <w:r w:rsidR="003950A6" w:rsidRPr="00AA1EED">
        <w:rPr>
          <w:noProof/>
          <w:lang w:val="en-GB"/>
        </w:rPr>
        <w:t>, in particular where knowledge about the protected habitats and species present is not complete</w:t>
      </w:r>
      <w:r w:rsidRPr="00AA1EED">
        <w:rPr>
          <w:noProof/>
          <w:lang w:val="en-GB"/>
        </w:rPr>
        <w:t xml:space="preserve">. Moreover, the implementation of infrastructure projects </w:t>
      </w:r>
      <w:r w:rsidR="006076AA" w:rsidRPr="00AA1EED">
        <w:rPr>
          <w:noProof/>
          <w:lang w:val="en-GB"/>
        </w:rPr>
        <w:t xml:space="preserve">frequently </w:t>
      </w:r>
      <w:r w:rsidR="00183B55" w:rsidRPr="00AA1EED">
        <w:rPr>
          <w:noProof/>
          <w:lang w:val="en-GB"/>
        </w:rPr>
        <w:t xml:space="preserve">faces </w:t>
      </w:r>
      <w:r w:rsidRPr="00AA1EED">
        <w:rPr>
          <w:noProof/>
          <w:lang w:val="en-GB"/>
        </w:rPr>
        <w:t xml:space="preserve">significant public </w:t>
      </w:r>
      <w:r w:rsidR="00BB5EC5" w:rsidRPr="00AA1EED">
        <w:rPr>
          <w:noProof/>
          <w:lang w:val="en-GB"/>
        </w:rPr>
        <w:t>concerns that, in the worst cases,</w:t>
      </w:r>
      <w:r w:rsidR="00A63E56" w:rsidRPr="00AA1EED">
        <w:rPr>
          <w:noProof/>
          <w:lang w:val="en-GB"/>
        </w:rPr>
        <w:t xml:space="preserve"> may</w:t>
      </w:r>
      <w:r w:rsidR="00E47C8D" w:rsidRPr="00AA1EED">
        <w:rPr>
          <w:noProof/>
          <w:lang w:val="en-GB"/>
        </w:rPr>
        <w:t xml:space="preserve"> </w:t>
      </w:r>
      <w:r w:rsidRPr="00AA1EED">
        <w:rPr>
          <w:noProof/>
          <w:lang w:val="en-GB"/>
        </w:rPr>
        <w:t>lead</w:t>
      </w:r>
      <w:r w:rsidR="00E47C8D" w:rsidRPr="00AA1EED">
        <w:rPr>
          <w:noProof/>
          <w:lang w:val="en-GB"/>
        </w:rPr>
        <w:t xml:space="preserve"> </w:t>
      </w:r>
      <w:r w:rsidRPr="00AA1EED">
        <w:rPr>
          <w:noProof/>
          <w:lang w:val="en-GB"/>
        </w:rPr>
        <w:t>to lengthy court procedures.</w:t>
      </w:r>
      <w:r w:rsidR="00183B55" w:rsidRPr="00AA1EED">
        <w:rPr>
          <w:noProof/>
          <w:lang w:val="en-GB"/>
        </w:rPr>
        <w:t xml:space="preserve"> </w:t>
      </w:r>
      <w:r w:rsidR="00C96A05" w:rsidRPr="00AA1EED">
        <w:rPr>
          <w:noProof/>
          <w:lang w:val="en-GB"/>
        </w:rPr>
        <w:t>Minimum legislative requirements are often not sufficient in addressing the concerns of local communities impacted by the construction of a projects in their vicinity, and ambition for public engagement should go beyond what</w:t>
      </w:r>
      <w:r w:rsidR="00472348" w:rsidRPr="00AA1EED">
        <w:rPr>
          <w:noProof/>
          <w:lang w:val="en-GB"/>
        </w:rPr>
        <w:t xml:space="preserve"> is</w:t>
      </w:r>
      <w:r w:rsidR="00C96A05" w:rsidRPr="00AA1EED">
        <w:rPr>
          <w:noProof/>
          <w:lang w:val="en-GB"/>
        </w:rPr>
        <w:t xml:space="preserve"> strictly required.</w:t>
      </w:r>
    </w:p>
    <w:p w14:paraId="789D1F0D" w14:textId="6CA11BF7" w:rsidR="00C96A05" w:rsidRPr="00AA1EED" w:rsidRDefault="00D61106" w:rsidP="00AC6FF0">
      <w:pPr>
        <w:pStyle w:val="BodyA"/>
        <w:rPr>
          <w:noProof/>
          <w:lang w:val="en-GB"/>
        </w:rPr>
      </w:pPr>
      <w:r w:rsidRPr="00AA1EED">
        <w:rPr>
          <w:noProof/>
          <w:lang w:val="en-GB"/>
        </w:rPr>
        <w:t xml:space="preserve">The TEN-E Regulation and most lately the emergency Council Regulation (EU) 2022/2577 offer solutions </w:t>
      </w:r>
      <w:r w:rsidR="007A2703" w:rsidRPr="00AA1EED">
        <w:rPr>
          <w:noProof/>
          <w:lang w:val="en-GB"/>
        </w:rPr>
        <w:t>to</w:t>
      </w:r>
      <w:r w:rsidRPr="00AA1EED">
        <w:rPr>
          <w:noProof/>
          <w:lang w:val="en-GB"/>
        </w:rPr>
        <w:t xml:space="preserve"> these issues, </w:t>
      </w:r>
      <w:r w:rsidR="00D64C07" w:rsidRPr="00AA1EED">
        <w:rPr>
          <w:noProof/>
          <w:lang w:val="en-GB"/>
        </w:rPr>
        <w:t xml:space="preserve">however </w:t>
      </w:r>
      <w:r w:rsidRPr="00AA1EED">
        <w:rPr>
          <w:noProof/>
          <w:lang w:val="en-GB"/>
        </w:rPr>
        <w:t xml:space="preserve">they are not yet </w:t>
      </w:r>
      <w:r w:rsidR="00A132CE">
        <w:rPr>
          <w:noProof/>
          <w:lang w:val="en-GB"/>
        </w:rPr>
        <w:t>sufficiently</w:t>
      </w:r>
      <w:r w:rsidR="00A132CE" w:rsidRPr="00AA1EED">
        <w:rPr>
          <w:noProof/>
          <w:lang w:val="en-GB"/>
        </w:rPr>
        <w:t xml:space="preserve"> </w:t>
      </w:r>
      <w:r w:rsidRPr="00AA1EED">
        <w:rPr>
          <w:noProof/>
          <w:lang w:val="en-GB"/>
        </w:rPr>
        <w:t xml:space="preserve">taken up. </w:t>
      </w:r>
    </w:p>
    <w:p w14:paraId="063C6134" w14:textId="02FEA014" w:rsidR="00766D5D" w:rsidRPr="00AA1EED" w:rsidRDefault="00147117">
      <w:pPr>
        <w:pStyle w:val="BodyA"/>
        <w:keepNext/>
        <w:spacing w:before="360"/>
        <w:rPr>
          <w:b/>
          <w:bCs/>
          <w:noProof/>
          <w:lang w:val="en-GB"/>
        </w:rPr>
      </w:pPr>
      <w:bookmarkStart w:id="33" w:name="_Hlk151469860"/>
      <w:r w:rsidRPr="00AA1EED">
        <w:rPr>
          <w:b/>
          <w:bCs/>
          <w:noProof/>
          <w:lang w:val="en-GB"/>
        </w:rPr>
        <w:t>Action 1</w:t>
      </w:r>
      <w:r w:rsidR="00BC64B2" w:rsidRPr="00AA1EED">
        <w:rPr>
          <w:b/>
          <w:bCs/>
          <w:noProof/>
          <w:lang w:val="en-GB"/>
        </w:rPr>
        <w:t>1</w:t>
      </w:r>
      <w:r w:rsidRPr="00AA1EED">
        <w:rPr>
          <w:b/>
          <w:bCs/>
          <w:noProof/>
          <w:lang w:val="en-GB"/>
        </w:rPr>
        <w:t xml:space="preserve">: </w:t>
      </w:r>
      <w:bookmarkStart w:id="34" w:name="_Hlk148689462"/>
      <w:bookmarkStart w:id="35" w:name="_Hlk149724974"/>
      <w:r w:rsidR="00813C18" w:rsidRPr="00AA1EED">
        <w:rPr>
          <w:b/>
          <w:bCs/>
          <w:noProof/>
          <w:lang w:val="en-GB"/>
        </w:rPr>
        <w:t>Commission to support permitting acceleration providing guidance</w:t>
      </w:r>
      <w:r w:rsidRPr="00AA1EED">
        <w:rPr>
          <w:b/>
          <w:bCs/>
          <w:noProof/>
          <w:lang w:val="en-GB"/>
        </w:rPr>
        <w:t xml:space="preserve"> </w:t>
      </w:r>
      <w:r w:rsidR="00032D87" w:rsidRPr="00AA1EED">
        <w:rPr>
          <w:b/>
          <w:bCs/>
          <w:noProof/>
          <w:lang w:val="en-GB"/>
        </w:rPr>
        <w:t>and technical support</w:t>
      </w:r>
      <w:bookmarkEnd w:id="34"/>
      <w:r w:rsidR="00D61106" w:rsidRPr="00AA1EED">
        <w:rPr>
          <w:b/>
          <w:bCs/>
          <w:noProof/>
          <w:lang w:val="en-GB"/>
        </w:rPr>
        <w:t xml:space="preserve"> on how to implement existing legislative tools</w:t>
      </w:r>
      <w:r w:rsidR="00813C18" w:rsidRPr="00AA1EED">
        <w:rPr>
          <w:b/>
          <w:bCs/>
          <w:noProof/>
          <w:lang w:val="en-GB"/>
        </w:rPr>
        <w:t xml:space="preserve"> and Member States to implement accelerati</w:t>
      </w:r>
      <w:r w:rsidR="00D61106" w:rsidRPr="00AA1EED">
        <w:rPr>
          <w:b/>
          <w:bCs/>
          <w:noProof/>
          <w:lang w:val="en-GB"/>
        </w:rPr>
        <w:t>on</w:t>
      </w:r>
      <w:r w:rsidR="00813C18" w:rsidRPr="00AA1EED">
        <w:rPr>
          <w:b/>
          <w:bCs/>
          <w:noProof/>
          <w:lang w:val="en-GB"/>
        </w:rPr>
        <w:t xml:space="preserve"> measures</w:t>
      </w:r>
      <w:r w:rsidRPr="00AA1EED">
        <w:rPr>
          <w:b/>
          <w:bCs/>
          <w:noProof/>
          <w:lang w:val="en-GB"/>
        </w:rPr>
        <w:t xml:space="preserve"> </w:t>
      </w:r>
      <w:bookmarkEnd w:id="35"/>
    </w:p>
    <w:bookmarkEnd w:id="33"/>
    <w:p w14:paraId="7977B791" w14:textId="2A05057A" w:rsidR="008B2F1B" w:rsidRPr="00AA1EED" w:rsidRDefault="008B2F1B" w:rsidP="00AC6FF0">
      <w:pPr>
        <w:pStyle w:val="BodyA"/>
        <w:rPr>
          <w:noProof/>
          <w:lang w:val="en-GB"/>
        </w:rPr>
      </w:pPr>
      <w:r w:rsidRPr="00AA1EED">
        <w:rPr>
          <w:noProof/>
          <w:lang w:val="en-GB"/>
        </w:rPr>
        <w:t xml:space="preserve">Member States </w:t>
      </w:r>
      <w:r w:rsidR="00C30F7E">
        <w:rPr>
          <w:noProof/>
          <w:lang w:val="en-GB"/>
        </w:rPr>
        <w:t>may</w:t>
      </w:r>
      <w:r w:rsidRPr="00AA1EED">
        <w:rPr>
          <w:noProof/>
          <w:lang w:val="en-GB"/>
        </w:rPr>
        <w:t xml:space="preserve"> make use of the voluntary provisions under the </w:t>
      </w:r>
      <w:r w:rsidRPr="00AA1EED">
        <w:rPr>
          <w:b/>
          <w:bCs/>
          <w:noProof/>
          <w:lang w:val="en-GB"/>
        </w:rPr>
        <w:t>emergency Council Regulation</w:t>
      </w:r>
      <w:r w:rsidRPr="00AA1EED">
        <w:rPr>
          <w:rStyle w:val="FootnoteReference"/>
          <w:noProof/>
          <w:lang w:val="en-GB"/>
        </w:rPr>
        <w:footnoteReference w:id="42"/>
      </w:r>
      <w:r w:rsidRPr="00AA1EED">
        <w:rPr>
          <w:b/>
          <w:bCs/>
          <w:noProof/>
          <w:lang w:val="en-GB"/>
        </w:rPr>
        <w:t xml:space="preserve"> </w:t>
      </w:r>
      <w:r w:rsidRPr="00AA1EED">
        <w:rPr>
          <w:noProof/>
          <w:lang w:val="en-GB"/>
        </w:rPr>
        <w:t>(Article 6) and</w:t>
      </w:r>
      <w:r w:rsidR="00EE553A" w:rsidRPr="00AA1EED">
        <w:rPr>
          <w:noProof/>
          <w:lang w:val="en-GB"/>
        </w:rPr>
        <w:t xml:space="preserve"> </w:t>
      </w:r>
      <w:r w:rsidR="00C30F7E">
        <w:rPr>
          <w:noProof/>
          <w:lang w:val="en-GB"/>
        </w:rPr>
        <w:t xml:space="preserve">are encouraged to </w:t>
      </w:r>
      <w:r w:rsidR="00EE553A" w:rsidRPr="00AA1EED">
        <w:rPr>
          <w:noProof/>
          <w:lang w:val="en-GB"/>
        </w:rPr>
        <w:t>rapidly</w:t>
      </w:r>
      <w:r w:rsidRPr="00AA1EED">
        <w:rPr>
          <w:noProof/>
          <w:lang w:val="en-GB"/>
        </w:rPr>
        <w:t xml:space="preserve"> transpose the revised</w:t>
      </w:r>
      <w:r w:rsidRPr="00AA1EED">
        <w:rPr>
          <w:b/>
          <w:bCs/>
          <w:noProof/>
          <w:lang w:val="en-GB"/>
        </w:rPr>
        <w:t xml:space="preserve"> Renewable Energy Directive</w:t>
      </w:r>
      <w:r w:rsidRPr="00AA1EED">
        <w:rPr>
          <w:noProof/>
          <w:lang w:val="en-GB"/>
        </w:rPr>
        <w:t xml:space="preserve"> </w:t>
      </w:r>
      <w:r w:rsidR="0055378A">
        <w:rPr>
          <w:noProof/>
          <w:lang w:val="en-GB"/>
        </w:rPr>
        <w:t xml:space="preserve">(RED) </w:t>
      </w:r>
      <w:r w:rsidRPr="00AA1EED">
        <w:rPr>
          <w:noProof/>
          <w:lang w:val="en-GB"/>
        </w:rPr>
        <w:t xml:space="preserve">in view of accelerating </w:t>
      </w:r>
      <w:r w:rsidR="00A70014" w:rsidRPr="00AA1EED">
        <w:rPr>
          <w:noProof/>
          <w:lang w:val="en-GB"/>
        </w:rPr>
        <w:t xml:space="preserve">the development of </w:t>
      </w:r>
      <w:r w:rsidRPr="00AA1EED">
        <w:rPr>
          <w:noProof/>
          <w:lang w:val="en-GB"/>
        </w:rPr>
        <w:t>transmission and distribution grid networks necessary to integrate renewables into the system.</w:t>
      </w:r>
      <w:r w:rsidR="003A78A1" w:rsidRPr="00AA1EED">
        <w:rPr>
          <w:noProof/>
          <w:lang w:val="en-GB"/>
        </w:rPr>
        <w:t xml:space="preserve"> Network development is increasingly driven by the need to integrate large amounts of renewables into the system, and thus there </w:t>
      </w:r>
      <w:r w:rsidR="002D1558" w:rsidRPr="00AA1EED">
        <w:rPr>
          <w:noProof/>
          <w:lang w:val="en-GB"/>
        </w:rPr>
        <w:t xml:space="preserve">might be </w:t>
      </w:r>
      <w:r w:rsidR="003A78A1" w:rsidRPr="00AA1EED">
        <w:rPr>
          <w:noProof/>
          <w:lang w:val="en-GB"/>
        </w:rPr>
        <w:t xml:space="preserve">important potential for Member States to designate dedicated infrastructure areas in compliance with </w:t>
      </w:r>
      <w:r w:rsidR="00D64C07" w:rsidRPr="00AA1EED">
        <w:rPr>
          <w:noProof/>
          <w:lang w:val="en-GB"/>
        </w:rPr>
        <w:t xml:space="preserve">the </w:t>
      </w:r>
      <w:r w:rsidR="003A78A1" w:rsidRPr="00AA1EED">
        <w:rPr>
          <w:noProof/>
          <w:lang w:val="en-GB"/>
        </w:rPr>
        <w:t xml:space="preserve">Regulation and </w:t>
      </w:r>
      <w:r w:rsidR="00D64C07" w:rsidRPr="00AA1EED">
        <w:rPr>
          <w:noProof/>
          <w:lang w:val="en-GB"/>
        </w:rPr>
        <w:t xml:space="preserve">the </w:t>
      </w:r>
      <w:r w:rsidR="003A78A1" w:rsidRPr="00AA1EED">
        <w:rPr>
          <w:noProof/>
          <w:lang w:val="en-GB"/>
        </w:rPr>
        <w:t>Directive respectively.</w:t>
      </w:r>
    </w:p>
    <w:p w14:paraId="1A17C6E7" w14:textId="0B7BD243" w:rsidR="00A5474D" w:rsidRPr="00AA1EED" w:rsidRDefault="00147117" w:rsidP="00AC6FF0">
      <w:pPr>
        <w:pStyle w:val="BodyA"/>
        <w:rPr>
          <w:noProof/>
          <w:lang w:val="en-GB"/>
        </w:rPr>
      </w:pPr>
      <w:r w:rsidRPr="00AA1EED">
        <w:rPr>
          <w:noProof/>
          <w:lang w:val="en-GB"/>
        </w:rPr>
        <w:t xml:space="preserve">The </w:t>
      </w:r>
      <w:r w:rsidRPr="00AA1EED">
        <w:rPr>
          <w:b/>
          <w:bCs/>
          <w:noProof/>
          <w:lang w:val="en-GB"/>
        </w:rPr>
        <w:t>Platform of the National Competent Authorities</w:t>
      </w:r>
      <w:r w:rsidRPr="00AA1EED">
        <w:rPr>
          <w:noProof/>
          <w:lang w:val="en-GB"/>
        </w:rPr>
        <w:t xml:space="preserve"> in charge of permitting set</w:t>
      </w:r>
      <w:r w:rsidR="00E502EE" w:rsidRPr="00AA1EED">
        <w:rPr>
          <w:noProof/>
          <w:lang w:val="en-GB"/>
        </w:rPr>
        <w:t xml:space="preserve"> </w:t>
      </w:r>
      <w:r w:rsidRPr="00AA1EED">
        <w:rPr>
          <w:noProof/>
          <w:lang w:val="en-GB"/>
        </w:rPr>
        <w:t xml:space="preserve">up in 2022 has </w:t>
      </w:r>
      <w:r w:rsidR="00981A07" w:rsidRPr="00AA1EED">
        <w:rPr>
          <w:noProof/>
          <w:lang w:val="en-GB"/>
        </w:rPr>
        <w:t xml:space="preserve">proven </w:t>
      </w:r>
      <w:r w:rsidR="00E502EE" w:rsidRPr="00AA1EED">
        <w:rPr>
          <w:noProof/>
          <w:lang w:val="en-GB"/>
        </w:rPr>
        <w:t xml:space="preserve">to be </w:t>
      </w:r>
      <w:r w:rsidR="004B07E9" w:rsidRPr="00AA1EED">
        <w:rPr>
          <w:noProof/>
          <w:lang w:val="en-GB"/>
        </w:rPr>
        <w:t xml:space="preserve">a </w:t>
      </w:r>
      <w:r w:rsidRPr="00AA1EED">
        <w:rPr>
          <w:noProof/>
          <w:lang w:val="en-GB"/>
        </w:rPr>
        <w:t>useful forum to exchange best practices and provide clarifications and guid</w:t>
      </w:r>
      <w:r w:rsidR="00E502EE" w:rsidRPr="00AA1EED">
        <w:rPr>
          <w:noProof/>
          <w:lang w:val="en-GB"/>
        </w:rPr>
        <w:t>ing support</w:t>
      </w:r>
      <w:r w:rsidRPr="00AA1EED">
        <w:rPr>
          <w:noProof/>
          <w:lang w:val="en-GB"/>
        </w:rPr>
        <w:t xml:space="preserve">. The work of the Platform will </w:t>
      </w:r>
      <w:r w:rsidR="00D0384F" w:rsidRPr="00AA1EED">
        <w:rPr>
          <w:noProof/>
          <w:lang w:val="en-GB"/>
        </w:rPr>
        <w:t>be intensified</w:t>
      </w:r>
      <w:r w:rsidRPr="00AA1EED">
        <w:rPr>
          <w:noProof/>
          <w:lang w:val="en-GB"/>
        </w:rPr>
        <w:t xml:space="preserve">. </w:t>
      </w:r>
      <w:r w:rsidR="00D0384F" w:rsidRPr="00AA1EED">
        <w:rPr>
          <w:noProof/>
          <w:lang w:val="en-GB"/>
        </w:rPr>
        <w:t xml:space="preserve">In </w:t>
      </w:r>
      <w:r w:rsidR="00813C18" w:rsidRPr="00AA1EED">
        <w:rPr>
          <w:noProof/>
          <w:lang w:val="en-GB"/>
        </w:rPr>
        <w:t xml:space="preserve">particular, </w:t>
      </w:r>
      <w:r w:rsidRPr="00AA1EED">
        <w:rPr>
          <w:noProof/>
          <w:lang w:val="en-GB"/>
        </w:rPr>
        <w:t>a</w:t>
      </w:r>
      <w:r w:rsidR="00A132CE">
        <w:rPr>
          <w:noProof/>
          <w:lang w:val="en-GB"/>
        </w:rPr>
        <w:t xml:space="preserve"> dedicated</w:t>
      </w:r>
      <w:r w:rsidRPr="00AA1EED">
        <w:rPr>
          <w:noProof/>
          <w:lang w:val="en-GB"/>
        </w:rPr>
        <w:t xml:space="preserve"> </w:t>
      </w:r>
      <w:r w:rsidR="00C36A5C" w:rsidRPr="00685859">
        <w:rPr>
          <w:b/>
          <w:bCs/>
          <w:noProof/>
          <w:lang w:val="en-GB"/>
        </w:rPr>
        <w:t>ministerial meeting</w:t>
      </w:r>
      <w:r w:rsidR="00C36A5C">
        <w:rPr>
          <w:noProof/>
          <w:lang w:val="en-GB"/>
        </w:rPr>
        <w:t xml:space="preserve"> </w:t>
      </w:r>
      <w:r w:rsidR="00470561" w:rsidRPr="00AA1EED">
        <w:rPr>
          <w:noProof/>
          <w:lang w:val="en-GB"/>
        </w:rPr>
        <w:t xml:space="preserve">will be organised to </w:t>
      </w:r>
      <w:r w:rsidRPr="00AA1EED">
        <w:rPr>
          <w:noProof/>
          <w:lang w:val="en-GB"/>
        </w:rPr>
        <w:t xml:space="preserve">ensure </w:t>
      </w:r>
      <w:r w:rsidRPr="00AA1EED">
        <w:rPr>
          <w:b/>
          <w:bCs/>
          <w:noProof/>
          <w:lang w:val="en-GB"/>
        </w:rPr>
        <w:t>political steer</w:t>
      </w:r>
      <w:r w:rsidRPr="00AA1EED">
        <w:rPr>
          <w:noProof/>
          <w:lang w:val="en-GB"/>
        </w:rPr>
        <w:t xml:space="preserve"> to </w:t>
      </w:r>
      <w:r w:rsidR="00286644" w:rsidRPr="00AA1EED">
        <w:rPr>
          <w:noProof/>
          <w:lang w:val="en-GB"/>
        </w:rPr>
        <w:t xml:space="preserve">address </w:t>
      </w:r>
      <w:r w:rsidR="00470561" w:rsidRPr="00AA1EED">
        <w:rPr>
          <w:noProof/>
          <w:lang w:val="en-GB"/>
        </w:rPr>
        <w:t xml:space="preserve">identified </w:t>
      </w:r>
      <w:r w:rsidRPr="00AA1EED">
        <w:rPr>
          <w:noProof/>
          <w:lang w:val="en-GB"/>
        </w:rPr>
        <w:t>permitting issues.</w:t>
      </w:r>
      <w:r w:rsidR="00813C18" w:rsidRPr="00AA1EED">
        <w:rPr>
          <w:noProof/>
          <w:lang w:val="en-GB"/>
        </w:rPr>
        <w:t xml:space="preserve"> </w:t>
      </w:r>
      <w:r w:rsidR="00D64C07" w:rsidRPr="00AA1EED">
        <w:rPr>
          <w:noProof/>
          <w:lang w:val="en-GB"/>
        </w:rPr>
        <w:t xml:space="preserve">For </w:t>
      </w:r>
      <w:r w:rsidR="00813C18" w:rsidRPr="00AA1EED">
        <w:rPr>
          <w:noProof/>
          <w:lang w:val="en-GB"/>
        </w:rPr>
        <w:t>further support, t</w:t>
      </w:r>
      <w:r w:rsidR="006F2B35" w:rsidRPr="00AA1EED">
        <w:rPr>
          <w:noProof/>
          <w:lang w:val="en-GB"/>
        </w:rPr>
        <w:t xml:space="preserve">he Commission will </w:t>
      </w:r>
      <w:r w:rsidR="006F2B35" w:rsidRPr="00AA1EED">
        <w:rPr>
          <w:b/>
          <w:bCs/>
          <w:noProof/>
          <w:lang w:val="en-GB"/>
        </w:rPr>
        <w:t>conduct a study</w:t>
      </w:r>
      <w:r w:rsidR="006F2B35" w:rsidRPr="00AA1EED">
        <w:rPr>
          <w:noProof/>
          <w:lang w:val="en-GB"/>
        </w:rPr>
        <w:t xml:space="preserve"> in 2024 assessing the implementation of the permitting provisions of TEN-E Regulation. This will especially enable the identification and dissemination of </w:t>
      </w:r>
      <w:r w:rsidR="006F2B35" w:rsidRPr="00AA1EED">
        <w:rPr>
          <w:b/>
          <w:bCs/>
          <w:noProof/>
          <w:lang w:val="en-GB"/>
        </w:rPr>
        <w:t>best practices</w:t>
      </w:r>
      <w:r w:rsidR="006F2B35" w:rsidRPr="00AA1EED">
        <w:rPr>
          <w:noProof/>
          <w:lang w:val="en-GB"/>
        </w:rPr>
        <w:t xml:space="preserve">. On the basis of the findings of the study, </w:t>
      </w:r>
      <w:r w:rsidR="006F2B35" w:rsidRPr="00AA1EED">
        <w:rPr>
          <w:b/>
          <w:bCs/>
          <w:noProof/>
          <w:lang w:val="en-GB"/>
        </w:rPr>
        <w:t xml:space="preserve">Member States should identify </w:t>
      </w:r>
      <w:r w:rsidR="00A5474D" w:rsidRPr="00AA1EED">
        <w:rPr>
          <w:b/>
          <w:bCs/>
          <w:noProof/>
          <w:lang w:val="en-GB"/>
        </w:rPr>
        <w:t>specific</w:t>
      </w:r>
      <w:r w:rsidR="006F2B35" w:rsidRPr="00AA1EED">
        <w:rPr>
          <w:b/>
          <w:bCs/>
          <w:noProof/>
          <w:lang w:val="en-GB"/>
        </w:rPr>
        <w:t xml:space="preserve"> measures</w:t>
      </w:r>
      <w:r w:rsidR="006F2B35" w:rsidRPr="00AA1EED">
        <w:rPr>
          <w:noProof/>
          <w:lang w:val="en-GB"/>
        </w:rPr>
        <w:t xml:space="preserve"> </w:t>
      </w:r>
      <w:r w:rsidR="00A5474D" w:rsidRPr="00AA1EED">
        <w:rPr>
          <w:noProof/>
          <w:lang w:val="en-GB"/>
        </w:rPr>
        <w:t xml:space="preserve">to </w:t>
      </w:r>
      <w:r w:rsidR="006F2B35" w:rsidRPr="00AA1EED">
        <w:rPr>
          <w:noProof/>
          <w:lang w:val="en-GB"/>
        </w:rPr>
        <w:t>be taken to accelerate their permitting regimes. The Commission will support this assessment and its implementation through the Platform of National Competent Authorities in charge of permitting.</w:t>
      </w:r>
    </w:p>
    <w:p w14:paraId="45E934BD" w14:textId="1FDA8437" w:rsidR="00D61106" w:rsidRPr="00AA1EED" w:rsidRDefault="005A6194" w:rsidP="00AC6FF0">
      <w:pPr>
        <w:pStyle w:val="BodyA"/>
        <w:rPr>
          <w:noProof/>
          <w:lang w:val="en-GB"/>
        </w:rPr>
      </w:pPr>
      <w:r w:rsidRPr="00AA1EED">
        <w:rPr>
          <w:noProof/>
          <w:lang w:val="en-GB"/>
        </w:rPr>
        <w:t>T</w:t>
      </w:r>
      <w:r w:rsidR="00A5474D" w:rsidRPr="00AA1EED">
        <w:rPr>
          <w:noProof/>
          <w:lang w:val="en-GB"/>
        </w:rPr>
        <w:t xml:space="preserve">he Commission will work with </w:t>
      </w:r>
      <w:r w:rsidR="00682ED5" w:rsidRPr="00AA1EED">
        <w:rPr>
          <w:noProof/>
          <w:lang w:val="en-GB"/>
        </w:rPr>
        <w:t xml:space="preserve">relevant </w:t>
      </w:r>
      <w:r w:rsidR="00A5474D" w:rsidRPr="00AA1EED">
        <w:rPr>
          <w:noProof/>
          <w:lang w:val="en-GB"/>
        </w:rPr>
        <w:t xml:space="preserve">ministries </w:t>
      </w:r>
      <w:r w:rsidR="00813C18" w:rsidRPr="00AA1EED">
        <w:rPr>
          <w:noProof/>
          <w:lang w:val="en-GB"/>
        </w:rPr>
        <w:t>and</w:t>
      </w:r>
      <w:r w:rsidR="00A5474D" w:rsidRPr="00AA1EED">
        <w:rPr>
          <w:noProof/>
          <w:lang w:val="en-GB"/>
        </w:rPr>
        <w:t xml:space="preserve"> permitting authorities, </w:t>
      </w:r>
      <w:r w:rsidR="00B649C7" w:rsidRPr="00AA1EED">
        <w:rPr>
          <w:noProof/>
          <w:lang w:val="en-GB"/>
        </w:rPr>
        <w:t>including</w:t>
      </w:r>
      <w:r w:rsidR="00A5474D" w:rsidRPr="00AA1EED">
        <w:rPr>
          <w:noProof/>
          <w:lang w:val="en-GB"/>
        </w:rPr>
        <w:t xml:space="preserve"> in the context of the Covenant of Mayors, to </w:t>
      </w:r>
      <w:r w:rsidR="00A5474D" w:rsidRPr="00AA1EED">
        <w:rPr>
          <w:b/>
          <w:bCs/>
          <w:noProof/>
          <w:lang w:val="en-GB"/>
        </w:rPr>
        <w:t>disseminate and support application</w:t>
      </w:r>
      <w:r w:rsidR="00A5474D" w:rsidRPr="00AA1EED">
        <w:rPr>
          <w:noProof/>
          <w:lang w:val="en-GB"/>
        </w:rPr>
        <w:t xml:space="preserve"> of the provisions of the</w:t>
      </w:r>
      <w:r w:rsidR="0038432C">
        <w:rPr>
          <w:noProof/>
          <w:lang w:val="en-GB"/>
        </w:rPr>
        <w:t xml:space="preserve"> RED III and</w:t>
      </w:r>
      <w:r w:rsidR="00A5474D" w:rsidRPr="00AA1EED">
        <w:rPr>
          <w:noProof/>
          <w:lang w:val="en-GB"/>
        </w:rPr>
        <w:t xml:space="preserve"> </w:t>
      </w:r>
      <w:r w:rsidR="00A5474D" w:rsidRPr="00AA1EED">
        <w:rPr>
          <w:b/>
          <w:bCs/>
          <w:noProof/>
          <w:lang w:val="en-GB"/>
        </w:rPr>
        <w:t>emergency Council Regulation</w:t>
      </w:r>
      <w:r w:rsidR="009F5D17">
        <w:rPr>
          <w:b/>
          <w:bCs/>
          <w:noProof/>
          <w:lang w:val="en-GB"/>
        </w:rPr>
        <w:t xml:space="preserve"> and the revised RED</w:t>
      </w:r>
      <w:r w:rsidR="00A5474D" w:rsidRPr="00AA1EED">
        <w:rPr>
          <w:noProof/>
          <w:lang w:val="en-GB"/>
        </w:rPr>
        <w:t xml:space="preserve"> as regards </w:t>
      </w:r>
      <w:r w:rsidR="00A5474D" w:rsidRPr="00AA1EED">
        <w:rPr>
          <w:b/>
          <w:bCs/>
          <w:noProof/>
          <w:lang w:val="en-GB"/>
        </w:rPr>
        <w:t>distribution grids</w:t>
      </w:r>
      <w:r w:rsidR="00A5474D" w:rsidRPr="00AA1EED">
        <w:rPr>
          <w:noProof/>
          <w:lang w:val="en-GB"/>
        </w:rPr>
        <w:t xml:space="preserve">. </w:t>
      </w:r>
      <w:r w:rsidR="00A132CE">
        <w:rPr>
          <w:noProof/>
          <w:lang w:val="en-GB"/>
        </w:rPr>
        <w:t xml:space="preserve">Moreover, the </w:t>
      </w:r>
      <w:r w:rsidR="00A132CE" w:rsidRPr="00AA1EED">
        <w:rPr>
          <w:noProof/>
          <w:lang w:val="en-GB"/>
        </w:rPr>
        <w:t>Platform of National Competent Authorities</w:t>
      </w:r>
      <w:r w:rsidR="00A132CE">
        <w:rPr>
          <w:noProof/>
          <w:lang w:val="en-GB"/>
        </w:rPr>
        <w:t xml:space="preserve"> will further exchange on the permitting particularities of smart electricity grid</w:t>
      </w:r>
      <w:r w:rsidR="007530AC">
        <w:rPr>
          <w:noProof/>
          <w:lang w:val="en-GB"/>
        </w:rPr>
        <w:t xml:space="preserve">s </w:t>
      </w:r>
      <w:r w:rsidR="00A132CE">
        <w:rPr>
          <w:noProof/>
          <w:lang w:val="en-GB"/>
        </w:rPr>
        <w:t>with the aim to streamline the respective procedures.</w:t>
      </w:r>
    </w:p>
    <w:p w14:paraId="2D796EBD" w14:textId="15EFE248" w:rsidR="00766D5D" w:rsidRPr="00AA1EED" w:rsidRDefault="00AB363C" w:rsidP="00AC6FF0">
      <w:pPr>
        <w:pStyle w:val="BodyA"/>
        <w:rPr>
          <w:noProof/>
          <w:lang w:val="en-GB"/>
        </w:rPr>
      </w:pPr>
      <w:r w:rsidRPr="00377522">
        <w:rPr>
          <w:noProof/>
          <w:lang w:val="en-GB"/>
        </w:rPr>
        <w:t>At the latest b</w:t>
      </w:r>
      <w:r w:rsidR="005A6D4B" w:rsidRPr="00AA1EED">
        <w:rPr>
          <w:noProof/>
          <w:lang w:val="en-GB"/>
        </w:rPr>
        <w:t>y mid-2025, i</w:t>
      </w:r>
      <w:r w:rsidR="00147117" w:rsidRPr="00AA1EED">
        <w:rPr>
          <w:noProof/>
          <w:lang w:val="en-GB"/>
        </w:rPr>
        <w:t xml:space="preserve">n view of the permitting obstacles encountered by energy infrastructure projects, the Commission will </w:t>
      </w:r>
      <w:r w:rsidR="00147117" w:rsidRPr="00AA1EED">
        <w:rPr>
          <w:b/>
          <w:bCs/>
          <w:noProof/>
          <w:lang w:val="en-GB"/>
        </w:rPr>
        <w:t>provide guidance</w:t>
      </w:r>
      <w:r w:rsidR="00147117" w:rsidRPr="00AA1EED">
        <w:rPr>
          <w:noProof/>
          <w:lang w:val="en-GB"/>
        </w:rPr>
        <w:t xml:space="preserve"> on the </w:t>
      </w:r>
      <w:r w:rsidR="00260F77" w:rsidRPr="00AA1EED">
        <w:rPr>
          <w:noProof/>
          <w:lang w:val="en-GB"/>
        </w:rPr>
        <w:t xml:space="preserve">designation </w:t>
      </w:r>
      <w:r w:rsidR="00147117" w:rsidRPr="00AA1EED">
        <w:rPr>
          <w:noProof/>
          <w:lang w:val="en-GB"/>
        </w:rPr>
        <w:t xml:space="preserve">of </w:t>
      </w:r>
      <w:r w:rsidR="00027C4C" w:rsidRPr="00AA1EED">
        <w:rPr>
          <w:noProof/>
          <w:lang w:val="en-GB"/>
        </w:rPr>
        <w:t xml:space="preserve">dedicated </w:t>
      </w:r>
      <w:r w:rsidR="00FB0FBA" w:rsidRPr="00AA1EED">
        <w:rPr>
          <w:noProof/>
          <w:lang w:val="en-GB"/>
        </w:rPr>
        <w:t xml:space="preserve">infrastructure areas for grid projects necessary to integrate renewables </w:t>
      </w:r>
      <w:r w:rsidR="00147117" w:rsidRPr="00AA1EED">
        <w:rPr>
          <w:noProof/>
          <w:lang w:val="en-GB"/>
        </w:rPr>
        <w:t xml:space="preserve">as provided by the revised </w:t>
      </w:r>
      <w:r w:rsidR="0055378A">
        <w:rPr>
          <w:noProof/>
          <w:lang w:val="en-GB"/>
        </w:rPr>
        <w:t>RED</w:t>
      </w:r>
      <w:r w:rsidR="00A5474D" w:rsidRPr="00AA1EED">
        <w:rPr>
          <w:noProof/>
          <w:lang w:val="en-GB"/>
        </w:rPr>
        <w:t xml:space="preserve">. </w:t>
      </w:r>
      <w:r w:rsidR="0039227B" w:rsidRPr="00AA1EED">
        <w:rPr>
          <w:noProof/>
          <w:lang w:val="en-GB"/>
        </w:rPr>
        <w:t xml:space="preserve">The Commission will </w:t>
      </w:r>
      <w:r w:rsidR="00147117" w:rsidRPr="00AA1EED">
        <w:rPr>
          <w:b/>
          <w:bCs/>
          <w:noProof/>
          <w:lang w:val="en-GB"/>
        </w:rPr>
        <w:t>updat</w:t>
      </w:r>
      <w:r w:rsidR="004458F1">
        <w:rPr>
          <w:b/>
          <w:bCs/>
          <w:noProof/>
          <w:lang w:val="en-GB"/>
        </w:rPr>
        <w:t>e</w:t>
      </w:r>
      <w:r w:rsidR="00147117" w:rsidRPr="00AA1EED">
        <w:rPr>
          <w:noProof/>
          <w:lang w:val="en-GB"/>
        </w:rPr>
        <w:t xml:space="preserve"> </w:t>
      </w:r>
      <w:r w:rsidR="007530AC">
        <w:rPr>
          <w:noProof/>
          <w:lang w:val="en-GB"/>
        </w:rPr>
        <w:t>by Q4 2024</w:t>
      </w:r>
      <w:r w:rsidR="004458F1">
        <w:rPr>
          <w:noProof/>
          <w:lang w:val="en-GB"/>
        </w:rPr>
        <w:t>, if necessary,</w:t>
      </w:r>
      <w:r w:rsidR="007530AC">
        <w:rPr>
          <w:noProof/>
          <w:lang w:val="en-GB"/>
        </w:rPr>
        <w:t xml:space="preserve"> </w:t>
      </w:r>
      <w:r w:rsidR="00147117" w:rsidRPr="00AA1EED">
        <w:rPr>
          <w:noProof/>
          <w:lang w:val="en-GB"/>
        </w:rPr>
        <w:t xml:space="preserve">the </w:t>
      </w:r>
      <w:r w:rsidR="00C30F7E">
        <w:rPr>
          <w:noProof/>
          <w:lang w:val="en-GB"/>
        </w:rPr>
        <w:t xml:space="preserve">existing </w:t>
      </w:r>
      <w:r w:rsidR="00147117" w:rsidRPr="00AA1EED">
        <w:rPr>
          <w:b/>
          <w:bCs/>
          <w:noProof/>
          <w:lang w:val="en-GB"/>
        </w:rPr>
        <w:t>guidance</w:t>
      </w:r>
      <w:r w:rsidR="00147117" w:rsidRPr="00AA1EED">
        <w:rPr>
          <w:noProof/>
          <w:lang w:val="en-GB"/>
        </w:rPr>
        <w:t xml:space="preserve"> on streamlining environmental impact assessments for PCIs</w:t>
      </w:r>
      <w:r w:rsidR="0036400C" w:rsidRPr="00AA1EED">
        <w:rPr>
          <w:noProof/>
          <w:sz w:val="20"/>
          <w:szCs w:val="20"/>
          <w:vertAlign w:val="superscript"/>
          <w:lang w:val="en-GB"/>
        </w:rPr>
        <w:footnoteReference w:id="43"/>
      </w:r>
      <w:r w:rsidR="00495C2C" w:rsidRPr="00AA1EED">
        <w:rPr>
          <w:noProof/>
          <w:lang w:val="en-GB"/>
        </w:rPr>
        <w:t xml:space="preserve"> and PMIs and the guidance on energy transmission infrastructure and EU nature legislation</w:t>
      </w:r>
      <w:r w:rsidR="00495C2C" w:rsidRPr="00AA1EED">
        <w:rPr>
          <w:rStyle w:val="FootnoteReference"/>
          <w:noProof/>
          <w:lang w:val="en-GB"/>
        </w:rPr>
        <w:footnoteReference w:id="44"/>
      </w:r>
      <w:r w:rsidR="00147117" w:rsidRPr="00AA1EED">
        <w:rPr>
          <w:noProof/>
          <w:lang w:val="en-GB"/>
        </w:rPr>
        <w:t xml:space="preserve"> </w:t>
      </w:r>
      <w:r w:rsidRPr="00377522">
        <w:rPr>
          <w:noProof/>
          <w:lang w:val="en-GB"/>
        </w:rPr>
        <w:t xml:space="preserve">as necessary </w:t>
      </w:r>
      <w:r w:rsidR="00495C2C" w:rsidRPr="00AA1EED">
        <w:rPr>
          <w:noProof/>
          <w:lang w:val="en-GB"/>
        </w:rPr>
        <w:t>to adapt them to the revised legislative frameworks of TEN-E and RED</w:t>
      </w:r>
      <w:r w:rsidR="0039227B" w:rsidRPr="00AA1EED">
        <w:rPr>
          <w:noProof/>
          <w:lang w:val="en-GB"/>
        </w:rPr>
        <w:t xml:space="preserve"> and their streamlining permitting provisions.</w:t>
      </w:r>
    </w:p>
    <w:p w14:paraId="38F5DA9C" w14:textId="1FC90D8C" w:rsidR="00C873DD" w:rsidRPr="00AA1EED" w:rsidRDefault="00B3703A" w:rsidP="00AC6FF0">
      <w:pPr>
        <w:pStyle w:val="BodyA"/>
        <w:rPr>
          <w:noProof/>
          <w:lang w:val="en-GB"/>
        </w:rPr>
      </w:pPr>
      <w:r w:rsidRPr="00AA1EED">
        <w:rPr>
          <w:noProof/>
          <w:lang w:val="en-GB"/>
        </w:rPr>
        <w:t>Lastly</w:t>
      </w:r>
      <w:r w:rsidR="00C873DD" w:rsidRPr="00AA1EED">
        <w:rPr>
          <w:noProof/>
          <w:lang w:val="en-GB"/>
        </w:rPr>
        <w:t>,</w:t>
      </w:r>
      <w:r w:rsidR="005A6D4B" w:rsidRPr="00AA1EED">
        <w:rPr>
          <w:noProof/>
          <w:lang w:val="en-GB"/>
        </w:rPr>
        <w:t xml:space="preserve"> from 2024</w:t>
      </w:r>
      <w:r w:rsidR="00C873DD" w:rsidRPr="00AA1EED">
        <w:rPr>
          <w:noProof/>
          <w:lang w:val="en-GB"/>
        </w:rPr>
        <w:t xml:space="preserve"> the Commission will support the digitalisation of permitting procedures for grid projects through the </w:t>
      </w:r>
      <w:r w:rsidR="00C873DD" w:rsidRPr="00AA1EED">
        <w:rPr>
          <w:b/>
          <w:bCs/>
          <w:noProof/>
          <w:lang w:val="en-GB"/>
        </w:rPr>
        <w:t>Technical Support Instrument</w:t>
      </w:r>
      <w:r w:rsidR="00C873DD" w:rsidRPr="00AA1EED">
        <w:rPr>
          <w:noProof/>
          <w:lang w:val="en-GB"/>
        </w:rPr>
        <w:t xml:space="preserve"> (TSI). </w:t>
      </w:r>
      <w:r w:rsidR="00C873DD" w:rsidRPr="00377522">
        <w:rPr>
          <w:noProof/>
          <w:lang w:val="en-GB"/>
        </w:rPr>
        <w:t>The TSI Regulation</w:t>
      </w:r>
      <w:r w:rsidR="00C873DD" w:rsidRPr="00377522">
        <w:rPr>
          <w:rStyle w:val="FootnoteReference"/>
          <w:noProof/>
          <w:lang w:val="en-GB"/>
        </w:rPr>
        <w:footnoteReference w:id="45"/>
      </w:r>
      <w:r w:rsidR="00C873DD" w:rsidRPr="00377522">
        <w:rPr>
          <w:noProof/>
          <w:lang w:val="en-GB"/>
        </w:rPr>
        <w:t xml:space="preserve"> foresees that Member States can receive, through either stand-alone or multi-country projects, technical expertise for accelerating permitting. </w:t>
      </w:r>
      <w:r w:rsidR="00C873DD" w:rsidRPr="00AA1EED">
        <w:rPr>
          <w:noProof/>
          <w:lang w:val="en-GB"/>
        </w:rPr>
        <w:t xml:space="preserve">Member States are encouraged to make use of the TSI provided by the Commission to upgrade their systems for dealing with permitting and connection procedure applications, for example through digitalisation. </w:t>
      </w:r>
      <w:r w:rsidRPr="00AA1EED">
        <w:rPr>
          <w:noProof/>
          <w:lang w:val="en-GB"/>
        </w:rPr>
        <w:t>In addition, a</w:t>
      </w:r>
      <w:r w:rsidR="00C873DD" w:rsidRPr="00AA1EED">
        <w:rPr>
          <w:noProof/>
          <w:lang w:val="en-GB"/>
        </w:rPr>
        <w:t>s announced in the European Wind Power Action Plan</w:t>
      </w:r>
      <w:r w:rsidR="00C873DD" w:rsidRPr="00AA1EED">
        <w:rPr>
          <w:rStyle w:val="FootnoteReference"/>
          <w:noProof/>
          <w:lang w:val="en-GB"/>
        </w:rPr>
        <w:footnoteReference w:id="46"/>
      </w:r>
      <w:r w:rsidR="00C873DD" w:rsidRPr="00AA1EED">
        <w:rPr>
          <w:noProof/>
          <w:lang w:val="en-GB"/>
        </w:rPr>
        <w:t xml:space="preserve">, by the end of the year the Commission will launch a </w:t>
      </w:r>
      <w:r w:rsidR="00C873DD" w:rsidRPr="00AA1EED">
        <w:rPr>
          <w:b/>
          <w:bCs/>
          <w:noProof/>
          <w:lang w:val="en-GB"/>
        </w:rPr>
        <w:t>dedicated online tool to support Member States</w:t>
      </w:r>
      <w:r w:rsidRPr="00AA1EED">
        <w:rPr>
          <w:noProof/>
          <w:lang w:val="en-GB"/>
        </w:rPr>
        <w:t>,</w:t>
      </w:r>
      <w:r w:rsidR="00C873DD" w:rsidRPr="00AA1EED">
        <w:rPr>
          <w:noProof/>
          <w:lang w:val="en-GB"/>
        </w:rPr>
        <w:t xml:space="preserve"> among others, </w:t>
      </w:r>
      <w:r w:rsidRPr="00AA1EED">
        <w:rPr>
          <w:noProof/>
          <w:lang w:val="en-GB"/>
        </w:rPr>
        <w:t xml:space="preserve">by </w:t>
      </w:r>
      <w:r w:rsidR="00C873DD" w:rsidRPr="00AA1EED">
        <w:rPr>
          <w:noProof/>
          <w:lang w:val="en-GB"/>
        </w:rPr>
        <w:t>provid</w:t>
      </w:r>
      <w:r w:rsidRPr="00AA1EED">
        <w:rPr>
          <w:noProof/>
          <w:lang w:val="en-GB"/>
        </w:rPr>
        <w:t>ing</w:t>
      </w:r>
      <w:r w:rsidR="00C873DD" w:rsidRPr="00AA1EED">
        <w:rPr>
          <w:noProof/>
          <w:lang w:val="en-GB"/>
        </w:rPr>
        <w:t xml:space="preserve"> for answers to frequently asked practical questions from Member States related to the implementation of the revised permitting provisions.</w:t>
      </w:r>
    </w:p>
    <w:p w14:paraId="14AAEA85" w14:textId="3F458256" w:rsidR="00766D5D" w:rsidRPr="00AA1EED" w:rsidRDefault="00147117">
      <w:pPr>
        <w:pStyle w:val="BodyA"/>
        <w:keepNext/>
        <w:spacing w:before="360"/>
        <w:rPr>
          <w:b/>
          <w:bCs/>
          <w:noProof/>
          <w:lang w:val="en-GB"/>
        </w:rPr>
      </w:pPr>
      <w:bookmarkStart w:id="36" w:name="_Hlk151469868"/>
      <w:r w:rsidRPr="00AA1EED">
        <w:rPr>
          <w:b/>
          <w:bCs/>
          <w:noProof/>
          <w:lang w:val="en-GB"/>
        </w:rPr>
        <w:t>Action 1</w:t>
      </w:r>
      <w:r w:rsidR="00BC64B2" w:rsidRPr="00AA1EED">
        <w:rPr>
          <w:b/>
          <w:bCs/>
          <w:noProof/>
          <w:lang w:val="en-GB"/>
        </w:rPr>
        <w:t>2</w:t>
      </w:r>
      <w:r w:rsidRPr="00AA1EED">
        <w:rPr>
          <w:b/>
          <w:bCs/>
          <w:noProof/>
          <w:lang w:val="en-GB"/>
        </w:rPr>
        <w:t xml:space="preserve">: </w:t>
      </w:r>
      <w:bookmarkStart w:id="37" w:name="_Hlk148690110"/>
      <w:r w:rsidRPr="00AA1EED">
        <w:rPr>
          <w:b/>
          <w:bCs/>
          <w:noProof/>
          <w:lang w:val="en-GB"/>
        </w:rPr>
        <w:t xml:space="preserve">Commission to launch a </w:t>
      </w:r>
      <w:r w:rsidR="002E0C23" w:rsidRPr="00AA1EED">
        <w:rPr>
          <w:b/>
          <w:bCs/>
          <w:noProof/>
          <w:lang w:val="en-GB"/>
        </w:rPr>
        <w:t xml:space="preserve">Pact </w:t>
      </w:r>
      <w:r w:rsidRPr="00AA1EED">
        <w:rPr>
          <w:b/>
          <w:bCs/>
          <w:noProof/>
          <w:lang w:val="en-GB"/>
        </w:rPr>
        <w:t xml:space="preserve">for </w:t>
      </w:r>
      <w:r w:rsidR="00F34E97" w:rsidRPr="00AA1EED">
        <w:rPr>
          <w:b/>
          <w:bCs/>
          <w:noProof/>
          <w:lang w:val="en-GB"/>
        </w:rPr>
        <w:t>Engagement</w:t>
      </w:r>
      <w:r w:rsidRPr="00AA1EED">
        <w:rPr>
          <w:b/>
          <w:bCs/>
          <w:noProof/>
          <w:lang w:val="en-GB"/>
        </w:rPr>
        <w:t xml:space="preserve"> for early, regular and meaningful stakeholder engagement and regulatory support</w:t>
      </w:r>
      <w:bookmarkEnd w:id="37"/>
    </w:p>
    <w:bookmarkEnd w:id="36"/>
    <w:p w14:paraId="7BF3A6F0" w14:textId="1439DFDA" w:rsidR="00766D5D" w:rsidRPr="00AA1EED" w:rsidRDefault="00147117" w:rsidP="00AC6FF0">
      <w:pPr>
        <w:pStyle w:val="BodyA"/>
        <w:rPr>
          <w:noProof/>
          <w:lang w:val="en-GB"/>
        </w:rPr>
      </w:pPr>
      <w:r w:rsidRPr="00AA1EED">
        <w:rPr>
          <w:noProof/>
          <w:lang w:val="en-GB"/>
        </w:rPr>
        <w:t xml:space="preserve">Quantifying and monetising the successful avoidance of conflicts and delays can be challenging in a complex regulatory framework for building infrastructure that crosses several jurisdictions and competences. Whilst best practices are promoted and shared amongst project promoters, there is a need to reinforce the engagement framework towards stakeholders into a regular and collective effort </w:t>
      </w:r>
      <w:r w:rsidR="005A7C66" w:rsidRPr="00AA1EED">
        <w:rPr>
          <w:noProof/>
          <w:lang w:val="en-GB"/>
        </w:rPr>
        <w:t>to mitigate</w:t>
      </w:r>
      <w:r w:rsidRPr="00AA1EED">
        <w:rPr>
          <w:noProof/>
          <w:lang w:val="en-GB"/>
        </w:rPr>
        <w:t xml:space="preserve"> the impact on communities and nature, </w:t>
      </w:r>
      <w:r w:rsidR="005A7C66" w:rsidRPr="00AA1EED">
        <w:rPr>
          <w:noProof/>
          <w:lang w:val="en-GB"/>
        </w:rPr>
        <w:t xml:space="preserve">while </w:t>
      </w:r>
      <w:r w:rsidRPr="00AA1EED">
        <w:rPr>
          <w:noProof/>
          <w:lang w:val="en-GB"/>
        </w:rPr>
        <w:t>redistribut</w:t>
      </w:r>
      <w:r w:rsidR="005A7C66" w:rsidRPr="00AA1EED">
        <w:rPr>
          <w:noProof/>
          <w:lang w:val="en-GB"/>
        </w:rPr>
        <w:t>ing</w:t>
      </w:r>
      <w:r w:rsidRPr="00AA1EED">
        <w:rPr>
          <w:noProof/>
          <w:lang w:val="en-GB"/>
        </w:rPr>
        <w:t xml:space="preserve"> benefits to communities and enhanc</w:t>
      </w:r>
      <w:r w:rsidR="005A7C66" w:rsidRPr="00AA1EED">
        <w:rPr>
          <w:noProof/>
          <w:lang w:val="en-GB"/>
        </w:rPr>
        <w:t>ing</w:t>
      </w:r>
      <w:r w:rsidRPr="00AA1EED">
        <w:rPr>
          <w:noProof/>
          <w:lang w:val="en-GB"/>
        </w:rPr>
        <w:t xml:space="preserve"> nature protection. </w:t>
      </w:r>
    </w:p>
    <w:p w14:paraId="4D582EFC" w14:textId="341024FE" w:rsidR="00766D5D" w:rsidRPr="00AA1EED" w:rsidRDefault="00147117" w:rsidP="00AC6FF0">
      <w:pPr>
        <w:pStyle w:val="BodyA"/>
        <w:rPr>
          <w:noProof/>
          <w:lang w:val="en-GB"/>
        </w:rPr>
      </w:pPr>
      <w:r w:rsidRPr="00AA1EED">
        <w:rPr>
          <w:noProof/>
          <w:lang w:val="en-GB"/>
        </w:rPr>
        <w:t xml:space="preserve">To address potential public opposition and ensure the highest standard </w:t>
      </w:r>
      <w:r w:rsidR="0083587D" w:rsidRPr="00AA1EED">
        <w:rPr>
          <w:noProof/>
          <w:lang w:val="en-GB"/>
        </w:rPr>
        <w:t xml:space="preserve">in </w:t>
      </w:r>
      <w:r w:rsidRPr="00AA1EED">
        <w:rPr>
          <w:noProof/>
          <w:lang w:val="en-GB"/>
        </w:rPr>
        <w:t xml:space="preserve">stakeholder engagement, the Commission will launch, with the occasion of the 2023 edition of the PCI </w:t>
      </w:r>
      <w:r w:rsidR="005A6D4B" w:rsidRPr="00AA1EED">
        <w:rPr>
          <w:noProof/>
          <w:lang w:val="en-GB"/>
        </w:rPr>
        <w:t xml:space="preserve">Energy </w:t>
      </w:r>
      <w:r w:rsidRPr="00AA1EED">
        <w:rPr>
          <w:noProof/>
          <w:lang w:val="en-GB"/>
        </w:rPr>
        <w:t xml:space="preserve">Days, a </w:t>
      </w:r>
      <w:r w:rsidR="002E0C23" w:rsidRPr="00AA1EED">
        <w:rPr>
          <w:noProof/>
          <w:lang w:val="en-GB"/>
        </w:rPr>
        <w:t xml:space="preserve">Pact </w:t>
      </w:r>
      <w:r w:rsidRPr="00AA1EED">
        <w:rPr>
          <w:noProof/>
          <w:lang w:val="en-GB"/>
        </w:rPr>
        <w:t xml:space="preserve">for </w:t>
      </w:r>
      <w:r w:rsidR="009C2F25" w:rsidRPr="00AA1EED">
        <w:rPr>
          <w:noProof/>
          <w:lang w:val="en-GB"/>
        </w:rPr>
        <w:t>Engagement</w:t>
      </w:r>
      <w:r w:rsidRPr="00AA1EED">
        <w:rPr>
          <w:noProof/>
          <w:lang w:val="en-GB"/>
        </w:rPr>
        <w:t xml:space="preserve"> with Member States, NRAs, system operators and civil society for early, regular and meaningful stakeholder engagement and the need for adequate regulatory support </w:t>
      </w:r>
      <w:r w:rsidR="003A5B29" w:rsidRPr="00AA1EED">
        <w:rPr>
          <w:noProof/>
          <w:lang w:val="en-GB"/>
        </w:rPr>
        <w:t>(see Annex II)</w:t>
      </w:r>
      <w:r w:rsidRPr="00AA1EED">
        <w:rPr>
          <w:noProof/>
          <w:lang w:val="en-GB"/>
        </w:rPr>
        <w:t>.</w:t>
      </w:r>
    </w:p>
    <w:p w14:paraId="4B0F65AB" w14:textId="64D6693E" w:rsidR="00766D5D" w:rsidRPr="00AA1EED" w:rsidRDefault="00D61106" w:rsidP="00F7784F">
      <w:pPr>
        <w:pStyle w:val="ListParagraph"/>
        <w:keepNext/>
        <w:numPr>
          <w:ilvl w:val="0"/>
          <w:numId w:val="16"/>
        </w:numPr>
        <w:spacing w:before="360" w:after="160"/>
        <w:rPr>
          <w:rFonts w:ascii="Times New Roman" w:hAnsi="Times New Roman"/>
          <w:b/>
          <w:bCs/>
          <w:i/>
          <w:iCs/>
          <w:noProof/>
          <w:sz w:val="24"/>
          <w:szCs w:val="24"/>
          <w:lang w:val="en-GB"/>
        </w:rPr>
      </w:pPr>
      <w:bookmarkStart w:id="38" w:name="_Hlk151469873"/>
      <w:r w:rsidRPr="00AA1EED">
        <w:rPr>
          <w:rFonts w:ascii="Times New Roman" w:hAnsi="Times New Roman"/>
          <w:b/>
          <w:bCs/>
          <w:i/>
          <w:iCs/>
          <w:noProof/>
          <w:sz w:val="24"/>
          <w:szCs w:val="24"/>
          <w:u w:val="single"/>
          <w:lang w:val="en-GB"/>
        </w:rPr>
        <w:t xml:space="preserve">STRENTGHENING </w:t>
      </w:r>
      <w:r w:rsidR="00147117" w:rsidRPr="00AA1EED">
        <w:rPr>
          <w:rFonts w:ascii="Times New Roman" w:hAnsi="Times New Roman"/>
          <w:b/>
          <w:bCs/>
          <w:i/>
          <w:iCs/>
          <w:noProof/>
          <w:sz w:val="24"/>
          <w:szCs w:val="24"/>
          <w:u w:val="single"/>
          <w:lang w:val="en-GB"/>
        </w:rPr>
        <w:t xml:space="preserve">GRID SUPPLY CHAINS </w:t>
      </w:r>
    </w:p>
    <w:bookmarkEnd w:id="38"/>
    <w:p w14:paraId="26945BEB" w14:textId="3E7F76E7" w:rsidR="00A132CE" w:rsidRDefault="00A132CE" w:rsidP="00E42733">
      <w:pPr>
        <w:pStyle w:val="BodyA"/>
        <w:rPr>
          <w:noProof/>
          <w:lang w:val="en-GB"/>
        </w:rPr>
      </w:pPr>
      <w:r>
        <w:rPr>
          <w:noProof/>
          <w:lang w:val="en-GB"/>
        </w:rPr>
        <w:t xml:space="preserve">The EU industry is global leader in the </w:t>
      </w:r>
      <w:r w:rsidR="007530AC">
        <w:rPr>
          <w:noProof/>
          <w:lang w:val="en-GB"/>
        </w:rPr>
        <w:t xml:space="preserve">manufacturing of components for </w:t>
      </w:r>
      <w:r>
        <w:rPr>
          <w:noProof/>
          <w:lang w:val="en-GB"/>
        </w:rPr>
        <w:t xml:space="preserve">power systems, such as on HVDC cables </w:t>
      </w:r>
      <w:r w:rsidRPr="007530AC">
        <w:rPr>
          <w:noProof/>
          <w:lang w:val="en-GB"/>
        </w:rPr>
        <w:t>and substations</w:t>
      </w:r>
      <w:r w:rsidR="007530AC">
        <w:rPr>
          <w:noProof/>
          <w:lang w:val="en-GB"/>
        </w:rPr>
        <w:t>, fundamental elements to deliver on the EU’s offshore ambitions.</w:t>
      </w:r>
    </w:p>
    <w:p w14:paraId="46D27060" w14:textId="567C7D06" w:rsidR="00753497" w:rsidRPr="00AA1EED" w:rsidRDefault="007530AC" w:rsidP="00685859">
      <w:pPr>
        <w:spacing w:after="240"/>
        <w:jc w:val="both"/>
        <w:rPr>
          <w:noProof/>
          <w:lang w:val="en-GB"/>
        </w:rPr>
      </w:pPr>
      <w:r>
        <w:rPr>
          <w:noProof/>
          <w:lang w:val="en-GB"/>
        </w:rPr>
        <w:t>Nonetheless, g</w:t>
      </w:r>
      <w:r w:rsidR="00181004" w:rsidRPr="00AA1EED">
        <w:rPr>
          <w:noProof/>
          <w:lang w:val="en-GB"/>
        </w:rPr>
        <w:t>rid p</w:t>
      </w:r>
      <w:r w:rsidR="00D61106" w:rsidRPr="00AA1EED">
        <w:rPr>
          <w:noProof/>
          <w:lang w:val="en-GB"/>
        </w:rPr>
        <w:t>roject promoters flag</w:t>
      </w:r>
      <w:r w:rsidR="00753497" w:rsidRPr="00AA1EED">
        <w:rPr>
          <w:noProof/>
          <w:lang w:val="en-GB"/>
        </w:rPr>
        <w:t xml:space="preserve"> long and growing lead times for procuring specific grid components, sometimes of several years even for the most urgent Projects of Common Interest, including because of tight supply of some components or increasing raw material prices. </w:t>
      </w:r>
      <w:r w:rsidR="00954D4B">
        <w:rPr>
          <w:noProof/>
          <w:lang w:val="en-GB"/>
        </w:rPr>
        <w:t>At the same time</w:t>
      </w:r>
      <w:r w:rsidR="00954D4B" w:rsidRPr="00AA1EED">
        <w:rPr>
          <w:noProof/>
          <w:lang w:val="en-GB"/>
        </w:rPr>
        <w:t>, EU manufacturers are faced with barriers to benefit from economies of scale due to divergencies in product specificities.</w:t>
      </w:r>
      <w:r w:rsidR="00753497" w:rsidRPr="00AA1EED">
        <w:rPr>
          <w:noProof/>
          <w:lang w:val="en-GB"/>
        </w:rPr>
        <w:t xml:space="preserve">The strong growth in global demand for </w:t>
      </w:r>
      <w:r w:rsidR="00753497" w:rsidRPr="00FB05C0">
        <w:rPr>
          <w:noProof/>
          <w:lang w:val="en-GB"/>
        </w:rPr>
        <w:t>electricity grid technologies could stretch lead times even longer</w:t>
      </w:r>
      <w:r w:rsidR="00954D4B" w:rsidRPr="00FB05C0">
        <w:rPr>
          <w:noProof/>
          <w:lang w:val="en-GB"/>
        </w:rPr>
        <w:t>. Therefore</w:t>
      </w:r>
      <w:r w:rsidR="00753497" w:rsidRPr="00FB05C0">
        <w:rPr>
          <w:noProof/>
          <w:lang w:val="en-GB"/>
        </w:rPr>
        <w:t xml:space="preserve">, </w:t>
      </w:r>
      <w:r w:rsidR="00D84784" w:rsidRPr="00FB05C0">
        <w:rPr>
          <w:noProof/>
          <w:lang w:val="en-GB"/>
        </w:rPr>
        <w:t xml:space="preserve">the </w:t>
      </w:r>
      <w:r w:rsidR="00753497" w:rsidRPr="00FB05C0">
        <w:rPr>
          <w:noProof/>
          <w:lang w:val="en-GB"/>
        </w:rPr>
        <w:t xml:space="preserve">EU </w:t>
      </w:r>
      <w:r w:rsidR="00D84784" w:rsidRPr="00FB05C0">
        <w:rPr>
          <w:noProof/>
          <w:lang w:val="en-GB"/>
        </w:rPr>
        <w:t xml:space="preserve">manufacturing capacity </w:t>
      </w:r>
      <w:r w:rsidR="00954D4B" w:rsidRPr="00FB05C0">
        <w:rPr>
          <w:noProof/>
          <w:lang w:val="en-GB"/>
        </w:rPr>
        <w:t xml:space="preserve">is set to increase significantly, while EU’s partnership will further </w:t>
      </w:r>
      <w:r w:rsidR="00D84784" w:rsidRPr="00FB05C0">
        <w:rPr>
          <w:noProof/>
          <w:lang w:val="en-GB"/>
        </w:rPr>
        <w:t>streng</w:t>
      </w:r>
      <w:r w:rsidR="00954D4B" w:rsidRPr="00FB05C0">
        <w:rPr>
          <w:noProof/>
          <w:lang w:val="en-GB"/>
        </w:rPr>
        <w:t>t</w:t>
      </w:r>
      <w:r w:rsidR="00D84784" w:rsidRPr="00FB05C0">
        <w:rPr>
          <w:noProof/>
          <w:lang w:val="en-GB"/>
        </w:rPr>
        <w:t>hen</w:t>
      </w:r>
      <w:r w:rsidR="00954D4B" w:rsidRPr="00FB05C0">
        <w:rPr>
          <w:noProof/>
          <w:lang w:val="en-GB"/>
        </w:rPr>
        <w:t xml:space="preserve"> the</w:t>
      </w:r>
      <w:r w:rsidR="00D84784" w:rsidRPr="00FB05C0">
        <w:rPr>
          <w:noProof/>
          <w:lang w:val="en-GB"/>
        </w:rPr>
        <w:t xml:space="preserve"> value chains</w:t>
      </w:r>
      <w:r w:rsidR="00753497" w:rsidRPr="00FB05C0">
        <w:rPr>
          <w:noProof/>
          <w:lang w:val="en-GB"/>
        </w:rPr>
        <w:t>.</w:t>
      </w:r>
    </w:p>
    <w:p w14:paraId="3C0E4B38" w14:textId="2BA3AC63" w:rsidR="00D84784" w:rsidRDefault="00753497" w:rsidP="00D84784">
      <w:pPr>
        <w:spacing w:after="240"/>
        <w:jc w:val="both"/>
        <w:rPr>
          <w:noProof/>
          <w:lang w:val="en-GB"/>
        </w:rPr>
      </w:pPr>
      <w:r w:rsidRPr="00AA1EED">
        <w:rPr>
          <w:noProof/>
          <w:lang w:val="en-GB"/>
        </w:rPr>
        <w:t xml:space="preserve">Increasing global competition in the market for HVDC and HVAC cables and systems, </w:t>
      </w:r>
      <w:r w:rsidR="00EA7908" w:rsidRPr="00AA1EED">
        <w:rPr>
          <w:noProof/>
          <w:lang w:val="en-GB"/>
        </w:rPr>
        <w:t xml:space="preserve">which are still supplied </w:t>
      </w:r>
      <w:r w:rsidR="00CF5B7D" w:rsidRPr="00AA1EED">
        <w:rPr>
          <w:noProof/>
          <w:lang w:val="en-GB"/>
        </w:rPr>
        <w:t>mainly domestic</w:t>
      </w:r>
      <w:r w:rsidR="00EA7908" w:rsidRPr="00AA1EED">
        <w:rPr>
          <w:noProof/>
          <w:lang w:val="en-GB"/>
        </w:rPr>
        <w:t>ally in Europe</w:t>
      </w:r>
      <w:r w:rsidR="00CF5B7D" w:rsidRPr="00AA1EED">
        <w:rPr>
          <w:noProof/>
          <w:lang w:val="en-GB"/>
        </w:rPr>
        <w:t>,</w:t>
      </w:r>
      <w:r w:rsidRPr="00AA1EED">
        <w:rPr>
          <w:noProof/>
          <w:lang w:val="en-GB"/>
        </w:rPr>
        <w:t xml:space="preserve"> is very positive</w:t>
      </w:r>
      <w:r w:rsidR="00AD4E05" w:rsidRPr="00AA1EED">
        <w:rPr>
          <w:noProof/>
          <w:lang w:val="en-GB"/>
        </w:rPr>
        <w:t xml:space="preserve"> provided</w:t>
      </w:r>
      <w:r w:rsidRPr="00AA1EED">
        <w:rPr>
          <w:noProof/>
          <w:lang w:val="en-GB"/>
        </w:rPr>
        <w:t xml:space="preserve"> a level playing field</w:t>
      </w:r>
      <w:r w:rsidR="00AD4E05" w:rsidRPr="00AA1EED">
        <w:rPr>
          <w:noProof/>
          <w:lang w:val="en-GB"/>
        </w:rPr>
        <w:t xml:space="preserve"> is in place</w:t>
      </w:r>
      <w:r w:rsidRPr="00AA1EED">
        <w:rPr>
          <w:noProof/>
          <w:lang w:val="en-GB"/>
        </w:rPr>
        <w:t xml:space="preserve">. </w:t>
      </w:r>
      <w:r w:rsidR="0044076D" w:rsidRPr="00AA1EED">
        <w:rPr>
          <w:noProof/>
          <w:lang w:val="en-GB"/>
        </w:rPr>
        <w:t>To foster energy system resilience, c</w:t>
      </w:r>
      <w:r w:rsidRPr="00AA1EED">
        <w:rPr>
          <w:noProof/>
          <w:lang w:val="en-GB"/>
        </w:rPr>
        <w:t xml:space="preserve">areful attention is needed </w:t>
      </w:r>
      <w:r w:rsidR="00EA7908" w:rsidRPr="00AA1EED">
        <w:rPr>
          <w:noProof/>
          <w:lang w:val="en-GB"/>
        </w:rPr>
        <w:t>to</w:t>
      </w:r>
      <w:r w:rsidRPr="00AA1EED">
        <w:rPr>
          <w:noProof/>
          <w:lang w:val="en-GB"/>
        </w:rPr>
        <w:t xml:space="preserve"> ensur</w:t>
      </w:r>
      <w:r w:rsidR="00EA7908" w:rsidRPr="00AA1EED">
        <w:rPr>
          <w:noProof/>
          <w:lang w:val="en-GB"/>
        </w:rPr>
        <w:t>e</w:t>
      </w:r>
      <w:r w:rsidRPr="00AA1EED">
        <w:rPr>
          <w:noProof/>
          <w:lang w:val="en-GB"/>
        </w:rPr>
        <w:t xml:space="preserve"> such </w:t>
      </w:r>
      <w:r w:rsidR="009C06CB">
        <w:rPr>
          <w:noProof/>
          <w:lang w:val="en-GB"/>
        </w:rPr>
        <w:t xml:space="preserve">a </w:t>
      </w:r>
      <w:r w:rsidRPr="00AA1EED">
        <w:rPr>
          <w:noProof/>
          <w:lang w:val="en-GB"/>
        </w:rPr>
        <w:t xml:space="preserve">level playing field remains </w:t>
      </w:r>
      <w:r w:rsidR="00EA7908" w:rsidRPr="00AA1EED">
        <w:rPr>
          <w:noProof/>
          <w:lang w:val="en-GB"/>
        </w:rPr>
        <w:t xml:space="preserve">in place </w:t>
      </w:r>
      <w:r w:rsidR="00D84784">
        <w:rPr>
          <w:noProof/>
          <w:lang w:val="en-GB"/>
        </w:rPr>
        <w:t>with no room for unfair trade practices</w:t>
      </w:r>
      <w:r w:rsidRPr="00AA1EED">
        <w:rPr>
          <w:noProof/>
          <w:lang w:val="en-GB"/>
        </w:rPr>
        <w:t xml:space="preserve">. </w:t>
      </w:r>
    </w:p>
    <w:p w14:paraId="4B699709" w14:textId="0E53D9A9" w:rsidR="001D4BA6" w:rsidRPr="00AA1EED" w:rsidRDefault="00D84784" w:rsidP="00685859">
      <w:pPr>
        <w:spacing w:after="240"/>
        <w:jc w:val="both"/>
        <w:rPr>
          <w:noProof/>
          <w:lang w:val="en-GB"/>
        </w:rPr>
      </w:pPr>
      <w:r>
        <w:rPr>
          <w:noProof/>
          <w:lang w:val="en-GB"/>
        </w:rPr>
        <w:t xml:space="preserve">Moreover, it must be ensured that </w:t>
      </w:r>
      <w:r w:rsidRPr="00AA1EED">
        <w:rPr>
          <w:noProof/>
          <w:lang w:val="en-GB"/>
        </w:rPr>
        <w:t xml:space="preserve">security </w:t>
      </w:r>
      <w:r w:rsidR="009C06CB">
        <w:rPr>
          <w:noProof/>
          <w:lang w:val="en-GB"/>
        </w:rPr>
        <w:t>risks</w:t>
      </w:r>
      <w:r w:rsidRPr="00AA1EED">
        <w:rPr>
          <w:noProof/>
          <w:lang w:val="en-GB"/>
        </w:rPr>
        <w:t xml:space="preserve"> do not emerge</w:t>
      </w:r>
      <w:r>
        <w:rPr>
          <w:noProof/>
          <w:lang w:val="en-GB"/>
        </w:rPr>
        <w:t>.</w:t>
      </w:r>
      <w:r w:rsidRPr="00AA1EED">
        <w:rPr>
          <w:noProof/>
          <w:lang w:val="en-GB"/>
        </w:rPr>
        <w:t xml:space="preserve"> Relying on third country suppliers, in particular from countries not aligned with EU values and positions, to meet EU critical energy infrastructure needs can however present security </w:t>
      </w:r>
      <w:r w:rsidR="009C06CB">
        <w:rPr>
          <w:noProof/>
          <w:lang w:val="en-GB"/>
        </w:rPr>
        <w:t>risks</w:t>
      </w:r>
      <w:r w:rsidRPr="00AA1EED">
        <w:rPr>
          <w:rFonts w:eastAsia="Times New Roman"/>
          <w:noProof/>
          <w:vertAlign w:val="superscript"/>
          <w:lang w:val="en-GB"/>
        </w:rPr>
        <w:footnoteReference w:id="47"/>
      </w:r>
      <w:r w:rsidRPr="00AA1EED">
        <w:rPr>
          <w:noProof/>
          <w:lang w:val="en-GB"/>
        </w:rPr>
        <w:t xml:space="preserve"> – both directly in terms of cybersecurity</w:t>
      </w:r>
      <w:r w:rsidR="009C06CB">
        <w:rPr>
          <w:rStyle w:val="FootnoteReference"/>
          <w:noProof/>
          <w:lang w:val="en-GB"/>
        </w:rPr>
        <w:footnoteReference w:id="48"/>
      </w:r>
      <w:r w:rsidRPr="00AA1EED">
        <w:rPr>
          <w:noProof/>
          <w:lang w:val="en-GB"/>
        </w:rPr>
        <w:t xml:space="preserve"> as well as relating to the potential weaponisation of such supply chain dependencies.</w:t>
      </w:r>
    </w:p>
    <w:p w14:paraId="122DF46F" w14:textId="4DB9DAD8" w:rsidR="00753497" w:rsidRPr="00AA1EED" w:rsidRDefault="00E34454" w:rsidP="00685859">
      <w:pPr>
        <w:spacing w:after="240"/>
        <w:jc w:val="both"/>
        <w:rPr>
          <w:noProof/>
          <w:lang w:val="en-GB"/>
        </w:rPr>
      </w:pPr>
      <w:r>
        <w:rPr>
          <w:noProof/>
          <w:lang w:val="en-GB"/>
        </w:rPr>
        <w:t>R</w:t>
      </w:r>
      <w:r w:rsidR="00696738" w:rsidRPr="00AA1EED">
        <w:rPr>
          <w:noProof/>
          <w:lang w:val="en-GB"/>
        </w:rPr>
        <w:t xml:space="preserve">eliance on high-risk third country suppliers for critical components can </w:t>
      </w:r>
      <w:r w:rsidR="00A87129" w:rsidRPr="00AA1EED">
        <w:rPr>
          <w:noProof/>
          <w:lang w:val="en-GB"/>
        </w:rPr>
        <w:t>create</w:t>
      </w:r>
      <w:r w:rsidR="00696738" w:rsidRPr="00AA1EED">
        <w:rPr>
          <w:noProof/>
          <w:lang w:val="en-GB"/>
        </w:rPr>
        <w:t xml:space="preserve"> cyber</w:t>
      </w:r>
      <w:r w:rsidR="0083587D" w:rsidRPr="00AA1EED">
        <w:rPr>
          <w:noProof/>
          <w:lang w:val="en-GB"/>
        </w:rPr>
        <w:t>-</w:t>
      </w:r>
      <w:r w:rsidR="00696738" w:rsidRPr="00AA1EED">
        <w:rPr>
          <w:noProof/>
          <w:lang w:val="en-GB"/>
        </w:rPr>
        <w:t>vulnerabilities to the grid</w:t>
      </w:r>
      <w:r>
        <w:rPr>
          <w:noProof/>
          <w:lang w:val="en-GB"/>
        </w:rPr>
        <w:t>, including interconnectors to third countries</w:t>
      </w:r>
      <w:r w:rsidR="00696738" w:rsidRPr="00AA1EED">
        <w:rPr>
          <w:noProof/>
          <w:lang w:val="en-GB"/>
        </w:rPr>
        <w:t xml:space="preserve">. The </w:t>
      </w:r>
      <w:r w:rsidR="009C06CB" w:rsidRPr="009C06CB">
        <w:rPr>
          <w:noProof/>
          <w:lang w:val="en-GB"/>
        </w:rPr>
        <w:t xml:space="preserve">Network and Information Systems </w:t>
      </w:r>
      <w:r w:rsidR="009C06CB">
        <w:rPr>
          <w:noProof/>
          <w:lang w:val="en-GB"/>
        </w:rPr>
        <w:t>(</w:t>
      </w:r>
      <w:r w:rsidR="00696738" w:rsidRPr="00AA1EED">
        <w:rPr>
          <w:noProof/>
          <w:lang w:val="en-GB"/>
        </w:rPr>
        <w:t>NIS 2</w:t>
      </w:r>
      <w:r w:rsidR="009C06CB">
        <w:rPr>
          <w:noProof/>
          <w:lang w:val="en-GB"/>
        </w:rPr>
        <w:t>)</w:t>
      </w:r>
      <w:r w:rsidR="00696738" w:rsidRPr="00AA1EED">
        <w:rPr>
          <w:noProof/>
          <w:lang w:val="en-GB"/>
        </w:rPr>
        <w:t xml:space="preserve"> Directive</w:t>
      </w:r>
      <w:r w:rsidR="009C06CB">
        <w:rPr>
          <w:rStyle w:val="FootnoteReference"/>
          <w:noProof/>
          <w:lang w:val="en-GB"/>
        </w:rPr>
        <w:footnoteReference w:id="49"/>
      </w:r>
      <w:r w:rsidR="00696738" w:rsidRPr="00AA1EED">
        <w:rPr>
          <w:noProof/>
          <w:lang w:val="en-GB"/>
        </w:rPr>
        <w:t xml:space="preserve"> requires entities in </w:t>
      </w:r>
      <w:r w:rsidR="005B0907">
        <w:rPr>
          <w:noProof/>
          <w:lang w:val="en-GB"/>
        </w:rPr>
        <w:t>the energy sector</w:t>
      </w:r>
      <w:r w:rsidR="00696738" w:rsidRPr="00AA1EED">
        <w:rPr>
          <w:noProof/>
          <w:lang w:val="en-GB"/>
        </w:rPr>
        <w:t xml:space="preserve"> to take security measures</w:t>
      </w:r>
      <w:r w:rsidR="00EA7908" w:rsidRPr="00AA1EED">
        <w:rPr>
          <w:noProof/>
          <w:lang w:val="en-GB"/>
        </w:rPr>
        <w:t xml:space="preserve"> in relation to the</w:t>
      </w:r>
      <w:r w:rsidR="005B0907">
        <w:rPr>
          <w:noProof/>
          <w:lang w:val="en-GB"/>
        </w:rPr>
        <w:t>ir</w:t>
      </w:r>
      <w:r w:rsidR="00EA7908" w:rsidRPr="00AA1EED">
        <w:rPr>
          <w:noProof/>
          <w:lang w:val="en-GB"/>
        </w:rPr>
        <w:t xml:space="preserve"> </w:t>
      </w:r>
      <w:r w:rsidR="00EA7908" w:rsidRPr="009C06CB">
        <w:rPr>
          <w:noProof/>
          <w:lang w:val="en-GB"/>
        </w:rPr>
        <w:t>supply</w:t>
      </w:r>
      <w:r w:rsidR="00EA7908" w:rsidRPr="00AA1EED">
        <w:rPr>
          <w:noProof/>
          <w:lang w:val="en-GB"/>
        </w:rPr>
        <w:t xml:space="preserve"> chain</w:t>
      </w:r>
      <w:r w:rsidR="005B0907">
        <w:rPr>
          <w:noProof/>
          <w:lang w:val="en-GB"/>
        </w:rPr>
        <w:t>s</w:t>
      </w:r>
      <w:r w:rsidR="00696738" w:rsidRPr="00AA1EED">
        <w:rPr>
          <w:noProof/>
          <w:lang w:val="en-GB"/>
        </w:rPr>
        <w:t xml:space="preserve"> as part of the cybersecurity risk-management measures. The upcoming Cyber Resilience Act, currently </w:t>
      </w:r>
      <w:r w:rsidR="002148AB">
        <w:rPr>
          <w:noProof/>
          <w:lang w:val="en-GB"/>
        </w:rPr>
        <w:t>under</w:t>
      </w:r>
      <w:r w:rsidR="005B0907">
        <w:rPr>
          <w:noProof/>
          <w:lang w:val="en-GB"/>
        </w:rPr>
        <w:t xml:space="preserve"> negotiat</w:t>
      </w:r>
      <w:r w:rsidR="002148AB">
        <w:rPr>
          <w:noProof/>
          <w:lang w:val="en-GB"/>
        </w:rPr>
        <w:t>ion</w:t>
      </w:r>
      <w:r w:rsidR="005B0907">
        <w:rPr>
          <w:noProof/>
          <w:lang w:val="en-GB"/>
        </w:rPr>
        <w:t xml:space="preserve"> </w:t>
      </w:r>
      <w:r w:rsidR="00DA357A">
        <w:rPr>
          <w:noProof/>
          <w:lang w:val="en-GB"/>
        </w:rPr>
        <w:t>by</w:t>
      </w:r>
      <w:r w:rsidR="005B0907">
        <w:rPr>
          <w:noProof/>
          <w:lang w:val="en-GB"/>
        </w:rPr>
        <w:t xml:space="preserve"> the </w:t>
      </w:r>
      <w:r w:rsidR="00696738" w:rsidRPr="00AA1EED">
        <w:rPr>
          <w:noProof/>
          <w:lang w:val="en-GB"/>
        </w:rPr>
        <w:t>co-</w:t>
      </w:r>
      <w:r w:rsidR="005B0907">
        <w:rPr>
          <w:noProof/>
          <w:lang w:val="en-GB"/>
        </w:rPr>
        <w:t>legislators</w:t>
      </w:r>
      <w:r w:rsidR="00696738" w:rsidRPr="00AA1EED">
        <w:rPr>
          <w:noProof/>
          <w:lang w:val="en-GB"/>
        </w:rPr>
        <w:t xml:space="preserve">, </w:t>
      </w:r>
      <w:r w:rsidR="002148AB">
        <w:rPr>
          <w:noProof/>
          <w:lang w:val="en-GB"/>
        </w:rPr>
        <w:t xml:space="preserve">will </w:t>
      </w:r>
      <w:r w:rsidR="00DB466C" w:rsidRPr="00DB466C">
        <w:rPr>
          <w:noProof/>
          <w:lang w:val="en-GB"/>
        </w:rPr>
        <w:t>considerably enhance supply chain security by requiring cybersecurity</w:t>
      </w:r>
      <w:r w:rsidR="00DB466C">
        <w:rPr>
          <w:noProof/>
          <w:lang w:val="en-GB"/>
        </w:rPr>
        <w:t>-</w:t>
      </w:r>
      <w:r w:rsidR="00DB466C" w:rsidRPr="00DB466C">
        <w:rPr>
          <w:noProof/>
          <w:lang w:val="en-GB"/>
        </w:rPr>
        <w:t>by</w:t>
      </w:r>
      <w:r w:rsidR="00DB466C">
        <w:rPr>
          <w:noProof/>
          <w:lang w:val="en-GB"/>
        </w:rPr>
        <w:t>-</w:t>
      </w:r>
      <w:r w:rsidR="00DB466C" w:rsidRPr="00DB466C">
        <w:rPr>
          <w:noProof/>
          <w:lang w:val="en-GB"/>
        </w:rPr>
        <w:t xml:space="preserve">design for hardware and software products with digital features accessing the </w:t>
      </w:r>
      <w:r w:rsidR="00DB466C">
        <w:rPr>
          <w:noProof/>
          <w:lang w:val="en-GB"/>
        </w:rPr>
        <w:t>EU</w:t>
      </w:r>
      <w:r w:rsidR="00DB466C" w:rsidRPr="00DB466C">
        <w:rPr>
          <w:noProof/>
          <w:lang w:val="en-GB"/>
        </w:rPr>
        <w:t xml:space="preserve"> market, as well as obligations for manufacturers to ensure compliance with cybersecurity requirements throughout the lifecycle of the product.</w:t>
      </w:r>
    </w:p>
    <w:p w14:paraId="74A8DB2B" w14:textId="6C6534D3" w:rsidR="00172E9F" w:rsidRDefault="00AE7E09" w:rsidP="00685859">
      <w:pPr>
        <w:spacing w:after="240"/>
        <w:jc w:val="both"/>
        <w:rPr>
          <w:noProof/>
          <w:lang w:val="en-GB"/>
        </w:rPr>
      </w:pPr>
      <w:r w:rsidRPr="00AA1EED">
        <w:rPr>
          <w:noProof/>
          <w:lang w:val="en-GB"/>
        </w:rPr>
        <w:t xml:space="preserve">Furthermore, EU grid </w:t>
      </w:r>
      <w:r w:rsidR="00EA7908" w:rsidRPr="00AA1EED">
        <w:rPr>
          <w:noProof/>
          <w:lang w:val="en-GB"/>
        </w:rPr>
        <w:t>operators</w:t>
      </w:r>
      <w:r w:rsidRPr="00AA1EED">
        <w:rPr>
          <w:noProof/>
          <w:lang w:val="en-GB"/>
        </w:rPr>
        <w:t xml:space="preserve"> face challenges in </w:t>
      </w:r>
      <w:r w:rsidR="0032304F" w:rsidRPr="00AA1EED">
        <w:rPr>
          <w:noProof/>
          <w:lang w:val="en-GB"/>
        </w:rPr>
        <w:t>getting sufficient access to</w:t>
      </w:r>
      <w:r w:rsidRPr="00AA1EED">
        <w:rPr>
          <w:noProof/>
          <w:lang w:val="en-GB"/>
        </w:rPr>
        <w:t xml:space="preserve"> raw materials, </w:t>
      </w:r>
      <w:r w:rsidR="00EA7908" w:rsidRPr="00AA1EED">
        <w:rPr>
          <w:noProof/>
          <w:lang w:val="en-GB"/>
        </w:rPr>
        <w:t>such as</w:t>
      </w:r>
      <w:r w:rsidRPr="00AA1EED">
        <w:rPr>
          <w:noProof/>
          <w:lang w:val="en-GB"/>
        </w:rPr>
        <w:t xml:space="preserve"> copper</w:t>
      </w:r>
      <w:r w:rsidR="00EA7908" w:rsidRPr="00AA1EED">
        <w:rPr>
          <w:noProof/>
          <w:lang w:val="en-GB"/>
        </w:rPr>
        <w:t xml:space="preserve"> or</w:t>
      </w:r>
      <w:r w:rsidRPr="00AA1EED">
        <w:rPr>
          <w:noProof/>
          <w:lang w:val="en-GB"/>
        </w:rPr>
        <w:t xml:space="preserve"> steel. Given the ambitious deployment objectives, </w:t>
      </w:r>
      <w:r w:rsidR="00BD7CAE">
        <w:rPr>
          <w:noProof/>
          <w:lang w:val="en-GB"/>
        </w:rPr>
        <w:t xml:space="preserve">boosting domestic production capacities and </w:t>
      </w:r>
      <w:r w:rsidRPr="00AA1EED">
        <w:rPr>
          <w:noProof/>
          <w:lang w:val="en-GB"/>
        </w:rPr>
        <w:t xml:space="preserve">diversification of supplies of raw materials and key components will have to be pursued </w:t>
      </w:r>
      <w:r w:rsidR="00BD7CAE">
        <w:rPr>
          <w:noProof/>
          <w:lang w:val="en-GB"/>
        </w:rPr>
        <w:t xml:space="preserve">domestically and </w:t>
      </w:r>
      <w:r w:rsidRPr="00AA1EED">
        <w:rPr>
          <w:noProof/>
          <w:lang w:val="en-GB"/>
        </w:rPr>
        <w:t xml:space="preserve">via </w:t>
      </w:r>
      <w:r w:rsidR="00BD7CAE">
        <w:rPr>
          <w:noProof/>
          <w:lang w:val="en-GB"/>
        </w:rPr>
        <w:t xml:space="preserve">EU </w:t>
      </w:r>
      <w:r w:rsidRPr="00AA1EED">
        <w:rPr>
          <w:noProof/>
          <w:lang w:val="en-GB"/>
        </w:rPr>
        <w:t>agreements or partnerships with reliable third countries</w:t>
      </w:r>
      <w:r w:rsidR="00BD7CAE">
        <w:rPr>
          <w:noProof/>
          <w:lang w:val="en-GB"/>
        </w:rPr>
        <w:t>, respectively</w:t>
      </w:r>
      <w:r w:rsidRPr="00AA1EED">
        <w:rPr>
          <w:noProof/>
          <w:lang w:val="en-GB"/>
        </w:rPr>
        <w:t>.</w:t>
      </w:r>
      <w:r w:rsidR="009123E0" w:rsidRPr="00377522">
        <w:rPr>
          <w:noProof/>
          <w:lang w:val="en-GB"/>
        </w:rPr>
        <w:t xml:space="preserve"> </w:t>
      </w:r>
      <w:r w:rsidR="00BD7CAE">
        <w:rPr>
          <w:noProof/>
          <w:lang w:val="en-GB"/>
        </w:rPr>
        <w:t>The Critical Raw Materials Act will</w:t>
      </w:r>
      <w:r w:rsidR="00BE56AB">
        <w:rPr>
          <w:noProof/>
          <w:lang w:val="en-GB"/>
        </w:rPr>
        <w:t xml:space="preserve"> </w:t>
      </w:r>
      <w:r w:rsidR="004458F1">
        <w:rPr>
          <w:noProof/>
          <w:lang w:val="en-GB"/>
        </w:rPr>
        <w:t>help to</w:t>
      </w:r>
      <w:r w:rsidR="00BD7CAE">
        <w:rPr>
          <w:noProof/>
          <w:lang w:val="en-GB"/>
        </w:rPr>
        <w:t xml:space="preserve"> ensure that Europe meets such objectives, including through domestic production and strategic partnerships. </w:t>
      </w:r>
      <w:r w:rsidR="009123E0" w:rsidRPr="00AA1EED">
        <w:rPr>
          <w:noProof/>
          <w:lang w:val="en-GB"/>
        </w:rPr>
        <w:t>The Commission</w:t>
      </w:r>
      <w:r w:rsidR="00C75355" w:rsidRPr="00AA1EED">
        <w:rPr>
          <w:noProof/>
          <w:lang w:val="en-GB"/>
        </w:rPr>
        <w:t xml:space="preserve"> is working on</w:t>
      </w:r>
      <w:r w:rsidR="009123E0" w:rsidRPr="00AA1EED">
        <w:rPr>
          <w:noProof/>
          <w:lang w:val="en-GB"/>
        </w:rPr>
        <w:t xml:space="preserve"> securing </w:t>
      </w:r>
      <w:r w:rsidR="008C198B">
        <w:rPr>
          <w:noProof/>
          <w:lang w:val="en-GB"/>
        </w:rPr>
        <w:t xml:space="preserve">access to </w:t>
      </w:r>
      <w:r w:rsidR="009123E0" w:rsidRPr="00AA1EED">
        <w:rPr>
          <w:noProof/>
          <w:lang w:val="en-GB"/>
        </w:rPr>
        <w:t>critical and strategic raw materials</w:t>
      </w:r>
      <w:r w:rsidR="00BD7CAE">
        <w:rPr>
          <w:noProof/>
          <w:lang w:val="en-GB"/>
        </w:rPr>
        <w:t>. F</w:t>
      </w:r>
      <w:r w:rsidR="009123E0" w:rsidRPr="00AA1EED">
        <w:rPr>
          <w:noProof/>
          <w:lang w:val="en-GB"/>
        </w:rPr>
        <w:t>ree trade and other bilateral agreements, covering energy, raw materials and clean technolog</w:t>
      </w:r>
      <w:r w:rsidR="008109C2">
        <w:rPr>
          <w:noProof/>
          <w:lang w:val="en-GB"/>
        </w:rPr>
        <w:t>y</w:t>
      </w:r>
      <w:r w:rsidR="009123E0" w:rsidRPr="00AA1EED">
        <w:rPr>
          <w:noProof/>
          <w:lang w:val="en-GB"/>
        </w:rPr>
        <w:t xml:space="preserve"> supply</w:t>
      </w:r>
      <w:r w:rsidR="008109C2">
        <w:rPr>
          <w:noProof/>
          <w:lang w:val="en-GB"/>
        </w:rPr>
        <w:t xml:space="preserve"> </w:t>
      </w:r>
      <w:r w:rsidR="009123E0" w:rsidRPr="00AA1EED">
        <w:rPr>
          <w:noProof/>
          <w:lang w:val="en-GB"/>
        </w:rPr>
        <w:t>chains</w:t>
      </w:r>
      <w:r w:rsidR="00513315">
        <w:rPr>
          <w:noProof/>
          <w:lang w:val="en-GB"/>
        </w:rPr>
        <w:t>, and the Global Gateway strategy,</w:t>
      </w:r>
      <w:r w:rsidR="00BD7CAE">
        <w:rPr>
          <w:noProof/>
          <w:lang w:val="en-GB"/>
        </w:rPr>
        <w:t xml:space="preserve"> will also contribute</w:t>
      </w:r>
      <w:r w:rsidR="00835D8E">
        <w:rPr>
          <w:noProof/>
          <w:lang w:val="en-GB"/>
        </w:rPr>
        <w:t xml:space="preserve"> to this end</w:t>
      </w:r>
      <w:r w:rsidR="009123E0" w:rsidRPr="00AA1EED">
        <w:rPr>
          <w:noProof/>
          <w:lang w:val="en-GB"/>
        </w:rPr>
        <w:t>.</w:t>
      </w:r>
      <w:r w:rsidR="00D66473" w:rsidRPr="00AA1EED">
        <w:rPr>
          <w:noProof/>
          <w:lang w:val="en-GB"/>
        </w:rPr>
        <w:t xml:space="preserve"> </w:t>
      </w:r>
    </w:p>
    <w:p w14:paraId="2E04A911" w14:textId="60605AD9" w:rsidR="00AE7E09" w:rsidRPr="00AA1EED" w:rsidRDefault="00D66473" w:rsidP="00685859">
      <w:pPr>
        <w:spacing w:after="240"/>
        <w:jc w:val="both"/>
        <w:rPr>
          <w:noProof/>
          <w:lang w:val="en-GB"/>
        </w:rPr>
      </w:pPr>
      <w:r w:rsidRPr="00AA1EED">
        <w:rPr>
          <w:noProof/>
          <w:lang w:val="en-GB"/>
        </w:rPr>
        <w:t xml:space="preserve">It should also be highlighted that electricity interconnection projects with third countries, such as PMIs, that aim at exporting significant amounts of renewable electricity to the EU should not create new dependencies in terms of security of </w:t>
      </w:r>
      <w:r w:rsidR="00172E9F">
        <w:rPr>
          <w:noProof/>
          <w:lang w:val="en-GB"/>
        </w:rPr>
        <w:t xml:space="preserve">energy </w:t>
      </w:r>
      <w:r w:rsidRPr="00AA1EED">
        <w:rPr>
          <w:noProof/>
          <w:lang w:val="en-GB"/>
        </w:rPr>
        <w:t>supply.</w:t>
      </w:r>
    </w:p>
    <w:p w14:paraId="08070CD6" w14:textId="6B8A25E0" w:rsidR="00753497" w:rsidRPr="00AA1EED" w:rsidRDefault="006076BD" w:rsidP="00685859">
      <w:pPr>
        <w:spacing w:after="240"/>
        <w:jc w:val="both"/>
        <w:rPr>
          <w:noProof/>
          <w:lang w:val="en-GB"/>
        </w:rPr>
      </w:pPr>
      <w:r w:rsidRPr="00AA1EED">
        <w:rPr>
          <w:noProof/>
          <w:lang w:val="en-GB"/>
        </w:rPr>
        <w:t>Finally, the l</w:t>
      </w:r>
      <w:r w:rsidR="00753497" w:rsidRPr="00AA1EED">
        <w:rPr>
          <w:noProof/>
          <w:lang w:val="en-GB"/>
        </w:rPr>
        <w:t>ack of skilled workers affect</w:t>
      </w:r>
      <w:r w:rsidRPr="00AA1EED">
        <w:rPr>
          <w:noProof/>
          <w:lang w:val="en-GB"/>
        </w:rPr>
        <w:t xml:space="preserve">s </w:t>
      </w:r>
      <w:r w:rsidR="00753497" w:rsidRPr="00AA1EED">
        <w:rPr>
          <w:noProof/>
          <w:lang w:val="en-GB"/>
        </w:rPr>
        <w:t>the increasing staffing needs of transmission and distribution system operators, HVDC cable manufacturers and other power system suppliers. This includes the need to acquire further advanced digital and technological skills, such as automation, controlling, big data and advanced analytics, to detect and control network challenges as well as develop the necessary technologies</w:t>
      </w:r>
      <w:r w:rsidR="00753497" w:rsidRPr="00AA1EED">
        <w:rPr>
          <w:rStyle w:val="FootnoteReference"/>
          <w:noProof/>
          <w:lang w:val="en-GB"/>
        </w:rPr>
        <w:footnoteReference w:id="50"/>
      </w:r>
      <w:r w:rsidR="00753497" w:rsidRPr="00AA1EED">
        <w:rPr>
          <w:noProof/>
          <w:lang w:val="en-GB"/>
        </w:rPr>
        <w:t>.</w:t>
      </w:r>
    </w:p>
    <w:p w14:paraId="39AD06C0" w14:textId="2DDBE38F" w:rsidR="00E812E2" w:rsidRPr="00AA1EED" w:rsidRDefault="00D361B6" w:rsidP="00E42733">
      <w:pPr>
        <w:pStyle w:val="BodyA"/>
        <w:rPr>
          <w:noProof/>
          <w:lang w:val="en-GB"/>
        </w:rPr>
      </w:pPr>
      <w:r>
        <w:rPr>
          <w:noProof/>
          <w:lang w:val="en-GB"/>
        </w:rPr>
        <w:t>The above i</w:t>
      </w:r>
      <w:r w:rsidR="006360AF" w:rsidRPr="00AA1EED">
        <w:rPr>
          <w:noProof/>
          <w:lang w:val="en-GB"/>
        </w:rPr>
        <w:t>mportant</w:t>
      </w:r>
      <w:r w:rsidR="00147117" w:rsidRPr="00AA1EED">
        <w:rPr>
          <w:noProof/>
          <w:lang w:val="en-GB"/>
        </w:rPr>
        <w:t xml:space="preserve"> needs for </w:t>
      </w:r>
      <w:r w:rsidR="006360AF" w:rsidRPr="00AA1EED">
        <w:rPr>
          <w:noProof/>
          <w:lang w:val="en-GB"/>
        </w:rPr>
        <w:t xml:space="preserve">resilient and effective </w:t>
      </w:r>
      <w:r w:rsidR="00147117" w:rsidRPr="00AA1EED">
        <w:rPr>
          <w:noProof/>
          <w:lang w:val="en-GB"/>
        </w:rPr>
        <w:t xml:space="preserve">grid manufacturing </w:t>
      </w:r>
      <w:r>
        <w:rPr>
          <w:noProof/>
          <w:lang w:val="en-GB"/>
        </w:rPr>
        <w:t xml:space="preserve">supply chains </w:t>
      </w:r>
      <w:r w:rsidR="00147117" w:rsidRPr="00AA1EED">
        <w:rPr>
          <w:noProof/>
          <w:lang w:val="en-GB"/>
        </w:rPr>
        <w:t>have been addressed in the</w:t>
      </w:r>
      <w:r w:rsidR="00E83E96" w:rsidRPr="00AA1EED">
        <w:rPr>
          <w:noProof/>
          <w:lang w:val="en-GB"/>
        </w:rPr>
        <w:t xml:space="preserve"> proposal for a</w:t>
      </w:r>
      <w:r w:rsidR="00147117" w:rsidRPr="00AA1EED">
        <w:rPr>
          <w:noProof/>
          <w:lang w:val="en-GB"/>
        </w:rPr>
        <w:t xml:space="preserve"> Net-Zero Industry Act </w:t>
      </w:r>
      <w:r w:rsidR="00E02F65" w:rsidRPr="00AA1EED">
        <w:rPr>
          <w:noProof/>
          <w:lang w:val="en-GB"/>
        </w:rPr>
        <w:t xml:space="preserve">(grid technologies </w:t>
      </w:r>
      <w:r w:rsidR="00BD7CAE">
        <w:rPr>
          <w:noProof/>
          <w:lang w:val="en-GB"/>
        </w:rPr>
        <w:t xml:space="preserve">are proposed </w:t>
      </w:r>
      <w:r w:rsidR="00E02F65" w:rsidRPr="00AA1EED">
        <w:rPr>
          <w:noProof/>
          <w:lang w:val="en-GB"/>
        </w:rPr>
        <w:t xml:space="preserve">among the strategic net-zero </w:t>
      </w:r>
      <w:r w:rsidR="005A7C66" w:rsidRPr="00AA1EED">
        <w:rPr>
          <w:noProof/>
          <w:lang w:val="en-GB"/>
        </w:rPr>
        <w:t xml:space="preserve">technologies </w:t>
      </w:r>
      <w:r w:rsidR="00E02F65" w:rsidRPr="00AA1EED">
        <w:rPr>
          <w:noProof/>
          <w:lang w:val="en-GB"/>
        </w:rPr>
        <w:t>and Net-Zero Academies</w:t>
      </w:r>
      <w:r w:rsidR="00BD7CAE">
        <w:rPr>
          <w:noProof/>
          <w:lang w:val="en-GB"/>
        </w:rPr>
        <w:t xml:space="preserve"> address skill challenges</w:t>
      </w:r>
      <w:r w:rsidR="00E02F65" w:rsidRPr="00AA1EED">
        <w:rPr>
          <w:noProof/>
          <w:lang w:val="en-GB"/>
        </w:rPr>
        <w:t xml:space="preserve">) </w:t>
      </w:r>
      <w:r w:rsidR="00147117" w:rsidRPr="00AA1EED">
        <w:rPr>
          <w:noProof/>
          <w:lang w:val="en-GB"/>
        </w:rPr>
        <w:t xml:space="preserve">and the </w:t>
      </w:r>
      <w:r w:rsidR="00190BA7" w:rsidRPr="00AA1EED">
        <w:rPr>
          <w:noProof/>
          <w:lang w:val="en-GB"/>
        </w:rPr>
        <w:t xml:space="preserve">European </w:t>
      </w:r>
      <w:r w:rsidR="00147117" w:rsidRPr="00AA1EED">
        <w:rPr>
          <w:noProof/>
          <w:lang w:val="en-GB"/>
        </w:rPr>
        <w:t xml:space="preserve">Wind </w:t>
      </w:r>
      <w:r w:rsidR="00190BA7" w:rsidRPr="00AA1EED">
        <w:rPr>
          <w:noProof/>
          <w:lang w:val="en-GB"/>
        </w:rPr>
        <w:t>Power</w:t>
      </w:r>
      <w:r w:rsidR="00147117" w:rsidRPr="00AA1EED">
        <w:rPr>
          <w:noProof/>
          <w:lang w:val="en-GB"/>
        </w:rPr>
        <w:t xml:space="preserve"> Action Plan</w:t>
      </w:r>
      <w:r w:rsidR="00E02F65" w:rsidRPr="00AA1EED">
        <w:rPr>
          <w:noProof/>
          <w:lang w:val="en-GB"/>
        </w:rPr>
        <w:t xml:space="preserve"> (</w:t>
      </w:r>
      <w:r w:rsidR="002E0C23" w:rsidRPr="00AA1EED">
        <w:rPr>
          <w:noProof/>
          <w:lang w:val="en-GB"/>
        </w:rPr>
        <w:t>increas</w:t>
      </w:r>
      <w:r w:rsidR="0032304F" w:rsidRPr="00AA1EED">
        <w:rPr>
          <w:noProof/>
          <w:lang w:val="en-GB"/>
        </w:rPr>
        <w:t>ing</w:t>
      </w:r>
      <w:r w:rsidR="002E0C23" w:rsidRPr="00AA1EED">
        <w:rPr>
          <w:noProof/>
          <w:lang w:val="en-GB"/>
        </w:rPr>
        <w:t xml:space="preserve"> </w:t>
      </w:r>
      <w:r w:rsidR="00C654E4" w:rsidRPr="00AA1EED">
        <w:rPr>
          <w:noProof/>
          <w:lang w:val="en-GB"/>
        </w:rPr>
        <w:t xml:space="preserve">grid </w:t>
      </w:r>
      <w:r w:rsidR="002E0C23" w:rsidRPr="00AA1EED">
        <w:rPr>
          <w:noProof/>
          <w:lang w:val="en-GB"/>
        </w:rPr>
        <w:t xml:space="preserve">demand certainty </w:t>
      </w:r>
      <w:r w:rsidR="00C654E4" w:rsidRPr="00AA1EED">
        <w:rPr>
          <w:noProof/>
          <w:lang w:val="en-GB"/>
        </w:rPr>
        <w:t xml:space="preserve">by establishing an EU digital platform for </w:t>
      </w:r>
      <w:r w:rsidR="006360AF" w:rsidRPr="00AA1EED">
        <w:rPr>
          <w:noProof/>
          <w:lang w:val="en-GB"/>
        </w:rPr>
        <w:t xml:space="preserve">wind power </w:t>
      </w:r>
      <w:r w:rsidR="00C654E4" w:rsidRPr="00AA1EED">
        <w:rPr>
          <w:noProof/>
          <w:lang w:val="en-GB"/>
        </w:rPr>
        <w:t xml:space="preserve">auction planning and </w:t>
      </w:r>
      <w:r w:rsidR="006360AF" w:rsidRPr="00AA1EED">
        <w:rPr>
          <w:noProof/>
          <w:lang w:val="en-GB"/>
        </w:rPr>
        <w:t>national</w:t>
      </w:r>
      <w:r w:rsidR="0032304F" w:rsidRPr="00AA1EED">
        <w:rPr>
          <w:noProof/>
          <w:lang w:val="en-GB"/>
        </w:rPr>
        <w:t xml:space="preserve"> pledges</w:t>
      </w:r>
      <w:r w:rsidR="00E02F65" w:rsidRPr="00AA1EED">
        <w:rPr>
          <w:noProof/>
          <w:lang w:val="en-GB"/>
        </w:rPr>
        <w:t>)</w:t>
      </w:r>
      <w:r w:rsidR="00C654E4" w:rsidRPr="00AA1EED">
        <w:rPr>
          <w:noProof/>
          <w:lang w:val="en-GB"/>
        </w:rPr>
        <w:t xml:space="preserve">. </w:t>
      </w:r>
      <w:r w:rsidR="008161CD" w:rsidRPr="00AA1EED">
        <w:rPr>
          <w:noProof/>
          <w:lang w:val="en-GB"/>
        </w:rPr>
        <w:t xml:space="preserve">A </w:t>
      </w:r>
      <w:r w:rsidR="005A7C66" w:rsidRPr="00AA1EED">
        <w:rPr>
          <w:noProof/>
          <w:lang w:val="en-GB"/>
        </w:rPr>
        <w:t>swift</w:t>
      </w:r>
      <w:r w:rsidR="008161CD" w:rsidRPr="00AA1EED">
        <w:rPr>
          <w:noProof/>
          <w:lang w:val="en-GB"/>
        </w:rPr>
        <w:t xml:space="preserve"> adoption and implementation of the Net-Zero Industry Act will allow supporting a resilient grid supply chain notably through faster permitting for new manufacturing capacity</w:t>
      </w:r>
      <w:r w:rsidR="00BD7CAE">
        <w:rPr>
          <w:noProof/>
          <w:lang w:val="en-GB"/>
        </w:rPr>
        <w:t>, increased skilled workforce</w:t>
      </w:r>
      <w:r w:rsidR="008161CD" w:rsidRPr="00AA1EED">
        <w:rPr>
          <w:noProof/>
          <w:lang w:val="en-GB"/>
        </w:rPr>
        <w:t xml:space="preserve"> and through appropriately designed public tenders and auctions.</w:t>
      </w:r>
    </w:p>
    <w:p w14:paraId="607106B0" w14:textId="3C6D765D" w:rsidR="00602B05" w:rsidRPr="00AA1EED" w:rsidRDefault="00602B05" w:rsidP="00E42733">
      <w:pPr>
        <w:pStyle w:val="BodyA"/>
        <w:rPr>
          <w:noProof/>
          <w:lang w:val="en-GB"/>
        </w:rPr>
      </w:pPr>
      <w:r w:rsidRPr="00AA1EED">
        <w:rPr>
          <w:noProof/>
          <w:lang w:val="en-GB"/>
        </w:rPr>
        <w:t xml:space="preserve">Other Commission enforcement tools are available to EU industry, to </w:t>
      </w:r>
      <w:r w:rsidR="00EA7908" w:rsidRPr="00AA1EED">
        <w:rPr>
          <w:noProof/>
          <w:lang w:val="en-GB"/>
        </w:rPr>
        <w:t>promote a</w:t>
      </w:r>
      <w:r w:rsidRPr="00AA1EED">
        <w:rPr>
          <w:noProof/>
          <w:lang w:val="en-GB"/>
        </w:rPr>
        <w:t xml:space="preserve"> level playing field, counter unfair trade practices</w:t>
      </w:r>
      <w:r w:rsidRPr="00AA1EED">
        <w:rPr>
          <w:rStyle w:val="FootnoteReference"/>
          <w:noProof/>
          <w:lang w:val="en-GB"/>
        </w:rPr>
        <w:footnoteReference w:id="51"/>
      </w:r>
      <w:r w:rsidRPr="00AA1EED">
        <w:rPr>
          <w:noProof/>
          <w:lang w:val="en-GB"/>
        </w:rPr>
        <w:t xml:space="preserve">, or to remedy asymmetries between EU and third countries in market openness in the public procurement sectors (International Procurement Instrument). </w:t>
      </w:r>
      <w:r w:rsidR="004B4DA8">
        <w:rPr>
          <w:noProof/>
          <w:lang w:val="en-GB"/>
        </w:rPr>
        <w:t xml:space="preserve">Furthermore, with regard to risks relating to security and public order, the </w:t>
      </w:r>
      <w:r w:rsidR="004B4DA8" w:rsidRPr="006677A8">
        <w:rPr>
          <w:noProof/>
          <w:lang w:val="en-GB"/>
        </w:rPr>
        <w:t>EU</w:t>
      </w:r>
      <w:r w:rsidR="004B4DA8">
        <w:rPr>
          <w:noProof/>
          <w:lang w:val="en-GB"/>
        </w:rPr>
        <w:t>’s</w:t>
      </w:r>
      <w:r w:rsidR="004B4DA8" w:rsidRPr="006677A8">
        <w:rPr>
          <w:noProof/>
          <w:lang w:val="en-GB"/>
        </w:rPr>
        <w:t xml:space="preserve"> Foreign Direct Investment </w:t>
      </w:r>
      <w:r w:rsidR="004B4DA8">
        <w:rPr>
          <w:noProof/>
          <w:lang w:val="en-GB"/>
        </w:rPr>
        <w:t xml:space="preserve">(FDI) </w:t>
      </w:r>
      <w:r w:rsidR="004B4DA8" w:rsidRPr="006677A8">
        <w:rPr>
          <w:noProof/>
          <w:lang w:val="en-GB"/>
        </w:rPr>
        <w:t>Screening Regulation</w:t>
      </w:r>
      <w:r w:rsidR="004B4DA8">
        <w:rPr>
          <w:rStyle w:val="FootnoteReference"/>
          <w:noProof/>
          <w:lang w:val="en-GB"/>
        </w:rPr>
        <w:footnoteReference w:id="52"/>
      </w:r>
      <w:r w:rsidR="004B4DA8" w:rsidRPr="006677A8">
        <w:rPr>
          <w:noProof/>
          <w:lang w:val="en-GB"/>
        </w:rPr>
        <w:t xml:space="preserve"> allows for the assessment of security risks </w:t>
      </w:r>
      <w:r w:rsidR="004B4DA8">
        <w:rPr>
          <w:noProof/>
          <w:lang w:val="en-GB"/>
        </w:rPr>
        <w:t>of FDIs.</w:t>
      </w:r>
      <w:r w:rsidR="004B4DA8" w:rsidRPr="002E6633">
        <w:rPr>
          <w:noProof/>
          <w:lang w:val="en-GB"/>
        </w:rPr>
        <w:t xml:space="preserve"> </w:t>
      </w:r>
      <w:r w:rsidR="004B4DA8">
        <w:rPr>
          <w:noProof/>
          <w:lang w:val="en-GB"/>
        </w:rPr>
        <w:t xml:space="preserve">Moreover, EU trade agreements are geared to promote renewable investments, </w:t>
      </w:r>
      <w:r w:rsidR="00132BCD">
        <w:rPr>
          <w:noProof/>
          <w:lang w:val="en-GB"/>
        </w:rPr>
        <w:t>including</w:t>
      </w:r>
      <w:r w:rsidR="004B4DA8">
        <w:rPr>
          <w:noProof/>
          <w:lang w:val="en-GB"/>
        </w:rPr>
        <w:t xml:space="preserve"> through access to energy grids, with a view to diversify sourcing and enable market access in third countries while preserving security of supply.</w:t>
      </w:r>
    </w:p>
    <w:p w14:paraId="28BC2F15" w14:textId="5B622D4F" w:rsidR="00766D5D" w:rsidRPr="00AA1EED" w:rsidRDefault="00C654E4" w:rsidP="00AC6FF0">
      <w:pPr>
        <w:pStyle w:val="BodyA"/>
        <w:rPr>
          <w:noProof/>
          <w:lang w:val="en-GB"/>
        </w:rPr>
      </w:pPr>
      <w:r w:rsidRPr="00AA1EED">
        <w:rPr>
          <w:noProof/>
          <w:lang w:val="en-GB"/>
        </w:rPr>
        <w:t>A</w:t>
      </w:r>
      <w:r w:rsidR="00147117" w:rsidRPr="00AA1EED">
        <w:rPr>
          <w:noProof/>
          <w:lang w:val="en-GB"/>
        </w:rPr>
        <w:t>dditional and complementary targeted action</w:t>
      </w:r>
      <w:r w:rsidRPr="00AA1EED">
        <w:rPr>
          <w:noProof/>
          <w:lang w:val="en-GB"/>
        </w:rPr>
        <w:t xml:space="preserve"> in th</w:t>
      </w:r>
      <w:r w:rsidR="006360AF" w:rsidRPr="00AA1EED">
        <w:rPr>
          <w:noProof/>
          <w:lang w:val="en-GB"/>
        </w:rPr>
        <w:t>is</w:t>
      </w:r>
      <w:r w:rsidRPr="00AA1EED">
        <w:rPr>
          <w:noProof/>
          <w:lang w:val="en-GB"/>
        </w:rPr>
        <w:t xml:space="preserve"> present Action Plan</w:t>
      </w:r>
      <w:r w:rsidR="00147117" w:rsidRPr="00AA1EED">
        <w:rPr>
          <w:noProof/>
          <w:lang w:val="en-GB"/>
        </w:rPr>
        <w:t xml:space="preserve"> will support further </w:t>
      </w:r>
      <w:r w:rsidR="00637121" w:rsidRPr="00AA1EED">
        <w:rPr>
          <w:noProof/>
          <w:lang w:val="en-GB"/>
        </w:rPr>
        <w:t xml:space="preserve">improvements in the grids supply chains. </w:t>
      </w:r>
      <w:r w:rsidR="009527E1" w:rsidRPr="00AA1EED">
        <w:rPr>
          <w:noProof/>
          <w:lang w:val="en-GB"/>
        </w:rPr>
        <w:t>Efforts in aligning product designs across the EU would enable suppliers to focus on delivering quantity, instead of utilising time and human resources in tailored design and manufacturing. Such alignments would serve not only to increase access of suppliers to the internal market, but also increase competition, lower costs and increase manufacturing output with the same manufacturing capacities.</w:t>
      </w:r>
    </w:p>
    <w:p w14:paraId="566709ED" w14:textId="67B5AF0D" w:rsidR="00766D5D" w:rsidRPr="00AA1EED" w:rsidRDefault="00147117">
      <w:pPr>
        <w:pStyle w:val="BodyA"/>
        <w:keepNext/>
        <w:spacing w:before="360"/>
        <w:rPr>
          <w:b/>
          <w:bCs/>
          <w:noProof/>
          <w:lang w:val="en-GB"/>
        </w:rPr>
      </w:pPr>
      <w:bookmarkStart w:id="39" w:name="_Hlk151469879"/>
      <w:r w:rsidRPr="00AA1EED">
        <w:rPr>
          <w:b/>
          <w:bCs/>
          <w:noProof/>
          <w:lang w:val="en-GB"/>
        </w:rPr>
        <w:t>Action 1</w:t>
      </w:r>
      <w:r w:rsidR="00BC64B2" w:rsidRPr="00AA1EED">
        <w:rPr>
          <w:b/>
          <w:bCs/>
          <w:noProof/>
          <w:lang w:val="en-GB"/>
        </w:rPr>
        <w:t>3</w:t>
      </w:r>
      <w:r w:rsidRPr="00AA1EED">
        <w:rPr>
          <w:b/>
          <w:bCs/>
          <w:noProof/>
          <w:lang w:val="en-GB"/>
        </w:rPr>
        <w:t xml:space="preserve">: </w:t>
      </w:r>
      <w:bookmarkStart w:id="40" w:name="_Hlk148690126"/>
      <w:bookmarkStart w:id="41" w:name="_Hlk149725103"/>
      <w:r w:rsidRPr="00AA1EED">
        <w:rPr>
          <w:b/>
          <w:bCs/>
          <w:noProof/>
          <w:lang w:val="en-GB"/>
        </w:rPr>
        <w:t>ENTSO-E</w:t>
      </w:r>
      <w:r w:rsidR="00C02AC3" w:rsidRPr="00AA1EED">
        <w:rPr>
          <w:b/>
          <w:bCs/>
          <w:noProof/>
          <w:lang w:val="en-GB"/>
        </w:rPr>
        <w:t xml:space="preserve"> and EU DSO Entity</w:t>
      </w:r>
      <w:r w:rsidRPr="00AA1EED">
        <w:rPr>
          <w:b/>
          <w:bCs/>
          <w:noProof/>
          <w:lang w:val="en-GB"/>
        </w:rPr>
        <w:t xml:space="preserve"> to collaborate with technology providers to develop </w:t>
      </w:r>
      <w:r w:rsidR="00BD7CAE">
        <w:rPr>
          <w:b/>
          <w:bCs/>
          <w:noProof/>
          <w:lang w:val="en-GB"/>
        </w:rPr>
        <w:t>common</w:t>
      </w:r>
      <w:r w:rsidR="00BD7CAE" w:rsidRPr="00AA1EED">
        <w:rPr>
          <w:b/>
          <w:bCs/>
          <w:noProof/>
          <w:lang w:val="en-GB"/>
        </w:rPr>
        <w:t xml:space="preserve"> </w:t>
      </w:r>
      <w:r w:rsidRPr="00AA1EED">
        <w:rPr>
          <w:b/>
          <w:bCs/>
          <w:noProof/>
          <w:lang w:val="en-GB"/>
        </w:rPr>
        <w:t>technology specifications</w:t>
      </w:r>
      <w:bookmarkEnd w:id="40"/>
      <w:r w:rsidR="003F6E95" w:rsidRPr="00AA1EED">
        <w:rPr>
          <w:b/>
          <w:bCs/>
          <w:noProof/>
          <w:lang w:val="en-GB"/>
        </w:rPr>
        <w:t xml:space="preserve"> and improve visibility of grid project pipelines</w:t>
      </w:r>
      <w:bookmarkEnd w:id="41"/>
      <w:r w:rsidR="00BB5EC5" w:rsidRPr="00AA1EED">
        <w:rPr>
          <w:b/>
          <w:bCs/>
          <w:noProof/>
          <w:lang w:val="en-GB"/>
        </w:rPr>
        <w:t>, to facilitate investments in manufacturing capacity</w:t>
      </w:r>
      <w:r w:rsidR="00BB5EC5" w:rsidRPr="00377522">
        <w:rPr>
          <w:b/>
          <w:bCs/>
          <w:noProof/>
          <w:lang w:val="en-GB"/>
        </w:rPr>
        <w:t xml:space="preserve"> and </w:t>
      </w:r>
      <w:r w:rsidR="00D361B6">
        <w:rPr>
          <w:b/>
          <w:bCs/>
          <w:noProof/>
          <w:lang w:val="en-GB"/>
        </w:rPr>
        <w:t xml:space="preserve">secure </w:t>
      </w:r>
      <w:r w:rsidR="00BB5EC5" w:rsidRPr="00377522">
        <w:rPr>
          <w:b/>
          <w:bCs/>
          <w:noProof/>
          <w:lang w:val="en-GB"/>
        </w:rPr>
        <w:t>supply chains</w:t>
      </w:r>
    </w:p>
    <w:bookmarkEnd w:id="39"/>
    <w:p w14:paraId="038098C6" w14:textId="62ED5B70" w:rsidR="001E3026" w:rsidRPr="00AA1EED" w:rsidRDefault="001E3026" w:rsidP="00AC6FF0">
      <w:pPr>
        <w:pStyle w:val="BodyA"/>
        <w:rPr>
          <w:noProof/>
          <w:lang w:val="en-GB"/>
        </w:rPr>
      </w:pPr>
      <w:r w:rsidRPr="00AA1EED">
        <w:rPr>
          <w:noProof/>
          <w:lang w:val="en-GB"/>
        </w:rPr>
        <w:t xml:space="preserve">Standards, addressing the whole value chain of electricity grids and equipment, are critical to ensuring safety and security of the electrical installations, facilitating supply chain security, </w:t>
      </w:r>
      <w:r w:rsidR="00BD7CAE">
        <w:rPr>
          <w:noProof/>
          <w:lang w:val="en-GB"/>
        </w:rPr>
        <w:t xml:space="preserve">interoperability, </w:t>
      </w:r>
      <w:r w:rsidRPr="00AA1EED">
        <w:rPr>
          <w:noProof/>
          <w:lang w:val="en-GB"/>
        </w:rPr>
        <w:t xml:space="preserve">enabling investments in </w:t>
      </w:r>
      <w:r w:rsidR="00671ADE" w:rsidRPr="00AA1EED">
        <w:rPr>
          <w:noProof/>
          <w:lang w:val="en-GB"/>
        </w:rPr>
        <w:t>the</w:t>
      </w:r>
      <w:r w:rsidRPr="00AA1EED">
        <w:rPr>
          <w:noProof/>
          <w:lang w:val="en-GB"/>
        </w:rPr>
        <w:t xml:space="preserve"> electricity network, saving costs and hence speeding up deployment and modernisation. </w:t>
      </w:r>
    </w:p>
    <w:p w14:paraId="7D1BB01A" w14:textId="065B11B6" w:rsidR="007530AC" w:rsidRPr="00AC6144" w:rsidRDefault="00BD7CAE" w:rsidP="00AC6FF0">
      <w:pPr>
        <w:pStyle w:val="BodyA"/>
        <w:rPr>
          <w:noProof/>
          <w:lang w:val="en-GB"/>
        </w:rPr>
      </w:pPr>
      <w:r>
        <w:rPr>
          <w:noProof/>
          <w:lang w:val="en-GB"/>
        </w:rPr>
        <w:t>As first and imminent need, c</w:t>
      </w:r>
      <w:r w:rsidR="00147117" w:rsidRPr="00AA1EED">
        <w:rPr>
          <w:noProof/>
          <w:lang w:val="en-GB"/>
        </w:rPr>
        <w:t xml:space="preserve">urrent tender specifications by TSOs towards grid manufacturers are frequently very tailor-made, meaning that efforts and resources of the supply chain need to be used on special design requests for virtually each TSO in Europe. </w:t>
      </w:r>
      <w:r w:rsidR="007530AC" w:rsidRPr="00AA1EED">
        <w:rPr>
          <w:noProof/>
          <w:lang w:val="en-GB"/>
        </w:rPr>
        <w:t xml:space="preserve">The collaboration among TSOs towards agreeing on </w:t>
      </w:r>
      <w:r>
        <w:rPr>
          <w:noProof/>
          <w:lang w:val="en-GB"/>
        </w:rPr>
        <w:t>common</w:t>
      </w:r>
      <w:r w:rsidR="007530AC" w:rsidRPr="00AA1EED">
        <w:rPr>
          <w:noProof/>
          <w:lang w:val="en-GB"/>
        </w:rPr>
        <w:t xml:space="preserve"> specification requests would lower costs, accelerate project delivery, increase the amount of output with the already existing manufacturing facilities that suppliers can produce and enable a better access of suppliers across the EU to other markets within Europe. </w:t>
      </w:r>
      <w:r w:rsidR="00147117" w:rsidRPr="00AA1EED">
        <w:rPr>
          <w:noProof/>
          <w:lang w:val="en-GB"/>
        </w:rPr>
        <w:t xml:space="preserve">First attempts to </w:t>
      </w:r>
      <w:r>
        <w:rPr>
          <w:noProof/>
          <w:lang w:val="en-GB"/>
        </w:rPr>
        <w:t>agree on common</w:t>
      </w:r>
      <w:r w:rsidRPr="00AA1EED">
        <w:rPr>
          <w:noProof/>
          <w:lang w:val="en-GB"/>
        </w:rPr>
        <w:t xml:space="preserve"> </w:t>
      </w:r>
      <w:r w:rsidR="00147117" w:rsidRPr="00AA1EED">
        <w:rPr>
          <w:noProof/>
          <w:lang w:val="en-GB"/>
        </w:rPr>
        <w:t>requirements have been conducted</w:t>
      </w:r>
      <w:r w:rsidR="00516198" w:rsidRPr="00AA1EED">
        <w:rPr>
          <w:noProof/>
          <w:lang w:val="en-GB"/>
        </w:rPr>
        <w:t>, initiated by the EU’s Horizon Europe</w:t>
      </w:r>
      <w:r w:rsidR="00516198" w:rsidRPr="00AA1EED">
        <w:rPr>
          <w:rStyle w:val="FootnoteReference"/>
          <w:noProof/>
          <w:lang w:val="en-GB"/>
        </w:rPr>
        <w:footnoteReference w:id="53"/>
      </w:r>
      <w:r w:rsidR="00516198" w:rsidRPr="00AA1EED">
        <w:rPr>
          <w:noProof/>
          <w:lang w:val="en-GB"/>
        </w:rPr>
        <w:t xml:space="preserve"> and in some instances by some TSOs</w:t>
      </w:r>
      <w:r w:rsidR="00147117" w:rsidRPr="00AA1EED">
        <w:rPr>
          <w:noProof/>
          <w:vertAlign w:val="superscript"/>
          <w:lang w:val="en-GB"/>
        </w:rPr>
        <w:footnoteReference w:id="54"/>
      </w:r>
      <w:r w:rsidR="00D41B2B" w:rsidRPr="00AA1EED">
        <w:rPr>
          <w:noProof/>
          <w:lang w:val="en-GB"/>
        </w:rPr>
        <w:t xml:space="preserve">, while still </w:t>
      </w:r>
      <w:r w:rsidR="004573BE" w:rsidRPr="00AA1EED">
        <w:rPr>
          <w:noProof/>
          <w:lang w:val="en-GB"/>
        </w:rPr>
        <w:t xml:space="preserve">implemented in </w:t>
      </w:r>
      <w:r w:rsidR="00D33D97" w:rsidRPr="00AA1EED">
        <w:rPr>
          <w:noProof/>
          <w:lang w:val="en-GB"/>
        </w:rPr>
        <w:t xml:space="preserve">divergent </w:t>
      </w:r>
      <w:r w:rsidR="004573BE" w:rsidRPr="00AA1EED">
        <w:rPr>
          <w:noProof/>
          <w:lang w:val="en-GB"/>
        </w:rPr>
        <w:t>ways</w:t>
      </w:r>
      <w:r w:rsidR="00D33D97" w:rsidRPr="00AA1EED">
        <w:rPr>
          <w:noProof/>
          <w:lang w:val="en-GB"/>
        </w:rPr>
        <w:t xml:space="preserve"> by different TSOs</w:t>
      </w:r>
      <w:r w:rsidR="00147117" w:rsidRPr="00AA1EED">
        <w:rPr>
          <w:noProof/>
          <w:lang w:val="en-GB"/>
        </w:rPr>
        <w:t>. The need to further collaborate in this regard and streamline specifications was stressed by ENTSO-E in the discussions under the high-</w:t>
      </w:r>
      <w:r w:rsidR="00147117" w:rsidRPr="00AC6144">
        <w:rPr>
          <w:noProof/>
          <w:lang w:val="en-GB"/>
        </w:rPr>
        <w:t>level event on the Future of our Grids</w:t>
      </w:r>
      <w:r w:rsidR="00147117" w:rsidRPr="00AC6144">
        <w:rPr>
          <w:noProof/>
          <w:vertAlign w:val="superscript"/>
          <w:lang w:val="en-GB"/>
        </w:rPr>
        <w:footnoteReference w:id="55"/>
      </w:r>
      <w:r w:rsidR="00147117" w:rsidRPr="00AC6144">
        <w:rPr>
          <w:noProof/>
          <w:lang w:val="en-GB"/>
        </w:rPr>
        <w:t xml:space="preserve">. </w:t>
      </w:r>
    </w:p>
    <w:p w14:paraId="6445B723" w14:textId="72240345" w:rsidR="00133CCA" w:rsidRDefault="00BD7CAE" w:rsidP="00BD7CAE">
      <w:pPr>
        <w:pStyle w:val="BodyA"/>
        <w:rPr>
          <w:noProof/>
          <w:lang w:val="en-GB"/>
        </w:rPr>
      </w:pPr>
      <w:r w:rsidRPr="00D935E1">
        <w:rPr>
          <w:noProof/>
          <w:lang w:val="en-GB"/>
        </w:rPr>
        <w:t xml:space="preserve">The Commission will request the </w:t>
      </w:r>
      <w:r w:rsidRPr="00BD7CAE">
        <w:rPr>
          <w:b/>
          <w:bCs/>
          <w:noProof/>
          <w:lang w:val="en-GB"/>
        </w:rPr>
        <w:t>European Standardisation Organisations</w:t>
      </w:r>
      <w:r w:rsidRPr="00D935E1">
        <w:rPr>
          <w:noProof/>
          <w:lang w:val="en-GB"/>
        </w:rPr>
        <w:t xml:space="preserve"> (ESOs) to provide a Workshop Agreement</w:t>
      </w:r>
      <w:r w:rsidR="006F27F8">
        <w:rPr>
          <w:noProof/>
          <w:lang w:val="en-GB"/>
        </w:rPr>
        <w:t xml:space="preserve"> deliverable</w:t>
      </w:r>
      <w:r w:rsidRPr="00D935E1">
        <w:rPr>
          <w:noProof/>
          <w:lang w:val="en-GB"/>
        </w:rPr>
        <w:t>, involving all relevant stakeholders</w:t>
      </w:r>
      <w:r w:rsidRPr="00BD7CAE">
        <w:rPr>
          <w:b/>
          <w:bCs/>
          <w:noProof/>
          <w:lang w:val="en-GB"/>
        </w:rPr>
        <w:t xml:space="preserve"> </w:t>
      </w:r>
      <w:r w:rsidRPr="00D935E1">
        <w:rPr>
          <w:noProof/>
          <w:lang w:val="en-GB"/>
        </w:rPr>
        <w:t>(</w:t>
      </w:r>
      <w:r w:rsidR="00147117" w:rsidRPr="00AC6144">
        <w:rPr>
          <w:b/>
          <w:bCs/>
          <w:noProof/>
          <w:lang w:val="en-GB"/>
        </w:rPr>
        <w:t>ENTSO-E</w:t>
      </w:r>
      <w:r w:rsidRPr="00D935E1">
        <w:rPr>
          <w:noProof/>
          <w:lang w:val="en-GB"/>
        </w:rPr>
        <w:t>,</w:t>
      </w:r>
      <w:r w:rsidR="007530AC" w:rsidRPr="00AC6144">
        <w:rPr>
          <w:noProof/>
          <w:lang w:val="en-GB"/>
        </w:rPr>
        <w:t xml:space="preserve"> </w:t>
      </w:r>
      <w:r w:rsidR="007530AC" w:rsidRPr="00D935E1">
        <w:rPr>
          <w:b/>
          <w:bCs/>
          <w:noProof/>
          <w:lang w:val="en-GB"/>
        </w:rPr>
        <w:t>TSOs</w:t>
      </w:r>
      <w:r w:rsidR="007530AC" w:rsidRPr="00AC6144">
        <w:rPr>
          <w:noProof/>
          <w:lang w:val="en-GB"/>
        </w:rPr>
        <w:t xml:space="preserve"> and </w:t>
      </w:r>
      <w:r w:rsidR="007530AC" w:rsidRPr="00D935E1">
        <w:rPr>
          <w:b/>
          <w:bCs/>
          <w:noProof/>
          <w:lang w:val="en-GB"/>
        </w:rPr>
        <w:t>manufacturers</w:t>
      </w:r>
      <w:r w:rsidRPr="00D935E1">
        <w:rPr>
          <w:noProof/>
          <w:lang w:val="en-GB"/>
        </w:rPr>
        <w:t>)</w:t>
      </w:r>
      <w:r w:rsidR="007530AC" w:rsidRPr="00AC6144">
        <w:rPr>
          <w:noProof/>
          <w:lang w:val="en-GB"/>
        </w:rPr>
        <w:t xml:space="preserve"> </w:t>
      </w:r>
      <w:r>
        <w:rPr>
          <w:noProof/>
          <w:lang w:val="en-GB"/>
        </w:rPr>
        <w:t>on common</w:t>
      </w:r>
      <w:r w:rsidR="00147117" w:rsidRPr="00AC6144">
        <w:rPr>
          <w:b/>
          <w:bCs/>
          <w:noProof/>
          <w:lang w:val="en-GB"/>
        </w:rPr>
        <w:t xml:space="preserve"> product specifications </w:t>
      </w:r>
      <w:r w:rsidR="007530AC" w:rsidRPr="00D935E1">
        <w:rPr>
          <w:noProof/>
          <w:lang w:val="en-GB"/>
        </w:rPr>
        <w:t xml:space="preserve">that should be agreed </w:t>
      </w:r>
      <w:r w:rsidR="003A5B29" w:rsidRPr="00D935E1">
        <w:rPr>
          <w:noProof/>
          <w:lang w:val="en-GB"/>
        </w:rPr>
        <w:t>by end-2024</w:t>
      </w:r>
      <w:r w:rsidR="00147117" w:rsidRPr="00AC6144">
        <w:rPr>
          <w:noProof/>
          <w:lang w:val="en-GB"/>
        </w:rPr>
        <w:t>.</w:t>
      </w:r>
      <w:r w:rsidR="007A2903" w:rsidRPr="00AC6144">
        <w:rPr>
          <w:noProof/>
          <w:lang w:val="en-GB"/>
        </w:rPr>
        <w:t xml:space="preserve"> </w:t>
      </w:r>
      <w:r>
        <w:rPr>
          <w:noProof/>
          <w:lang w:val="en-GB"/>
        </w:rPr>
        <w:t xml:space="preserve">These </w:t>
      </w:r>
      <w:r w:rsidR="00BA53F2" w:rsidRPr="00AC6144">
        <w:rPr>
          <w:noProof/>
          <w:lang w:val="en-GB"/>
        </w:rPr>
        <w:t xml:space="preserve">product specifications </w:t>
      </w:r>
      <w:r w:rsidR="007A2903" w:rsidRPr="00BD7CAE">
        <w:rPr>
          <w:b/>
          <w:bCs/>
          <w:noProof/>
          <w:lang w:val="en-GB"/>
        </w:rPr>
        <w:t xml:space="preserve">should </w:t>
      </w:r>
      <w:r w:rsidRPr="00BD7CAE">
        <w:rPr>
          <w:b/>
          <w:bCs/>
          <w:noProof/>
          <w:lang w:val="en-GB"/>
        </w:rPr>
        <w:t>be</w:t>
      </w:r>
      <w:r>
        <w:rPr>
          <w:b/>
          <w:bCs/>
          <w:noProof/>
          <w:lang w:val="en-GB"/>
        </w:rPr>
        <w:t xml:space="preserve"> deployed by TSOs </w:t>
      </w:r>
      <w:r w:rsidRPr="00D935E1">
        <w:rPr>
          <w:noProof/>
          <w:lang w:val="en-GB"/>
        </w:rPr>
        <w:t>across the EU</w:t>
      </w:r>
      <w:r>
        <w:rPr>
          <w:b/>
          <w:bCs/>
          <w:noProof/>
          <w:lang w:val="en-GB"/>
        </w:rPr>
        <w:t xml:space="preserve"> </w:t>
      </w:r>
      <w:r w:rsidR="00320557" w:rsidRPr="00AA1EED">
        <w:rPr>
          <w:b/>
          <w:bCs/>
          <w:noProof/>
          <w:lang w:val="en-GB"/>
        </w:rPr>
        <w:t>in their</w:t>
      </w:r>
      <w:r w:rsidR="00BA53F2" w:rsidRPr="00AA1EED">
        <w:rPr>
          <w:b/>
          <w:bCs/>
          <w:noProof/>
          <w:lang w:val="en-GB"/>
        </w:rPr>
        <w:t xml:space="preserve"> own</w:t>
      </w:r>
      <w:r w:rsidR="00320557" w:rsidRPr="00AA1EED">
        <w:rPr>
          <w:b/>
          <w:bCs/>
          <w:noProof/>
          <w:lang w:val="en-GB"/>
        </w:rPr>
        <w:t xml:space="preserve"> procurements</w:t>
      </w:r>
      <w:r w:rsidR="00BA53F2" w:rsidRPr="00AA1EED">
        <w:rPr>
          <w:noProof/>
          <w:lang w:val="en-GB"/>
        </w:rPr>
        <w:t xml:space="preserve"> and regulatory authorities should encourage them in </w:t>
      </w:r>
      <w:r w:rsidR="008D1516" w:rsidRPr="00AA1EED">
        <w:rPr>
          <w:noProof/>
          <w:lang w:val="en-GB"/>
        </w:rPr>
        <w:t>tariff designs</w:t>
      </w:r>
      <w:r w:rsidR="00320557" w:rsidRPr="00AA1EED">
        <w:rPr>
          <w:noProof/>
          <w:lang w:val="en-GB"/>
        </w:rPr>
        <w:t>.</w:t>
      </w:r>
      <w:r>
        <w:rPr>
          <w:noProof/>
          <w:lang w:val="en-GB"/>
        </w:rPr>
        <w:t xml:space="preserve"> The work should be closely coordinated with the </w:t>
      </w:r>
      <w:r w:rsidR="00FA30E7" w:rsidRPr="00377522">
        <w:rPr>
          <w:b/>
          <w:bCs/>
          <w:noProof/>
          <w:lang w:val="en-GB"/>
        </w:rPr>
        <w:t>High-Level Forum on European Standardisation</w:t>
      </w:r>
      <w:r w:rsidR="00133CCA">
        <w:rPr>
          <w:noProof/>
          <w:lang w:val="en-GB"/>
        </w:rPr>
        <w:t>’s</w:t>
      </w:r>
      <w:r w:rsidR="00FA30E7" w:rsidRPr="00AA1EED">
        <w:rPr>
          <w:noProof/>
          <w:lang w:val="en-GB"/>
        </w:rPr>
        <w:t xml:space="preserve"> working group on green electricity system</w:t>
      </w:r>
      <w:r w:rsidR="00133CCA">
        <w:rPr>
          <w:noProof/>
          <w:lang w:val="en-GB"/>
        </w:rPr>
        <w:t>.</w:t>
      </w:r>
      <w:r w:rsidR="00FA30E7" w:rsidRPr="00AA1EED">
        <w:rPr>
          <w:noProof/>
          <w:lang w:val="en-GB"/>
        </w:rPr>
        <w:t xml:space="preserve"> </w:t>
      </w:r>
      <w:r w:rsidR="006F27F8">
        <w:rPr>
          <w:noProof/>
          <w:lang w:val="en-GB"/>
        </w:rPr>
        <w:t>Going forward, if deemed necessary, t</w:t>
      </w:r>
      <w:r w:rsidR="00133CCA" w:rsidRPr="00133CCA">
        <w:rPr>
          <w:noProof/>
          <w:lang w:val="en-GB"/>
        </w:rPr>
        <w:t xml:space="preserve">his </w:t>
      </w:r>
      <w:r w:rsidR="00FE6628">
        <w:rPr>
          <w:noProof/>
          <w:lang w:val="en-GB"/>
        </w:rPr>
        <w:t>c</w:t>
      </w:r>
      <w:r w:rsidR="00133CCA" w:rsidRPr="00133CCA">
        <w:rPr>
          <w:noProof/>
          <w:lang w:val="en-GB"/>
        </w:rPr>
        <w:t xml:space="preserve">ould be </w:t>
      </w:r>
      <w:r w:rsidR="006F27F8">
        <w:rPr>
          <w:noProof/>
          <w:lang w:val="en-GB"/>
        </w:rPr>
        <w:t>a</w:t>
      </w:r>
      <w:r w:rsidR="00133CCA" w:rsidRPr="00133CCA">
        <w:rPr>
          <w:noProof/>
          <w:lang w:val="en-GB"/>
        </w:rPr>
        <w:t xml:space="preserve"> first step towards developing technical specifications and</w:t>
      </w:r>
      <w:r w:rsidR="006F27F8">
        <w:rPr>
          <w:noProof/>
          <w:lang w:val="en-GB"/>
        </w:rPr>
        <w:t xml:space="preserve"> </w:t>
      </w:r>
      <w:r w:rsidR="00133CCA" w:rsidRPr="00133CCA">
        <w:rPr>
          <w:noProof/>
          <w:lang w:val="en-GB"/>
        </w:rPr>
        <w:t xml:space="preserve">ultimately </w:t>
      </w:r>
      <w:r w:rsidR="006B33C4">
        <w:rPr>
          <w:noProof/>
          <w:lang w:val="en-GB"/>
        </w:rPr>
        <w:t>EU</w:t>
      </w:r>
      <w:r w:rsidR="00133CCA" w:rsidRPr="00133CCA">
        <w:rPr>
          <w:noProof/>
          <w:lang w:val="en-GB"/>
        </w:rPr>
        <w:t xml:space="preserve"> standards for the entire electricity grid value chain. </w:t>
      </w:r>
    </w:p>
    <w:p w14:paraId="7D30009C" w14:textId="5A91A378" w:rsidR="00FA30E7" w:rsidRPr="00AA1EED" w:rsidRDefault="00133CCA" w:rsidP="00D935E1">
      <w:pPr>
        <w:pStyle w:val="BodyA"/>
        <w:rPr>
          <w:noProof/>
          <w:lang w:val="en-GB"/>
        </w:rPr>
      </w:pPr>
      <w:r w:rsidRPr="00133CCA">
        <w:rPr>
          <w:noProof/>
          <w:lang w:val="en-GB"/>
        </w:rPr>
        <w:t xml:space="preserve">In cooperation with the above workstrand by the ESOs, </w:t>
      </w:r>
      <w:r>
        <w:rPr>
          <w:noProof/>
          <w:lang w:val="en-GB"/>
        </w:rPr>
        <w:t>the High-Level Forum</w:t>
      </w:r>
      <w:r w:rsidRPr="00133CCA">
        <w:rPr>
          <w:noProof/>
          <w:lang w:val="en-GB"/>
        </w:rPr>
        <w:t xml:space="preserve"> </w:t>
      </w:r>
      <w:r w:rsidR="00FA30E7" w:rsidRPr="00AA1EED">
        <w:rPr>
          <w:noProof/>
          <w:lang w:val="en-GB"/>
        </w:rPr>
        <w:t>will identify standardisation gaps and propose a roadmap by Q1 2024. The focus will be on strategic issues based on current market and business trends, including geopolitical constraints</w:t>
      </w:r>
      <w:r w:rsidR="0024598C" w:rsidRPr="00AA1EED">
        <w:rPr>
          <w:noProof/>
          <w:lang w:val="en-GB"/>
        </w:rPr>
        <w:t>,</w:t>
      </w:r>
      <w:r w:rsidR="00FA30E7" w:rsidRPr="00AA1EED">
        <w:rPr>
          <w:noProof/>
          <w:lang w:val="en-GB"/>
        </w:rPr>
        <w:t xml:space="preserve"> impact on European business and facilitat</w:t>
      </w:r>
      <w:r w:rsidR="0024598C" w:rsidRPr="00AA1EED">
        <w:rPr>
          <w:noProof/>
          <w:lang w:val="en-GB"/>
        </w:rPr>
        <w:t>ing</w:t>
      </w:r>
      <w:r w:rsidR="00FA30E7" w:rsidRPr="00AA1EED">
        <w:rPr>
          <w:noProof/>
          <w:lang w:val="en-GB"/>
        </w:rPr>
        <w:t xml:space="preserve"> global trade.</w:t>
      </w:r>
    </w:p>
    <w:p w14:paraId="0FCE8544" w14:textId="47D551A9" w:rsidR="00413640" w:rsidRPr="00377522" w:rsidRDefault="003F6E95" w:rsidP="00AC6FF0">
      <w:pPr>
        <w:pStyle w:val="BodyA"/>
        <w:rPr>
          <w:noProof/>
          <w:lang w:val="en-GB"/>
        </w:rPr>
      </w:pPr>
      <w:r w:rsidRPr="00377522">
        <w:rPr>
          <w:noProof/>
          <w:lang w:val="en-GB"/>
        </w:rPr>
        <w:t xml:space="preserve">ENTSO-E </w:t>
      </w:r>
      <w:r w:rsidR="00C02AC3" w:rsidRPr="00377522">
        <w:rPr>
          <w:noProof/>
          <w:lang w:val="en-GB"/>
        </w:rPr>
        <w:t xml:space="preserve">and </w:t>
      </w:r>
      <w:r w:rsidR="0044076D" w:rsidRPr="00377522">
        <w:rPr>
          <w:noProof/>
          <w:lang w:val="en-GB"/>
        </w:rPr>
        <w:t xml:space="preserve">the </w:t>
      </w:r>
      <w:r w:rsidR="00C02AC3" w:rsidRPr="00377522">
        <w:rPr>
          <w:noProof/>
          <w:lang w:val="en-GB"/>
        </w:rPr>
        <w:t xml:space="preserve">EU DSO </w:t>
      </w:r>
      <w:r w:rsidR="00671ADE" w:rsidRPr="00377522">
        <w:rPr>
          <w:noProof/>
          <w:lang w:val="en-GB"/>
        </w:rPr>
        <w:t>E</w:t>
      </w:r>
      <w:r w:rsidR="00C02AC3" w:rsidRPr="00377522">
        <w:rPr>
          <w:noProof/>
          <w:lang w:val="en-GB"/>
        </w:rPr>
        <w:t xml:space="preserve">ntity </w:t>
      </w:r>
      <w:r w:rsidRPr="00377522">
        <w:rPr>
          <w:noProof/>
          <w:lang w:val="en-GB"/>
        </w:rPr>
        <w:t>should</w:t>
      </w:r>
      <w:r w:rsidR="007530AC">
        <w:rPr>
          <w:noProof/>
          <w:lang w:val="en-GB"/>
        </w:rPr>
        <w:t>, together</w:t>
      </w:r>
      <w:r w:rsidRPr="00377522">
        <w:rPr>
          <w:noProof/>
          <w:lang w:val="en-GB"/>
        </w:rPr>
        <w:t xml:space="preserve"> with grid operators</w:t>
      </w:r>
      <w:r w:rsidR="007530AC">
        <w:rPr>
          <w:noProof/>
          <w:lang w:val="en-GB"/>
        </w:rPr>
        <w:t>,</w:t>
      </w:r>
      <w:r w:rsidRPr="00377522">
        <w:rPr>
          <w:noProof/>
          <w:lang w:val="en-GB"/>
        </w:rPr>
        <w:t xml:space="preserve"> establish </w:t>
      </w:r>
      <w:r w:rsidR="007530AC">
        <w:rPr>
          <w:noProof/>
          <w:lang w:val="en-GB"/>
        </w:rPr>
        <w:t xml:space="preserve">by Q4 2024 </w:t>
      </w:r>
      <w:r w:rsidRPr="00377522">
        <w:rPr>
          <w:noProof/>
          <w:lang w:val="en-GB"/>
        </w:rPr>
        <w:t xml:space="preserve">mechanisms for </w:t>
      </w:r>
      <w:r w:rsidRPr="00377522">
        <w:rPr>
          <w:b/>
          <w:bCs/>
          <w:noProof/>
          <w:lang w:val="en-GB"/>
        </w:rPr>
        <w:t xml:space="preserve">providing </w:t>
      </w:r>
      <w:r w:rsidR="00D11CE0" w:rsidRPr="00377522">
        <w:rPr>
          <w:b/>
          <w:bCs/>
          <w:noProof/>
          <w:lang w:val="en-GB"/>
        </w:rPr>
        <w:t xml:space="preserve">increased </w:t>
      </w:r>
      <w:r w:rsidRPr="00377522">
        <w:rPr>
          <w:b/>
          <w:bCs/>
          <w:noProof/>
          <w:lang w:val="en-GB"/>
        </w:rPr>
        <w:t>visibility to manufacturers into their upcoming procurement plans for equipment and systems</w:t>
      </w:r>
      <w:r w:rsidRPr="00377522">
        <w:rPr>
          <w:noProof/>
          <w:lang w:val="en-GB"/>
        </w:rPr>
        <w:t xml:space="preserve"> on all voltage levels. This action could help the manufacturers of grid technologies to better prepare their production capacities and skilled workforce and/or plan production slots for catering in time for the grid expansion needs. As a result, potential bottlenecks in the technology supply chains could be avoided. </w:t>
      </w:r>
      <w:r w:rsidR="00D11CE0" w:rsidRPr="00377522">
        <w:rPr>
          <w:noProof/>
          <w:lang w:val="en-GB"/>
        </w:rPr>
        <w:t xml:space="preserve">This action </w:t>
      </w:r>
      <w:r w:rsidR="003A5B29" w:rsidRPr="00377522">
        <w:rPr>
          <w:noProof/>
          <w:lang w:val="en-GB"/>
        </w:rPr>
        <w:t>sh</w:t>
      </w:r>
      <w:r w:rsidR="00D11CE0" w:rsidRPr="00377522">
        <w:rPr>
          <w:noProof/>
          <w:lang w:val="en-GB"/>
        </w:rPr>
        <w:t xml:space="preserve">ould take inspiration from the interactive EU digital platform on which the auction planning of the Member States will be published, as announced in the </w:t>
      </w:r>
      <w:r w:rsidR="00B44697" w:rsidRPr="00377522">
        <w:rPr>
          <w:noProof/>
          <w:lang w:val="en-GB"/>
        </w:rPr>
        <w:t>EU</w:t>
      </w:r>
      <w:r w:rsidR="00D11CE0" w:rsidRPr="00377522">
        <w:rPr>
          <w:noProof/>
          <w:lang w:val="en-GB"/>
        </w:rPr>
        <w:t xml:space="preserve"> Wind Power Action Plan.</w:t>
      </w:r>
    </w:p>
    <w:p w14:paraId="49917D8F" w14:textId="0072894F" w:rsidR="00766D5D" w:rsidRPr="00AA1EED" w:rsidRDefault="00147117">
      <w:pPr>
        <w:pStyle w:val="BodyA"/>
        <w:keepNext/>
        <w:spacing w:before="360"/>
        <w:rPr>
          <w:b/>
          <w:bCs/>
          <w:noProof/>
          <w:lang w:val="en-GB"/>
        </w:rPr>
      </w:pPr>
      <w:bookmarkStart w:id="42" w:name="_Hlk151469887"/>
      <w:r w:rsidRPr="00AA1EED">
        <w:rPr>
          <w:b/>
          <w:bCs/>
          <w:noProof/>
          <w:lang w:val="en-GB"/>
        </w:rPr>
        <w:t>Action 1</w:t>
      </w:r>
      <w:r w:rsidR="00BC64B2" w:rsidRPr="00AA1EED">
        <w:rPr>
          <w:b/>
          <w:bCs/>
          <w:noProof/>
          <w:lang w:val="en-GB"/>
        </w:rPr>
        <w:t>4</w:t>
      </w:r>
      <w:r w:rsidRPr="00AA1EED">
        <w:rPr>
          <w:b/>
          <w:bCs/>
          <w:noProof/>
          <w:lang w:val="en-GB"/>
        </w:rPr>
        <w:t xml:space="preserve">: </w:t>
      </w:r>
      <w:bookmarkStart w:id="43" w:name="_Hlk148690140"/>
      <w:r w:rsidRPr="00AA1EED">
        <w:rPr>
          <w:b/>
          <w:bCs/>
          <w:noProof/>
          <w:lang w:val="en-GB"/>
        </w:rPr>
        <w:t xml:space="preserve">Commission to promote common technical requirements for generation and demand connection </w:t>
      </w:r>
      <w:bookmarkEnd w:id="43"/>
    </w:p>
    <w:bookmarkEnd w:id="42"/>
    <w:p w14:paraId="6D8AA0D3" w14:textId="0B021445" w:rsidR="00766D5D" w:rsidRPr="00AA1EED" w:rsidRDefault="00147117" w:rsidP="00AC6FF0">
      <w:pPr>
        <w:pStyle w:val="BodyA"/>
        <w:rPr>
          <w:noProof/>
          <w:lang w:val="en-GB"/>
        </w:rPr>
      </w:pPr>
      <w:r w:rsidRPr="00AA1EED">
        <w:rPr>
          <w:noProof/>
          <w:lang w:val="en-GB"/>
        </w:rPr>
        <w:t xml:space="preserve">Specifications set for the connection of new demand and new generation projects have important implications on the product design and requirements. Today, </w:t>
      </w:r>
      <w:r w:rsidR="00126AEB" w:rsidRPr="00AA1EED">
        <w:rPr>
          <w:noProof/>
          <w:lang w:val="en-GB"/>
        </w:rPr>
        <w:t xml:space="preserve">such </w:t>
      </w:r>
      <w:r w:rsidRPr="00AA1EED">
        <w:rPr>
          <w:noProof/>
          <w:lang w:val="en-GB"/>
        </w:rPr>
        <w:t>technical requirements are deeply divergent across Europe, requiring manufacturers to adapt to such requests locally and hampering their access to the single EU market.</w:t>
      </w:r>
      <w:r w:rsidR="00D40D40" w:rsidRPr="00377522">
        <w:rPr>
          <w:noProof/>
          <w:lang w:val="en-GB"/>
        </w:rPr>
        <w:t xml:space="preserve"> </w:t>
      </w:r>
      <w:r w:rsidR="003F497A" w:rsidRPr="00AA1EED">
        <w:rPr>
          <w:noProof/>
          <w:lang w:val="en-GB"/>
        </w:rPr>
        <w:t>T</w:t>
      </w:r>
      <w:r w:rsidRPr="00AA1EED">
        <w:rPr>
          <w:noProof/>
          <w:lang w:val="en-GB"/>
        </w:rPr>
        <w:t>he Commission will assess and pro</w:t>
      </w:r>
      <w:r w:rsidR="00086E26" w:rsidRPr="00AA1EED">
        <w:rPr>
          <w:noProof/>
          <w:lang w:val="en-GB"/>
        </w:rPr>
        <w:t>pose</w:t>
      </w:r>
      <w:r w:rsidRPr="00AA1EED">
        <w:rPr>
          <w:noProof/>
          <w:lang w:val="en-GB"/>
        </w:rPr>
        <w:t xml:space="preserve"> </w:t>
      </w:r>
      <w:r w:rsidR="0025275C" w:rsidRPr="00AA1EED">
        <w:rPr>
          <w:noProof/>
          <w:lang w:val="en-GB"/>
        </w:rPr>
        <w:t>measures</w:t>
      </w:r>
      <w:r w:rsidRPr="00AA1EED">
        <w:rPr>
          <w:noProof/>
          <w:lang w:val="en-GB"/>
        </w:rPr>
        <w:t xml:space="preserve"> to promote common technical requirements in revisions of the network codes on requirements for generators and demand connection code</w:t>
      </w:r>
      <w:r w:rsidR="003A5B29" w:rsidRPr="00AA1EED">
        <w:rPr>
          <w:noProof/>
          <w:lang w:val="en-GB"/>
        </w:rPr>
        <w:t>, by 2025,</w:t>
      </w:r>
      <w:r w:rsidR="00C40155" w:rsidRPr="00AA1EED">
        <w:rPr>
          <w:noProof/>
          <w:lang w:val="en-GB"/>
        </w:rPr>
        <w:t xml:space="preserve"> to ensure that manufacturers can fully benefit from the single market access</w:t>
      </w:r>
      <w:r w:rsidRPr="00AA1EED">
        <w:rPr>
          <w:noProof/>
          <w:lang w:val="en-GB"/>
        </w:rPr>
        <w:t>.</w:t>
      </w:r>
    </w:p>
    <w:p w14:paraId="7A48C299" w14:textId="77777777" w:rsidR="00766D5D" w:rsidRPr="00AA1EED" w:rsidRDefault="00147117">
      <w:pPr>
        <w:pStyle w:val="BodyA"/>
        <w:keepNext/>
        <w:numPr>
          <w:ilvl w:val="0"/>
          <w:numId w:val="20"/>
        </w:numPr>
        <w:spacing w:before="480"/>
        <w:rPr>
          <w:b/>
          <w:bCs/>
          <w:noProof/>
          <w:lang w:val="en-GB"/>
        </w:rPr>
      </w:pPr>
      <w:r w:rsidRPr="00AA1EED">
        <w:rPr>
          <w:b/>
          <w:bCs/>
          <w:noProof/>
          <w:lang w:val="en-GB"/>
        </w:rPr>
        <w:t>CONCLUSIONS</w:t>
      </w:r>
    </w:p>
    <w:p w14:paraId="545E62D7" w14:textId="0ECADF2C" w:rsidR="00766D5D" w:rsidRPr="00AA1EED" w:rsidRDefault="00147117" w:rsidP="00F7784F">
      <w:pPr>
        <w:pStyle w:val="Body"/>
        <w:spacing w:after="240" w:line="240" w:lineRule="auto"/>
        <w:jc w:val="both"/>
        <w:rPr>
          <w:rFonts w:ascii="Times New Roman" w:eastAsia="Times New Roman" w:hAnsi="Times New Roman" w:cs="Times New Roman"/>
          <w:noProof/>
          <w:sz w:val="24"/>
          <w:szCs w:val="24"/>
          <w:lang w:val="en-GB"/>
        </w:rPr>
      </w:pPr>
      <w:r w:rsidRPr="00AA1EED">
        <w:rPr>
          <w:rFonts w:ascii="Times New Roman" w:hAnsi="Times New Roman" w:cs="Times New Roman"/>
          <w:noProof/>
          <w:sz w:val="24"/>
          <w:szCs w:val="24"/>
          <w:lang w:val="en-GB"/>
        </w:rPr>
        <w:t>Electricity grids are a true European success story of integration, cooperation and mutual support. The indispensable role of electricity grids in the energy transition make</w:t>
      </w:r>
      <w:r w:rsidR="00473B5D" w:rsidRPr="00AA1EED">
        <w:rPr>
          <w:rFonts w:ascii="Times New Roman" w:hAnsi="Times New Roman" w:cs="Times New Roman"/>
          <w:noProof/>
          <w:sz w:val="24"/>
          <w:szCs w:val="24"/>
          <w:lang w:val="en-GB"/>
        </w:rPr>
        <w:t>s</w:t>
      </w:r>
      <w:r w:rsidRPr="00AA1EED">
        <w:rPr>
          <w:rFonts w:ascii="Times New Roman" w:hAnsi="Times New Roman" w:cs="Times New Roman"/>
          <w:noProof/>
          <w:sz w:val="24"/>
          <w:szCs w:val="24"/>
          <w:lang w:val="en-GB"/>
        </w:rPr>
        <w:t xml:space="preserve"> it of utmost importance </w:t>
      </w:r>
      <w:r w:rsidR="00473B5D" w:rsidRPr="00AA1EED">
        <w:rPr>
          <w:rFonts w:ascii="Times New Roman" w:hAnsi="Times New Roman" w:cs="Times New Roman"/>
          <w:noProof/>
          <w:sz w:val="24"/>
          <w:szCs w:val="24"/>
          <w:lang w:val="en-GB"/>
        </w:rPr>
        <w:t xml:space="preserve">to </w:t>
      </w:r>
      <w:r w:rsidRPr="00AA1EED">
        <w:rPr>
          <w:rFonts w:ascii="Times New Roman" w:hAnsi="Times New Roman" w:cs="Times New Roman"/>
          <w:noProof/>
          <w:sz w:val="24"/>
          <w:szCs w:val="24"/>
          <w:lang w:val="en-GB"/>
        </w:rPr>
        <w:t>ensur</w:t>
      </w:r>
      <w:r w:rsidR="00473B5D" w:rsidRPr="00AA1EED">
        <w:rPr>
          <w:rFonts w:ascii="Times New Roman" w:hAnsi="Times New Roman" w:cs="Times New Roman"/>
          <w:noProof/>
          <w:sz w:val="24"/>
          <w:szCs w:val="24"/>
          <w:lang w:val="en-GB"/>
        </w:rPr>
        <w:t>e</w:t>
      </w:r>
      <w:r w:rsidR="00F311D7" w:rsidRPr="00AA1EED">
        <w:rPr>
          <w:rFonts w:ascii="Times New Roman" w:hAnsi="Times New Roman" w:cs="Times New Roman"/>
          <w:noProof/>
          <w:sz w:val="24"/>
          <w:szCs w:val="24"/>
          <w:lang w:val="en-GB"/>
        </w:rPr>
        <w:t xml:space="preserve"> that</w:t>
      </w:r>
      <w:r w:rsidRPr="00AA1EED">
        <w:rPr>
          <w:rFonts w:ascii="Times New Roman" w:hAnsi="Times New Roman" w:cs="Times New Roman"/>
          <w:noProof/>
          <w:sz w:val="24"/>
          <w:szCs w:val="24"/>
          <w:lang w:val="en-GB"/>
        </w:rPr>
        <w:t xml:space="preserve"> the right incentives are put in place, and undue barriers and risks minimised. Grid modernisation, expansion and smartening </w:t>
      </w:r>
      <w:r w:rsidR="00473B5D" w:rsidRPr="00AA1EED">
        <w:rPr>
          <w:rFonts w:ascii="Times New Roman" w:hAnsi="Times New Roman" w:cs="Times New Roman"/>
          <w:noProof/>
          <w:sz w:val="24"/>
          <w:szCs w:val="24"/>
          <w:lang w:val="en-GB"/>
        </w:rPr>
        <w:t>are</w:t>
      </w:r>
      <w:r w:rsidRPr="00AA1EED">
        <w:rPr>
          <w:rFonts w:ascii="Times New Roman" w:hAnsi="Times New Roman" w:cs="Times New Roman"/>
          <w:noProof/>
          <w:sz w:val="24"/>
          <w:szCs w:val="24"/>
          <w:lang w:val="en-GB"/>
        </w:rPr>
        <w:t xml:space="preserve"> highly needed in both transmission and, </w:t>
      </w:r>
      <w:r w:rsidR="00473B5D" w:rsidRPr="00AA1EED">
        <w:rPr>
          <w:rFonts w:ascii="Times New Roman" w:hAnsi="Times New Roman" w:cs="Times New Roman"/>
          <w:noProof/>
          <w:sz w:val="24"/>
          <w:szCs w:val="24"/>
          <w:lang w:val="en-GB"/>
        </w:rPr>
        <w:t>increasing</w:t>
      </w:r>
      <w:r w:rsidRPr="00AA1EED">
        <w:rPr>
          <w:rFonts w:ascii="Times New Roman" w:hAnsi="Times New Roman" w:cs="Times New Roman"/>
          <w:noProof/>
          <w:sz w:val="24"/>
          <w:szCs w:val="24"/>
          <w:lang w:val="en-GB"/>
        </w:rPr>
        <w:t>ly, distribution levels to enable the energy transition</w:t>
      </w:r>
      <w:r w:rsidR="00D36031">
        <w:rPr>
          <w:rFonts w:ascii="Times New Roman" w:hAnsi="Times New Roman" w:cs="Times New Roman"/>
          <w:noProof/>
          <w:sz w:val="24"/>
          <w:szCs w:val="24"/>
          <w:lang w:val="en-GB"/>
        </w:rPr>
        <w:t xml:space="preserve"> across all economic sectors</w:t>
      </w:r>
      <w:r w:rsidRPr="00AA1EED">
        <w:rPr>
          <w:rFonts w:ascii="Times New Roman" w:hAnsi="Times New Roman" w:cs="Times New Roman"/>
          <w:noProof/>
          <w:sz w:val="24"/>
          <w:szCs w:val="24"/>
          <w:lang w:val="en-GB"/>
        </w:rPr>
        <w:t>. The grids need to be ready for the new system needs, especially integrating renewables and flexible demand. These challenges in network development translate into high investment needs</w:t>
      </w:r>
      <w:r w:rsidR="00473B5D" w:rsidRPr="00AA1EED">
        <w:rPr>
          <w:rFonts w:ascii="Times New Roman" w:hAnsi="Times New Roman" w:cs="Times New Roman"/>
          <w:noProof/>
          <w:sz w:val="24"/>
          <w:szCs w:val="24"/>
          <w:lang w:val="en-GB"/>
        </w:rPr>
        <w:t xml:space="preserve"> which amount to</w:t>
      </w:r>
      <w:r w:rsidRPr="00AA1EED">
        <w:rPr>
          <w:rFonts w:ascii="Times New Roman" w:hAnsi="Times New Roman" w:cs="Times New Roman"/>
          <w:noProof/>
          <w:sz w:val="24"/>
          <w:szCs w:val="24"/>
          <w:lang w:val="en-GB"/>
        </w:rPr>
        <w:t xml:space="preserve"> half a trillion </w:t>
      </w:r>
      <w:r w:rsidR="00473B5D" w:rsidRPr="00AA1EED">
        <w:rPr>
          <w:rFonts w:ascii="Times New Roman" w:hAnsi="Times New Roman" w:cs="Times New Roman"/>
          <w:noProof/>
          <w:sz w:val="24"/>
          <w:szCs w:val="24"/>
          <w:lang w:val="en-GB"/>
        </w:rPr>
        <w:t>E</w:t>
      </w:r>
      <w:r w:rsidRPr="00AA1EED">
        <w:rPr>
          <w:rFonts w:ascii="Times New Roman" w:hAnsi="Times New Roman" w:cs="Times New Roman"/>
          <w:noProof/>
          <w:sz w:val="24"/>
          <w:szCs w:val="24"/>
          <w:lang w:val="en-GB"/>
        </w:rPr>
        <w:t>uro by 2030.</w:t>
      </w:r>
    </w:p>
    <w:p w14:paraId="3AF6A978" w14:textId="7BE24613" w:rsidR="00564E73" w:rsidRPr="00AA1EED" w:rsidRDefault="00147117" w:rsidP="00AC6FF0">
      <w:pPr>
        <w:pStyle w:val="Body"/>
        <w:spacing w:after="240" w:line="240" w:lineRule="auto"/>
        <w:jc w:val="both"/>
        <w:rPr>
          <w:rFonts w:ascii="Times New Roman" w:hAnsi="Times New Roman" w:cs="Times New Roman"/>
          <w:noProof/>
          <w:sz w:val="24"/>
          <w:szCs w:val="24"/>
          <w:lang w:val="en-GB"/>
        </w:rPr>
      </w:pPr>
      <w:r w:rsidRPr="00AA1EED">
        <w:rPr>
          <w:rFonts w:ascii="Times New Roman" w:hAnsi="Times New Roman" w:cs="Times New Roman"/>
          <w:noProof/>
          <w:sz w:val="24"/>
          <w:szCs w:val="24"/>
          <w:lang w:val="en-GB"/>
        </w:rPr>
        <w:t xml:space="preserve">This European Grid Action Plan </w:t>
      </w:r>
      <w:r w:rsidR="00473B5D" w:rsidRPr="00AA1EED">
        <w:rPr>
          <w:rFonts w:ascii="Times New Roman" w:hAnsi="Times New Roman" w:cs="Times New Roman"/>
          <w:noProof/>
          <w:sz w:val="24"/>
          <w:szCs w:val="24"/>
          <w:lang w:val="en-GB"/>
        </w:rPr>
        <w:t>identifies</w:t>
      </w:r>
      <w:r w:rsidRPr="00AA1EED">
        <w:rPr>
          <w:rFonts w:ascii="Times New Roman" w:hAnsi="Times New Roman" w:cs="Times New Roman"/>
          <w:noProof/>
          <w:sz w:val="24"/>
          <w:szCs w:val="24"/>
          <w:lang w:val="en-GB"/>
        </w:rPr>
        <w:t xml:space="preserve"> a number of </w:t>
      </w:r>
      <w:r w:rsidR="00C27914" w:rsidRPr="00AA1EED">
        <w:rPr>
          <w:rFonts w:ascii="Times New Roman" w:hAnsi="Times New Roman" w:cs="Times New Roman"/>
          <w:noProof/>
          <w:sz w:val="24"/>
          <w:szCs w:val="24"/>
          <w:lang w:val="en-GB"/>
        </w:rPr>
        <w:t xml:space="preserve">interlinked </w:t>
      </w:r>
      <w:r w:rsidRPr="00AA1EED">
        <w:rPr>
          <w:rFonts w:ascii="Times New Roman" w:hAnsi="Times New Roman" w:cs="Times New Roman"/>
          <w:noProof/>
          <w:sz w:val="24"/>
          <w:szCs w:val="24"/>
          <w:lang w:val="en-GB"/>
        </w:rPr>
        <w:t xml:space="preserve">measures that can be </w:t>
      </w:r>
      <w:r w:rsidR="0000153C" w:rsidRPr="00AA1EED">
        <w:rPr>
          <w:rFonts w:ascii="Times New Roman" w:hAnsi="Times New Roman" w:cs="Times New Roman"/>
          <w:noProof/>
          <w:sz w:val="24"/>
          <w:szCs w:val="24"/>
          <w:lang w:val="en-GB"/>
        </w:rPr>
        <w:t>completed</w:t>
      </w:r>
      <w:r w:rsidRPr="00AA1EED">
        <w:rPr>
          <w:rFonts w:ascii="Times New Roman" w:hAnsi="Times New Roman" w:cs="Times New Roman"/>
          <w:noProof/>
          <w:sz w:val="24"/>
          <w:szCs w:val="24"/>
          <w:lang w:val="en-GB"/>
        </w:rPr>
        <w:t xml:space="preserve"> within the next 18 months to provid</w:t>
      </w:r>
      <w:r w:rsidR="00C27914" w:rsidRPr="00AA1EED">
        <w:rPr>
          <w:rFonts w:ascii="Times New Roman" w:hAnsi="Times New Roman" w:cs="Times New Roman"/>
          <w:noProof/>
          <w:sz w:val="24"/>
          <w:szCs w:val="24"/>
          <w:lang w:val="en-GB"/>
        </w:rPr>
        <w:t>e</w:t>
      </w:r>
      <w:r w:rsidRPr="00AA1EED">
        <w:rPr>
          <w:rFonts w:ascii="Times New Roman" w:hAnsi="Times New Roman" w:cs="Times New Roman"/>
          <w:noProof/>
          <w:sz w:val="24"/>
          <w:szCs w:val="24"/>
          <w:lang w:val="en-GB"/>
        </w:rPr>
        <w:t xml:space="preserve"> an adequate investment framework for grids.</w:t>
      </w:r>
      <w:r w:rsidR="00564E73" w:rsidRPr="00AA1EED">
        <w:rPr>
          <w:rFonts w:ascii="Times New Roman" w:hAnsi="Times New Roman" w:cs="Times New Roman"/>
          <w:noProof/>
          <w:sz w:val="24"/>
          <w:szCs w:val="24"/>
          <w:lang w:val="en-GB"/>
        </w:rPr>
        <w:t xml:space="preserve"> For example, reliable and </w:t>
      </w:r>
      <w:r w:rsidR="00C27914" w:rsidRPr="00AA1EED">
        <w:rPr>
          <w:rFonts w:ascii="Times New Roman" w:hAnsi="Times New Roman" w:cs="Times New Roman"/>
          <w:noProof/>
          <w:sz w:val="24"/>
          <w:szCs w:val="24"/>
          <w:lang w:val="en-GB"/>
        </w:rPr>
        <w:t>high</w:t>
      </w:r>
      <w:r w:rsidR="00944EA6" w:rsidRPr="00AA1EED">
        <w:rPr>
          <w:rFonts w:ascii="Times New Roman" w:hAnsi="Times New Roman" w:cs="Times New Roman"/>
          <w:noProof/>
          <w:sz w:val="24"/>
          <w:szCs w:val="24"/>
          <w:lang w:val="en-GB"/>
        </w:rPr>
        <w:t>-</w:t>
      </w:r>
      <w:r w:rsidR="00564E73" w:rsidRPr="00AA1EED">
        <w:rPr>
          <w:rFonts w:ascii="Times New Roman" w:hAnsi="Times New Roman" w:cs="Times New Roman"/>
          <w:noProof/>
          <w:sz w:val="24"/>
          <w:szCs w:val="24"/>
          <w:lang w:val="en-GB"/>
        </w:rPr>
        <w:t xml:space="preserve">quality network planning coupled with </w:t>
      </w:r>
      <w:r w:rsidR="00C27914" w:rsidRPr="00AA1EED">
        <w:rPr>
          <w:rFonts w:ascii="Times New Roman" w:hAnsi="Times New Roman" w:cs="Times New Roman"/>
          <w:noProof/>
          <w:sz w:val="24"/>
          <w:szCs w:val="24"/>
          <w:lang w:val="en-GB"/>
        </w:rPr>
        <w:t xml:space="preserve">an enabling framework for </w:t>
      </w:r>
      <w:r w:rsidR="00564E73" w:rsidRPr="00AA1EED">
        <w:rPr>
          <w:rFonts w:ascii="Times New Roman" w:hAnsi="Times New Roman" w:cs="Times New Roman"/>
          <w:noProof/>
          <w:sz w:val="24"/>
          <w:szCs w:val="24"/>
          <w:lang w:val="en-GB"/>
        </w:rPr>
        <w:t xml:space="preserve">anticipatory investments in areas with firm plans for renewable, electromobility or heat pump deployments, </w:t>
      </w:r>
      <w:r w:rsidR="00C27914" w:rsidRPr="00AA1EED">
        <w:rPr>
          <w:rFonts w:ascii="Times New Roman" w:hAnsi="Times New Roman" w:cs="Times New Roman"/>
          <w:noProof/>
          <w:sz w:val="24"/>
          <w:szCs w:val="24"/>
          <w:lang w:val="en-GB"/>
        </w:rPr>
        <w:t>together with</w:t>
      </w:r>
      <w:r w:rsidR="00564E73" w:rsidRPr="00AA1EED">
        <w:rPr>
          <w:rFonts w:ascii="Times New Roman" w:hAnsi="Times New Roman" w:cs="Times New Roman"/>
          <w:noProof/>
          <w:sz w:val="24"/>
          <w:szCs w:val="24"/>
          <w:lang w:val="en-GB"/>
        </w:rPr>
        <w:t xml:space="preserve"> streamlined permitting procedures</w:t>
      </w:r>
      <w:r w:rsidR="00F311D7" w:rsidRPr="00AA1EED">
        <w:rPr>
          <w:rFonts w:ascii="Times New Roman" w:hAnsi="Times New Roman" w:cs="Times New Roman"/>
          <w:noProof/>
          <w:sz w:val="24"/>
          <w:szCs w:val="24"/>
          <w:lang w:val="en-GB"/>
        </w:rPr>
        <w:t xml:space="preserve"> for those grid projects</w:t>
      </w:r>
      <w:r w:rsidR="00564E73" w:rsidRPr="00AA1EED">
        <w:rPr>
          <w:rFonts w:ascii="Times New Roman" w:hAnsi="Times New Roman" w:cs="Times New Roman"/>
          <w:noProof/>
          <w:sz w:val="24"/>
          <w:szCs w:val="24"/>
          <w:lang w:val="en-GB"/>
        </w:rPr>
        <w:t>, can substantially increase grid hosting capacities for new renewables and flexibility sources for the system.</w:t>
      </w:r>
    </w:p>
    <w:p w14:paraId="6BB86087" w14:textId="6E29A8BE" w:rsidR="0000153C" w:rsidRPr="00AA1EED" w:rsidRDefault="00C27914" w:rsidP="0081332B">
      <w:pPr>
        <w:pStyle w:val="Body"/>
        <w:spacing w:after="240" w:line="240" w:lineRule="auto"/>
        <w:jc w:val="both"/>
        <w:rPr>
          <w:rFonts w:ascii="Times New Roman" w:hAnsi="Times New Roman" w:cs="Times New Roman"/>
          <w:noProof/>
          <w:sz w:val="24"/>
          <w:szCs w:val="24"/>
          <w:lang w:val="en-GB"/>
        </w:rPr>
      </w:pPr>
      <w:r w:rsidRPr="00AA1EED">
        <w:rPr>
          <w:rFonts w:ascii="Times New Roman" w:hAnsi="Times New Roman" w:cs="Times New Roman"/>
          <w:noProof/>
          <w:sz w:val="24"/>
          <w:szCs w:val="24"/>
          <w:lang w:val="en-GB"/>
        </w:rPr>
        <w:t>While t</w:t>
      </w:r>
      <w:r w:rsidR="00564E73" w:rsidRPr="00AA1EED">
        <w:rPr>
          <w:rFonts w:ascii="Times New Roman" w:hAnsi="Times New Roman" w:cs="Times New Roman"/>
          <w:noProof/>
          <w:sz w:val="24"/>
          <w:szCs w:val="24"/>
          <w:lang w:val="en-GB"/>
        </w:rPr>
        <w:t xml:space="preserve">he actions </w:t>
      </w:r>
      <w:r w:rsidRPr="00AA1EED">
        <w:rPr>
          <w:rFonts w:ascii="Times New Roman" w:hAnsi="Times New Roman" w:cs="Times New Roman"/>
          <w:noProof/>
          <w:sz w:val="24"/>
          <w:szCs w:val="24"/>
          <w:lang w:val="en-GB"/>
        </w:rPr>
        <w:t xml:space="preserve">identified should be kicked off </w:t>
      </w:r>
      <w:r w:rsidR="00564E73" w:rsidRPr="00AA1EED">
        <w:rPr>
          <w:rFonts w:ascii="Times New Roman" w:hAnsi="Times New Roman" w:cs="Times New Roman"/>
          <w:noProof/>
          <w:sz w:val="24"/>
          <w:szCs w:val="24"/>
          <w:lang w:val="en-GB"/>
        </w:rPr>
        <w:t>in the proposed timeline</w:t>
      </w:r>
      <w:r w:rsidRPr="00AA1EED">
        <w:rPr>
          <w:rFonts w:ascii="Times New Roman" w:hAnsi="Times New Roman" w:cs="Times New Roman"/>
          <w:noProof/>
          <w:sz w:val="24"/>
          <w:szCs w:val="24"/>
          <w:lang w:val="en-GB"/>
        </w:rPr>
        <w:t xml:space="preserve"> by the respective organisations, they can</w:t>
      </w:r>
      <w:r w:rsidR="00564E73" w:rsidRPr="00AA1EED">
        <w:rPr>
          <w:rFonts w:ascii="Times New Roman" w:hAnsi="Times New Roman" w:cs="Times New Roman"/>
          <w:noProof/>
          <w:sz w:val="24"/>
          <w:szCs w:val="24"/>
          <w:lang w:val="en-GB"/>
        </w:rPr>
        <w:t xml:space="preserve"> only </w:t>
      </w:r>
      <w:r w:rsidRPr="00AA1EED">
        <w:rPr>
          <w:rFonts w:ascii="Times New Roman" w:hAnsi="Times New Roman" w:cs="Times New Roman"/>
          <w:noProof/>
          <w:sz w:val="24"/>
          <w:szCs w:val="24"/>
          <w:lang w:val="en-GB"/>
        </w:rPr>
        <w:t xml:space="preserve">produce their full effect through a strong and long-term commitment </w:t>
      </w:r>
      <w:r w:rsidR="00564E73" w:rsidRPr="00AA1EED">
        <w:rPr>
          <w:rFonts w:ascii="Times New Roman" w:hAnsi="Times New Roman" w:cs="Times New Roman"/>
          <w:noProof/>
          <w:sz w:val="24"/>
          <w:szCs w:val="24"/>
          <w:lang w:val="en-GB"/>
        </w:rPr>
        <w:t>of all relevant actors, public and private</w:t>
      </w:r>
      <w:r w:rsidRPr="00AA1EED">
        <w:rPr>
          <w:rFonts w:ascii="Times New Roman" w:hAnsi="Times New Roman" w:cs="Times New Roman"/>
          <w:noProof/>
          <w:sz w:val="24"/>
          <w:szCs w:val="24"/>
          <w:lang w:val="en-GB"/>
        </w:rPr>
        <w:t>, to collaborate on their implementation</w:t>
      </w:r>
      <w:r w:rsidR="00564E73" w:rsidRPr="00AA1EED">
        <w:rPr>
          <w:rFonts w:ascii="Times New Roman" w:hAnsi="Times New Roman" w:cs="Times New Roman"/>
          <w:noProof/>
          <w:sz w:val="24"/>
          <w:szCs w:val="24"/>
          <w:lang w:val="en-GB"/>
        </w:rPr>
        <w:t xml:space="preserve">. </w:t>
      </w:r>
      <w:r w:rsidR="008245E0" w:rsidRPr="00377522">
        <w:rPr>
          <w:rFonts w:ascii="Times New Roman" w:hAnsi="Times New Roman"/>
          <w:noProof/>
          <w:sz w:val="24"/>
          <w:lang w:val="en-GB"/>
        </w:rPr>
        <w:t>Only by working together will</w:t>
      </w:r>
      <w:r w:rsidR="00D966A0" w:rsidRPr="00377522">
        <w:rPr>
          <w:rFonts w:ascii="Times New Roman" w:hAnsi="Times New Roman"/>
          <w:noProof/>
          <w:sz w:val="24"/>
          <w:lang w:val="en-GB"/>
        </w:rPr>
        <w:t xml:space="preserve"> it</w:t>
      </w:r>
      <w:r w:rsidR="008245E0" w:rsidRPr="00377522">
        <w:rPr>
          <w:rFonts w:ascii="Times New Roman" w:hAnsi="Times New Roman"/>
          <w:noProof/>
          <w:sz w:val="24"/>
          <w:lang w:val="en-GB"/>
        </w:rPr>
        <w:t xml:space="preserve"> be possible to</w:t>
      </w:r>
      <w:r w:rsidR="0000153C" w:rsidRPr="00377522">
        <w:rPr>
          <w:rFonts w:ascii="Times New Roman" w:hAnsi="Times New Roman"/>
          <w:noProof/>
          <w:sz w:val="24"/>
          <w:lang w:val="en-GB"/>
        </w:rPr>
        <w:t xml:space="preserve"> keep the momentum </w:t>
      </w:r>
      <w:r w:rsidR="00D966A0" w:rsidRPr="00377522">
        <w:rPr>
          <w:rFonts w:ascii="Times New Roman" w:hAnsi="Times New Roman"/>
          <w:noProof/>
          <w:sz w:val="24"/>
          <w:lang w:val="en-GB"/>
        </w:rPr>
        <w:t>make</w:t>
      </w:r>
      <w:r w:rsidR="008245E0" w:rsidRPr="00377522">
        <w:rPr>
          <w:rFonts w:ascii="Times New Roman" w:hAnsi="Times New Roman"/>
          <w:noProof/>
          <w:sz w:val="24"/>
          <w:lang w:val="en-GB"/>
        </w:rPr>
        <w:t xml:space="preserve"> our grids fit </w:t>
      </w:r>
      <w:r w:rsidR="005B2560" w:rsidRPr="00377522">
        <w:rPr>
          <w:rFonts w:ascii="Times New Roman" w:hAnsi="Times New Roman"/>
          <w:noProof/>
          <w:sz w:val="24"/>
          <w:lang w:val="en-GB"/>
        </w:rPr>
        <w:t>for</w:t>
      </w:r>
      <w:r w:rsidR="008245E0" w:rsidRPr="00377522">
        <w:rPr>
          <w:rFonts w:ascii="Times New Roman" w:hAnsi="Times New Roman"/>
          <w:noProof/>
          <w:sz w:val="24"/>
          <w:lang w:val="en-GB"/>
        </w:rPr>
        <w:t xml:space="preserve"> the challenge</w:t>
      </w:r>
      <w:r w:rsidR="008245E0" w:rsidRPr="00AA1EED">
        <w:rPr>
          <w:rFonts w:ascii="Times New Roman" w:hAnsi="Times New Roman" w:cs="Times New Roman"/>
          <w:noProof/>
          <w:sz w:val="24"/>
          <w:szCs w:val="24"/>
          <w:lang w:val="en-GB"/>
        </w:rPr>
        <w:t>.</w:t>
      </w:r>
    </w:p>
    <w:p w14:paraId="6DE23D92" w14:textId="03AE4D4B" w:rsidR="0044333C" w:rsidRPr="00377522" w:rsidRDefault="0000153C" w:rsidP="0081332B">
      <w:pPr>
        <w:pStyle w:val="Body"/>
        <w:spacing w:after="240" w:line="240" w:lineRule="auto"/>
        <w:jc w:val="both"/>
        <w:rPr>
          <w:noProof/>
          <w:lang w:val="en-GB"/>
        </w:rPr>
      </w:pPr>
      <w:r w:rsidRPr="00AA1EED">
        <w:rPr>
          <w:rFonts w:ascii="Times New Roman" w:hAnsi="Times New Roman" w:cs="Times New Roman"/>
          <w:noProof/>
          <w:sz w:val="24"/>
          <w:szCs w:val="24"/>
          <w:lang w:val="en-GB"/>
        </w:rPr>
        <w:t>For this reason, t</w:t>
      </w:r>
      <w:r w:rsidR="00107B5B" w:rsidRPr="00AA1EED">
        <w:rPr>
          <w:rFonts w:ascii="Times New Roman" w:hAnsi="Times New Roman"/>
          <w:noProof/>
          <w:sz w:val="24"/>
          <w:szCs w:val="24"/>
          <w:lang w:val="en-GB"/>
        </w:rPr>
        <w:t>he Commission</w:t>
      </w:r>
      <w:r w:rsidRPr="00AA1EED">
        <w:rPr>
          <w:rFonts w:ascii="Times New Roman" w:hAnsi="Times New Roman"/>
          <w:noProof/>
          <w:sz w:val="24"/>
          <w:szCs w:val="24"/>
          <w:lang w:val="en-GB"/>
        </w:rPr>
        <w:t xml:space="preserve"> will set up within the Copenhagen Energy Infrastructure Forum a dedicated platform</w:t>
      </w:r>
      <w:r w:rsidR="00107B5B" w:rsidRPr="00AA1EED">
        <w:rPr>
          <w:rFonts w:ascii="Times New Roman" w:hAnsi="Times New Roman"/>
          <w:noProof/>
          <w:sz w:val="24"/>
          <w:szCs w:val="24"/>
          <w:lang w:val="en-GB"/>
        </w:rPr>
        <w:t>, in collaboration with</w:t>
      </w:r>
      <w:r w:rsidR="00AA7E57" w:rsidRPr="00AA1EED">
        <w:rPr>
          <w:rFonts w:ascii="Times New Roman" w:hAnsi="Times New Roman"/>
          <w:noProof/>
          <w:sz w:val="24"/>
          <w:szCs w:val="24"/>
          <w:lang w:val="en-GB"/>
        </w:rPr>
        <w:t xml:space="preserve"> Member States,</w:t>
      </w:r>
      <w:r w:rsidR="00107B5B" w:rsidRPr="00AA1EED">
        <w:rPr>
          <w:rFonts w:ascii="Times New Roman" w:hAnsi="Times New Roman"/>
          <w:noProof/>
          <w:sz w:val="24"/>
          <w:szCs w:val="24"/>
          <w:lang w:val="en-GB"/>
        </w:rPr>
        <w:t xml:space="preserve"> </w:t>
      </w:r>
      <w:r w:rsidR="00671ADE" w:rsidRPr="00AA1EED">
        <w:rPr>
          <w:rFonts w:ascii="Times New Roman" w:hAnsi="Times New Roman"/>
          <w:noProof/>
          <w:sz w:val="24"/>
          <w:szCs w:val="24"/>
          <w:lang w:val="en-GB"/>
        </w:rPr>
        <w:t xml:space="preserve">ACER, </w:t>
      </w:r>
      <w:r w:rsidR="00107B5B" w:rsidRPr="00AA1EED">
        <w:rPr>
          <w:rFonts w:ascii="Times New Roman" w:hAnsi="Times New Roman"/>
          <w:noProof/>
          <w:sz w:val="24"/>
          <w:szCs w:val="24"/>
          <w:lang w:val="en-GB"/>
        </w:rPr>
        <w:t>ENTSO-E and the EU DSO Entity, EIB, manufacturers and NGOs</w:t>
      </w:r>
      <w:r w:rsidRPr="00AA1EED">
        <w:rPr>
          <w:rFonts w:ascii="Times New Roman" w:hAnsi="Times New Roman"/>
          <w:noProof/>
          <w:sz w:val="24"/>
          <w:szCs w:val="24"/>
          <w:lang w:val="en-GB"/>
        </w:rPr>
        <w:t>, to regularly</w:t>
      </w:r>
      <w:r w:rsidR="00107B5B" w:rsidRPr="00AA1EED">
        <w:rPr>
          <w:rFonts w:ascii="Times New Roman" w:hAnsi="Times New Roman"/>
          <w:noProof/>
          <w:sz w:val="24"/>
          <w:szCs w:val="24"/>
          <w:lang w:val="en-GB"/>
        </w:rPr>
        <w:t xml:space="preserve"> monitor the progress and report at t</w:t>
      </w:r>
      <w:r w:rsidR="00147117" w:rsidRPr="00AA1EED">
        <w:rPr>
          <w:rFonts w:ascii="Times New Roman" w:hAnsi="Times New Roman" w:cs="Times New Roman"/>
          <w:noProof/>
          <w:sz w:val="24"/>
          <w:szCs w:val="24"/>
          <w:lang w:val="en-GB"/>
        </w:rPr>
        <w:t xml:space="preserve">he </w:t>
      </w:r>
      <w:r w:rsidRPr="00AA1EED">
        <w:rPr>
          <w:rFonts w:ascii="Times New Roman" w:hAnsi="Times New Roman" w:cs="Times New Roman"/>
          <w:noProof/>
          <w:sz w:val="24"/>
          <w:szCs w:val="24"/>
          <w:lang w:val="en-GB"/>
        </w:rPr>
        <w:t xml:space="preserve">annual meeting of the </w:t>
      </w:r>
      <w:r w:rsidR="00147117" w:rsidRPr="00AA1EED">
        <w:rPr>
          <w:rFonts w:ascii="Times New Roman" w:hAnsi="Times New Roman" w:cs="Times New Roman"/>
          <w:noProof/>
          <w:sz w:val="24"/>
          <w:szCs w:val="24"/>
          <w:lang w:val="en-GB"/>
        </w:rPr>
        <w:t xml:space="preserve">Forum </w:t>
      </w:r>
      <w:r w:rsidRPr="00AA1EED">
        <w:rPr>
          <w:rFonts w:ascii="Times New Roman" w:hAnsi="Times New Roman" w:cs="Times New Roman"/>
          <w:noProof/>
          <w:sz w:val="24"/>
          <w:szCs w:val="24"/>
          <w:lang w:val="en-GB"/>
        </w:rPr>
        <w:t>on</w:t>
      </w:r>
      <w:r w:rsidR="00107B5B" w:rsidRPr="00AA1EED">
        <w:rPr>
          <w:rFonts w:ascii="Times New Roman" w:hAnsi="Times New Roman" w:cs="Times New Roman"/>
          <w:noProof/>
          <w:sz w:val="24"/>
          <w:szCs w:val="24"/>
          <w:lang w:val="en-GB"/>
        </w:rPr>
        <w:t xml:space="preserve"> delivery</w:t>
      </w:r>
      <w:r w:rsidR="00147117" w:rsidRPr="00AA1EED">
        <w:rPr>
          <w:rFonts w:ascii="Times New Roman" w:hAnsi="Times New Roman" w:cs="Times New Roman"/>
          <w:noProof/>
          <w:sz w:val="24"/>
          <w:szCs w:val="24"/>
          <w:lang w:val="en-GB"/>
        </w:rPr>
        <w:t xml:space="preserve"> of this action plan. </w:t>
      </w:r>
    </w:p>
    <w:p w14:paraId="5032964E" w14:textId="77777777" w:rsidR="009A3860" w:rsidRPr="00AA1EED" w:rsidRDefault="009A3860">
      <w:pPr>
        <w:rPr>
          <w:rFonts w:cs="Arial Unicode MS"/>
          <w:b/>
          <w:bCs/>
          <w:noProof/>
          <w:color w:val="000000"/>
          <w:u w:color="000000"/>
          <w:lang w:val="en-GB" w:eastAsia="en-IE"/>
        </w:rPr>
      </w:pPr>
      <w:r w:rsidRPr="00AA1EED">
        <w:rPr>
          <w:b/>
          <w:bCs/>
          <w:noProof/>
          <w:lang w:val="en-GB"/>
        </w:rPr>
        <w:br w:type="page"/>
      </w:r>
    </w:p>
    <w:p w14:paraId="009DB2A6" w14:textId="70A39FB3" w:rsidR="00766D5D" w:rsidRPr="00AA1EED" w:rsidRDefault="00147117">
      <w:pPr>
        <w:pStyle w:val="BodyA"/>
        <w:spacing w:after="200" w:line="276" w:lineRule="auto"/>
        <w:jc w:val="left"/>
        <w:rPr>
          <w:b/>
          <w:bCs/>
          <w:noProof/>
          <w:lang w:val="en-GB"/>
        </w:rPr>
      </w:pPr>
      <w:r w:rsidRPr="00AA1EED">
        <w:rPr>
          <w:b/>
          <w:bCs/>
          <w:noProof/>
          <w:lang w:val="en-GB"/>
        </w:rPr>
        <w:t>ANNEX I – THE EUROPEAN GRID ACTION PLAN IN A NUTSHELL</w:t>
      </w:r>
    </w:p>
    <w:tbl>
      <w:tblPr>
        <w:tblStyle w:val="TableGrid"/>
        <w:tblW w:w="0" w:type="auto"/>
        <w:tblLook w:val="04A0" w:firstRow="1" w:lastRow="0" w:firstColumn="1" w:lastColumn="0" w:noHBand="0" w:noVBand="1"/>
      </w:tblPr>
      <w:tblGrid>
        <w:gridCol w:w="2122"/>
        <w:gridCol w:w="5641"/>
        <w:gridCol w:w="1473"/>
      </w:tblGrid>
      <w:tr w:rsidR="00431FCB" w:rsidRPr="00377522" w14:paraId="0C8C8263" w14:textId="77777777" w:rsidTr="00685859">
        <w:tc>
          <w:tcPr>
            <w:tcW w:w="2122" w:type="dxa"/>
            <w:shd w:val="clear" w:color="auto" w:fill="4472C4" w:themeFill="accent1"/>
            <w:vAlign w:val="center"/>
          </w:tcPr>
          <w:p w14:paraId="3214FD31" w14:textId="4F69D1C7" w:rsidR="00431FCB" w:rsidRPr="00AA1EED" w:rsidRDefault="00944534"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200" w:after="200"/>
              <w:jc w:val="center"/>
              <w:rPr>
                <w:rFonts w:cs="Times New Roman"/>
                <w:b/>
                <w:bCs/>
                <w:noProof/>
                <w:color w:val="FFFFFF" w:themeColor="background1"/>
                <w:sz w:val="20"/>
                <w:szCs w:val="20"/>
                <w:lang w:val="en-GB"/>
              </w:rPr>
            </w:pPr>
            <w:r w:rsidRPr="00AA1EED">
              <w:rPr>
                <w:rFonts w:cs="Times New Roman"/>
                <w:b/>
                <w:bCs/>
                <w:noProof/>
                <w:color w:val="FFFFFF" w:themeColor="background1"/>
                <w:sz w:val="20"/>
                <w:szCs w:val="20"/>
                <w:lang w:val="en-GB"/>
              </w:rPr>
              <w:t>CATEGORY</w:t>
            </w:r>
          </w:p>
        </w:tc>
        <w:tc>
          <w:tcPr>
            <w:tcW w:w="5641" w:type="dxa"/>
            <w:shd w:val="clear" w:color="auto" w:fill="4472C4" w:themeFill="accent1"/>
            <w:vAlign w:val="center"/>
          </w:tcPr>
          <w:p w14:paraId="6A420B0D" w14:textId="68119CF1" w:rsidR="00431FCB" w:rsidRPr="00AA1EED" w:rsidRDefault="00944534"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200" w:after="200"/>
              <w:jc w:val="center"/>
              <w:rPr>
                <w:rFonts w:cs="Times New Roman"/>
                <w:b/>
                <w:bCs/>
                <w:noProof/>
                <w:color w:val="FFFFFF" w:themeColor="background1"/>
                <w:sz w:val="20"/>
                <w:szCs w:val="20"/>
                <w:lang w:val="en-GB"/>
              </w:rPr>
            </w:pPr>
            <w:r w:rsidRPr="00AA1EED">
              <w:rPr>
                <w:rFonts w:cs="Times New Roman"/>
                <w:b/>
                <w:bCs/>
                <w:noProof/>
                <w:color w:val="FFFFFF" w:themeColor="background1"/>
                <w:sz w:val="20"/>
                <w:szCs w:val="20"/>
                <w:lang w:val="en-GB"/>
              </w:rPr>
              <w:t>ACTIONS</w:t>
            </w:r>
          </w:p>
        </w:tc>
        <w:tc>
          <w:tcPr>
            <w:tcW w:w="1473" w:type="dxa"/>
            <w:shd w:val="clear" w:color="auto" w:fill="4472C4" w:themeFill="accent1"/>
            <w:vAlign w:val="center"/>
          </w:tcPr>
          <w:p w14:paraId="02AEF227" w14:textId="295E6881" w:rsidR="00431FCB" w:rsidRPr="00AA1EED" w:rsidRDefault="00944534"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200" w:after="200"/>
              <w:jc w:val="center"/>
              <w:rPr>
                <w:rFonts w:cs="Times New Roman"/>
                <w:b/>
                <w:bCs/>
                <w:noProof/>
                <w:color w:val="FFFFFF" w:themeColor="background1"/>
                <w:sz w:val="20"/>
                <w:szCs w:val="20"/>
                <w:lang w:val="en-GB"/>
              </w:rPr>
            </w:pPr>
            <w:r w:rsidRPr="00AA1EED">
              <w:rPr>
                <w:rFonts w:cs="Times New Roman"/>
                <w:b/>
                <w:bCs/>
                <w:noProof/>
                <w:color w:val="FFFFFF" w:themeColor="background1"/>
                <w:sz w:val="20"/>
                <w:szCs w:val="20"/>
                <w:lang w:val="en-GB"/>
              </w:rPr>
              <w:t>TIMELINE</w:t>
            </w:r>
          </w:p>
        </w:tc>
      </w:tr>
      <w:tr w:rsidR="00431FCB" w:rsidRPr="00377522" w14:paraId="78ECF156" w14:textId="77777777" w:rsidTr="00685859">
        <w:tc>
          <w:tcPr>
            <w:tcW w:w="2122" w:type="dxa"/>
            <w:vAlign w:val="center"/>
          </w:tcPr>
          <w:p w14:paraId="0572B6A2" w14:textId="63C05B88" w:rsidR="00431FCB" w:rsidRPr="00AA1EED" w:rsidRDefault="00671ADE"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lang w:val="en-GB"/>
              </w:rPr>
            </w:pPr>
            <w:r w:rsidRPr="00AA1EED">
              <w:rPr>
                <w:rFonts w:cs="Times New Roman"/>
                <w:b/>
                <w:bCs/>
                <w:noProof/>
                <w:color w:val="auto"/>
                <w:sz w:val="20"/>
                <w:szCs w:val="20"/>
                <w:lang w:val="en-GB"/>
              </w:rPr>
              <w:t xml:space="preserve">Accelerating </w:t>
            </w:r>
            <w:r w:rsidR="00431FCB" w:rsidRPr="00AA1EED">
              <w:rPr>
                <w:rFonts w:cs="Times New Roman"/>
                <w:b/>
                <w:bCs/>
                <w:noProof/>
                <w:color w:val="auto"/>
                <w:sz w:val="20"/>
                <w:szCs w:val="20"/>
                <w:lang w:val="en-GB"/>
              </w:rPr>
              <w:t xml:space="preserve">the </w:t>
            </w:r>
            <w:r w:rsidRPr="00AA1EED">
              <w:rPr>
                <w:rFonts w:cs="Times New Roman"/>
                <w:b/>
                <w:bCs/>
                <w:noProof/>
                <w:color w:val="auto"/>
                <w:sz w:val="20"/>
                <w:szCs w:val="20"/>
                <w:lang w:val="en-GB"/>
              </w:rPr>
              <w:t xml:space="preserve">implementation of PCIs and </w:t>
            </w:r>
            <w:r w:rsidR="00431FCB" w:rsidRPr="00AA1EED">
              <w:rPr>
                <w:rFonts w:cs="Times New Roman"/>
                <w:b/>
                <w:bCs/>
                <w:noProof/>
                <w:color w:val="auto"/>
                <w:sz w:val="20"/>
                <w:szCs w:val="20"/>
                <w:lang w:val="en-GB"/>
              </w:rPr>
              <w:t>develop</w:t>
            </w:r>
            <w:r w:rsidRPr="00AA1EED">
              <w:rPr>
                <w:rFonts w:cs="Times New Roman"/>
                <w:b/>
                <w:bCs/>
                <w:noProof/>
                <w:color w:val="auto"/>
                <w:sz w:val="20"/>
                <w:szCs w:val="20"/>
                <w:lang w:val="en-GB"/>
              </w:rPr>
              <w:t>ing new projects</w:t>
            </w:r>
            <w:r w:rsidR="00E93F63" w:rsidRPr="00AA1EED">
              <w:rPr>
                <w:rFonts w:cs="Times New Roman"/>
                <w:b/>
                <w:bCs/>
                <w:noProof/>
                <w:color w:val="auto"/>
                <w:sz w:val="20"/>
                <w:szCs w:val="20"/>
                <w:lang w:val="en-GB"/>
              </w:rPr>
              <w:t xml:space="preserve"> </w:t>
            </w:r>
          </w:p>
        </w:tc>
        <w:tc>
          <w:tcPr>
            <w:tcW w:w="5641" w:type="dxa"/>
            <w:vAlign w:val="center"/>
          </w:tcPr>
          <w:p w14:paraId="1CD524D5" w14:textId="0D151487" w:rsidR="00431FCB" w:rsidRPr="00D361B6"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lang w:val="en-GB"/>
              </w:rPr>
            </w:pPr>
            <w:r w:rsidRPr="00D361B6">
              <w:rPr>
                <w:rFonts w:cs="Times New Roman"/>
                <w:noProof/>
                <w:sz w:val="20"/>
                <w:szCs w:val="20"/>
                <w:lang w:val="en-GB"/>
              </w:rPr>
              <w:t xml:space="preserve">Commission, Member States and TSOs to strengthen support </w:t>
            </w:r>
            <w:r w:rsidR="00AA1EED" w:rsidRPr="00D361B6">
              <w:rPr>
                <w:rFonts w:cs="Times New Roman"/>
                <w:noProof/>
                <w:sz w:val="20"/>
                <w:szCs w:val="20"/>
                <w:lang w:val="en-GB"/>
              </w:rPr>
              <w:t>to</w:t>
            </w:r>
            <w:r w:rsidRPr="00D361B6">
              <w:rPr>
                <w:rFonts w:cs="Times New Roman"/>
                <w:noProof/>
                <w:sz w:val="20"/>
                <w:szCs w:val="20"/>
                <w:lang w:val="en-GB"/>
              </w:rPr>
              <w:t xml:space="preserve"> PCI a</w:t>
            </w:r>
            <w:r w:rsidRPr="00D361B6">
              <w:rPr>
                <w:noProof/>
                <w:sz w:val="20"/>
                <w:szCs w:val="20"/>
                <w:lang w:val="en-GB"/>
              </w:rPr>
              <w:t xml:space="preserve">nd PMI </w:t>
            </w:r>
            <w:r w:rsidRPr="00D361B6">
              <w:rPr>
                <w:rFonts w:cs="Times New Roman"/>
                <w:noProof/>
                <w:sz w:val="20"/>
                <w:szCs w:val="20"/>
                <w:lang w:val="en-GB"/>
              </w:rPr>
              <w:t xml:space="preserve">preparation, faster implementation </w:t>
            </w:r>
            <w:r w:rsidR="00AA1EED" w:rsidRPr="00D361B6">
              <w:rPr>
                <w:rFonts w:cs="Times New Roman"/>
                <w:noProof/>
                <w:sz w:val="20"/>
                <w:szCs w:val="20"/>
                <w:lang w:val="en-GB"/>
              </w:rPr>
              <w:t>and funding</w:t>
            </w:r>
          </w:p>
        </w:tc>
        <w:tc>
          <w:tcPr>
            <w:tcW w:w="1473" w:type="dxa"/>
            <w:vAlign w:val="center"/>
          </w:tcPr>
          <w:p w14:paraId="37F2CE9B" w14:textId="0BF50D0A" w:rsidR="00431FCB" w:rsidRPr="00AA1EED"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lang w:val="en-GB"/>
              </w:rPr>
            </w:pPr>
            <w:r w:rsidRPr="00AA1EED">
              <w:rPr>
                <w:rFonts w:cs="Times New Roman"/>
                <w:b/>
                <w:bCs/>
                <w:noProof/>
                <w:color w:val="auto"/>
                <w:sz w:val="20"/>
                <w:szCs w:val="20"/>
                <w:lang w:val="en-GB"/>
              </w:rPr>
              <w:t>From 2024</w:t>
            </w:r>
          </w:p>
        </w:tc>
      </w:tr>
      <w:tr w:rsidR="00431FCB" w:rsidRPr="00377522" w14:paraId="6C925913" w14:textId="77777777" w:rsidTr="00685859">
        <w:tc>
          <w:tcPr>
            <w:tcW w:w="2122" w:type="dxa"/>
            <w:vMerge w:val="restart"/>
            <w:vAlign w:val="center"/>
          </w:tcPr>
          <w:p w14:paraId="34F37910" w14:textId="18F5BE6D" w:rsidR="00431FCB" w:rsidRPr="00AA1EED"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lang w:val="en-GB"/>
              </w:rPr>
            </w:pPr>
            <w:r w:rsidRPr="00AA1EED">
              <w:rPr>
                <w:rFonts w:cs="Times New Roman"/>
                <w:b/>
                <w:bCs/>
                <w:noProof/>
                <w:color w:val="auto"/>
                <w:sz w:val="20"/>
                <w:szCs w:val="20"/>
                <w:lang w:val="en-GB"/>
              </w:rPr>
              <w:t xml:space="preserve">Improving long-term grid planning for </w:t>
            </w:r>
            <w:r w:rsidR="00A3163E" w:rsidRPr="00AA1EED">
              <w:rPr>
                <w:rFonts w:cs="Times New Roman"/>
                <w:b/>
                <w:bCs/>
                <w:noProof/>
                <w:color w:val="auto"/>
                <w:sz w:val="20"/>
                <w:szCs w:val="20"/>
                <w:lang w:val="en-GB"/>
              </w:rPr>
              <w:t>a higher share of</w:t>
            </w:r>
            <w:r w:rsidRPr="00AA1EED">
              <w:rPr>
                <w:rFonts w:cs="Times New Roman"/>
                <w:b/>
                <w:bCs/>
                <w:noProof/>
                <w:color w:val="auto"/>
                <w:sz w:val="20"/>
                <w:szCs w:val="20"/>
                <w:lang w:val="en-GB"/>
              </w:rPr>
              <w:t xml:space="preserve"> renewables and </w:t>
            </w:r>
            <w:r w:rsidR="00A3163E" w:rsidRPr="00AA1EED">
              <w:rPr>
                <w:rFonts w:cs="Times New Roman"/>
                <w:b/>
                <w:bCs/>
                <w:noProof/>
                <w:color w:val="auto"/>
                <w:sz w:val="20"/>
                <w:szCs w:val="20"/>
                <w:lang w:val="en-GB"/>
              </w:rPr>
              <w:t xml:space="preserve">increased </w:t>
            </w:r>
            <w:r w:rsidRPr="00AA1EED">
              <w:rPr>
                <w:rFonts w:cs="Times New Roman"/>
                <w:b/>
                <w:bCs/>
                <w:noProof/>
                <w:color w:val="auto"/>
                <w:sz w:val="20"/>
                <w:szCs w:val="20"/>
                <w:lang w:val="en-GB"/>
              </w:rPr>
              <w:t>electrifi</w:t>
            </w:r>
            <w:r w:rsidR="00A3163E" w:rsidRPr="00AA1EED">
              <w:rPr>
                <w:rFonts w:cs="Times New Roman"/>
                <w:b/>
                <w:bCs/>
                <w:noProof/>
                <w:color w:val="auto"/>
                <w:sz w:val="20"/>
                <w:szCs w:val="20"/>
                <w:lang w:val="en-GB"/>
              </w:rPr>
              <w:t>cation</w:t>
            </w:r>
          </w:p>
        </w:tc>
        <w:tc>
          <w:tcPr>
            <w:tcW w:w="5641" w:type="dxa"/>
            <w:tcBorders>
              <w:bottom w:val="nil"/>
            </w:tcBorders>
            <w:vAlign w:val="center"/>
          </w:tcPr>
          <w:p w14:paraId="7B78285C" w14:textId="26970D94" w:rsidR="00431FCB" w:rsidRPr="00D361B6"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lang w:val="en-GB"/>
              </w:rPr>
            </w:pPr>
            <w:r w:rsidRPr="00D361B6">
              <w:rPr>
                <w:rFonts w:cs="Times New Roman"/>
                <w:noProof/>
                <w:sz w:val="20"/>
                <w:szCs w:val="20"/>
                <w:lang w:val="en-GB"/>
              </w:rPr>
              <w:t xml:space="preserve">ENTSO-E to enhance top-down planning towards 2050 by integrating the identification of offshore and onshore system needs and further considering hydrogen </w:t>
            </w:r>
          </w:p>
        </w:tc>
        <w:tc>
          <w:tcPr>
            <w:tcW w:w="1473" w:type="dxa"/>
            <w:tcBorders>
              <w:bottom w:val="nil"/>
            </w:tcBorders>
            <w:vAlign w:val="center"/>
          </w:tcPr>
          <w:p w14:paraId="4BB1518D" w14:textId="5DAA95E3" w:rsidR="00431FCB" w:rsidRPr="00AA1EED"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lang w:val="en-GB"/>
              </w:rPr>
            </w:pPr>
            <w:r w:rsidRPr="00AA1EED">
              <w:rPr>
                <w:rFonts w:cs="Times New Roman"/>
                <w:b/>
                <w:bCs/>
                <w:noProof/>
                <w:color w:val="auto"/>
                <w:sz w:val="20"/>
                <w:szCs w:val="20"/>
                <w:lang w:val="en-GB"/>
              </w:rPr>
              <w:t>From Q1</w:t>
            </w:r>
            <w:r w:rsidR="00087B61">
              <w:rPr>
                <w:rFonts w:cs="Times New Roman"/>
                <w:b/>
                <w:bCs/>
                <w:noProof/>
                <w:color w:val="auto"/>
                <w:sz w:val="20"/>
                <w:szCs w:val="20"/>
                <w:lang w:val="en-GB"/>
              </w:rPr>
              <w:t xml:space="preserve"> </w:t>
            </w:r>
            <w:r w:rsidRPr="00AA1EED">
              <w:rPr>
                <w:rFonts w:cs="Times New Roman"/>
                <w:b/>
                <w:bCs/>
                <w:noProof/>
                <w:color w:val="auto"/>
                <w:sz w:val="20"/>
                <w:szCs w:val="20"/>
                <w:lang w:val="en-GB"/>
              </w:rPr>
              <w:t>2024</w:t>
            </w:r>
          </w:p>
        </w:tc>
      </w:tr>
      <w:tr w:rsidR="00431FCB" w:rsidRPr="00377522" w14:paraId="649E45E4" w14:textId="77777777" w:rsidTr="00685859">
        <w:tc>
          <w:tcPr>
            <w:tcW w:w="2122" w:type="dxa"/>
            <w:vMerge/>
            <w:vAlign w:val="center"/>
          </w:tcPr>
          <w:p w14:paraId="45701959" w14:textId="77777777" w:rsidR="00431FCB" w:rsidRPr="00AA1EED"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lang w:val="en-GB"/>
              </w:rPr>
            </w:pPr>
          </w:p>
        </w:tc>
        <w:tc>
          <w:tcPr>
            <w:tcW w:w="5641" w:type="dxa"/>
            <w:tcBorders>
              <w:top w:val="nil"/>
            </w:tcBorders>
            <w:vAlign w:val="center"/>
          </w:tcPr>
          <w:p w14:paraId="78895773" w14:textId="2985FC74" w:rsidR="00431FCB" w:rsidRPr="00D361B6" w:rsidRDefault="00431FCB"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lang w:val="en-GB"/>
              </w:rPr>
            </w:pPr>
            <w:r w:rsidRPr="00D361B6">
              <w:rPr>
                <w:rFonts w:cs="Times New Roman"/>
                <w:noProof/>
                <w:color w:val="auto"/>
                <w:sz w:val="20"/>
                <w:szCs w:val="20"/>
                <w:lang w:val="en-GB"/>
              </w:rPr>
              <w:t>EU DSO Entity to support DSO grid planning by mapping the existence and characteristics of distribution development plans</w:t>
            </w:r>
          </w:p>
        </w:tc>
        <w:tc>
          <w:tcPr>
            <w:tcW w:w="1473" w:type="dxa"/>
            <w:tcBorders>
              <w:top w:val="nil"/>
            </w:tcBorders>
            <w:vAlign w:val="center"/>
          </w:tcPr>
          <w:p w14:paraId="47ECDB1A" w14:textId="7955E6C6" w:rsidR="00431FCB" w:rsidRPr="00AA1EED"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lang w:val="en-GB"/>
              </w:rPr>
            </w:pPr>
            <w:r w:rsidRPr="00AA1EED">
              <w:rPr>
                <w:rFonts w:cs="Times New Roman"/>
                <w:b/>
                <w:bCs/>
                <w:noProof/>
                <w:color w:val="auto"/>
                <w:sz w:val="20"/>
                <w:szCs w:val="20"/>
                <w:lang w:val="en-GB"/>
              </w:rPr>
              <w:t>Mid-2024</w:t>
            </w:r>
          </w:p>
        </w:tc>
      </w:tr>
      <w:tr w:rsidR="00431FCB" w:rsidRPr="00377522" w14:paraId="56535DF8" w14:textId="77777777" w:rsidTr="00685859">
        <w:tc>
          <w:tcPr>
            <w:tcW w:w="2122" w:type="dxa"/>
            <w:vMerge w:val="restart"/>
            <w:vAlign w:val="center"/>
          </w:tcPr>
          <w:p w14:paraId="26EC26AD" w14:textId="3956DA01" w:rsidR="00431FCB" w:rsidRPr="00AA1EED"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lang w:val="en-GB"/>
              </w:rPr>
            </w:pPr>
            <w:r w:rsidRPr="00AA1EED">
              <w:rPr>
                <w:rFonts w:cs="Times New Roman"/>
                <w:b/>
                <w:bCs/>
                <w:noProof/>
                <w:color w:val="auto"/>
                <w:sz w:val="20"/>
                <w:szCs w:val="20"/>
                <w:lang w:val="en-GB"/>
              </w:rPr>
              <w:t>Introducing regulatory incentives for forward-looking grid build</w:t>
            </w:r>
            <w:r w:rsidR="00977F72">
              <w:rPr>
                <w:rFonts w:cs="Times New Roman"/>
                <w:b/>
                <w:bCs/>
                <w:noProof/>
                <w:color w:val="auto"/>
                <w:sz w:val="20"/>
                <w:szCs w:val="20"/>
                <w:lang w:val="en-GB"/>
              </w:rPr>
              <w:t>-</w:t>
            </w:r>
            <w:r w:rsidRPr="00AA1EED">
              <w:rPr>
                <w:rFonts w:cs="Times New Roman"/>
                <w:b/>
                <w:bCs/>
                <w:noProof/>
                <w:color w:val="auto"/>
                <w:sz w:val="20"/>
                <w:szCs w:val="20"/>
                <w:lang w:val="en-GB"/>
              </w:rPr>
              <w:t>out</w:t>
            </w:r>
          </w:p>
        </w:tc>
        <w:tc>
          <w:tcPr>
            <w:tcW w:w="5641" w:type="dxa"/>
            <w:tcBorders>
              <w:bottom w:val="nil"/>
            </w:tcBorders>
            <w:vAlign w:val="center"/>
          </w:tcPr>
          <w:p w14:paraId="4C94956F" w14:textId="293D23FB" w:rsidR="00431FCB" w:rsidRPr="00D361B6"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lang w:val="en-GB"/>
              </w:rPr>
            </w:pPr>
            <w:r w:rsidRPr="00D361B6">
              <w:rPr>
                <w:rFonts w:cs="Times New Roman"/>
                <w:noProof/>
                <w:sz w:val="20"/>
                <w:szCs w:val="20"/>
                <w:lang w:val="en-GB"/>
              </w:rPr>
              <w:t xml:space="preserve">Commission to propose </w:t>
            </w:r>
            <w:r w:rsidR="00AA1EED" w:rsidRPr="00D361B6">
              <w:rPr>
                <w:rFonts w:cs="Times New Roman"/>
                <w:noProof/>
                <w:sz w:val="20"/>
                <w:szCs w:val="20"/>
                <w:lang w:val="en-GB"/>
              </w:rPr>
              <w:t xml:space="preserve">guiding </w:t>
            </w:r>
            <w:r w:rsidRPr="00D361B6">
              <w:rPr>
                <w:rFonts w:cs="Times New Roman"/>
                <w:noProof/>
                <w:sz w:val="20"/>
                <w:szCs w:val="20"/>
                <w:lang w:val="en-GB"/>
              </w:rPr>
              <w:t>principles identifying conditions under which anticipatory investments in grid projects should be granted</w:t>
            </w:r>
          </w:p>
        </w:tc>
        <w:tc>
          <w:tcPr>
            <w:tcW w:w="1473" w:type="dxa"/>
            <w:tcBorders>
              <w:bottom w:val="nil"/>
            </w:tcBorders>
            <w:vAlign w:val="center"/>
          </w:tcPr>
          <w:p w14:paraId="7B35B450" w14:textId="232AF317" w:rsidR="00431FCB" w:rsidRPr="00AA1EED" w:rsidRDefault="00873AED"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lang w:val="en-GB"/>
              </w:rPr>
            </w:pPr>
            <w:r w:rsidRPr="00AA1EED">
              <w:rPr>
                <w:rFonts w:cs="Times New Roman"/>
                <w:b/>
                <w:bCs/>
                <w:noProof/>
                <w:color w:val="auto"/>
                <w:sz w:val="20"/>
                <w:szCs w:val="20"/>
                <w:lang w:val="en-GB"/>
              </w:rPr>
              <w:t>Q</w:t>
            </w:r>
            <w:r w:rsidR="007530AC">
              <w:rPr>
                <w:rFonts w:cs="Times New Roman"/>
                <w:b/>
                <w:bCs/>
                <w:noProof/>
                <w:color w:val="auto"/>
                <w:sz w:val="20"/>
                <w:szCs w:val="20"/>
                <w:lang w:val="en-GB"/>
              </w:rPr>
              <w:t>1</w:t>
            </w:r>
            <w:r w:rsidR="00087B61">
              <w:rPr>
                <w:rFonts w:cs="Times New Roman"/>
                <w:b/>
                <w:bCs/>
                <w:noProof/>
                <w:color w:val="auto"/>
                <w:sz w:val="20"/>
                <w:szCs w:val="20"/>
                <w:lang w:val="en-GB"/>
              </w:rPr>
              <w:t xml:space="preserve"> </w:t>
            </w:r>
            <w:r w:rsidR="00431FCB" w:rsidRPr="00AA1EED">
              <w:rPr>
                <w:rFonts w:cs="Times New Roman"/>
                <w:b/>
                <w:bCs/>
                <w:noProof/>
                <w:color w:val="auto"/>
                <w:sz w:val="20"/>
                <w:szCs w:val="20"/>
                <w:lang w:val="en-GB"/>
              </w:rPr>
              <w:t>202</w:t>
            </w:r>
            <w:r w:rsidR="007530AC">
              <w:rPr>
                <w:rFonts w:cs="Times New Roman"/>
                <w:b/>
                <w:bCs/>
                <w:noProof/>
                <w:color w:val="auto"/>
                <w:sz w:val="20"/>
                <w:szCs w:val="20"/>
                <w:lang w:val="en-GB"/>
              </w:rPr>
              <w:t>5</w:t>
            </w:r>
          </w:p>
        </w:tc>
      </w:tr>
      <w:tr w:rsidR="00431FCB" w:rsidRPr="00377522" w14:paraId="30B05F2F" w14:textId="77777777" w:rsidTr="00685859">
        <w:tc>
          <w:tcPr>
            <w:tcW w:w="2122" w:type="dxa"/>
            <w:vMerge/>
            <w:vAlign w:val="center"/>
          </w:tcPr>
          <w:p w14:paraId="5748C524" w14:textId="77777777" w:rsidR="00431FCB" w:rsidRPr="00AA1EED"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lang w:val="en-GB"/>
              </w:rPr>
            </w:pPr>
          </w:p>
        </w:tc>
        <w:tc>
          <w:tcPr>
            <w:tcW w:w="5641" w:type="dxa"/>
            <w:tcBorders>
              <w:top w:val="nil"/>
            </w:tcBorders>
            <w:vAlign w:val="center"/>
          </w:tcPr>
          <w:p w14:paraId="1DBFCBF3" w14:textId="7033A377" w:rsidR="00431FCB" w:rsidRPr="00D361B6"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lang w:val="en-GB"/>
              </w:rPr>
            </w:pPr>
            <w:r w:rsidRPr="00D361B6">
              <w:rPr>
                <w:rFonts w:cs="Times New Roman"/>
                <w:noProof/>
                <w:sz w:val="20"/>
                <w:szCs w:val="20"/>
                <w:lang w:val="en-GB"/>
              </w:rPr>
              <w:t xml:space="preserve">Commission to issue guidance on cross-border cost sharing </w:t>
            </w:r>
            <w:r w:rsidR="00AA1EED" w:rsidRPr="00D361B6">
              <w:rPr>
                <w:rFonts w:cs="Times New Roman"/>
                <w:noProof/>
                <w:sz w:val="20"/>
                <w:szCs w:val="20"/>
                <w:lang w:val="en-GB"/>
              </w:rPr>
              <w:t>for offshore projects</w:t>
            </w:r>
          </w:p>
        </w:tc>
        <w:tc>
          <w:tcPr>
            <w:tcW w:w="1473" w:type="dxa"/>
            <w:tcBorders>
              <w:top w:val="nil"/>
            </w:tcBorders>
            <w:vAlign w:val="center"/>
          </w:tcPr>
          <w:p w14:paraId="61FFE2E5" w14:textId="59F22616" w:rsidR="00431FCB" w:rsidRPr="00AA1EED"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lang w:val="en-GB"/>
              </w:rPr>
            </w:pPr>
            <w:r w:rsidRPr="00AA1EED">
              <w:rPr>
                <w:rFonts w:cs="Times New Roman"/>
                <w:b/>
                <w:bCs/>
                <w:noProof/>
                <w:color w:val="auto"/>
                <w:sz w:val="20"/>
                <w:szCs w:val="20"/>
                <w:lang w:val="en-GB"/>
              </w:rPr>
              <w:t>Mid-2024</w:t>
            </w:r>
          </w:p>
        </w:tc>
      </w:tr>
      <w:tr w:rsidR="00431FCB" w:rsidRPr="00377522" w14:paraId="3A4E3DC0" w14:textId="77777777" w:rsidTr="00685859">
        <w:tc>
          <w:tcPr>
            <w:tcW w:w="2122" w:type="dxa"/>
            <w:vMerge w:val="restart"/>
            <w:vAlign w:val="center"/>
          </w:tcPr>
          <w:p w14:paraId="79404871" w14:textId="08BEADF5" w:rsidR="00431FCB" w:rsidRPr="00AA1EED"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lang w:val="en-GB"/>
              </w:rPr>
            </w:pPr>
            <w:r w:rsidRPr="00AA1EED">
              <w:rPr>
                <w:rFonts w:cs="Times New Roman"/>
                <w:b/>
                <w:bCs/>
                <w:noProof/>
                <w:color w:val="auto"/>
                <w:sz w:val="20"/>
                <w:szCs w:val="20"/>
                <w:lang w:val="en-GB"/>
              </w:rPr>
              <w:t>Incentivising a better usage of the grids</w:t>
            </w:r>
          </w:p>
        </w:tc>
        <w:tc>
          <w:tcPr>
            <w:tcW w:w="5641" w:type="dxa"/>
            <w:tcBorders>
              <w:bottom w:val="nil"/>
            </w:tcBorders>
            <w:vAlign w:val="center"/>
          </w:tcPr>
          <w:p w14:paraId="322803FF" w14:textId="0812EE04" w:rsidR="00431FCB" w:rsidRPr="00D361B6" w:rsidRDefault="00941CA5"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lang w:val="en-GB"/>
              </w:rPr>
            </w:pPr>
            <w:hyperlink w:anchor="Hlk148689186" w:history="1">
              <w:r w:rsidR="00671ADE" w:rsidRPr="00D361B6">
                <w:rPr>
                  <w:rFonts w:cs="Times New Roman"/>
                  <w:noProof/>
                  <w:sz w:val="20"/>
                  <w:szCs w:val="20"/>
                  <w:lang w:val="en-GB"/>
                </w:rPr>
                <w:t>ENTSO-E and EU DSO Entity to agree on harmonised definitions for available grid hosting capacity for system operators and establish a pan-EU overview</w:t>
              </w:r>
            </w:hyperlink>
          </w:p>
        </w:tc>
        <w:tc>
          <w:tcPr>
            <w:tcW w:w="1473" w:type="dxa"/>
            <w:tcBorders>
              <w:bottom w:val="nil"/>
            </w:tcBorders>
            <w:vAlign w:val="center"/>
          </w:tcPr>
          <w:p w14:paraId="442E2BAC" w14:textId="5D51167F" w:rsidR="00431FCB" w:rsidRPr="00AA1EED"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lang w:val="en-GB"/>
              </w:rPr>
            </w:pPr>
            <w:r w:rsidRPr="00AA1EED">
              <w:rPr>
                <w:rFonts w:cs="Times New Roman"/>
                <w:b/>
                <w:bCs/>
                <w:noProof/>
                <w:color w:val="auto"/>
                <w:sz w:val="20"/>
                <w:szCs w:val="20"/>
                <w:lang w:val="en-GB"/>
              </w:rPr>
              <w:t xml:space="preserve">From </w:t>
            </w:r>
            <w:r w:rsidR="005A6D4B" w:rsidRPr="00AA1EED">
              <w:rPr>
                <w:rFonts w:cs="Times New Roman"/>
                <w:b/>
                <w:bCs/>
                <w:noProof/>
                <w:color w:val="auto"/>
                <w:sz w:val="20"/>
                <w:szCs w:val="20"/>
                <w:lang w:val="en-GB"/>
              </w:rPr>
              <w:t xml:space="preserve">adoption </w:t>
            </w:r>
          </w:p>
        </w:tc>
      </w:tr>
      <w:tr w:rsidR="00431FCB" w:rsidRPr="00377522" w14:paraId="065EBBB7" w14:textId="77777777" w:rsidTr="00685859">
        <w:tc>
          <w:tcPr>
            <w:tcW w:w="2122" w:type="dxa"/>
            <w:vMerge/>
            <w:vAlign w:val="center"/>
          </w:tcPr>
          <w:p w14:paraId="66A3C78A" w14:textId="77777777" w:rsidR="00431FCB" w:rsidRPr="00AA1EED"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lang w:val="en-GB"/>
              </w:rPr>
            </w:pPr>
          </w:p>
        </w:tc>
        <w:tc>
          <w:tcPr>
            <w:tcW w:w="5641" w:type="dxa"/>
            <w:tcBorders>
              <w:top w:val="nil"/>
              <w:bottom w:val="nil"/>
            </w:tcBorders>
            <w:vAlign w:val="center"/>
          </w:tcPr>
          <w:p w14:paraId="342ADC57" w14:textId="5941C493" w:rsidR="00431FCB" w:rsidRPr="00D361B6"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lang w:val="en-GB"/>
              </w:rPr>
            </w:pPr>
            <w:r w:rsidRPr="00D361B6">
              <w:rPr>
                <w:rFonts w:cs="Times New Roman"/>
                <w:noProof/>
                <w:sz w:val="20"/>
                <w:szCs w:val="20"/>
                <w:lang w:val="en-GB"/>
              </w:rPr>
              <w:t>ENTSO-E and EU DSO Entity to promote uptake of smart grid, network efficiency and innovative technologies</w:t>
            </w:r>
          </w:p>
        </w:tc>
        <w:tc>
          <w:tcPr>
            <w:tcW w:w="1473" w:type="dxa"/>
            <w:tcBorders>
              <w:top w:val="nil"/>
              <w:bottom w:val="nil"/>
            </w:tcBorders>
            <w:vAlign w:val="center"/>
          </w:tcPr>
          <w:p w14:paraId="6B53BBF6" w14:textId="41BC7227" w:rsidR="00431FCB" w:rsidRPr="00AA1EED"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lang w:val="en-GB"/>
              </w:rPr>
            </w:pPr>
            <w:r w:rsidRPr="00AA1EED">
              <w:rPr>
                <w:rFonts w:cs="Times New Roman"/>
                <w:b/>
                <w:bCs/>
                <w:noProof/>
                <w:color w:val="auto"/>
                <w:sz w:val="20"/>
                <w:szCs w:val="20"/>
                <w:lang w:val="en-GB"/>
              </w:rPr>
              <w:t>Q4</w:t>
            </w:r>
            <w:r w:rsidR="00087B61">
              <w:rPr>
                <w:rFonts w:cs="Times New Roman"/>
                <w:b/>
                <w:bCs/>
                <w:noProof/>
                <w:color w:val="auto"/>
                <w:sz w:val="20"/>
                <w:szCs w:val="20"/>
                <w:lang w:val="en-GB"/>
              </w:rPr>
              <w:t xml:space="preserve"> </w:t>
            </w:r>
            <w:r w:rsidRPr="00AA1EED">
              <w:rPr>
                <w:rFonts w:cs="Times New Roman"/>
                <w:b/>
                <w:bCs/>
                <w:noProof/>
                <w:color w:val="auto"/>
                <w:sz w:val="20"/>
                <w:szCs w:val="20"/>
                <w:lang w:val="en-GB"/>
              </w:rPr>
              <w:t>2024</w:t>
            </w:r>
          </w:p>
        </w:tc>
      </w:tr>
      <w:tr w:rsidR="00431FCB" w:rsidRPr="00377522" w14:paraId="36892604" w14:textId="77777777" w:rsidTr="00685859">
        <w:tc>
          <w:tcPr>
            <w:tcW w:w="2122" w:type="dxa"/>
            <w:vMerge/>
            <w:vAlign w:val="center"/>
          </w:tcPr>
          <w:p w14:paraId="7B540BF5" w14:textId="77777777" w:rsidR="00431FCB" w:rsidRPr="00AA1EED"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lang w:val="en-GB"/>
              </w:rPr>
            </w:pPr>
          </w:p>
        </w:tc>
        <w:tc>
          <w:tcPr>
            <w:tcW w:w="5641" w:type="dxa"/>
            <w:tcBorders>
              <w:top w:val="nil"/>
            </w:tcBorders>
            <w:vAlign w:val="center"/>
          </w:tcPr>
          <w:p w14:paraId="625BA3D9" w14:textId="0F78DEB6" w:rsidR="00431FCB" w:rsidRPr="00D361B6"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lang w:val="en-GB"/>
              </w:rPr>
            </w:pPr>
            <w:r w:rsidRPr="00D361B6">
              <w:rPr>
                <w:rFonts w:cs="Times New Roman"/>
                <w:noProof/>
                <w:sz w:val="20"/>
                <w:szCs w:val="20"/>
                <w:lang w:val="en-GB"/>
              </w:rPr>
              <w:t>ACER, in its next tariff report, to recommend best practices in relation to the promotion of smart grids and network efficiency technologies through tariff design, focusing on consideration of OPEX in addition to CAPEX and benefit sharing</w:t>
            </w:r>
          </w:p>
        </w:tc>
        <w:tc>
          <w:tcPr>
            <w:tcW w:w="1473" w:type="dxa"/>
            <w:tcBorders>
              <w:top w:val="nil"/>
            </w:tcBorders>
            <w:vAlign w:val="center"/>
          </w:tcPr>
          <w:p w14:paraId="70A9A0C2" w14:textId="48B52327" w:rsidR="00431FCB" w:rsidRPr="00AA1EED"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lang w:val="en-GB"/>
              </w:rPr>
            </w:pPr>
            <w:r w:rsidRPr="00AA1EED">
              <w:rPr>
                <w:rFonts w:cs="Times New Roman"/>
                <w:b/>
                <w:bCs/>
                <w:noProof/>
                <w:color w:val="auto"/>
                <w:sz w:val="20"/>
                <w:szCs w:val="20"/>
                <w:lang w:val="en-GB"/>
              </w:rPr>
              <w:t>Q1 2025</w:t>
            </w:r>
          </w:p>
        </w:tc>
      </w:tr>
      <w:tr w:rsidR="00431FCB" w:rsidRPr="00377522" w14:paraId="7CE523CB" w14:textId="77777777" w:rsidTr="00685859">
        <w:tc>
          <w:tcPr>
            <w:tcW w:w="2122" w:type="dxa"/>
            <w:vMerge w:val="restart"/>
            <w:vAlign w:val="center"/>
          </w:tcPr>
          <w:p w14:paraId="468444E3" w14:textId="6EF1F348" w:rsidR="00431FCB" w:rsidRPr="00AA1EED" w:rsidRDefault="002E2EB6"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lang w:val="en-GB"/>
              </w:rPr>
            </w:pPr>
            <w:r>
              <w:rPr>
                <w:rFonts w:cs="Times New Roman"/>
                <w:b/>
                <w:bCs/>
                <w:noProof/>
                <w:color w:val="auto"/>
                <w:sz w:val="20"/>
                <w:szCs w:val="20"/>
                <w:lang w:val="en-GB"/>
              </w:rPr>
              <w:t>Improving a</w:t>
            </w:r>
            <w:r w:rsidR="00431FCB" w:rsidRPr="00AA1EED">
              <w:rPr>
                <w:rFonts w:cs="Times New Roman"/>
                <w:b/>
                <w:bCs/>
                <w:noProof/>
                <w:color w:val="auto"/>
                <w:sz w:val="20"/>
                <w:szCs w:val="20"/>
                <w:lang w:val="en-GB"/>
              </w:rPr>
              <w:t xml:space="preserve">ccess to finance </w:t>
            </w:r>
          </w:p>
        </w:tc>
        <w:tc>
          <w:tcPr>
            <w:tcW w:w="5641" w:type="dxa"/>
            <w:tcBorders>
              <w:bottom w:val="nil"/>
            </w:tcBorders>
            <w:vAlign w:val="center"/>
          </w:tcPr>
          <w:p w14:paraId="5B53A5B5" w14:textId="530EF4E3" w:rsidR="00431FCB" w:rsidRPr="00D361B6" w:rsidRDefault="00941CA5"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lang w:val="en-GB"/>
              </w:rPr>
            </w:pPr>
            <w:hyperlink w:anchor="Hlk148688711" w:history="1">
              <w:r w:rsidR="00671ADE" w:rsidRPr="00D361B6">
                <w:rPr>
                  <w:rFonts w:cs="Times New Roman"/>
                  <w:noProof/>
                  <w:sz w:val="20"/>
                  <w:szCs w:val="20"/>
                  <w:lang w:val="en-GB"/>
                </w:rPr>
                <w:t>Commission to identify tailored financing models and strengthen dialogue to address financing obstacles</w:t>
              </w:r>
              <w:r w:rsidR="00431FCB" w:rsidRPr="00D361B6">
                <w:rPr>
                  <w:rStyle w:val="Hyperlink6"/>
                  <w:rFonts w:ascii="Times New Roman" w:hAnsi="Times New Roman" w:cs="Times New Roman"/>
                  <w:noProof/>
                  <w:color w:val="auto"/>
                  <w:sz w:val="20"/>
                  <w:szCs w:val="20"/>
                  <w:lang w:val="en-GB"/>
                </w:rPr>
                <w:t xml:space="preserve"> </w:t>
              </w:r>
            </w:hyperlink>
          </w:p>
        </w:tc>
        <w:tc>
          <w:tcPr>
            <w:tcW w:w="1473" w:type="dxa"/>
            <w:tcBorders>
              <w:bottom w:val="nil"/>
            </w:tcBorders>
            <w:vAlign w:val="center"/>
          </w:tcPr>
          <w:p w14:paraId="33090A83" w14:textId="75740FDE" w:rsidR="00431FCB" w:rsidRPr="00AA1EED" w:rsidRDefault="00977F72"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lang w:val="en-GB"/>
              </w:rPr>
            </w:pPr>
            <w:r>
              <w:rPr>
                <w:rFonts w:cs="Times New Roman"/>
                <w:b/>
                <w:bCs/>
                <w:noProof/>
                <w:color w:val="auto"/>
                <w:sz w:val="20"/>
                <w:szCs w:val="20"/>
                <w:lang w:val="en-GB"/>
              </w:rPr>
              <w:t>From</w:t>
            </w:r>
            <w:r w:rsidR="00431FCB" w:rsidRPr="00AA1EED">
              <w:rPr>
                <w:rFonts w:cs="Times New Roman"/>
                <w:b/>
                <w:bCs/>
                <w:noProof/>
                <w:color w:val="auto"/>
                <w:sz w:val="20"/>
                <w:szCs w:val="20"/>
                <w:lang w:val="en-GB"/>
              </w:rPr>
              <w:t xml:space="preserve"> adoption</w:t>
            </w:r>
          </w:p>
        </w:tc>
      </w:tr>
      <w:tr w:rsidR="00431FCB" w:rsidRPr="00377522" w14:paraId="1CA963A2" w14:textId="77777777" w:rsidTr="00685859">
        <w:tc>
          <w:tcPr>
            <w:tcW w:w="2122" w:type="dxa"/>
            <w:vMerge/>
            <w:vAlign w:val="center"/>
          </w:tcPr>
          <w:p w14:paraId="7D9B2BA3" w14:textId="77777777" w:rsidR="00431FCB" w:rsidRPr="00AA1EED"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lang w:val="en-GB"/>
              </w:rPr>
            </w:pPr>
          </w:p>
        </w:tc>
        <w:tc>
          <w:tcPr>
            <w:tcW w:w="5641" w:type="dxa"/>
            <w:tcBorders>
              <w:top w:val="nil"/>
            </w:tcBorders>
            <w:vAlign w:val="center"/>
          </w:tcPr>
          <w:p w14:paraId="44E60706" w14:textId="62DBCF62" w:rsidR="00431FCB" w:rsidRPr="00D361B6" w:rsidRDefault="00AA1EED"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lang w:val="en-GB"/>
              </w:rPr>
            </w:pPr>
            <w:r w:rsidRPr="00D361B6">
              <w:rPr>
                <w:rFonts w:cs="Times New Roman"/>
                <w:noProof/>
                <w:color w:val="auto"/>
                <w:sz w:val="20"/>
                <w:szCs w:val="20"/>
                <w:lang w:val="en-GB"/>
              </w:rPr>
              <w:t>Commission to i</w:t>
            </w:r>
            <w:r w:rsidR="00431FCB" w:rsidRPr="00D361B6">
              <w:rPr>
                <w:rFonts w:cs="Times New Roman"/>
                <w:noProof/>
                <w:color w:val="auto"/>
                <w:sz w:val="20"/>
                <w:szCs w:val="20"/>
                <w:lang w:val="en-GB"/>
              </w:rPr>
              <w:t>ncreas</w:t>
            </w:r>
            <w:r w:rsidRPr="00D361B6">
              <w:rPr>
                <w:rFonts w:cs="Times New Roman"/>
                <w:noProof/>
                <w:color w:val="auto"/>
                <w:sz w:val="20"/>
                <w:szCs w:val="20"/>
                <w:lang w:val="en-GB"/>
              </w:rPr>
              <w:t>e</w:t>
            </w:r>
            <w:r w:rsidR="00431FCB" w:rsidRPr="00D361B6">
              <w:rPr>
                <w:rFonts w:cs="Times New Roman"/>
                <w:noProof/>
                <w:color w:val="auto"/>
                <w:sz w:val="20"/>
                <w:szCs w:val="20"/>
                <w:lang w:val="en-GB"/>
              </w:rPr>
              <w:t xml:space="preserve"> visibility on opportunities for </w:t>
            </w:r>
            <w:r w:rsidR="00A3163E" w:rsidRPr="00D361B6">
              <w:rPr>
                <w:rFonts w:cs="Times New Roman"/>
                <w:noProof/>
                <w:color w:val="auto"/>
                <w:sz w:val="20"/>
                <w:szCs w:val="20"/>
                <w:lang w:val="en-GB"/>
              </w:rPr>
              <w:t>EU funding programmes</w:t>
            </w:r>
            <w:r w:rsidR="00431FCB" w:rsidRPr="00D361B6">
              <w:rPr>
                <w:rFonts w:cs="Times New Roman"/>
                <w:noProof/>
                <w:color w:val="auto"/>
                <w:sz w:val="20"/>
                <w:szCs w:val="20"/>
                <w:lang w:val="en-GB"/>
              </w:rPr>
              <w:t xml:space="preserve"> for smart grids and modernisation of distribution grids</w:t>
            </w:r>
          </w:p>
        </w:tc>
        <w:tc>
          <w:tcPr>
            <w:tcW w:w="1473" w:type="dxa"/>
            <w:tcBorders>
              <w:top w:val="nil"/>
            </w:tcBorders>
            <w:vAlign w:val="center"/>
          </w:tcPr>
          <w:p w14:paraId="47A83FEE" w14:textId="3CA73058" w:rsidR="00431FCB" w:rsidRPr="00AA1EED"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lang w:val="en-GB"/>
              </w:rPr>
            </w:pPr>
            <w:r w:rsidRPr="00AA1EED">
              <w:rPr>
                <w:rFonts w:cs="Times New Roman"/>
                <w:b/>
                <w:bCs/>
                <w:noProof/>
                <w:color w:val="auto"/>
                <w:sz w:val="20"/>
                <w:szCs w:val="20"/>
                <w:lang w:val="en-GB"/>
              </w:rPr>
              <w:t>From Q1 2024</w:t>
            </w:r>
          </w:p>
        </w:tc>
      </w:tr>
      <w:tr w:rsidR="00431FCB" w:rsidRPr="00377522" w14:paraId="3288667B" w14:textId="77777777" w:rsidTr="00685859">
        <w:tc>
          <w:tcPr>
            <w:tcW w:w="2122" w:type="dxa"/>
            <w:vMerge w:val="restart"/>
            <w:vAlign w:val="center"/>
          </w:tcPr>
          <w:p w14:paraId="295FECFC" w14:textId="612DE05E" w:rsidR="00431FCB" w:rsidRPr="00AA1EED"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lang w:val="en-GB"/>
              </w:rPr>
            </w:pPr>
            <w:r w:rsidRPr="00AA1EED">
              <w:rPr>
                <w:rFonts w:cs="Times New Roman"/>
                <w:b/>
                <w:bCs/>
                <w:noProof/>
                <w:color w:val="auto"/>
                <w:sz w:val="20"/>
                <w:szCs w:val="20"/>
                <w:lang w:val="en-GB"/>
              </w:rPr>
              <w:t>Accelerating deployment through faster permitting and public engagement</w:t>
            </w:r>
          </w:p>
        </w:tc>
        <w:tc>
          <w:tcPr>
            <w:tcW w:w="5641" w:type="dxa"/>
            <w:tcBorders>
              <w:bottom w:val="nil"/>
            </w:tcBorders>
            <w:vAlign w:val="center"/>
          </w:tcPr>
          <w:p w14:paraId="60133CB0" w14:textId="25AFDE89" w:rsidR="00431FCB" w:rsidRPr="00D361B6"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lang w:val="en-GB"/>
              </w:rPr>
            </w:pPr>
            <w:r w:rsidRPr="00D361B6">
              <w:rPr>
                <w:rFonts w:cs="Times New Roman"/>
                <w:noProof/>
                <w:sz w:val="20"/>
                <w:szCs w:val="20"/>
                <w:lang w:val="en-GB"/>
              </w:rPr>
              <w:t>Commission to support permitting acceleration providing guidance and technical support</w:t>
            </w:r>
            <w:r w:rsidR="00AA1EED" w:rsidRPr="00D361B6">
              <w:rPr>
                <w:rFonts w:cs="Times New Roman"/>
                <w:noProof/>
                <w:sz w:val="20"/>
                <w:szCs w:val="20"/>
                <w:lang w:val="en-GB"/>
              </w:rPr>
              <w:t xml:space="preserve"> on how to implement existing legislative tools</w:t>
            </w:r>
            <w:r w:rsidRPr="00D361B6">
              <w:rPr>
                <w:rFonts w:cs="Times New Roman"/>
                <w:noProof/>
                <w:sz w:val="20"/>
                <w:szCs w:val="20"/>
                <w:lang w:val="en-GB"/>
              </w:rPr>
              <w:t xml:space="preserve"> and Member States to implement accelerati</w:t>
            </w:r>
            <w:r w:rsidR="00AA1EED" w:rsidRPr="00D361B6">
              <w:rPr>
                <w:rFonts w:cs="Times New Roman"/>
                <w:noProof/>
                <w:sz w:val="20"/>
                <w:szCs w:val="20"/>
                <w:lang w:val="en-GB"/>
              </w:rPr>
              <w:t>on</w:t>
            </w:r>
            <w:r w:rsidRPr="00D361B6">
              <w:rPr>
                <w:rFonts w:cs="Times New Roman"/>
                <w:noProof/>
                <w:sz w:val="20"/>
                <w:szCs w:val="20"/>
                <w:lang w:val="en-GB"/>
              </w:rPr>
              <w:t xml:space="preserve"> measures </w:t>
            </w:r>
          </w:p>
        </w:tc>
        <w:tc>
          <w:tcPr>
            <w:tcW w:w="1473" w:type="dxa"/>
            <w:tcBorders>
              <w:bottom w:val="nil"/>
            </w:tcBorders>
            <w:vAlign w:val="center"/>
          </w:tcPr>
          <w:p w14:paraId="5D0C0E2B" w14:textId="6999515C" w:rsidR="00431FCB" w:rsidRPr="00AA1EED"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lang w:val="en-GB"/>
              </w:rPr>
            </w:pPr>
            <w:r w:rsidRPr="00AA1EED">
              <w:rPr>
                <w:rFonts w:cs="Times New Roman"/>
                <w:b/>
                <w:bCs/>
                <w:noProof/>
                <w:color w:val="auto"/>
                <w:sz w:val="20"/>
                <w:szCs w:val="20"/>
                <w:lang w:val="en-GB"/>
              </w:rPr>
              <w:t>2024-25</w:t>
            </w:r>
          </w:p>
        </w:tc>
      </w:tr>
      <w:tr w:rsidR="00431FCB" w:rsidRPr="00377522" w14:paraId="76BAB7C1" w14:textId="77777777" w:rsidTr="00685859">
        <w:tc>
          <w:tcPr>
            <w:tcW w:w="2122" w:type="dxa"/>
            <w:vMerge/>
            <w:vAlign w:val="center"/>
          </w:tcPr>
          <w:p w14:paraId="35D054E0" w14:textId="77777777" w:rsidR="00431FCB" w:rsidRPr="00AA1EED"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lang w:val="en-GB"/>
              </w:rPr>
            </w:pPr>
          </w:p>
        </w:tc>
        <w:tc>
          <w:tcPr>
            <w:tcW w:w="5641" w:type="dxa"/>
            <w:tcBorders>
              <w:top w:val="nil"/>
            </w:tcBorders>
            <w:vAlign w:val="center"/>
          </w:tcPr>
          <w:p w14:paraId="1454E733" w14:textId="66F8F1E1" w:rsidR="00431FCB" w:rsidRPr="00D361B6"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lang w:val="en-GB"/>
              </w:rPr>
            </w:pPr>
            <w:r w:rsidRPr="00D361B6">
              <w:rPr>
                <w:rFonts w:cs="Times New Roman"/>
                <w:noProof/>
                <w:sz w:val="20"/>
                <w:szCs w:val="20"/>
                <w:lang w:val="en-GB"/>
              </w:rPr>
              <w:t>Commission to launch a Pact for Engagement for early, regular and meaningful stakeholder engagement and regulatory support</w:t>
            </w:r>
          </w:p>
        </w:tc>
        <w:tc>
          <w:tcPr>
            <w:tcW w:w="1473" w:type="dxa"/>
            <w:tcBorders>
              <w:top w:val="nil"/>
            </w:tcBorders>
            <w:vAlign w:val="center"/>
          </w:tcPr>
          <w:p w14:paraId="1836507E" w14:textId="0AD8FD21" w:rsidR="00431FCB" w:rsidRPr="00AA1EED" w:rsidRDefault="005A6D4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lang w:val="en-GB"/>
              </w:rPr>
            </w:pPr>
            <w:r w:rsidRPr="00AA1EED">
              <w:rPr>
                <w:rFonts w:cs="Times New Roman"/>
                <w:b/>
                <w:bCs/>
                <w:noProof/>
                <w:color w:val="auto"/>
                <w:sz w:val="20"/>
                <w:szCs w:val="20"/>
                <w:lang w:val="en-GB"/>
              </w:rPr>
              <w:t>From adoption</w:t>
            </w:r>
          </w:p>
        </w:tc>
      </w:tr>
      <w:tr w:rsidR="00431FCB" w:rsidRPr="00377522" w14:paraId="42AB0DDA" w14:textId="77777777" w:rsidTr="00685859">
        <w:tc>
          <w:tcPr>
            <w:tcW w:w="2122" w:type="dxa"/>
            <w:vMerge w:val="restart"/>
            <w:vAlign w:val="center"/>
          </w:tcPr>
          <w:p w14:paraId="742859FA" w14:textId="401D66EC" w:rsidR="00431FCB" w:rsidRPr="00AA1EED" w:rsidRDefault="002E2EB6"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lang w:val="en-GB"/>
              </w:rPr>
            </w:pPr>
            <w:r>
              <w:rPr>
                <w:rFonts w:cs="Times New Roman"/>
                <w:b/>
                <w:bCs/>
                <w:noProof/>
                <w:color w:val="auto"/>
                <w:sz w:val="20"/>
                <w:szCs w:val="20"/>
                <w:lang w:val="en-GB"/>
              </w:rPr>
              <w:t>Strengthening</w:t>
            </w:r>
            <w:r w:rsidR="00431FCB" w:rsidRPr="00AA1EED">
              <w:rPr>
                <w:rFonts w:cs="Times New Roman"/>
                <w:b/>
                <w:bCs/>
                <w:noProof/>
                <w:color w:val="auto"/>
                <w:sz w:val="20"/>
                <w:szCs w:val="20"/>
                <w:lang w:val="en-GB"/>
              </w:rPr>
              <w:t xml:space="preserve"> grid supply chains </w:t>
            </w:r>
          </w:p>
        </w:tc>
        <w:tc>
          <w:tcPr>
            <w:tcW w:w="5641" w:type="dxa"/>
            <w:tcBorders>
              <w:bottom w:val="nil"/>
            </w:tcBorders>
            <w:vAlign w:val="center"/>
          </w:tcPr>
          <w:p w14:paraId="4B10B731" w14:textId="20390DDC" w:rsidR="00431FCB" w:rsidRPr="00D361B6"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lang w:val="en-GB"/>
              </w:rPr>
            </w:pPr>
            <w:r w:rsidRPr="00D361B6">
              <w:rPr>
                <w:rFonts w:cs="Times New Roman"/>
                <w:noProof/>
                <w:sz w:val="20"/>
                <w:szCs w:val="20"/>
                <w:lang w:val="en-GB"/>
              </w:rPr>
              <w:t xml:space="preserve">ENTSO-E and EU DSO Entity to collaborate with technology providers to develop </w:t>
            </w:r>
            <w:r w:rsidR="00133CCA" w:rsidRPr="00D361B6">
              <w:rPr>
                <w:rFonts w:cs="Times New Roman"/>
                <w:noProof/>
                <w:sz w:val="20"/>
                <w:szCs w:val="20"/>
                <w:lang w:val="en-GB"/>
              </w:rPr>
              <w:t xml:space="preserve">common </w:t>
            </w:r>
            <w:r w:rsidRPr="00D361B6">
              <w:rPr>
                <w:rFonts w:cs="Times New Roman"/>
                <w:noProof/>
                <w:sz w:val="20"/>
                <w:szCs w:val="20"/>
                <w:lang w:val="en-GB"/>
              </w:rPr>
              <w:t>technology specifications and improve visibility of grid project pipelines</w:t>
            </w:r>
            <w:r w:rsidR="00BB5EC5" w:rsidRPr="00D361B6">
              <w:rPr>
                <w:rStyle w:val="Hyperlink"/>
                <w:rFonts w:cs="Times New Roman"/>
                <w:noProof/>
                <w:color w:val="auto"/>
                <w:sz w:val="20"/>
                <w:szCs w:val="20"/>
                <w:u w:val="none"/>
                <w:lang w:val="en-GB"/>
              </w:rPr>
              <w:t>,</w:t>
            </w:r>
            <w:r w:rsidR="00BB5EC5" w:rsidRPr="00D935E1">
              <w:rPr>
                <w:noProof/>
                <w:sz w:val="20"/>
                <w:szCs w:val="20"/>
                <w:lang w:val="en-GB"/>
              </w:rPr>
              <w:t xml:space="preserve"> </w:t>
            </w:r>
            <w:r w:rsidR="00BB5EC5" w:rsidRPr="00D361B6">
              <w:rPr>
                <w:rStyle w:val="Hyperlink"/>
                <w:rFonts w:cs="Times New Roman"/>
                <w:noProof/>
                <w:color w:val="auto"/>
                <w:sz w:val="20"/>
                <w:szCs w:val="20"/>
                <w:u w:val="none"/>
                <w:lang w:val="en-GB"/>
              </w:rPr>
              <w:t xml:space="preserve">to facilitate investments in manufacturing capacity and </w:t>
            </w:r>
            <w:r w:rsidR="00D361B6" w:rsidRPr="00D361B6">
              <w:rPr>
                <w:rStyle w:val="Hyperlink"/>
                <w:rFonts w:cs="Times New Roman"/>
                <w:noProof/>
                <w:color w:val="auto"/>
                <w:sz w:val="20"/>
                <w:szCs w:val="20"/>
                <w:u w:val="none"/>
                <w:lang w:val="en-GB"/>
              </w:rPr>
              <w:t>s</w:t>
            </w:r>
            <w:r w:rsidR="00D361B6" w:rsidRPr="00D935E1">
              <w:rPr>
                <w:rStyle w:val="Hyperlink"/>
                <w:noProof/>
                <w:sz w:val="20"/>
                <w:szCs w:val="20"/>
                <w:u w:val="none"/>
              </w:rPr>
              <w:t xml:space="preserve">ecure </w:t>
            </w:r>
            <w:r w:rsidR="00BB5EC5" w:rsidRPr="00D361B6">
              <w:rPr>
                <w:rStyle w:val="Hyperlink"/>
                <w:rFonts w:cs="Times New Roman"/>
                <w:noProof/>
                <w:color w:val="auto"/>
                <w:sz w:val="20"/>
                <w:szCs w:val="20"/>
                <w:u w:val="none"/>
                <w:lang w:val="en-GB"/>
              </w:rPr>
              <w:t>supply chains</w:t>
            </w:r>
          </w:p>
        </w:tc>
        <w:tc>
          <w:tcPr>
            <w:tcW w:w="1473" w:type="dxa"/>
            <w:tcBorders>
              <w:bottom w:val="nil"/>
            </w:tcBorders>
            <w:vAlign w:val="center"/>
          </w:tcPr>
          <w:p w14:paraId="5B50B7E1" w14:textId="2FC847C4" w:rsidR="00431FCB" w:rsidRPr="00AA1EED" w:rsidRDefault="003A5B29"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lang w:val="en-GB"/>
              </w:rPr>
            </w:pPr>
            <w:r w:rsidRPr="00AA1EED">
              <w:rPr>
                <w:rFonts w:cs="Times New Roman"/>
                <w:b/>
                <w:bCs/>
                <w:noProof/>
                <w:color w:val="auto"/>
                <w:sz w:val="20"/>
                <w:szCs w:val="20"/>
                <w:lang w:val="en-GB"/>
              </w:rPr>
              <w:t xml:space="preserve">Q4 </w:t>
            </w:r>
            <w:r w:rsidR="00431FCB" w:rsidRPr="00AA1EED">
              <w:rPr>
                <w:rFonts w:cs="Times New Roman"/>
                <w:b/>
                <w:bCs/>
                <w:noProof/>
                <w:color w:val="auto"/>
                <w:sz w:val="20"/>
                <w:szCs w:val="20"/>
                <w:lang w:val="en-GB"/>
              </w:rPr>
              <w:t>2024</w:t>
            </w:r>
          </w:p>
        </w:tc>
      </w:tr>
      <w:tr w:rsidR="00431FCB" w:rsidRPr="00377522" w14:paraId="0D376CCD" w14:textId="77777777" w:rsidTr="00685859">
        <w:tc>
          <w:tcPr>
            <w:tcW w:w="2122" w:type="dxa"/>
            <w:vMerge/>
          </w:tcPr>
          <w:p w14:paraId="373F393D" w14:textId="77777777" w:rsidR="00431FCB" w:rsidRPr="00AA1EED"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lang w:val="en-GB"/>
              </w:rPr>
            </w:pPr>
          </w:p>
        </w:tc>
        <w:tc>
          <w:tcPr>
            <w:tcW w:w="5641" w:type="dxa"/>
            <w:tcBorders>
              <w:top w:val="nil"/>
            </w:tcBorders>
            <w:vAlign w:val="center"/>
          </w:tcPr>
          <w:p w14:paraId="0F83B939" w14:textId="45F52F73" w:rsidR="00431FCB" w:rsidRPr="00D361B6"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lang w:val="en-GB"/>
              </w:rPr>
            </w:pPr>
            <w:r w:rsidRPr="00D361B6">
              <w:rPr>
                <w:rFonts w:cs="Times New Roman"/>
                <w:noProof/>
                <w:sz w:val="20"/>
                <w:szCs w:val="20"/>
                <w:lang w:val="en-GB"/>
              </w:rPr>
              <w:t xml:space="preserve">Commission to promote common technical requirements for generation and demand connection </w:t>
            </w:r>
          </w:p>
        </w:tc>
        <w:tc>
          <w:tcPr>
            <w:tcW w:w="1473" w:type="dxa"/>
            <w:tcBorders>
              <w:top w:val="nil"/>
            </w:tcBorders>
            <w:vAlign w:val="center"/>
          </w:tcPr>
          <w:p w14:paraId="4B656DF0" w14:textId="5547A00B" w:rsidR="00431FCB" w:rsidRPr="00AA1EED"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lang w:val="en-GB"/>
              </w:rPr>
            </w:pPr>
            <w:r w:rsidRPr="00AA1EED">
              <w:rPr>
                <w:rFonts w:cs="Times New Roman"/>
                <w:b/>
                <w:bCs/>
                <w:noProof/>
                <w:color w:val="auto"/>
                <w:sz w:val="20"/>
                <w:szCs w:val="20"/>
                <w:lang w:val="en-GB"/>
              </w:rPr>
              <w:t>By 2025</w:t>
            </w:r>
          </w:p>
        </w:tc>
      </w:tr>
    </w:tbl>
    <w:p w14:paraId="73214C2D" w14:textId="248FFB5E" w:rsidR="00431FCB" w:rsidRPr="00AA1EED" w:rsidRDefault="00431FCB">
      <w:pPr>
        <w:pStyle w:val="BodyA"/>
        <w:spacing w:after="200" w:line="276" w:lineRule="auto"/>
        <w:jc w:val="left"/>
        <w:rPr>
          <w:b/>
          <w:bCs/>
          <w:noProof/>
          <w:lang w:val="en-GB"/>
        </w:rPr>
      </w:pPr>
    </w:p>
    <w:p w14:paraId="42AB1D30" w14:textId="498BE2EB" w:rsidR="00181EB3" w:rsidRPr="00AA1EED" w:rsidRDefault="00181EB3">
      <w:pPr>
        <w:rPr>
          <w:rFonts w:cs="Arial Unicode MS"/>
          <w:b/>
          <w:bCs/>
          <w:noProof/>
          <w:color w:val="000000"/>
          <w:u w:color="000000"/>
          <w:lang w:val="en-GB" w:eastAsia="en-IE"/>
        </w:rPr>
      </w:pPr>
      <w:r w:rsidRPr="00AA1EED">
        <w:rPr>
          <w:b/>
          <w:bCs/>
          <w:noProof/>
          <w:lang w:val="en-GB"/>
        </w:rPr>
        <w:br w:type="page"/>
      </w:r>
    </w:p>
    <w:p w14:paraId="49D2C43E" w14:textId="05ECE27F" w:rsidR="00181EB3" w:rsidRPr="00AA1EED" w:rsidRDefault="00181EB3" w:rsidP="00181EB3">
      <w:pPr>
        <w:pStyle w:val="BodyA"/>
        <w:spacing w:after="200" w:line="276" w:lineRule="auto"/>
        <w:jc w:val="left"/>
        <w:rPr>
          <w:b/>
          <w:bCs/>
          <w:noProof/>
          <w:lang w:val="en-GB"/>
        </w:rPr>
      </w:pPr>
      <w:r w:rsidRPr="00AA1EED">
        <w:rPr>
          <w:b/>
          <w:bCs/>
          <w:noProof/>
          <w:lang w:val="en-GB"/>
        </w:rPr>
        <w:t>ANNEX II – A PACT FOR ENGAGEMENT</w:t>
      </w:r>
    </w:p>
    <w:p w14:paraId="075C3369" w14:textId="77777777" w:rsidR="00181EB3" w:rsidRPr="00AA1EED" w:rsidRDefault="00181EB3" w:rsidP="00181EB3">
      <w:pPr>
        <w:pStyle w:val="BodyA"/>
        <w:keepNext/>
        <w:spacing w:before="360"/>
        <w:jc w:val="center"/>
        <w:rPr>
          <w:b/>
          <w:bCs/>
          <w:noProof/>
          <w:lang w:val="en-GB"/>
        </w:rPr>
      </w:pPr>
      <w:r w:rsidRPr="00AA1EED">
        <w:rPr>
          <w:b/>
          <w:bCs/>
          <w:noProof/>
          <w:lang w:val="en-GB"/>
        </w:rPr>
        <w:t>Ensuring early, regular and meaningful stakeholder engagement in grid development</w:t>
      </w:r>
    </w:p>
    <w:p w14:paraId="772CE72F" w14:textId="77777777" w:rsidR="00181EB3" w:rsidRPr="00377522" w:rsidRDefault="00181EB3" w:rsidP="00181EB3">
      <w:pPr>
        <w:pStyle w:val="BodyA"/>
        <w:rPr>
          <w:noProof/>
          <w:lang w:val="en-GB"/>
        </w:rPr>
      </w:pPr>
      <w:r w:rsidRPr="00377522">
        <w:rPr>
          <w:noProof/>
          <w:lang w:val="en-GB"/>
        </w:rPr>
        <w:t xml:space="preserve">The cornerstone of our energy transition and economic recovery will be an electricity system to which renewable energy will contribute to around half of the generation in 2030 and which will be fully decarbonised well before 2050. </w:t>
      </w:r>
      <w:r w:rsidRPr="00AA1EED">
        <w:rPr>
          <w:noProof/>
          <w:lang w:val="en-GB"/>
        </w:rPr>
        <w:t xml:space="preserve">We will be deploying renewable energy capacity at a pace that is </w:t>
      </w:r>
      <w:r w:rsidRPr="00377522">
        <w:rPr>
          <w:noProof/>
          <w:lang w:val="en-GB"/>
        </w:rPr>
        <w:t>many times faster than today which will require an integrated and interconnected European infrastructure. Accelerating the development of electricity grids in parallel with the massive scale-up of renewable energies is thus key to Europe’s spearheading its energy security and climate ambitions.</w:t>
      </w:r>
    </w:p>
    <w:p w14:paraId="10ADDE14" w14:textId="7E680BB8" w:rsidR="00181EB3" w:rsidRPr="00AA1EED" w:rsidRDefault="00181EB3" w:rsidP="00181EB3">
      <w:pPr>
        <w:pStyle w:val="BodyA"/>
        <w:rPr>
          <w:noProof/>
          <w:lang w:val="en-GB"/>
        </w:rPr>
      </w:pPr>
      <w:r w:rsidRPr="00377522">
        <w:rPr>
          <w:noProof/>
          <w:lang w:val="en-GB"/>
        </w:rPr>
        <w:t xml:space="preserve">None of this can be achieved in isolation or at the expense of the environmental protection of our most vulnerable habitats. The revised TEN-E Regulation will continue to serve as a guiding framework for identifying and building Projects of Common Interest (PCIs) if and where needed to connect demand and supply across Europe. Decision-making processes, whether at the selection stage for the PCI label or later on, during the ground routing and construction, have been strengthened to be more inclusive, more transparent and accountable towards the views </w:t>
      </w:r>
      <w:r w:rsidR="00AA1EED">
        <w:rPr>
          <w:noProof/>
          <w:lang w:val="en-GB"/>
        </w:rPr>
        <w:t xml:space="preserve">and needs </w:t>
      </w:r>
      <w:r w:rsidRPr="00377522">
        <w:rPr>
          <w:noProof/>
          <w:lang w:val="en-GB"/>
        </w:rPr>
        <w:t xml:space="preserve">of those communities affected by the construction. </w:t>
      </w:r>
      <w:r w:rsidRPr="00AA1EED">
        <w:rPr>
          <w:noProof/>
          <w:lang w:val="en-GB"/>
        </w:rPr>
        <w:t>Whilst best practices are promoted and shared amongst project promoters, delays in grid development at both transmission and distribution level still occur due to lack of acceptance by communities affected by</w:t>
      </w:r>
      <w:r w:rsidR="00AA1EED">
        <w:rPr>
          <w:noProof/>
          <w:lang w:val="en-GB"/>
        </w:rPr>
        <w:t xml:space="preserve"> energy</w:t>
      </w:r>
      <w:r w:rsidRPr="00AA1EED">
        <w:rPr>
          <w:noProof/>
          <w:lang w:val="en-GB"/>
        </w:rPr>
        <w:t xml:space="preserve"> infrastructure projects. Quantifying and monetising the benefits of successful stakeholder engagement and avoidance of delays can be challenging in a complex regulatory framework for building infrastructure that crosses several jurisdictions and competences. There is a need to reinforce the engagement framework towards the public into a regular and meaningful collective effort that harnesses trust and participation in grid development, softens the impact on communities and nature, redistributes benefits and enhances nature protection.</w:t>
      </w:r>
    </w:p>
    <w:p w14:paraId="792D5D3C" w14:textId="6E95E4DF" w:rsidR="00181EB3" w:rsidRPr="00AA1EED" w:rsidRDefault="00181EB3" w:rsidP="00181EB3">
      <w:pPr>
        <w:pStyle w:val="BodyA"/>
        <w:rPr>
          <w:noProof/>
          <w:lang w:val="en-GB"/>
        </w:rPr>
      </w:pPr>
      <w:r w:rsidRPr="00377522">
        <w:rPr>
          <w:noProof/>
          <w:lang w:val="en-GB"/>
        </w:rPr>
        <w:t xml:space="preserve">In its Communication </w:t>
      </w:r>
      <w:r w:rsidR="00AA1EED">
        <w:rPr>
          <w:noProof/>
          <w:lang w:val="en-GB"/>
        </w:rPr>
        <w:t>‘</w:t>
      </w:r>
      <w:r w:rsidRPr="00377522">
        <w:rPr>
          <w:noProof/>
          <w:lang w:val="en-GB"/>
        </w:rPr>
        <w:t>Grids, the missing link: An EU Action Plan for Grids</w:t>
      </w:r>
      <w:r w:rsidR="00AA1EED">
        <w:rPr>
          <w:noProof/>
          <w:lang w:val="en-GB"/>
        </w:rPr>
        <w:t>’</w:t>
      </w:r>
      <w:r w:rsidRPr="00377522">
        <w:rPr>
          <w:noProof/>
          <w:lang w:val="en-GB"/>
        </w:rPr>
        <w:t xml:space="preserve">, the Commission announces the </w:t>
      </w:r>
      <w:r w:rsidRPr="00AA1EED">
        <w:rPr>
          <w:noProof/>
          <w:lang w:val="en-GB"/>
        </w:rPr>
        <w:t xml:space="preserve">launch of a </w:t>
      </w:r>
      <w:r w:rsidRPr="00AA1EED">
        <w:rPr>
          <w:i/>
          <w:iCs/>
          <w:noProof/>
          <w:lang w:val="en-GB"/>
        </w:rPr>
        <w:t>Pact for Engagement to ensure early, regular and meaningful stakeholder engagement in grid development</w:t>
      </w:r>
      <w:r w:rsidRPr="00377522">
        <w:rPr>
          <w:noProof/>
          <w:lang w:val="en-GB"/>
        </w:rPr>
        <w:t xml:space="preserve">, together with </w:t>
      </w:r>
      <w:r w:rsidRPr="00AA1EED">
        <w:rPr>
          <w:noProof/>
          <w:lang w:val="en-GB"/>
        </w:rPr>
        <w:t xml:space="preserve">Member States, </w:t>
      </w:r>
      <w:r w:rsidR="00AA1EED">
        <w:rPr>
          <w:noProof/>
          <w:lang w:val="en-GB"/>
        </w:rPr>
        <w:t xml:space="preserve">ACER and </w:t>
      </w:r>
      <w:r w:rsidRPr="00AA1EED">
        <w:rPr>
          <w:noProof/>
          <w:lang w:val="en-GB"/>
        </w:rPr>
        <w:t xml:space="preserve">national regulatory authorities, </w:t>
      </w:r>
      <w:r w:rsidR="00AA1EED">
        <w:rPr>
          <w:noProof/>
          <w:lang w:val="en-GB"/>
        </w:rPr>
        <w:t xml:space="preserve">ENTSO-E and </w:t>
      </w:r>
      <w:r w:rsidRPr="00AA1EED">
        <w:rPr>
          <w:noProof/>
          <w:lang w:val="en-GB"/>
        </w:rPr>
        <w:t xml:space="preserve">transmission </w:t>
      </w:r>
      <w:r w:rsidR="00AA1EED">
        <w:rPr>
          <w:noProof/>
          <w:lang w:val="en-GB"/>
        </w:rPr>
        <w:t xml:space="preserve">system operators, EU DSO Entity </w:t>
      </w:r>
      <w:r w:rsidRPr="00AA1EED">
        <w:rPr>
          <w:noProof/>
          <w:lang w:val="en-GB"/>
        </w:rPr>
        <w:t>and distribution system operators, project promoters and civil society, calling for:</w:t>
      </w:r>
    </w:p>
    <w:p w14:paraId="5C5EBAEF" w14:textId="77777777" w:rsidR="00181EB3" w:rsidRPr="00AA1EED" w:rsidRDefault="00181EB3" w:rsidP="00181EB3">
      <w:pPr>
        <w:pStyle w:val="BodyA"/>
        <w:numPr>
          <w:ilvl w:val="0"/>
          <w:numId w:val="57"/>
        </w:numPr>
        <w:rPr>
          <w:noProof/>
          <w:lang w:val="en-GB"/>
        </w:rPr>
      </w:pPr>
      <w:r w:rsidRPr="00AA1EED">
        <w:rPr>
          <w:noProof/>
          <w:lang w:val="en-GB"/>
        </w:rPr>
        <w:t>Designing and carrying out national and European communication efforts on the key role of transmission and distribution grids as enablers of the energy transition;</w:t>
      </w:r>
    </w:p>
    <w:p w14:paraId="393651A5" w14:textId="6C0AC41B" w:rsidR="00181EB3" w:rsidRPr="00AA1EED" w:rsidRDefault="00181EB3" w:rsidP="00181EB3">
      <w:pPr>
        <w:pStyle w:val="BodyA"/>
        <w:numPr>
          <w:ilvl w:val="0"/>
          <w:numId w:val="57"/>
        </w:numPr>
        <w:rPr>
          <w:noProof/>
          <w:lang w:val="en-GB"/>
        </w:rPr>
      </w:pPr>
      <w:r w:rsidRPr="00AA1EED">
        <w:rPr>
          <w:noProof/>
          <w:lang w:val="en-GB"/>
        </w:rPr>
        <w:t>A joint cooperation effort between national and local authorities in ensuring effective implementation of permitting provisions for grid and renewable energy projects and best practices adopted and/or recommended at local, national and EU level;</w:t>
      </w:r>
    </w:p>
    <w:p w14:paraId="73E6F337" w14:textId="656A87FB" w:rsidR="00181EB3" w:rsidRPr="00AA1EED" w:rsidRDefault="00181EB3" w:rsidP="00181EB3">
      <w:pPr>
        <w:pStyle w:val="BodyA"/>
        <w:numPr>
          <w:ilvl w:val="0"/>
          <w:numId w:val="57"/>
        </w:numPr>
        <w:rPr>
          <w:noProof/>
          <w:lang w:val="en-GB"/>
        </w:rPr>
      </w:pPr>
      <w:r w:rsidRPr="00AA1EED">
        <w:rPr>
          <w:noProof/>
          <w:lang w:val="en-GB"/>
        </w:rPr>
        <w:t>A commitment from Member States to strengthen their involvement in the regional cooperation fora such as the established High-Level Groups in order to accelerate the implementation of PCIs, prioritising the most mature and concrete ones. This work will involve transmission system operators and project promoters, as well as national regulators and stakeholders;</w:t>
      </w:r>
    </w:p>
    <w:p w14:paraId="7E0D81BC" w14:textId="77777777" w:rsidR="00181EB3" w:rsidRPr="00AA1EED" w:rsidRDefault="00181EB3" w:rsidP="00181EB3">
      <w:pPr>
        <w:pStyle w:val="BodyA"/>
        <w:numPr>
          <w:ilvl w:val="0"/>
          <w:numId w:val="57"/>
        </w:numPr>
        <w:rPr>
          <w:noProof/>
          <w:lang w:val="en-GB"/>
        </w:rPr>
      </w:pPr>
      <w:r w:rsidRPr="00AA1EED">
        <w:rPr>
          <w:noProof/>
          <w:lang w:val="en-GB"/>
        </w:rPr>
        <w:t>An open dialogue between ministries, regulatory authorities and transmission and distribution system operators on adequate regulatory support for early, regular and meaningful stakeholder engagement activities on the basis of dedicated chapters on stakeholder engagement accompanying grid investment plans;</w:t>
      </w:r>
    </w:p>
    <w:p w14:paraId="6736F3C5" w14:textId="77777777" w:rsidR="00181EB3" w:rsidRPr="00AA1EED" w:rsidRDefault="00181EB3" w:rsidP="00181EB3">
      <w:pPr>
        <w:pStyle w:val="BodyA"/>
        <w:numPr>
          <w:ilvl w:val="0"/>
          <w:numId w:val="57"/>
        </w:numPr>
        <w:rPr>
          <w:noProof/>
          <w:lang w:val="en-GB"/>
        </w:rPr>
      </w:pPr>
      <w:r w:rsidRPr="00AA1EED">
        <w:rPr>
          <w:noProof/>
          <w:lang w:val="en-GB"/>
        </w:rPr>
        <w:t>Providing for the necessary organisational conditions among all parties involved in permitting or stakeholder engagement processes aligned with the significant needs for grid deployment.</w:t>
      </w:r>
    </w:p>
    <w:p w14:paraId="4232AAC0" w14:textId="47D56D8A" w:rsidR="00181EB3" w:rsidRPr="00377522" w:rsidRDefault="00181EB3" w:rsidP="00181EB3">
      <w:pPr>
        <w:pStyle w:val="BodyA"/>
        <w:rPr>
          <w:noProof/>
          <w:lang w:val="en-GB"/>
        </w:rPr>
      </w:pPr>
      <w:r w:rsidRPr="00377522">
        <w:rPr>
          <w:noProof/>
          <w:lang w:val="en-GB"/>
        </w:rPr>
        <w:t xml:space="preserve">The Commission will work closely with all parties adhering to the Pact for Engagement within appropriate grid-related cooperation fora, such as the PCI Energy Days, the Energy Infrastructure Forum (Copenhagen Forum) and the National Competent Authorities’ Platform (NCA Platform) in order to support the implementation of the four pillars of the Pact. </w:t>
      </w:r>
      <w:r w:rsidRPr="00AA1EED">
        <w:rPr>
          <w:noProof/>
          <w:lang w:val="en-GB"/>
        </w:rPr>
        <w:t>Within these fora, the Commission will also monitor the progress achieved by these initiatives, as well as promote the exchange of practices inspiring further efforts from all parties in developing and sustaining engagement processes that rise up to the EU’s grid challenge.</w:t>
      </w:r>
    </w:p>
    <w:p w14:paraId="2CCD6DF4" w14:textId="77777777" w:rsidR="00181EB3" w:rsidRPr="00AA1EED" w:rsidRDefault="00181EB3" w:rsidP="00181EB3">
      <w:pPr>
        <w:pStyle w:val="BodyA"/>
        <w:rPr>
          <w:noProof/>
          <w:lang w:val="en-GB"/>
        </w:rPr>
      </w:pPr>
      <w:r w:rsidRPr="00AA1EED">
        <w:rPr>
          <w:noProof/>
          <w:lang w:val="en-GB"/>
        </w:rPr>
        <w:t xml:space="preserve">The Commission invites Member States, national regulatory authorities, transmission and distribution system operators, project promoters and civil society to join the </w:t>
      </w:r>
      <w:r w:rsidRPr="00AA1EED">
        <w:rPr>
          <w:i/>
          <w:iCs/>
          <w:noProof/>
          <w:lang w:val="en-GB"/>
        </w:rPr>
        <w:t xml:space="preserve">Pact for Engagement </w:t>
      </w:r>
      <w:r w:rsidRPr="00AA1EED">
        <w:rPr>
          <w:noProof/>
          <w:lang w:val="en-GB"/>
        </w:rPr>
        <w:t>and contribute through their collective actions</w:t>
      </w:r>
      <w:r w:rsidRPr="00AA1EED">
        <w:rPr>
          <w:i/>
          <w:iCs/>
          <w:noProof/>
          <w:lang w:val="en-GB"/>
        </w:rPr>
        <w:t xml:space="preserve"> </w:t>
      </w:r>
      <w:r w:rsidRPr="00AA1EED">
        <w:rPr>
          <w:noProof/>
          <w:lang w:val="en-GB"/>
        </w:rPr>
        <w:t>to an enabling framework for</w:t>
      </w:r>
      <w:r w:rsidRPr="00AA1EED">
        <w:rPr>
          <w:i/>
          <w:iCs/>
          <w:noProof/>
          <w:lang w:val="en-GB"/>
        </w:rPr>
        <w:t xml:space="preserve"> early, regular and meaningful stakeholder engagement in grid development. </w:t>
      </w:r>
    </w:p>
    <w:p w14:paraId="3EFC05E9" w14:textId="77777777" w:rsidR="00011D3B" w:rsidRPr="00AA1EED" w:rsidRDefault="00011D3B" w:rsidP="00CA5B3A">
      <w:pPr>
        <w:pStyle w:val="Body"/>
        <w:spacing w:line="276" w:lineRule="auto"/>
        <w:jc w:val="both"/>
        <w:rPr>
          <w:rFonts w:ascii="Times New Roman" w:eastAsia="Times New Roman" w:hAnsi="Times New Roman" w:cs="Times New Roman"/>
          <w:noProof/>
          <w:sz w:val="24"/>
          <w:szCs w:val="24"/>
          <w:lang w:val="en-GB"/>
        </w:rPr>
      </w:pPr>
    </w:p>
    <w:sectPr w:rsidR="00011D3B" w:rsidRPr="00AA1EED" w:rsidSect="002945E4">
      <w:headerReference w:type="even" r:id="rId18"/>
      <w:headerReference w:type="default" r:id="rId19"/>
      <w:footerReference w:type="even" r:id="rId20"/>
      <w:footerReference w:type="default" r:id="rId21"/>
      <w:headerReference w:type="first" r:id="rId22"/>
      <w:footerReference w:type="first" r:id="rId2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314DA" w14:textId="77777777" w:rsidR="001A4028" w:rsidRDefault="001A4028">
      <w:r>
        <w:separator/>
      </w:r>
    </w:p>
  </w:endnote>
  <w:endnote w:type="continuationSeparator" w:id="0">
    <w:p w14:paraId="5F7AE870" w14:textId="77777777" w:rsidR="001A4028" w:rsidRDefault="001A4028">
      <w:r>
        <w:continuationSeparator/>
      </w:r>
    </w:p>
  </w:endnote>
  <w:endnote w:type="continuationNotice" w:id="1">
    <w:p w14:paraId="2C145C8A" w14:textId="77777777" w:rsidR="001A4028" w:rsidRDefault="001A4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9B41" w14:textId="7E4D96DC" w:rsidR="002945E4" w:rsidRPr="002945E4" w:rsidRDefault="002945E4" w:rsidP="002945E4">
    <w:pPr>
      <w:pStyle w:val="FooterCoverPage"/>
      <w:rPr>
        <w:rFonts w:ascii="Arial" w:hAnsi="Arial" w:cs="Arial"/>
        <w:b/>
        <w:sz w:val="48"/>
      </w:rPr>
    </w:pPr>
    <w:r w:rsidRPr="002945E4">
      <w:rPr>
        <w:rFonts w:ascii="Arial" w:hAnsi="Arial" w:cs="Arial"/>
        <w:b/>
        <w:sz w:val="48"/>
      </w:rPr>
      <w:t>EN</w:t>
    </w:r>
    <w:r w:rsidRPr="002945E4">
      <w:rPr>
        <w:rFonts w:ascii="Arial" w:hAnsi="Arial" w:cs="Arial"/>
        <w:b/>
        <w:sz w:val="48"/>
      </w:rPr>
      <w:tab/>
    </w:r>
    <w:r w:rsidRPr="002945E4">
      <w:rPr>
        <w:rFonts w:ascii="Arial" w:hAnsi="Arial" w:cs="Arial"/>
        <w:b/>
        <w:sz w:val="48"/>
      </w:rPr>
      <w:tab/>
    </w:r>
    <w:r w:rsidRPr="002945E4">
      <w:tab/>
    </w:r>
    <w:proofErr w:type="spellStart"/>
    <w:r w:rsidRPr="002945E4">
      <w:rPr>
        <w:rFonts w:ascii="Arial" w:hAnsi="Arial" w:cs="Arial"/>
        <w:b/>
        <w:sz w:val="48"/>
      </w:rPr>
      <w:t>EN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E864" w14:textId="1FE8C6D4" w:rsidR="00B13211" w:rsidRPr="002945E4" w:rsidRDefault="002945E4" w:rsidP="002945E4">
    <w:pPr>
      <w:pStyle w:val="FooterCoverPage"/>
      <w:rPr>
        <w:rFonts w:ascii="Arial" w:hAnsi="Arial" w:cs="Arial"/>
        <w:b/>
        <w:sz w:val="48"/>
      </w:rPr>
    </w:pPr>
    <w:r w:rsidRPr="002945E4">
      <w:rPr>
        <w:rFonts w:ascii="Arial" w:hAnsi="Arial" w:cs="Arial"/>
        <w:b/>
        <w:sz w:val="48"/>
      </w:rPr>
      <w:t>EN</w:t>
    </w:r>
    <w:r w:rsidRPr="002945E4">
      <w:rPr>
        <w:rFonts w:ascii="Arial" w:hAnsi="Arial" w:cs="Arial"/>
        <w:b/>
        <w:sz w:val="48"/>
      </w:rPr>
      <w:tab/>
    </w:r>
    <w:r w:rsidRPr="002945E4">
      <w:rPr>
        <w:rFonts w:ascii="Arial" w:hAnsi="Arial" w:cs="Arial"/>
        <w:b/>
        <w:sz w:val="48"/>
      </w:rPr>
      <w:tab/>
    </w:r>
    <w:r w:rsidRPr="002945E4">
      <w:tab/>
    </w:r>
    <w:proofErr w:type="spellStart"/>
    <w:r w:rsidRPr="002945E4">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E122" w14:textId="77777777" w:rsidR="002945E4" w:rsidRPr="002945E4" w:rsidRDefault="002945E4" w:rsidP="002945E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EB02" w14:textId="77777777" w:rsidR="002945E4" w:rsidRDefault="00294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9BEA" w14:textId="77777777" w:rsidR="002945E4" w:rsidRDefault="002945E4">
    <w:pPr>
      <w:pStyle w:val="Footer"/>
      <w:tabs>
        <w:tab w:val="clear" w:pos="9026"/>
        <w:tab w:val="right" w:pos="9000"/>
      </w:tabs>
      <w:jc w:val="right"/>
    </w:pPr>
    <w:r>
      <w:fldChar w:fldCharType="begin"/>
    </w:r>
    <w:r>
      <w:instrText xml:space="preserve"> PAGE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F7AB" w14:textId="77777777" w:rsidR="002945E4" w:rsidRDefault="00294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B1C7B" w14:textId="77777777" w:rsidR="001A4028" w:rsidRDefault="001A4028">
      <w:r>
        <w:separator/>
      </w:r>
    </w:p>
  </w:footnote>
  <w:footnote w:type="continuationSeparator" w:id="0">
    <w:p w14:paraId="6702CA09" w14:textId="77777777" w:rsidR="001A4028" w:rsidRDefault="001A4028">
      <w:r>
        <w:continuationSeparator/>
      </w:r>
    </w:p>
  </w:footnote>
  <w:footnote w:type="continuationNotice" w:id="1">
    <w:p w14:paraId="32E1708A" w14:textId="77777777" w:rsidR="001A4028" w:rsidRDefault="001A4028"/>
  </w:footnote>
  <w:footnote w:id="2">
    <w:p w14:paraId="052BCFEA" w14:textId="77777777" w:rsidR="00533439" w:rsidRPr="00647B05" w:rsidRDefault="00533439" w:rsidP="00647B05">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w:t>
      </w:r>
      <w:hyperlink r:id="rId1" w:history="1">
        <w:r w:rsidRPr="00647B05">
          <w:rPr>
            <w:rStyle w:val="Hyperlink0"/>
            <w:rFonts w:ascii="Times New Roman" w:hAnsi="Times New Roman" w:cs="Times New Roman"/>
          </w:rPr>
          <w:t>https://ec.europa.eu/commission/presscorner/detail/en/speech_23_4377</w:t>
        </w:r>
      </w:hyperlink>
      <w:r w:rsidRPr="00647B05">
        <w:rPr>
          <w:rFonts w:ascii="Times New Roman" w:hAnsi="Times New Roman" w:cs="Times New Roman"/>
          <w:sz w:val="16"/>
          <w:szCs w:val="16"/>
        </w:rPr>
        <w:t xml:space="preserve"> </w:t>
      </w:r>
    </w:p>
  </w:footnote>
  <w:footnote w:id="3">
    <w:p w14:paraId="1C8BAC48" w14:textId="77777777" w:rsidR="00533439" w:rsidRPr="00647B05" w:rsidRDefault="00533439" w:rsidP="00647B05">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Governance Regulation (EU) 2018/1999 Article 2(11)</w:t>
      </w:r>
    </w:p>
  </w:footnote>
  <w:footnote w:id="4">
    <w:p w14:paraId="1DB618EF" w14:textId="77777777" w:rsidR="00533439" w:rsidRPr="00647B05" w:rsidRDefault="00533439" w:rsidP="00647B05">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In January 2023, </w:t>
      </w:r>
      <w:hyperlink r:id="rId2" w:history="1">
        <w:r w:rsidRPr="00647B05">
          <w:rPr>
            <w:rStyle w:val="Hyperlink0"/>
            <w:rFonts w:ascii="Times New Roman" w:hAnsi="Times New Roman" w:cs="Times New Roman"/>
          </w:rPr>
          <w:t>Member States agreed regionally</w:t>
        </w:r>
      </w:hyperlink>
      <w:r w:rsidRPr="00647B05">
        <w:rPr>
          <w:rFonts w:ascii="Times New Roman" w:hAnsi="Times New Roman" w:cs="Times New Roman"/>
          <w:sz w:val="16"/>
          <w:szCs w:val="16"/>
        </w:rPr>
        <w:t xml:space="preserve"> on combined ambitions leading to cumulative offshore goals of around 111 GW by 2030 and 317 GW by 2050. This compares to around 971 MW of total onshore and offshore installed capacity in 2023 (Commission’s estimations of 971,452 MW based on </w:t>
      </w:r>
      <w:hyperlink r:id="rId3" w:history="1">
        <w:r w:rsidRPr="00647B05">
          <w:rPr>
            <w:rStyle w:val="Hyperlink2"/>
            <w:rFonts w:eastAsia="Calibri"/>
          </w:rPr>
          <w:t>ENTSO-E’s Transparency Platform</w:t>
        </w:r>
      </w:hyperlink>
      <w:r w:rsidRPr="00647B05">
        <w:rPr>
          <w:rFonts w:ascii="Times New Roman" w:hAnsi="Times New Roman" w:cs="Times New Roman"/>
          <w:sz w:val="16"/>
          <w:szCs w:val="16"/>
        </w:rPr>
        <w:t xml:space="preserve"> country data)</w:t>
      </w:r>
    </w:p>
  </w:footnote>
  <w:footnote w:id="5">
    <w:p w14:paraId="7085B2B1" w14:textId="77777777" w:rsidR="00533439" w:rsidRPr="00647B05" w:rsidRDefault="00533439" w:rsidP="00647B05">
      <w:pPr>
        <w:pStyle w:val="FootnoteText"/>
        <w:spacing w:line="240" w:lineRule="auto"/>
        <w:rPr>
          <w:rFonts w:ascii="Times New Roman" w:hAnsi="Times New Roman" w:cs="Times New Roman"/>
          <w:sz w:val="16"/>
          <w:szCs w:val="16"/>
          <w:lang w:val="en-IE"/>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w:t>
      </w:r>
      <w:hyperlink r:id="rId4" w:history="1">
        <w:r w:rsidRPr="00647B05">
          <w:rPr>
            <w:rStyle w:val="Hyperlink2"/>
            <w:rFonts w:eastAsia="Calibri"/>
          </w:rPr>
          <w:t>System needs study – Opportunities for a more efficient European power system in 2030 and 2040</w:t>
        </w:r>
      </w:hyperlink>
      <w:r w:rsidRPr="00647B05">
        <w:rPr>
          <w:rFonts w:ascii="Times New Roman" w:hAnsi="Times New Roman" w:cs="Times New Roman"/>
          <w:sz w:val="16"/>
          <w:szCs w:val="16"/>
        </w:rPr>
        <w:t>, TYNDP 2022, ENTSO-E, May 2023</w:t>
      </w:r>
    </w:p>
  </w:footnote>
  <w:footnote w:id="6">
    <w:p w14:paraId="4B497337" w14:textId="77777777" w:rsidR="001964DB" w:rsidRPr="00647B05" w:rsidRDefault="001964DB" w:rsidP="00647B05">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Commission Report on </w:t>
      </w:r>
      <w:hyperlink r:id="rId5" w:history="1">
        <w:r w:rsidRPr="00647B05">
          <w:rPr>
            <w:rStyle w:val="Hyperlink0"/>
            <w:rFonts w:ascii="Times New Roman" w:hAnsi="Times New Roman" w:cs="Times New Roman"/>
          </w:rPr>
          <w:t>Promotion of e-mobility through buildings policy</w:t>
        </w:r>
      </w:hyperlink>
      <w:r w:rsidRPr="00647B05">
        <w:rPr>
          <w:rFonts w:ascii="Times New Roman" w:hAnsi="Times New Roman" w:cs="Times New Roman"/>
          <w:sz w:val="16"/>
          <w:szCs w:val="16"/>
        </w:rPr>
        <w:t>, February 2023</w:t>
      </w:r>
    </w:p>
  </w:footnote>
  <w:footnote w:id="7">
    <w:p w14:paraId="250E5B4D" w14:textId="77777777" w:rsidR="00AC78FE" w:rsidRPr="00647B05" w:rsidRDefault="00AC78FE" w:rsidP="00647B05">
      <w:pPr>
        <w:pStyle w:val="FootnoteText"/>
        <w:spacing w:line="240" w:lineRule="auto"/>
        <w:rPr>
          <w:rFonts w:ascii="Times New Roman" w:hAnsi="Times New Roman" w:cs="Times New Roman"/>
          <w:sz w:val="16"/>
          <w:szCs w:val="16"/>
        </w:rPr>
      </w:pPr>
      <w:r w:rsidRPr="00647B05">
        <w:rPr>
          <w:rFonts w:ascii="Times New Roman" w:eastAsia="Times New Roman" w:hAnsi="Times New Roman" w:cs="Times New Roman"/>
          <w:sz w:val="16"/>
          <w:szCs w:val="16"/>
          <w:vertAlign w:val="superscript"/>
        </w:rPr>
        <w:footnoteRef/>
      </w:r>
      <w:r w:rsidRPr="00647B05">
        <w:rPr>
          <w:rFonts w:ascii="Times New Roman" w:hAnsi="Times New Roman" w:cs="Times New Roman"/>
          <w:sz w:val="16"/>
          <w:szCs w:val="16"/>
        </w:rPr>
        <w:t xml:space="preserve"> See </w:t>
      </w:r>
      <w:r w:rsidRPr="00647B05">
        <w:rPr>
          <w:rStyle w:val="Hyperlink2"/>
          <w:rFonts w:eastAsia="Calibri"/>
        </w:rPr>
        <w:t>Connecting the dots</w:t>
      </w:r>
      <w:r w:rsidRPr="00647B05">
        <w:rPr>
          <w:rFonts w:ascii="Times New Roman" w:hAnsi="Times New Roman" w:cs="Times New Roman"/>
          <w:sz w:val="16"/>
          <w:szCs w:val="16"/>
        </w:rPr>
        <w:t xml:space="preserve">, conducted by </w:t>
      </w:r>
      <w:proofErr w:type="spellStart"/>
      <w:r w:rsidRPr="00647B05">
        <w:rPr>
          <w:rFonts w:ascii="Times New Roman" w:hAnsi="Times New Roman" w:cs="Times New Roman"/>
          <w:sz w:val="16"/>
          <w:szCs w:val="16"/>
        </w:rPr>
        <w:t>Eurelectric</w:t>
      </w:r>
      <w:proofErr w:type="spellEnd"/>
      <w:r w:rsidRPr="00647B05">
        <w:rPr>
          <w:rFonts w:ascii="Times New Roman" w:hAnsi="Times New Roman" w:cs="Times New Roman"/>
          <w:sz w:val="16"/>
          <w:szCs w:val="16"/>
        </w:rPr>
        <w:t xml:space="preserve"> in cooperation with E.DSO. Grids’ share of total energy supply costs has evolved from 27% on average in the previous decade, to 37% this decade – see Commission’s </w:t>
      </w:r>
      <w:hyperlink r:id="rId6" w:history="1">
        <w:r w:rsidRPr="00647B05">
          <w:rPr>
            <w:rStyle w:val="Hyperlink2"/>
            <w:rFonts w:eastAsia="Calibri"/>
          </w:rPr>
          <w:t>Investment needs assessment</w:t>
        </w:r>
      </w:hyperlink>
      <w:r w:rsidRPr="00647B05">
        <w:rPr>
          <w:rFonts w:ascii="Times New Roman" w:hAnsi="Times New Roman" w:cs="Times New Roman"/>
          <w:sz w:val="16"/>
          <w:szCs w:val="16"/>
        </w:rPr>
        <w:t xml:space="preserve"> SWD(2023) 68 final</w:t>
      </w:r>
    </w:p>
  </w:footnote>
  <w:footnote w:id="8">
    <w:p w14:paraId="161AC58B" w14:textId="077A1F13" w:rsidR="001644A1" w:rsidRPr="00647B05" w:rsidRDefault="001644A1" w:rsidP="00647B05">
      <w:pPr>
        <w:pStyle w:val="FootnoteText"/>
        <w:spacing w:line="240" w:lineRule="auto"/>
        <w:rPr>
          <w:rFonts w:ascii="Times New Roman" w:hAnsi="Times New Roman" w:cs="Times New Roman"/>
          <w:sz w:val="16"/>
          <w:szCs w:val="16"/>
          <w:lang w:val="en-IE"/>
        </w:rPr>
      </w:pPr>
      <w:r w:rsidRPr="00647B05">
        <w:rPr>
          <w:rStyle w:val="FootnoteReference"/>
          <w:rFonts w:ascii="Times New Roman" w:hAnsi="Times New Roman" w:cs="Times New Roman"/>
          <w:sz w:val="16"/>
          <w:szCs w:val="16"/>
        </w:rPr>
        <w:footnoteRef/>
      </w:r>
      <w:r w:rsidR="00AC706C" w:rsidRPr="00647B05">
        <w:rPr>
          <w:rFonts w:ascii="Times New Roman" w:hAnsi="Times New Roman" w:cs="Times New Roman"/>
          <w:sz w:val="16"/>
          <w:szCs w:val="16"/>
        </w:rPr>
        <w:t xml:space="preserve"> </w:t>
      </w:r>
      <w:hyperlink r:id="rId7" w:history="1">
        <w:r w:rsidRPr="00647B05">
          <w:rPr>
            <w:rStyle w:val="Hyperlink0"/>
            <w:rFonts w:ascii="Times New Roman" w:hAnsi="Times New Roman" w:cs="Times New Roman"/>
          </w:rPr>
          <w:t xml:space="preserve">Implementing the </w:t>
        </w:r>
        <w:proofErr w:type="spellStart"/>
        <w:r w:rsidRPr="00647B05">
          <w:rPr>
            <w:rStyle w:val="Hyperlink0"/>
            <w:rFonts w:ascii="Times New Roman" w:hAnsi="Times New Roman" w:cs="Times New Roman"/>
          </w:rPr>
          <w:t>REPower</w:t>
        </w:r>
        <w:proofErr w:type="spellEnd"/>
        <w:r w:rsidRPr="00647B05">
          <w:rPr>
            <w:rStyle w:val="Hyperlink0"/>
            <w:rFonts w:ascii="Times New Roman" w:hAnsi="Times New Roman" w:cs="Times New Roman"/>
          </w:rPr>
          <w:t xml:space="preserve"> EU Action Plan</w:t>
        </w:r>
      </w:hyperlink>
      <w:r w:rsidRPr="00647B05">
        <w:rPr>
          <w:rFonts w:ascii="Times New Roman" w:hAnsi="Times New Roman" w:cs="Times New Roman"/>
          <w:sz w:val="16"/>
          <w:szCs w:val="16"/>
        </w:rPr>
        <w:t xml:space="preserve">, </w:t>
      </w:r>
      <w:proofErr w:type="gramStart"/>
      <w:r w:rsidRPr="00647B05">
        <w:rPr>
          <w:rFonts w:ascii="Times New Roman" w:hAnsi="Times New Roman" w:cs="Times New Roman"/>
          <w:sz w:val="16"/>
          <w:szCs w:val="16"/>
        </w:rPr>
        <w:t>SWD(</w:t>
      </w:r>
      <w:proofErr w:type="gramEnd"/>
      <w:r w:rsidRPr="00647B05">
        <w:rPr>
          <w:rFonts w:ascii="Times New Roman" w:hAnsi="Times New Roman" w:cs="Times New Roman"/>
          <w:sz w:val="16"/>
          <w:szCs w:val="16"/>
        </w:rPr>
        <w:t>2022) 230 final</w:t>
      </w:r>
    </w:p>
  </w:footnote>
  <w:footnote w:id="9">
    <w:p w14:paraId="282FB24F" w14:textId="77777777" w:rsidR="00C0145F" w:rsidRPr="00647B05" w:rsidRDefault="00C0145F" w:rsidP="00647B05">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w:t>
      </w:r>
      <w:hyperlink r:id="rId8" w:history="1">
        <w:r w:rsidRPr="00647B05">
          <w:rPr>
            <w:rStyle w:val="Hyperlink0"/>
            <w:rFonts w:ascii="Times New Roman" w:hAnsi="Times New Roman" w:cs="Times New Roman"/>
          </w:rPr>
          <w:t>Electricity Grids and Secure Energy Transitions</w:t>
        </w:r>
      </w:hyperlink>
      <w:r w:rsidRPr="00647B05">
        <w:rPr>
          <w:rFonts w:ascii="Times New Roman" w:hAnsi="Times New Roman" w:cs="Times New Roman"/>
          <w:sz w:val="16"/>
          <w:szCs w:val="16"/>
        </w:rPr>
        <w:t>, IEA, October 2023</w:t>
      </w:r>
    </w:p>
  </w:footnote>
  <w:footnote w:id="10">
    <w:p w14:paraId="1A998C3A" w14:textId="0BC13BD0" w:rsidR="00423146" w:rsidRPr="00647B05" w:rsidRDefault="00423146" w:rsidP="00D935E1">
      <w:pPr>
        <w:pStyle w:val="FootnoteText"/>
        <w:spacing w:line="240" w:lineRule="auto"/>
        <w:rPr>
          <w:rFonts w:ascii="Times New Roman" w:hAnsi="Times New Roman" w:cs="Times New Roman"/>
          <w:sz w:val="16"/>
          <w:szCs w:val="16"/>
          <w:lang w:val="en-IE"/>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w:t>
      </w:r>
      <w:hyperlink r:id="rId9" w:history="1">
        <w:r w:rsidRPr="00647B05">
          <w:rPr>
            <w:rStyle w:val="Hyperlink0"/>
            <w:rFonts w:ascii="Times New Roman" w:hAnsi="Times New Roman" w:cs="Times New Roman"/>
          </w:rPr>
          <w:t>https://www.consilium.europa.eu/en/press/press-releases/2023/10/09/renewable-energy-council-adopts-new-rules/</w:t>
        </w:r>
      </w:hyperlink>
      <w:r w:rsidRPr="00647B05">
        <w:rPr>
          <w:rStyle w:val="Hyperlink0"/>
          <w:rFonts w:ascii="Times New Roman" w:hAnsi="Times New Roman" w:cs="Times New Roman"/>
        </w:rPr>
        <w:t xml:space="preserve"> </w:t>
      </w:r>
    </w:p>
  </w:footnote>
  <w:footnote w:id="11">
    <w:p w14:paraId="564F06A0" w14:textId="5129A711" w:rsidR="00423146" w:rsidRPr="00647B05" w:rsidRDefault="00423146" w:rsidP="00D935E1">
      <w:pPr>
        <w:pStyle w:val="FootnoteText"/>
        <w:spacing w:line="240" w:lineRule="auto"/>
        <w:rPr>
          <w:rFonts w:ascii="Times New Roman" w:hAnsi="Times New Roman" w:cs="Times New Roman"/>
          <w:sz w:val="16"/>
          <w:szCs w:val="16"/>
          <w:lang w:val="en-IE"/>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w:t>
      </w:r>
      <w:hyperlink r:id="rId10" w:history="1">
        <w:r w:rsidRPr="00647B05">
          <w:rPr>
            <w:rStyle w:val="Hyperlink0"/>
            <w:rFonts w:ascii="Times New Roman" w:hAnsi="Times New Roman" w:cs="Times New Roman"/>
          </w:rPr>
          <w:t>Regulation (EU) 2019/943</w:t>
        </w:r>
      </w:hyperlink>
      <w:r w:rsidRPr="00647B05">
        <w:rPr>
          <w:rFonts w:ascii="Times New Roman" w:hAnsi="Times New Roman" w:cs="Times New Roman"/>
          <w:sz w:val="16"/>
          <w:szCs w:val="16"/>
        </w:rPr>
        <w:t xml:space="preserve"> and </w:t>
      </w:r>
      <w:hyperlink r:id="rId11" w:history="1">
        <w:r w:rsidRPr="00647B05">
          <w:rPr>
            <w:rStyle w:val="Hyperlink0"/>
            <w:rFonts w:ascii="Times New Roman" w:hAnsi="Times New Roman" w:cs="Times New Roman"/>
          </w:rPr>
          <w:t>Directive (EU) 2019/944</w:t>
        </w:r>
      </w:hyperlink>
    </w:p>
  </w:footnote>
  <w:footnote w:id="12">
    <w:p w14:paraId="10C679BA" w14:textId="77777777" w:rsidR="00AC78D8" w:rsidRPr="00647B05" w:rsidRDefault="00AC78D8" w:rsidP="00647B05">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w:t>
      </w:r>
      <w:hyperlink r:id="rId12" w:history="1">
        <w:r w:rsidRPr="00647B05">
          <w:rPr>
            <w:rStyle w:val="Hyperlink0"/>
            <w:rFonts w:ascii="Times New Roman" w:hAnsi="Times New Roman" w:cs="Times New Roman"/>
          </w:rPr>
          <w:t>https://www.ft.com/content/4c843612-1890-49bb-83eb-ddbe4495d6c9</w:t>
        </w:r>
      </w:hyperlink>
      <w:r w:rsidRPr="00647B05">
        <w:rPr>
          <w:rFonts w:ascii="Times New Roman" w:hAnsi="Times New Roman" w:cs="Times New Roman"/>
          <w:sz w:val="16"/>
          <w:szCs w:val="16"/>
        </w:rPr>
        <w:t xml:space="preserve"> </w:t>
      </w:r>
    </w:p>
  </w:footnote>
  <w:footnote w:id="13">
    <w:p w14:paraId="316F8D6D" w14:textId="2F76A06C" w:rsidR="00647B05" w:rsidRPr="00D935E1" w:rsidRDefault="00647B05" w:rsidP="00D935E1">
      <w:pPr>
        <w:pStyle w:val="FootnoteText"/>
        <w:spacing w:line="240" w:lineRule="auto"/>
        <w:rPr>
          <w:rFonts w:ascii="Times New Roman" w:hAnsi="Times New Roman" w:cs="Times New Roman"/>
          <w:sz w:val="16"/>
          <w:szCs w:val="16"/>
          <w:lang w:val="en-IE"/>
        </w:rPr>
      </w:pPr>
      <w:r w:rsidRPr="00D935E1">
        <w:rPr>
          <w:rStyle w:val="FootnoteReference"/>
          <w:rFonts w:ascii="Times New Roman" w:hAnsi="Times New Roman" w:cs="Times New Roman"/>
          <w:sz w:val="16"/>
          <w:szCs w:val="16"/>
        </w:rPr>
        <w:footnoteRef/>
      </w:r>
      <w:r w:rsidRPr="00D935E1">
        <w:rPr>
          <w:rFonts w:ascii="Times New Roman" w:hAnsi="Times New Roman" w:cs="Times New Roman"/>
          <w:sz w:val="16"/>
          <w:szCs w:val="16"/>
        </w:rPr>
        <w:t xml:space="preserve"> </w:t>
      </w:r>
      <w:hyperlink r:id="rId13" w:history="1">
        <w:r w:rsidRPr="00D935E1">
          <w:rPr>
            <w:rStyle w:val="Hyperlink0"/>
            <w:rFonts w:ascii="Times New Roman" w:hAnsi="Times New Roman" w:cs="Times New Roman"/>
          </w:rPr>
          <w:t>Conclusions of the Conference on the Future of Europe</w:t>
        </w:r>
      </w:hyperlink>
      <w:r w:rsidRPr="00D935E1">
        <w:rPr>
          <w:rFonts w:ascii="Times New Roman" w:hAnsi="Times New Roman" w:cs="Times New Roman"/>
          <w:sz w:val="16"/>
          <w:szCs w:val="16"/>
          <w:lang w:val="en-IE"/>
        </w:rPr>
        <w:t>, proposal 3 on climate change, energy and transport, measure 4 (p. 45)</w:t>
      </w:r>
    </w:p>
  </w:footnote>
  <w:footnote w:id="14">
    <w:p w14:paraId="0F0BF0F6" w14:textId="77777777" w:rsidR="0095700F" w:rsidRPr="001E294F" w:rsidRDefault="0095700F" w:rsidP="00D935E1">
      <w:pPr>
        <w:pStyle w:val="FootnoteText"/>
        <w:spacing w:line="240" w:lineRule="auto"/>
        <w:rPr>
          <w:rFonts w:ascii="Times New Roman" w:hAnsi="Times New Roman" w:cs="Times New Roman"/>
          <w:sz w:val="16"/>
          <w:szCs w:val="16"/>
          <w:lang w:val="en-IE"/>
        </w:rPr>
      </w:pPr>
      <w:r w:rsidRPr="001E294F">
        <w:rPr>
          <w:rFonts w:ascii="Times New Roman" w:hAnsi="Times New Roman" w:cs="Times New Roman"/>
          <w:sz w:val="16"/>
          <w:szCs w:val="16"/>
          <w:vertAlign w:val="superscript"/>
        </w:rPr>
        <w:footnoteRef/>
      </w:r>
      <w:r w:rsidRPr="001E294F">
        <w:rPr>
          <w:rFonts w:ascii="Times New Roman" w:hAnsi="Times New Roman" w:cs="Times New Roman"/>
          <w:sz w:val="16"/>
          <w:szCs w:val="16"/>
          <w:lang w:val="en-IE"/>
        </w:rPr>
        <w:t xml:space="preserve"> </w:t>
      </w:r>
      <w:hyperlink r:id="rId14" w:history="1">
        <w:r w:rsidRPr="00D935E1">
          <w:rPr>
            <w:rStyle w:val="Hyperlink0"/>
          </w:rPr>
          <w:t>https://energy.ec.europa.eu/topics/infrastructure/energy-infrastructure-forum_en</w:t>
        </w:r>
      </w:hyperlink>
      <w:r w:rsidRPr="001E294F">
        <w:rPr>
          <w:rFonts w:ascii="Times New Roman" w:hAnsi="Times New Roman" w:cs="Times New Roman"/>
          <w:sz w:val="16"/>
          <w:szCs w:val="16"/>
          <w:lang w:val="en-IE"/>
        </w:rPr>
        <w:t xml:space="preserve"> </w:t>
      </w:r>
    </w:p>
  </w:footnote>
  <w:footnote w:id="15">
    <w:p w14:paraId="5827B65A" w14:textId="77777777" w:rsidR="0095700F" w:rsidRPr="001E294F" w:rsidRDefault="0095700F" w:rsidP="00D935E1">
      <w:pPr>
        <w:pStyle w:val="FootnoteText"/>
        <w:spacing w:line="240" w:lineRule="auto"/>
        <w:rPr>
          <w:rFonts w:ascii="Times New Roman" w:hAnsi="Times New Roman" w:cs="Times New Roman"/>
          <w:sz w:val="16"/>
          <w:szCs w:val="16"/>
          <w:lang w:val="en-IE"/>
        </w:rPr>
      </w:pPr>
      <w:r w:rsidRPr="001E294F">
        <w:rPr>
          <w:rFonts w:ascii="Times New Roman" w:hAnsi="Times New Roman" w:cs="Times New Roman"/>
          <w:sz w:val="16"/>
          <w:szCs w:val="16"/>
          <w:vertAlign w:val="superscript"/>
        </w:rPr>
        <w:footnoteRef/>
      </w:r>
      <w:r w:rsidRPr="001E294F">
        <w:rPr>
          <w:rFonts w:ascii="Times New Roman" w:hAnsi="Times New Roman" w:cs="Times New Roman"/>
          <w:sz w:val="16"/>
          <w:szCs w:val="16"/>
          <w:lang w:val="en-IE"/>
        </w:rPr>
        <w:t xml:space="preserve"> </w:t>
      </w:r>
      <w:hyperlink r:id="rId15" w:history="1">
        <w:r w:rsidRPr="00D935E1">
          <w:rPr>
            <w:rStyle w:val="Hyperlink0"/>
          </w:rPr>
          <w:t>https://energy.ec.europa.eu/topics/infrastructure/projects-common-interest/pci-energy-days_en</w:t>
        </w:r>
      </w:hyperlink>
      <w:r w:rsidRPr="001E294F">
        <w:rPr>
          <w:rFonts w:ascii="Times New Roman" w:hAnsi="Times New Roman" w:cs="Times New Roman"/>
          <w:sz w:val="16"/>
          <w:szCs w:val="16"/>
          <w:lang w:val="en-IE"/>
        </w:rPr>
        <w:t xml:space="preserve"> </w:t>
      </w:r>
    </w:p>
  </w:footnote>
  <w:footnote w:id="16">
    <w:p w14:paraId="068B8240" w14:textId="77777777" w:rsidR="0095700F" w:rsidRPr="001E294F" w:rsidRDefault="0095700F" w:rsidP="00647B05">
      <w:pPr>
        <w:pStyle w:val="FootnoteText"/>
        <w:spacing w:line="240" w:lineRule="auto"/>
        <w:rPr>
          <w:rFonts w:ascii="Times New Roman" w:hAnsi="Times New Roman" w:cs="Times New Roman"/>
          <w:sz w:val="16"/>
          <w:szCs w:val="16"/>
          <w:lang w:val="en-IE"/>
        </w:rPr>
      </w:pPr>
      <w:r w:rsidRPr="001E294F">
        <w:rPr>
          <w:rFonts w:ascii="Times New Roman" w:hAnsi="Times New Roman" w:cs="Times New Roman"/>
          <w:sz w:val="16"/>
          <w:szCs w:val="16"/>
          <w:vertAlign w:val="superscript"/>
        </w:rPr>
        <w:footnoteRef/>
      </w:r>
      <w:r w:rsidRPr="001E294F">
        <w:rPr>
          <w:rFonts w:ascii="Times New Roman" w:hAnsi="Times New Roman" w:cs="Times New Roman"/>
          <w:sz w:val="16"/>
          <w:szCs w:val="16"/>
          <w:lang w:val="en-IE"/>
        </w:rPr>
        <w:t xml:space="preserve"> 2023: </w:t>
      </w:r>
      <w:hyperlink r:id="rId16" w:history="1">
        <w:r w:rsidRPr="00D935E1">
          <w:rPr>
            <w:rStyle w:val="Hyperlink0"/>
          </w:rPr>
          <w:t>https://www.pcisummit.eu/live-stream/</w:t>
        </w:r>
      </w:hyperlink>
      <w:r w:rsidRPr="001E294F">
        <w:rPr>
          <w:rFonts w:ascii="Times New Roman" w:hAnsi="Times New Roman" w:cs="Times New Roman"/>
          <w:sz w:val="16"/>
          <w:szCs w:val="16"/>
          <w:lang w:val="en-IE"/>
        </w:rPr>
        <w:t xml:space="preserve">; 2022: </w:t>
      </w:r>
      <w:hyperlink r:id="rId17" w:history="1">
        <w:r w:rsidRPr="00D935E1">
          <w:rPr>
            <w:rStyle w:val="Hyperlink0"/>
          </w:rPr>
          <w:t>https://www.sincrogrid.eu/en/News/ArticleID/442/Recordings-of-the-Smart-Grid-PCIs-Summit</w:t>
        </w:r>
      </w:hyperlink>
      <w:r w:rsidRPr="001E294F">
        <w:rPr>
          <w:rFonts w:ascii="Times New Roman" w:hAnsi="Times New Roman" w:cs="Times New Roman"/>
          <w:sz w:val="16"/>
          <w:szCs w:val="16"/>
          <w:lang w:val="en-IE"/>
        </w:rPr>
        <w:t xml:space="preserve"> </w:t>
      </w:r>
    </w:p>
  </w:footnote>
  <w:footnote w:id="17">
    <w:p w14:paraId="0DCE9312" w14:textId="3B28259F" w:rsidR="006664D1" w:rsidRPr="00D935E1" w:rsidRDefault="006664D1" w:rsidP="00647B05">
      <w:pPr>
        <w:pStyle w:val="FootnoteText"/>
        <w:spacing w:line="240" w:lineRule="auto"/>
        <w:rPr>
          <w:rStyle w:val="Hyperlink0"/>
          <w:rFonts w:ascii="Times New Roman" w:hAnsi="Times New Roman" w:cs="Times New Roman"/>
        </w:rPr>
      </w:pPr>
      <w:r w:rsidRPr="001E294F">
        <w:rPr>
          <w:rStyle w:val="FootnoteReference"/>
          <w:rFonts w:ascii="Times New Roman" w:hAnsi="Times New Roman" w:cs="Times New Roman"/>
          <w:sz w:val="16"/>
          <w:szCs w:val="16"/>
        </w:rPr>
        <w:footnoteRef/>
      </w:r>
      <w:r w:rsidRPr="001E294F">
        <w:rPr>
          <w:rFonts w:ascii="Times New Roman" w:hAnsi="Times New Roman" w:cs="Times New Roman"/>
          <w:sz w:val="16"/>
          <w:szCs w:val="16"/>
        </w:rPr>
        <w:t xml:space="preserve"> </w:t>
      </w:r>
      <w:hyperlink r:id="rId18" w:history="1">
        <w:r w:rsidR="00647B05" w:rsidRPr="00D935E1">
          <w:rPr>
            <w:rStyle w:val="Hyperlink0"/>
          </w:rPr>
          <w:t>https://www.entsoe.eu/eugridforum/</w:t>
        </w:r>
      </w:hyperlink>
      <w:r w:rsidRPr="00D935E1">
        <w:rPr>
          <w:rStyle w:val="Hyperlink0"/>
        </w:rPr>
        <w:t xml:space="preserve"> </w:t>
      </w:r>
    </w:p>
  </w:footnote>
  <w:footnote w:id="18">
    <w:p w14:paraId="35A80617" w14:textId="77777777" w:rsidR="00EF62DC" w:rsidRPr="005B45FA" w:rsidRDefault="00EF62DC" w:rsidP="00D935E1">
      <w:pPr>
        <w:pStyle w:val="FootnoteText"/>
        <w:spacing w:line="240" w:lineRule="auto"/>
        <w:rPr>
          <w:rFonts w:ascii="Times New Roman" w:hAnsi="Times New Roman" w:cs="Times New Roman"/>
          <w:sz w:val="16"/>
          <w:szCs w:val="16"/>
        </w:rPr>
      </w:pPr>
      <w:r w:rsidRPr="001E294F">
        <w:rPr>
          <w:rStyle w:val="FootnoteReference"/>
          <w:rFonts w:ascii="Times New Roman" w:hAnsi="Times New Roman" w:cs="Times New Roman"/>
          <w:sz w:val="16"/>
          <w:szCs w:val="16"/>
        </w:rPr>
        <w:footnoteRef/>
      </w:r>
      <w:r w:rsidRPr="001E294F">
        <w:rPr>
          <w:rFonts w:ascii="Times New Roman" w:hAnsi="Times New Roman" w:cs="Times New Roman"/>
          <w:sz w:val="16"/>
          <w:szCs w:val="16"/>
        </w:rPr>
        <w:t xml:space="preserve"> </w:t>
      </w:r>
      <w:hyperlink r:id="rId19" w:history="1">
        <w:r w:rsidRPr="00D935E1">
          <w:rPr>
            <w:rStyle w:val="Hyperlink0"/>
            <w:rFonts w:ascii="Times New Roman" w:hAnsi="Times New Roman" w:cs="Times New Roman"/>
          </w:rPr>
          <w:t>The European Investment Bank’s role in cross-border infrastructure projects</w:t>
        </w:r>
      </w:hyperlink>
      <w:r w:rsidRPr="001E294F">
        <w:rPr>
          <w:rFonts w:ascii="Times New Roman" w:hAnsi="Times New Roman" w:cs="Times New Roman"/>
          <w:sz w:val="16"/>
          <w:szCs w:val="16"/>
        </w:rPr>
        <w:t>, EIB, May 2023</w:t>
      </w:r>
      <w:r w:rsidRPr="005B45FA">
        <w:rPr>
          <w:rFonts w:ascii="Times New Roman" w:hAnsi="Times New Roman" w:cs="Times New Roman"/>
          <w:sz w:val="16"/>
          <w:szCs w:val="16"/>
        </w:rPr>
        <w:t xml:space="preserve"> </w:t>
      </w:r>
    </w:p>
  </w:footnote>
  <w:footnote w:id="19">
    <w:p w14:paraId="305EFF78" w14:textId="1956F2FE" w:rsidR="006A5667" w:rsidRPr="00D935E1" w:rsidRDefault="006A5667" w:rsidP="00D935E1">
      <w:pPr>
        <w:pStyle w:val="FootnoteText"/>
        <w:spacing w:line="240" w:lineRule="auto"/>
        <w:rPr>
          <w:rFonts w:ascii="Times New Roman" w:hAnsi="Times New Roman" w:cs="Times New Roman"/>
          <w:sz w:val="16"/>
          <w:szCs w:val="16"/>
        </w:rPr>
      </w:pPr>
      <w:r w:rsidRPr="00D935E1">
        <w:rPr>
          <w:rStyle w:val="FootnoteReference"/>
          <w:rFonts w:ascii="Times New Roman" w:hAnsi="Times New Roman" w:cs="Times New Roman"/>
          <w:sz w:val="16"/>
          <w:szCs w:val="16"/>
        </w:rPr>
        <w:footnoteRef/>
      </w:r>
      <w:r w:rsidRPr="00D935E1">
        <w:rPr>
          <w:rFonts w:ascii="Times New Roman" w:hAnsi="Times New Roman" w:cs="Times New Roman"/>
          <w:sz w:val="16"/>
          <w:szCs w:val="16"/>
        </w:rPr>
        <w:t xml:space="preserve"> PMIs will link EU Member States with </w:t>
      </w:r>
      <w:proofErr w:type="spellStart"/>
      <w:r w:rsidRPr="00D935E1">
        <w:rPr>
          <w:rFonts w:ascii="Times New Roman" w:hAnsi="Times New Roman" w:cs="Times New Roman"/>
          <w:sz w:val="16"/>
          <w:szCs w:val="16"/>
        </w:rPr>
        <w:t>neighbouring</w:t>
      </w:r>
      <w:proofErr w:type="spellEnd"/>
      <w:r w:rsidRPr="00D935E1">
        <w:rPr>
          <w:rFonts w:ascii="Times New Roman" w:hAnsi="Times New Roman" w:cs="Times New Roman"/>
          <w:sz w:val="16"/>
          <w:szCs w:val="16"/>
        </w:rPr>
        <w:t xml:space="preserve"> countries,</w:t>
      </w:r>
      <w:r w:rsidR="001B5291">
        <w:rPr>
          <w:rFonts w:ascii="Times New Roman" w:hAnsi="Times New Roman" w:cs="Times New Roman"/>
          <w:sz w:val="16"/>
          <w:szCs w:val="16"/>
        </w:rPr>
        <w:t xml:space="preserve"> </w:t>
      </w:r>
      <w:r w:rsidR="001B5291" w:rsidRPr="001B5291">
        <w:rPr>
          <w:rFonts w:ascii="Times New Roman" w:hAnsi="Times New Roman" w:cs="Times New Roman"/>
          <w:sz w:val="16"/>
          <w:szCs w:val="16"/>
        </w:rPr>
        <w:t>contribut</w:t>
      </w:r>
      <w:r w:rsidR="001B5291">
        <w:rPr>
          <w:rFonts w:ascii="Times New Roman" w:hAnsi="Times New Roman" w:cs="Times New Roman"/>
          <w:sz w:val="16"/>
          <w:szCs w:val="16"/>
        </w:rPr>
        <w:t>ing</w:t>
      </w:r>
      <w:r w:rsidR="001B5291" w:rsidRPr="001B5291">
        <w:rPr>
          <w:rFonts w:ascii="Times New Roman" w:hAnsi="Times New Roman" w:cs="Times New Roman"/>
          <w:sz w:val="16"/>
          <w:szCs w:val="16"/>
        </w:rPr>
        <w:t xml:space="preserve"> to the Union’s 2030 targets for energy and </w:t>
      </w:r>
      <w:r w:rsidR="001B5291">
        <w:rPr>
          <w:rFonts w:ascii="Times New Roman" w:hAnsi="Times New Roman" w:cs="Times New Roman"/>
          <w:sz w:val="16"/>
          <w:szCs w:val="16"/>
        </w:rPr>
        <w:t>climate, and that may</w:t>
      </w:r>
      <w:r w:rsidR="007E44BB">
        <w:rPr>
          <w:rFonts w:ascii="Times New Roman" w:hAnsi="Times New Roman" w:cs="Times New Roman"/>
          <w:sz w:val="16"/>
          <w:szCs w:val="16"/>
        </w:rPr>
        <w:t xml:space="preserve"> </w:t>
      </w:r>
      <w:r w:rsidR="001B5291">
        <w:rPr>
          <w:rFonts w:ascii="Times New Roman" w:hAnsi="Times New Roman" w:cs="Times New Roman"/>
          <w:sz w:val="16"/>
          <w:szCs w:val="16"/>
        </w:rPr>
        <w:t xml:space="preserve">for example </w:t>
      </w:r>
      <w:r w:rsidR="007E44BB">
        <w:rPr>
          <w:rFonts w:ascii="Times New Roman" w:hAnsi="Times New Roman" w:cs="Times New Roman"/>
          <w:sz w:val="16"/>
          <w:szCs w:val="16"/>
        </w:rPr>
        <w:t xml:space="preserve">support the </w:t>
      </w:r>
      <w:proofErr w:type="spellStart"/>
      <w:r w:rsidR="007E44BB">
        <w:rPr>
          <w:rFonts w:ascii="Times New Roman" w:hAnsi="Times New Roman" w:cs="Times New Roman"/>
          <w:sz w:val="16"/>
          <w:szCs w:val="16"/>
        </w:rPr>
        <w:t>decarbonisation</w:t>
      </w:r>
      <w:proofErr w:type="spellEnd"/>
      <w:r w:rsidR="007E44BB">
        <w:rPr>
          <w:rFonts w:ascii="Times New Roman" w:hAnsi="Times New Roman" w:cs="Times New Roman"/>
          <w:sz w:val="16"/>
          <w:szCs w:val="16"/>
        </w:rPr>
        <w:t xml:space="preserve"> commitments of </w:t>
      </w:r>
      <w:r w:rsidRPr="00D935E1">
        <w:rPr>
          <w:rFonts w:ascii="Times New Roman" w:hAnsi="Times New Roman" w:cs="Times New Roman"/>
          <w:sz w:val="16"/>
          <w:szCs w:val="16"/>
        </w:rPr>
        <w:t>the Energy Community Contracting Parties</w:t>
      </w:r>
    </w:p>
  </w:footnote>
  <w:footnote w:id="20">
    <w:p w14:paraId="53F132F2" w14:textId="77777777" w:rsidR="00AD7495" w:rsidRPr="00D935E1" w:rsidRDefault="00AD7495" w:rsidP="00D935E1">
      <w:pPr>
        <w:pStyle w:val="FootnoteText"/>
        <w:spacing w:line="240" w:lineRule="auto"/>
        <w:rPr>
          <w:rFonts w:ascii="Times New Roman" w:hAnsi="Times New Roman" w:cs="Times New Roman"/>
          <w:sz w:val="16"/>
          <w:szCs w:val="16"/>
        </w:rPr>
      </w:pPr>
      <w:r w:rsidRPr="00D935E1">
        <w:rPr>
          <w:rStyle w:val="FootnoteReference"/>
          <w:rFonts w:ascii="Times New Roman" w:hAnsi="Times New Roman" w:cs="Times New Roman"/>
          <w:sz w:val="16"/>
          <w:szCs w:val="16"/>
        </w:rPr>
        <w:footnoteRef/>
      </w:r>
      <w:r w:rsidRPr="00D935E1">
        <w:rPr>
          <w:rFonts w:ascii="Times New Roman" w:hAnsi="Times New Roman" w:cs="Times New Roman"/>
          <w:sz w:val="16"/>
          <w:szCs w:val="16"/>
        </w:rPr>
        <w:t xml:space="preserve"> Based on the Recovery Resilience Plans including the </w:t>
      </w:r>
      <w:proofErr w:type="spellStart"/>
      <w:r w:rsidRPr="00D935E1">
        <w:rPr>
          <w:rFonts w:ascii="Times New Roman" w:hAnsi="Times New Roman" w:cs="Times New Roman"/>
          <w:sz w:val="16"/>
          <w:szCs w:val="16"/>
        </w:rPr>
        <w:t>RePowerEU</w:t>
      </w:r>
      <w:proofErr w:type="spellEnd"/>
      <w:r w:rsidRPr="00D935E1">
        <w:rPr>
          <w:rFonts w:ascii="Times New Roman" w:hAnsi="Times New Roman" w:cs="Times New Roman"/>
          <w:sz w:val="16"/>
          <w:szCs w:val="16"/>
        </w:rPr>
        <w:t xml:space="preserve"> chapters of 21 Member States (</w:t>
      </w:r>
      <w:r w:rsidRPr="00D935E1">
        <w:rPr>
          <w:rFonts w:ascii="Times New Roman" w:hAnsi="Times New Roman" w:cs="Times New Roman"/>
          <w:sz w:val="16"/>
          <w:szCs w:val="16"/>
          <w:lang w:eastAsia="en-US"/>
        </w:rPr>
        <w:t>HR, EE, EL, HU, IT, PL, RO, MT, AT, ES, SI, SK, CZ, PT, LT, LV, CY, DE, BE, BG, FI)</w:t>
      </w:r>
    </w:p>
  </w:footnote>
  <w:footnote w:id="21">
    <w:p w14:paraId="462F5AC5" w14:textId="2A1E490D" w:rsidR="00DB4D5F" w:rsidRPr="005B45FA" w:rsidRDefault="00DB4D5F" w:rsidP="00D935E1">
      <w:pPr>
        <w:pStyle w:val="FootnoteText"/>
        <w:spacing w:line="240" w:lineRule="auto"/>
        <w:rPr>
          <w:rFonts w:ascii="Times New Roman" w:hAnsi="Times New Roman" w:cs="Times New Roman"/>
          <w:sz w:val="16"/>
          <w:szCs w:val="16"/>
        </w:rPr>
      </w:pPr>
      <w:r w:rsidRPr="005B45FA">
        <w:rPr>
          <w:rStyle w:val="FootnoteReference"/>
          <w:rFonts w:ascii="Times New Roman" w:hAnsi="Times New Roman" w:cs="Times New Roman"/>
          <w:sz w:val="16"/>
          <w:szCs w:val="16"/>
        </w:rPr>
        <w:footnoteRef/>
      </w:r>
      <w:r w:rsidRPr="005B45FA">
        <w:rPr>
          <w:rFonts w:ascii="Times New Roman" w:hAnsi="Times New Roman" w:cs="Times New Roman"/>
          <w:sz w:val="16"/>
          <w:szCs w:val="16"/>
        </w:rPr>
        <w:t xml:space="preserve"> The revised RED includes requirements on Member States to ensure that power recharging points can support smart recharging functionalities and, where appropriate, bi-directional recharging, and should put in place measures to ensure that EVs and batteries can participate in non-discriminatory manner in flexibility services. AFIR sets mandatory deployment targets for publicly accessible recharging infrastructure and requires that, from early 2024, all new or renovated publicly accessible recharging points must be capable of smart recharging. Member States should assess by</w:t>
      </w:r>
      <w:r w:rsidR="00727858" w:rsidRPr="005B45FA">
        <w:rPr>
          <w:rFonts w:ascii="Times New Roman" w:hAnsi="Times New Roman" w:cs="Times New Roman"/>
          <w:sz w:val="16"/>
          <w:szCs w:val="16"/>
        </w:rPr>
        <w:t xml:space="preserve"> </w:t>
      </w:r>
      <w:r w:rsidRPr="005B45FA">
        <w:rPr>
          <w:rFonts w:ascii="Times New Roman" w:hAnsi="Times New Roman" w:cs="Times New Roman"/>
          <w:sz w:val="16"/>
          <w:szCs w:val="16"/>
        </w:rPr>
        <w:t>end</w:t>
      </w:r>
      <w:r w:rsidR="00727858" w:rsidRPr="005B45FA">
        <w:rPr>
          <w:rFonts w:ascii="Times New Roman" w:hAnsi="Times New Roman" w:cs="Times New Roman"/>
          <w:sz w:val="16"/>
          <w:szCs w:val="16"/>
        </w:rPr>
        <w:t>-</w:t>
      </w:r>
      <w:r w:rsidRPr="005B45FA">
        <w:rPr>
          <w:rFonts w:ascii="Times New Roman" w:hAnsi="Times New Roman" w:cs="Times New Roman"/>
          <w:sz w:val="16"/>
          <w:szCs w:val="16"/>
        </w:rPr>
        <w:t>2024 the potential contribution of bidirectional charging to reducing user and system costs and increasing the renewable electricity share in the electricity system and, if necessary, take appropriate measures. The upcoming network code for demand-side flexibility, currently under drafting, will set the regulatory framework for participation of bidirectional charging in grid services together with other technologies to provide flexibility with the aim to address any remaining regulatory barriers. The Commission aims at an adoption of the network code in the course of 2025.</w:t>
      </w:r>
    </w:p>
  </w:footnote>
  <w:footnote w:id="22">
    <w:p w14:paraId="5821011A" w14:textId="3064E6B7" w:rsidR="00244984" w:rsidRPr="00D935E1" w:rsidRDefault="00244984" w:rsidP="00D935E1">
      <w:pPr>
        <w:pStyle w:val="FootnoteText"/>
        <w:spacing w:line="240" w:lineRule="auto"/>
        <w:rPr>
          <w:rFonts w:ascii="Times New Roman" w:hAnsi="Times New Roman" w:cs="Times New Roman"/>
          <w:sz w:val="16"/>
          <w:szCs w:val="16"/>
        </w:rPr>
      </w:pPr>
      <w:r w:rsidRPr="00D935E1">
        <w:rPr>
          <w:rStyle w:val="FootnoteReference"/>
          <w:rFonts w:ascii="Times New Roman" w:hAnsi="Times New Roman" w:cs="Times New Roman"/>
          <w:sz w:val="16"/>
          <w:szCs w:val="16"/>
        </w:rPr>
        <w:footnoteRef/>
      </w:r>
      <w:r w:rsidRPr="00D935E1">
        <w:rPr>
          <w:rFonts w:ascii="Times New Roman" w:hAnsi="Times New Roman" w:cs="Times New Roman"/>
          <w:sz w:val="16"/>
          <w:szCs w:val="16"/>
        </w:rPr>
        <w:t xml:space="preserve"> Such as the </w:t>
      </w:r>
      <w:hyperlink r:id="rId20" w:history="1">
        <w:r w:rsidRPr="00D935E1">
          <w:rPr>
            <w:rStyle w:val="Hyperlink0"/>
            <w:rFonts w:ascii="Times New Roman" w:eastAsia="Arial Unicode MS" w:hAnsi="Times New Roman" w:cs="Times New Roman"/>
          </w:rPr>
          <w:t>Sustainable Transport Forum</w:t>
        </w:r>
      </w:hyperlink>
      <w:r w:rsidRPr="00D935E1">
        <w:rPr>
          <w:rFonts w:ascii="Times New Roman" w:hAnsi="Times New Roman" w:cs="Times New Roman"/>
          <w:sz w:val="16"/>
          <w:szCs w:val="16"/>
        </w:rPr>
        <w:t xml:space="preserve"> </w:t>
      </w:r>
      <w:r w:rsidR="007E44BB" w:rsidRPr="005B45FA">
        <w:rPr>
          <w:rFonts w:ascii="Times New Roman" w:hAnsi="Times New Roman" w:cs="Times New Roman"/>
          <w:sz w:val="16"/>
          <w:szCs w:val="16"/>
        </w:rPr>
        <w:t xml:space="preserve">and the </w:t>
      </w:r>
      <w:hyperlink r:id="rId21" w:history="1">
        <w:r w:rsidR="007E44BB" w:rsidRPr="00D935E1">
          <w:rPr>
            <w:rStyle w:val="Hyperlink0"/>
            <w:rFonts w:eastAsia="Arial Unicode MS"/>
          </w:rPr>
          <w:t>Smart Energy Expert Group</w:t>
        </w:r>
      </w:hyperlink>
    </w:p>
  </w:footnote>
  <w:footnote w:id="23">
    <w:p w14:paraId="0DA54B41" w14:textId="77777777" w:rsidR="00766D5D" w:rsidRPr="006A5667" w:rsidRDefault="00147117" w:rsidP="00D935E1">
      <w:pPr>
        <w:pStyle w:val="FootnoteText"/>
        <w:spacing w:line="240" w:lineRule="auto"/>
        <w:rPr>
          <w:rFonts w:ascii="Times New Roman" w:hAnsi="Times New Roman" w:cs="Times New Roman"/>
          <w:sz w:val="16"/>
          <w:szCs w:val="16"/>
        </w:rPr>
      </w:pPr>
      <w:r w:rsidRPr="006A5667">
        <w:rPr>
          <w:rFonts w:ascii="Times New Roman" w:hAnsi="Times New Roman" w:cs="Times New Roman"/>
          <w:sz w:val="16"/>
          <w:szCs w:val="16"/>
          <w:vertAlign w:val="superscript"/>
        </w:rPr>
        <w:footnoteRef/>
      </w:r>
      <w:r w:rsidRPr="006A5667">
        <w:rPr>
          <w:rFonts w:ascii="Times New Roman" w:eastAsia="Arial Unicode MS" w:hAnsi="Times New Roman" w:cs="Times New Roman"/>
          <w:sz w:val="16"/>
          <w:szCs w:val="16"/>
        </w:rPr>
        <w:t xml:space="preserve"> C/2023/1729 </w:t>
      </w:r>
      <w:hyperlink r:id="rId22" w:history="1">
        <w:r w:rsidRPr="006A5667">
          <w:rPr>
            <w:rStyle w:val="Hyperlink0"/>
            <w:rFonts w:ascii="Times New Roman" w:eastAsia="Arial Unicode MS" w:hAnsi="Times New Roman" w:cs="Times New Roman"/>
          </w:rPr>
          <w:t>Commission Recommendation of 14 March 2023 on Energy Storage</w:t>
        </w:r>
      </w:hyperlink>
    </w:p>
  </w:footnote>
  <w:footnote w:id="24">
    <w:p w14:paraId="4773AF85" w14:textId="77777777" w:rsidR="000A1BF6" w:rsidRPr="00647B05" w:rsidRDefault="000A1BF6" w:rsidP="006A5667">
      <w:pPr>
        <w:pStyle w:val="FootnoteText"/>
        <w:spacing w:line="240" w:lineRule="auto"/>
        <w:rPr>
          <w:rFonts w:ascii="Times New Roman" w:hAnsi="Times New Roman" w:cs="Times New Roman"/>
          <w:sz w:val="16"/>
          <w:szCs w:val="16"/>
        </w:rPr>
      </w:pPr>
      <w:r w:rsidRPr="006A5667">
        <w:rPr>
          <w:rFonts w:ascii="Times New Roman" w:hAnsi="Times New Roman" w:cs="Times New Roman"/>
          <w:sz w:val="16"/>
          <w:szCs w:val="16"/>
          <w:vertAlign w:val="superscript"/>
        </w:rPr>
        <w:footnoteRef/>
      </w:r>
      <w:r w:rsidRPr="006A5667">
        <w:rPr>
          <w:rFonts w:ascii="Times New Roman" w:eastAsia="Arial Unicode MS" w:hAnsi="Times New Roman" w:cs="Times New Roman"/>
          <w:sz w:val="16"/>
          <w:szCs w:val="16"/>
        </w:rPr>
        <w:t xml:space="preserve"> Small DSOs serving less than 100,000 customers or small isolated systems may be </w:t>
      </w:r>
      <w:proofErr w:type="gramStart"/>
      <w:r w:rsidRPr="006A5667">
        <w:rPr>
          <w:rFonts w:ascii="Times New Roman" w:eastAsia="Arial Unicode MS" w:hAnsi="Times New Roman" w:cs="Times New Roman"/>
          <w:sz w:val="16"/>
          <w:szCs w:val="16"/>
        </w:rPr>
        <w:t>exempted</w:t>
      </w:r>
      <w:proofErr w:type="gramEnd"/>
    </w:p>
  </w:footnote>
  <w:footnote w:id="25">
    <w:p w14:paraId="7BB10DB0" w14:textId="601ECA6F" w:rsidR="00766D5D" w:rsidRPr="00647B05" w:rsidRDefault="00147117" w:rsidP="00647B05">
      <w:pPr>
        <w:pStyle w:val="FootnoteText"/>
        <w:spacing w:line="240" w:lineRule="auto"/>
        <w:rPr>
          <w:rFonts w:ascii="Times New Roman" w:hAnsi="Times New Roman" w:cs="Times New Roman"/>
          <w:sz w:val="16"/>
          <w:szCs w:val="16"/>
        </w:rPr>
      </w:pPr>
      <w:r w:rsidRPr="00647B05">
        <w:rPr>
          <w:rFonts w:ascii="Times New Roman" w:hAnsi="Times New Roman" w:cs="Times New Roman"/>
          <w:sz w:val="16"/>
          <w:szCs w:val="16"/>
          <w:vertAlign w:val="superscript"/>
        </w:rPr>
        <w:footnoteRef/>
      </w:r>
      <w:r w:rsidRPr="00647B05">
        <w:rPr>
          <w:rFonts w:ascii="Times New Roman" w:hAnsi="Times New Roman" w:cs="Times New Roman"/>
          <w:sz w:val="16"/>
          <w:szCs w:val="16"/>
        </w:rPr>
        <w:t xml:space="preserve"> Commission estimation of 2</w:t>
      </w:r>
      <w:r w:rsidR="0098357B" w:rsidRPr="00647B05">
        <w:rPr>
          <w:rFonts w:ascii="Times New Roman" w:hAnsi="Times New Roman" w:cs="Times New Roman"/>
          <w:sz w:val="16"/>
          <w:szCs w:val="16"/>
        </w:rPr>
        <w:t>,</w:t>
      </w:r>
      <w:r w:rsidRPr="00647B05">
        <w:rPr>
          <w:rFonts w:ascii="Times New Roman" w:hAnsi="Times New Roman" w:cs="Times New Roman"/>
          <w:sz w:val="16"/>
          <w:szCs w:val="16"/>
        </w:rPr>
        <w:t xml:space="preserve">558 DSOs based on </w:t>
      </w:r>
      <w:proofErr w:type="spellStart"/>
      <w:r w:rsidRPr="00647B05">
        <w:rPr>
          <w:rFonts w:ascii="Times New Roman" w:hAnsi="Times New Roman" w:cs="Times New Roman"/>
          <w:sz w:val="16"/>
          <w:szCs w:val="16"/>
        </w:rPr>
        <w:t>Eurelectric’s</w:t>
      </w:r>
      <w:proofErr w:type="spellEnd"/>
      <w:r w:rsidRPr="00647B05">
        <w:rPr>
          <w:rFonts w:ascii="Times New Roman" w:hAnsi="Times New Roman" w:cs="Times New Roman"/>
          <w:sz w:val="16"/>
          <w:szCs w:val="16"/>
        </w:rPr>
        <w:t xml:space="preserve"> data: </w:t>
      </w:r>
      <w:hyperlink r:id="rId23" w:history="1">
        <w:r w:rsidRPr="00647B05">
          <w:rPr>
            <w:rStyle w:val="Hyperlink1"/>
            <w:rFonts w:eastAsia="Arial Unicode MS"/>
          </w:rPr>
          <w:t>Distribution grids in Europe, Facts and Figures 2020</w:t>
        </w:r>
      </w:hyperlink>
      <w:r w:rsidRPr="00647B05">
        <w:rPr>
          <w:rFonts w:ascii="Times New Roman" w:hAnsi="Times New Roman" w:cs="Times New Roman"/>
          <w:sz w:val="16"/>
          <w:szCs w:val="16"/>
        </w:rPr>
        <w:t>, December 2020</w:t>
      </w:r>
    </w:p>
  </w:footnote>
  <w:footnote w:id="26">
    <w:p w14:paraId="52670E93" w14:textId="77777777" w:rsidR="00766D5D" w:rsidRPr="00647B05" w:rsidRDefault="00147117" w:rsidP="00647B05">
      <w:pPr>
        <w:pStyle w:val="FootnoteText"/>
        <w:spacing w:line="240" w:lineRule="auto"/>
        <w:rPr>
          <w:rFonts w:ascii="Times New Roman" w:hAnsi="Times New Roman" w:cs="Times New Roman"/>
          <w:sz w:val="16"/>
          <w:szCs w:val="16"/>
        </w:rPr>
      </w:pPr>
      <w:r w:rsidRPr="00647B05">
        <w:rPr>
          <w:rFonts w:ascii="Times New Roman" w:eastAsia="Times New Roman" w:hAnsi="Times New Roman" w:cs="Times New Roman"/>
          <w:sz w:val="16"/>
          <w:szCs w:val="16"/>
          <w:vertAlign w:val="superscript"/>
        </w:rPr>
        <w:footnoteRef/>
      </w:r>
      <w:r w:rsidRPr="00647B05">
        <w:rPr>
          <w:rFonts w:ascii="Times New Roman" w:eastAsia="Arial Unicode MS" w:hAnsi="Times New Roman" w:cs="Times New Roman"/>
          <w:sz w:val="16"/>
          <w:szCs w:val="16"/>
        </w:rPr>
        <w:t xml:space="preserve"> For example, measurement data from transformers, inverters and consumers at low voltage level can be used as input in load-flow calculations by which it is possible to calculate the influence of new PV connections on voltage and loads based on the individual reserves of the corresponding grid section, limiting grid development planning to what is actually needed (</w:t>
      </w:r>
      <w:hyperlink r:id="rId24" w:history="1">
        <w:r w:rsidRPr="00647B05">
          <w:rPr>
            <w:rStyle w:val="Hyperlink0"/>
            <w:rFonts w:ascii="Times New Roman" w:eastAsia="Arial Unicode MS" w:hAnsi="Times New Roman" w:cs="Times New Roman"/>
          </w:rPr>
          <w:t>Distribution grids: The energy transition’s backbone</w:t>
        </w:r>
      </w:hyperlink>
      <w:r w:rsidRPr="00647B05">
        <w:rPr>
          <w:rFonts w:ascii="Times New Roman" w:eastAsia="Arial Unicode MS" w:hAnsi="Times New Roman" w:cs="Times New Roman"/>
          <w:sz w:val="16"/>
          <w:szCs w:val="16"/>
        </w:rPr>
        <w:t>, Geode, May 2023)</w:t>
      </w:r>
    </w:p>
  </w:footnote>
  <w:footnote w:id="27">
    <w:p w14:paraId="512650D4" w14:textId="00068274" w:rsidR="00C41ED1" w:rsidRPr="00647B05" w:rsidRDefault="00C41ED1" w:rsidP="00647B05">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w:t>
      </w:r>
      <w:r w:rsidR="0098357B" w:rsidRPr="00647B05">
        <w:rPr>
          <w:rFonts w:ascii="Times New Roman" w:hAnsi="Times New Roman" w:cs="Times New Roman"/>
          <w:sz w:val="16"/>
          <w:szCs w:val="16"/>
        </w:rPr>
        <w:t xml:space="preserve">See for example those investigated by the JRC’s </w:t>
      </w:r>
      <w:hyperlink r:id="rId25" w:history="1">
        <w:r w:rsidR="0098357B" w:rsidRPr="00647B05">
          <w:rPr>
            <w:rStyle w:val="Hyperlink1"/>
            <w:rFonts w:eastAsia="Arial Unicode MS"/>
          </w:rPr>
          <w:t>Distribution System Operator Observatory 2022</w:t>
        </w:r>
      </w:hyperlink>
      <w:r w:rsidR="0098357B" w:rsidRPr="00647B05">
        <w:rPr>
          <w:rFonts w:ascii="Times New Roman" w:hAnsi="Times New Roman" w:cs="Times New Roman"/>
          <w:sz w:val="16"/>
          <w:szCs w:val="16"/>
        </w:rPr>
        <w:t xml:space="preserve"> (</w:t>
      </w:r>
      <w:r w:rsidR="0098357B" w:rsidRPr="00647B05">
        <w:rPr>
          <w:rFonts w:ascii="Times New Roman" w:eastAsia="Arial Unicode MS" w:hAnsi="Times New Roman" w:cs="Times New Roman"/>
          <w:sz w:val="16"/>
          <w:szCs w:val="16"/>
        </w:rPr>
        <w:t>chapter 4.7</w:t>
      </w:r>
      <w:r w:rsidR="0098357B" w:rsidRPr="00647B05">
        <w:rPr>
          <w:rFonts w:ascii="Times New Roman" w:hAnsi="Times New Roman" w:cs="Times New Roman"/>
          <w:sz w:val="16"/>
          <w:szCs w:val="16"/>
        </w:rPr>
        <w:t>), JRC, April 2023</w:t>
      </w:r>
    </w:p>
  </w:footnote>
  <w:footnote w:id="28">
    <w:p w14:paraId="335D1DCB" w14:textId="3267A4EB" w:rsidR="00C26CBA" w:rsidRPr="00D935E1" w:rsidRDefault="00C26CBA" w:rsidP="00647B05">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w:t>
      </w:r>
      <w:hyperlink r:id="rId26" w:history="1">
        <w:r w:rsidRPr="00647B05">
          <w:rPr>
            <w:rStyle w:val="Hyperlink0"/>
            <w:rFonts w:ascii="Times New Roman" w:eastAsia="Arial Unicode MS" w:hAnsi="Times New Roman" w:cs="Times New Roman"/>
          </w:rPr>
          <w:t>CEER Views on Electricity Distribution Network Development Plans</w:t>
        </w:r>
      </w:hyperlink>
      <w:r w:rsidR="007263C9" w:rsidRPr="00647B05">
        <w:rPr>
          <w:rFonts w:ascii="Times New Roman" w:hAnsi="Times New Roman" w:cs="Times New Roman"/>
          <w:sz w:val="16"/>
          <w:szCs w:val="16"/>
        </w:rPr>
        <w:t>, CEER</w:t>
      </w:r>
      <w:r w:rsidRPr="00647B05">
        <w:rPr>
          <w:rFonts w:ascii="Times New Roman" w:hAnsi="Times New Roman" w:cs="Times New Roman"/>
          <w:sz w:val="16"/>
          <w:szCs w:val="16"/>
        </w:rPr>
        <w:t>, November 2021</w:t>
      </w:r>
    </w:p>
  </w:footnote>
  <w:footnote w:id="29">
    <w:p w14:paraId="4E780EB7" w14:textId="610F4C40" w:rsidR="005D0AC4" w:rsidRPr="00647B05" w:rsidRDefault="005D0AC4" w:rsidP="00D935E1">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w:t>
      </w:r>
      <w:r w:rsidRPr="00647B05">
        <w:rPr>
          <w:rStyle w:val="Link"/>
          <w:rFonts w:ascii="Times New Roman" w:eastAsia="Arial Unicode MS" w:hAnsi="Times New Roman" w:cs="Times New Roman"/>
          <w:sz w:val="16"/>
          <w:szCs w:val="16"/>
        </w:rPr>
        <w:t>https://energy.ec.europa.eu/system/files/2023-06/Conclusions%209th%20EIF_13%20June%20FINAL.pdf</w:t>
      </w:r>
    </w:p>
  </w:footnote>
  <w:footnote w:id="30">
    <w:p w14:paraId="35FF4826" w14:textId="77777777" w:rsidR="00E969DD" w:rsidRPr="00647B05" w:rsidRDefault="00E969DD" w:rsidP="00D935E1">
      <w:pPr>
        <w:pStyle w:val="FootnoteText"/>
        <w:spacing w:line="240" w:lineRule="auto"/>
        <w:rPr>
          <w:rFonts w:ascii="Times New Roman" w:hAnsi="Times New Roman" w:cs="Times New Roman"/>
          <w:sz w:val="16"/>
          <w:szCs w:val="16"/>
        </w:rPr>
      </w:pPr>
      <w:r w:rsidRPr="00647B05">
        <w:rPr>
          <w:rFonts w:ascii="Times New Roman" w:eastAsia="Times New Roman" w:hAnsi="Times New Roman" w:cs="Times New Roman"/>
          <w:sz w:val="16"/>
          <w:szCs w:val="16"/>
          <w:vertAlign w:val="superscript"/>
        </w:rPr>
        <w:footnoteRef/>
      </w:r>
      <w:r w:rsidRPr="00647B05">
        <w:rPr>
          <w:rFonts w:ascii="Times New Roman" w:hAnsi="Times New Roman" w:cs="Times New Roman"/>
          <w:sz w:val="16"/>
          <w:szCs w:val="16"/>
        </w:rPr>
        <w:t xml:space="preserve"> </w:t>
      </w:r>
      <w:hyperlink r:id="rId27" w:history="1">
        <w:r w:rsidRPr="00647B05">
          <w:rPr>
            <w:rStyle w:val="Hyperlink1"/>
            <w:rFonts w:eastAsia="Arial Unicode MS"/>
          </w:rPr>
          <w:t>Power System of the Future: Keys to delivering capacity on the distribution grid</w:t>
        </w:r>
      </w:hyperlink>
      <w:r w:rsidRPr="00647B05">
        <w:rPr>
          <w:rFonts w:ascii="Times New Roman" w:hAnsi="Times New Roman" w:cs="Times New Roman"/>
          <w:sz w:val="16"/>
          <w:szCs w:val="16"/>
        </w:rPr>
        <w:t xml:space="preserve">, </w:t>
      </w:r>
      <w:proofErr w:type="spellStart"/>
      <w:r w:rsidRPr="00647B05">
        <w:rPr>
          <w:rFonts w:ascii="Times New Roman" w:hAnsi="Times New Roman" w:cs="Times New Roman"/>
          <w:sz w:val="16"/>
          <w:szCs w:val="16"/>
        </w:rPr>
        <w:t>Eurelectric</w:t>
      </w:r>
      <w:proofErr w:type="spellEnd"/>
      <w:r w:rsidRPr="00647B05">
        <w:rPr>
          <w:rFonts w:ascii="Times New Roman" w:hAnsi="Times New Roman" w:cs="Times New Roman"/>
          <w:sz w:val="16"/>
          <w:szCs w:val="16"/>
        </w:rPr>
        <w:t xml:space="preserve">, September 2023 </w:t>
      </w:r>
    </w:p>
  </w:footnote>
  <w:footnote w:id="31">
    <w:p w14:paraId="41B29F92" w14:textId="77777777" w:rsidR="009C1B13" w:rsidRPr="00647B05" w:rsidRDefault="009C1B13" w:rsidP="00D935E1">
      <w:pPr>
        <w:pStyle w:val="FootnoteText"/>
        <w:spacing w:line="240" w:lineRule="auto"/>
        <w:rPr>
          <w:rFonts w:ascii="Times New Roman" w:hAnsi="Times New Roman" w:cs="Times New Roman"/>
          <w:sz w:val="16"/>
          <w:szCs w:val="16"/>
        </w:rPr>
      </w:pPr>
      <w:r w:rsidRPr="00647B05">
        <w:rPr>
          <w:rFonts w:ascii="Times New Roman" w:hAnsi="Times New Roman" w:cs="Times New Roman"/>
          <w:sz w:val="16"/>
          <w:szCs w:val="16"/>
          <w:vertAlign w:val="superscript"/>
        </w:rPr>
        <w:footnoteRef/>
      </w:r>
      <w:r w:rsidRPr="00647B05">
        <w:rPr>
          <w:rFonts w:ascii="Times New Roman" w:eastAsia="Arial Unicode MS" w:hAnsi="Times New Roman" w:cs="Times New Roman"/>
          <w:sz w:val="16"/>
          <w:szCs w:val="16"/>
        </w:rPr>
        <w:t xml:space="preserve"> See examples at distribution level in </w:t>
      </w:r>
      <w:hyperlink r:id="rId28" w:history="1">
        <w:r w:rsidRPr="00647B05">
          <w:rPr>
            <w:rStyle w:val="Link"/>
            <w:rFonts w:ascii="Times New Roman" w:eastAsia="Arial Unicode MS" w:hAnsi="Times New Roman" w:cs="Times New Roman"/>
            <w:sz w:val="16"/>
            <w:szCs w:val="16"/>
          </w:rPr>
          <w:t>Spain</w:t>
        </w:r>
      </w:hyperlink>
      <w:r w:rsidRPr="00647B05">
        <w:rPr>
          <w:rFonts w:ascii="Times New Roman" w:eastAsia="Arial Unicode MS" w:hAnsi="Times New Roman" w:cs="Times New Roman"/>
          <w:sz w:val="16"/>
          <w:szCs w:val="16"/>
        </w:rPr>
        <w:t xml:space="preserve"> and in </w:t>
      </w:r>
      <w:hyperlink r:id="rId29" w:history="1">
        <w:r w:rsidRPr="00647B05">
          <w:rPr>
            <w:rStyle w:val="Link"/>
            <w:rFonts w:ascii="Times New Roman" w:eastAsia="Arial Unicode MS" w:hAnsi="Times New Roman" w:cs="Times New Roman"/>
            <w:sz w:val="16"/>
            <w:szCs w:val="16"/>
          </w:rPr>
          <w:t>Czech Republic</w:t>
        </w:r>
      </w:hyperlink>
    </w:p>
  </w:footnote>
  <w:footnote w:id="32">
    <w:p w14:paraId="7CA08C1C" w14:textId="77777777" w:rsidR="009C1B13" w:rsidRPr="00647B05" w:rsidRDefault="009C1B13" w:rsidP="00647B05">
      <w:pPr>
        <w:pStyle w:val="FootnoteText"/>
        <w:spacing w:line="240" w:lineRule="auto"/>
        <w:rPr>
          <w:rFonts w:ascii="Times New Roman" w:hAnsi="Times New Roman" w:cs="Times New Roman"/>
          <w:sz w:val="16"/>
          <w:szCs w:val="16"/>
        </w:rPr>
      </w:pPr>
      <w:r w:rsidRPr="00647B05">
        <w:rPr>
          <w:rFonts w:ascii="Times New Roman" w:hAnsi="Times New Roman" w:cs="Times New Roman"/>
          <w:sz w:val="16"/>
          <w:szCs w:val="16"/>
          <w:vertAlign w:val="superscript"/>
        </w:rPr>
        <w:footnoteRef/>
      </w:r>
      <w:r w:rsidRPr="00647B05">
        <w:rPr>
          <w:rFonts w:ascii="Times New Roman" w:hAnsi="Times New Roman" w:cs="Times New Roman"/>
          <w:sz w:val="16"/>
          <w:szCs w:val="16"/>
        </w:rPr>
        <w:t xml:space="preserve"> </w:t>
      </w:r>
      <w:hyperlink r:id="rId30" w:history="1">
        <w:r w:rsidRPr="00647B05">
          <w:rPr>
            <w:rStyle w:val="Hyperlink4"/>
            <w:rFonts w:eastAsia="Calibri"/>
          </w:rPr>
          <w:t xml:space="preserve">CEER </w:t>
        </w:r>
        <w:r w:rsidRPr="00647B05">
          <w:rPr>
            <w:rStyle w:val="Hyperlink2"/>
            <w:rFonts w:eastAsia="Calibri"/>
          </w:rPr>
          <w:t>Paper on Alternative Connection Agreements</w:t>
        </w:r>
      </w:hyperlink>
      <w:r w:rsidRPr="00647B05">
        <w:rPr>
          <w:rFonts w:ascii="Times New Roman" w:hAnsi="Times New Roman" w:cs="Times New Roman"/>
          <w:sz w:val="16"/>
          <w:szCs w:val="16"/>
        </w:rPr>
        <w:t>, CEER, May 2023</w:t>
      </w:r>
    </w:p>
  </w:footnote>
  <w:footnote w:id="33">
    <w:p w14:paraId="3044352A" w14:textId="77777777" w:rsidR="00BD553D" w:rsidRPr="00647B05" w:rsidRDefault="00BD553D" w:rsidP="00647B05">
      <w:pPr>
        <w:pStyle w:val="FootnoteText"/>
        <w:spacing w:line="240" w:lineRule="auto"/>
        <w:rPr>
          <w:rFonts w:ascii="Times New Roman" w:hAnsi="Times New Roman" w:cs="Times New Roman"/>
          <w:sz w:val="16"/>
          <w:szCs w:val="16"/>
        </w:rPr>
      </w:pPr>
      <w:r w:rsidRPr="00647B05">
        <w:rPr>
          <w:rFonts w:ascii="Times New Roman" w:hAnsi="Times New Roman" w:cs="Times New Roman"/>
          <w:sz w:val="16"/>
          <w:szCs w:val="16"/>
          <w:vertAlign w:val="superscript"/>
        </w:rPr>
        <w:footnoteRef/>
      </w:r>
      <w:r w:rsidRPr="00647B05">
        <w:rPr>
          <w:rFonts w:ascii="Times New Roman" w:eastAsia="Arial Unicode MS" w:hAnsi="Times New Roman" w:cs="Times New Roman"/>
          <w:sz w:val="16"/>
          <w:szCs w:val="16"/>
        </w:rPr>
        <w:t xml:space="preserve"> </w:t>
      </w:r>
      <w:hyperlink r:id="rId31" w:history="1">
        <w:r w:rsidRPr="00647B05">
          <w:rPr>
            <w:rStyle w:val="Hyperlink0"/>
            <w:rFonts w:ascii="Times New Roman" w:eastAsia="Arial Unicode MS" w:hAnsi="Times New Roman" w:cs="Times New Roman"/>
          </w:rPr>
          <w:t>The benefits of innovative grid technologies</w:t>
        </w:r>
      </w:hyperlink>
      <w:r w:rsidRPr="00647B05">
        <w:rPr>
          <w:rFonts w:ascii="Times New Roman" w:eastAsia="Arial Unicode MS" w:hAnsi="Times New Roman" w:cs="Times New Roman"/>
          <w:sz w:val="16"/>
          <w:szCs w:val="16"/>
        </w:rPr>
        <w:t xml:space="preserve">, </w:t>
      </w:r>
      <w:proofErr w:type="spellStart"/>
      <w:r w:rsidRPr="00647B05">
        <w:rPr>
          <w:rFonts w:ascii="Times New Roman" w:eastAsia="Arial Unicode MS" w:hAnsi="Times New Roman" w:cs="Times New Roman"/>
          <w:sz w:val="16"/>
          <w:szCs w:val="16"/>
        </w:rPr>
        <w:t>CurrENT</w:t>
      </w:r>
      <w:proofErr w:type="spellEnd"/>
      <w:r w:rsidRPr="00647B05">
        <w:rPr>
          <w:rFonts w:ascii="Times New Roman" w:eastAsia="Arial Unicode MS" w:hAnsi="Times New Roman" w:cs="Times New Roman"/>
          <w:sz w:val="16"/>
          <w:szCs w:val="16"/>
        </w:rPr>
        <w:t xml:space="preserve">, December 2021 </w:t>
      </w:r>
    </w:p>
  </w:footnote>
  <w:footnote w:id="34">
    <w:p w14:paraId="48DDE469" w14:textId="2186372F" w:rsidR="00BD553D" w:rsidRPr="00647B05" w:rsidRDefault="00BD553D" w:rsidP="00647B05">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For example, given the higher voltage levels (and lower current), network losses are lower in relative terms in transmission grids than in distribution: around 0.5%-3% in transmission vs 2-14% in distribution. </w:t>
      </w:r>
      <w:hyperlink r:id="rId32" w:history="1">
        <w:r w:rsidRPr="00647B05">
          <w:rPr>
            <w:rStyle w:val="Hyperlink1"/>
            <w:rFonts w:eastAsia="Arial Unicode MS"/>
          </w:rPr>
          <w:t>Report on Power Losses</w:t>
        </w:r>
      </w:hyperlink>
      <w:r w:rsidRPr="00647B05">
        <w:rPr>
          <w:rFonts w:ascii="Times New Roman" w:hAnsi="Times New Roman" w:cs="Times New Roman"/>
          <w:sz w:val="16"/>
          <w:szCs w:val="16"/>
        </w:rPr>
        <w:t>, CEER, March 2020</w:t>
      </w:r>
    </w:p>
  </w:footnote>
  <w:footnote w:id="35">
    <w:p w14:paraId="0EA8B89B" w14:textId="1602C8CD" w:rsidR="00B26E70" w:rsidRPr="00647B05" w:rsidRDefault="00B26E70" w:rsidP="00647B05">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Clean Energy Technology Observatory:</w:t>
      </w:r>
      <w:r w:rsidR="00BB5DD1" w:rsidRPr="00647B05">
        <w:rPr>
          <w:rFonts w:ascii="Times New Roman" w:hAnsi="Times New Roman" w:cs="Times New Roman"/>
          <w:sz w:val="16"/>
          <w:szCs w:val="16"/>
        </w:rPr>
        <w:t xml:space="preserve"> </w:t>
      </w:r>
      <w:hyperlink r:id="rId33" w:history="1">
        <w:r w:rsidR="00BB5DD1" w:rsidRPr="00D935E1">
          <w:rPr>
            <w:rStyle w:val="Hyperlink1"/>
            <w:rFonts w:eastAsia="Arial Unicode MS"/>
          </w:rPr>
          <w:t>Smart grids in the European Union</w:t>
        </w:r>
      </w:hyperlink>
      <w:r w:rsidRPr="00647B05">
        <w:rPr>
          <w:rFonts w:ascii="Times New Roman" w:hAnsi="Times New Roman" w:cs="Times New Roman"/>
          <w:sz w:val="16"/>
          <w:szCs w:val="16"/>
        </w:rPr>
        <w:t>, Joint Research Centre, October 202</w:t>
      </w:r>
      <w:r w:rsidR="00BB5DD1" w:rsidRPr="00647B05">
        <w:rPr>
          <w:rFonts w:ascii="Times New Roman" w:hAnsi="Times New Roman" w:cs="Times New Roman"/>
          <w:sz w:val="16"/>
          <w:szCs w:val="16"/>
        </w:rPr>
        <w:t>3</w:t>
      </w:r>
    </w:p>
  </w:footnote>
  <w:footnote w:id="36">
    <w:p w14:paraId="362C19D7" w14:textId="77777777" w:rsidR="009C1B13" w:rsidRPr="00647B05" w:rsidRDefault="009C1B13" w:rsidP="00647B05">
      <w:pPr>
        <w:pStyle w:val="FootnoteText"/>
        <w:spacing w:line="240" w:lineRule="auto"/>
        <w:rPr>
          <w:rFonts w:ascii="Times New Roman" w:hAnsi="Times New Roman" w:cs="Times New Roman"/>
          <w:sz w:val="16"/>
          <w:szCs w:val="16"/>
        </w:rPr>
      </w:pPr>
      <w:r w:rsidRPr="00647B05">
        <w:rPr>
          <w:rFonts w:ascii="Times New Roman" w:hAnsi="Times New Roman" w:cs="Times New Roman"/>
          <w:sz w:val="16"/>
          <w:szCs w:val="16"/>
          <w:vertAlign w:val="superscript"/>
        </w:rPr>
        <w:footnoteRef/>
      </w:r>
      <w:r w:rsidRPr="00647B05">
        <w:rPr>
          <w:rFonts w:ascii="Times New Roman" w:hAnsi="Times New Roman" w:cs="Times New Roman"/>
          <w:sz w:val="16"/>
          <w:szCs w:val="16"/>
        </w:rPr>
        <w:t xml:space="preserve"> </w:t>
      </w:r>
      <w:hyperlink r:id="rId34" w:history="1">
        <w:r w:rsidRPr="00647B05">
          <w:rPr>
            <w:rStyle w:val="Hyperlink1"/>
            <w:rFonts w:eastAsia="Arial Unicode MS"/>
          </w:rPr>
          <w:t>https://entsoe.eu/Technopedia/</w:t>
        </w:r>
      </w:hyperlink>
      <w:r w:rsidRPr="00647B05">
        <w:rPr>
          <w:rFonts w:ascii="Times New Roman" w:hAnsi="Times New Roman" w:cs="Times New Roman"/>
          <w:sz w:val="16"/>
          <w:szCs w:val="16"/>
        </w:rPr>
        <w:t xml:space="preserve"> </w:t>
      </w:r>
    </w:p>
  </w:footnote>
  <w:footnote w:id="37">
    <w:p w14:paraId="394C4F0F" w14:textId="77777777" w:rsidR="000D1AB4" w:rsidRPr="00647B05" w:rsidRDefault="000D1AB4" w:rsidP="00D935E1">
      <w:pPr>
        <w:pStyle w:val="FootnoteText"/>
        <w:spacing w:line="240" w:lineRule="auto"/>
        <w:rPr>
          <w:rFonts w:ascii="Times New Roman" w:hAnsi="Times New Roman" w:cs="Times New Roman"/>
          <w:sz w:val="16"/>
          <w:szCs w:val="16"/>
        </w:rPr>
      </w:pPr>
      <w:r w:rsidRPr="00647B05">
        <w:rPr>
          <w:rFonts w:ascii="Times New Roman" w:hAnsi="Times New Roman" w:cs="Times New Roman"/>
          <w:sz w:val="16"/>
          <w:szCs w:val="16"/>
          <w:vertAlign w:val="superscript"/>
        </w:rPr>
        <w:footnoteRef/>
      </w:r>
      <w:r w:rsidRPr="00647B05">
        <w:rPr>
          <w:rFonts w:ascii="Times New Roman" w:eastAsia="Arial Unicode MS" w:hAnsi="Times New Roman" w:cs="Times New Roman"/>
          <w:sz w:val="16"/>
          <w:szCs w:val="16"/>
        </w:rPr>
        <w:t xml:space="preserve"> </w:t>
      </w:r>
      <w:hyperlink r:id="rId35" w:history="1">
        <w:r w:rsidRPr="00647B05">
          <w:rPr>
            <w:rStyle w:val="Hyperlink0"/>
            <w:rFonts w:ascii="Times New Roman" w:eastAsia="Arial Unicode MS" w:hAnsi="Times New Roman" w:cs="Times New Roman"/>
          </w:rPr>
          <w:t>Report on regulatory frameworks for European energy networks 2022</w:t>
        </w:r>
      </w:hyperlink>
      <w:r w:rsidRPr="00647B05">
        <w:rPr>
          <w:rFonts w:ascii="Times New Roman" w:eastAsia="Arial Unicode MS" w:hAnsi="Times New Roman" w:cs="Times New Roman"/>
          <w:sz w:val="16"/>
          <w:szCs w:val="16"/>
        </w:rPr>
        <w:t>, CEER, January 2023</w:t>
      </w:r>
    </w:p>
  </w:footnote>
  <w:footnote w:id="38">
    <w:p w14:paraId="22007280" w14:textId="00E4BFBF" w:rsidR="009C1B13" w:rsidRPr="00647B05" w:rsidRDefault="009C1B13" w:rsidP="00D935E1">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w:t>
      </w:r>
      <w:hyperlink r:id="rId36" w:history="1">
        <w:r w:rsidRPr="00647B05">
          <w:rPr>
            <w:rStyle w:val="Hyperlink0"/>
            <w:rFonts w:ascii="Times New Roman" w:eastAsia="Arial Unicode MS" w:hAnsi="Times New Roman" w:cs="Times New Roman"/>
          </w:rPr>
          <w:t>Benefit-based incentive regulation to promote efficiency and innovation in addressing system needs</w:t>
        </w:r>
      </w:hyperlink>
      <w:r w:rsidRPr="00647B05">
        <w:rPr>
          <w:rFonts w:ascii="Times New Roman" w:hAnsi="Times New Roman" w:cs="Times New Roman"/>
          <w:sz w:val="16"/>
          <w:szCs w:val="16"/>
        </w:rPr>
        <w:t>,</w:t>
      </w:r>
      <w:r w:rsidR="005A6D4B" w:rsidRPr="00647B05">
        <w:rPr>
          <w:rFonts w:ascii="Times New Roman" w:hAnsi="Times New Roman" w:cs="Times New Roman"/>
          <w:sz w:val="16"/>
          <w:szCs w:val="16"/>
        </w:rPr>
        <w:t xml:space="preserve"> Florence School of Regulation,</w:t>
      </w:r>
      <w:r w:rsidRPr="00647B05">
        <w:rPr>
          <w:rFonts w:ascii="Times New Roman" w:hAnsi="Times New Roman" w:cs="Times New Roman"/>
          <w:sz w:val="16"/>
          <w:szCs w:val="16"/>
        </w:rPr>
        <w:t xml:space="preserve"> June 2023</w:t>
      </w:r>
    </w:p>
  </w:footnote>
  <w:footnote w:id="39">
    <w:p w14:paraId="7872AB24" w14:textId="77777777" w:rsidR="00B554B7" w:rsidRPr="00D935E1" w:rsidRDefault="00B554B7" w:rsidP="00D935E1">
      <w:pPr>
        <w:pStyle w:val="FootnoteText"/>
        <w:spacing w:line="240" w:lineRule="auto"/>
        <w:rPr>
          <w:rFonts w:ascii="Times New Roman" w:hAnsi="Times New Roman" w:cs="Times New Roman"/>
          <w:sz w:val="16"/>
          <w:szCs w:val="16"/>
        </w:rPr>
      </w:pPr>
      <w:r w:rsidRPr="00647B05">
        <w:rPr>
          <w:rFonts w:ascii="Times New Roman" w:hAnsi="Times New Roman" w:cs="Times New Roman"/>
          <w:sz w:val="16"/>
          <w:szCs w:val="16"/>
          <w:vertAlign w:val="superscript"/>
        </w:rPr>
        <w:footnoteRef/>
      </w:r>
      <w:r w:rsidRPr="00647B05">
        <w:rPr>
          <w:rFonts w:ascii="Times New Roman" w:eastAsia="Arial Unicode MS" w:hAnsi="Times New Roman" w:cs="Times New Roman"/>
          <w:sz w:val="16"/>
          <w:szCs w:val="16"/>
        </w:rPr>
        <w:t xml:space="preserve"> </w:t>
      </w:r>
      <w:hyperlink r:id="rId37" w:history="1">
        <w:r w:rsidRPr="00647B05">
          <w:rPr>
            <w:rStyle w:val="Hyperlink0"/>
            <w:rFonts w:ascii="Times New Roman" w:eastAsia="Arial Unicode MS" w:hAnsi="Times New Roman" w:cs="Times New Roman"/>
          </w:rPr>
          <w:t>https://energy.ec.europa.eu/events/9th-energy-infrastructure-forum-2023-06-12_en</w:t>
        </w:r>
      </w:hyperlink>
      <w:r w:rsidRPr="00D935E1">
        <w:rPr>
          <w:rFonts w:ascii="Times New Roman" w:eastAsia="Arial Unicode MS" w:hAnsi="Times New Roman" w:cs="Times New Roman"/>
          <w:sz w:val="16"/>
          <w:szCs w:val="16"/>
        </w:rPr>
        <w:t xml:space="preserve"> </w:t>
      </w:r>
    </w:p>
  </w:footnote>
  <w:footnote w:id="40">
    <w:p w14:paraId="700C93D2" w14:textId="77777777" w:rsidR="002B78E2" w:rsidRPr="00647B05" w:rsidRDefault="002B78E2" w:rsidP="00D935E1">
      <w:pPr>
        <w:pStyle w:val="FootnoteText"/>
        <w:spacing w:line="240" w:lineRule="auto"/>
        <w:rPr>
          <w:rFonts w:ascii="Times New Roman" w:hAnsi="Times New Roman" w:cs="Times New Roman"/>
          <w:sz w:val="16"/>
          <w:szCs w:val="16"/>
        </w:rPr>
      </w:pPr>
      <w:r w:rsidRPr="00647B05">
        <w:rPr>
          <w:rFonts w:ascii="Times New Roman" w:eastAsia="Times New Roman" w:hAnsi="Times New Roman" w:cs="Times New Roman"/>
          <w:sz w:val="16"/>
          <w:szCs w:val="16"/>
          <w:vertAlign w:val="superscript"/>
        </w:rPr>
        <w:footnoteRef/>
      </w:r>
      <w:r w:rsidRPr="00647B05">
        <w:rPr>
          <w:rFonts w:ascii="Times New Roman" w:hAnsi="Times New Roman" w:cs="Times New Roman"/>
          <w:sz w:val="16"/>
          <w:szCs w:val="16"/>
        </w:rPr>
        <w:t xml:space="preserve"> </w:t>
      </w:r>
      <w:hyperlink r:id="rId38" w:history="1">
        <w:r w:rsidRPr="00647B05">
          <w:rPr>
            <w:rStyle w:val="Hyperlink1"/>
            <w:rFonts w:eastAsia="Arial Unicode MS"/>
          </w:rPr>
          <w:t>https://www.acer.europa.eu/Publications/ACER_electricity_network_tariff_report.pdf</w:t>
        </w:r>
      </w:hyperlink>
      <w:r w:rsidRPr="00647B05">
        <w:rPr>
          <w:rFonts w:ascii="Times New Roman" w:hAnsi="Times New Roman" w:cs="Times New Roman"/>
          <w:sz w:val="16"/>
          <w:szCs w:val="16"/>
        </w:rPr>
        <w:t xml:space="preserve"> </w:t>
      </w:r>
    </w:p>
  </w:footnote>
  <w:footnote w:id="41">
    <w:p w14:paraId="6AC398B5" w14:textId="3ED4360A" w:rsidR="003E70BF" w:rsidRPr="00647B05" w:rsidRDefault="003E70BF" w:rsidP="00647B05">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The </w:t>
      </w:r>
      <w:proofErr w:type="spellStart"/>
      <w:r w:rsidRPr="00647B05">
        <w:rPr>
          <w:rFonts w:ascii="Times New Roman" w:hAnsi="Times New Roman" w:cs="Times New Roman"/>
          <w:sz w:val="16"/>
          <w:szCs w:val="16"/>
        </w:rPr>
        <w:t>Modernisation</w:t>
      </w:r>
      <w:proofErr w:type="spellEnd"/>
      <w:r w:rsidRPr="00647B05">
        <w:rPr>
          <w:rFonts w:ascii="Times New Roman" w:hAnsi="Times New Roman" w:cs="Times New Roman"/>
          <w:sz w:val="16"/>
          <w:szCs w:val="16"/>
        </w:rPr>
        <w:t xml:space="preserve"> Fund uses a part of the EU ETS revenues to support investments in the </w:t>
      </w:r>
      <w:proofErr w:type="spellStart"/>
      <w:r w:rsidRPr="00647B05">
        <w:rPr>
          <w:rFonts w:ascii="Times New Roman" w:hAnsi="Times New Roman" w:cs="Times New Roman"/>
          <w:sz w:val="16"/>
          <w:szCs w:val="16"/>
        </w:rPr>
        <w:t>modernisation</w:t>
      </w:r>
      <w:proofErr w:type="spellEnd"/>
      <w:r w:rsidRPr="00647B05">
        <w:rPr>
          <w:rFonts w:ascii="Times New Roman" w:hAnsi="Times New Roman" w:cs="Times New Roman"/>
          <w:sz w:val="16"/>
          <w:szCs w:val="16"/>
        </w:rPr>
        <w:t xml:space="preserve"> of energy networks in the 13 lower-income EU Member States. Over the period 2021-20230, EUR 57 billion will be available under the MF, assuming an EU ETS price of EUR 75/</w:t>
      </w:r>
      <w:proofErr w:type="spellStart"/>
      <w:r w:rsidRPr="00647B05">
        <w:rPr>
          <w:rFonts w:ascii="Times New Roman" w:hAnsi="Times New Roman" w:cs="Times New Roman"/>
          <w:sz w:val="16"/>
          <w:szCs w:val="16"/>
        </w:rPr>
        <w:t>tCO</w:t>
      </w:r>
      <w:proofErr w:type="spellEnd"/>
      <w:r w:rsidRPr="00647B05">
        <w:rPr>
          <w:rFonts w:ascii="Times New Roman" w:hAnsi="Times New Roman" w:cs="Times New Roman"/>
          <w:sz w:val="16"/>
          <w:szCs w:val="16"/>
        </w:rPr>
        <w:t>₂.</w:t>
      </w:r>
    </w:p>
  </w:footnote>
  <w:footnote w:id="42">
    <w:p w14:paraId="2267E0A4" w14:textId="77777777" w:rsidR="008B2F1B" w:rsidRPr="00D935E1" w:rsidRDefault="008B2F1B" w:rsidP="00D935E1">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w:t>
      </w:r>
      <w:hyperlink r:id="rId39" w:history="1">
        <w:r w:rsidRPr="00647B05">
          <w:rPr>
            <w:rStyle w:val="Hyperlink1"/>
            <w:rFonts w:eastAsia="Arial Unicode MS"/>
          </w:rPr>
          <w:t>Council Regulation (EU) 2022/2577 of 22 December 2022 laying down a framework to accelerate the deployment of renewable energy</w:t>
        </w:r>
      </w:hyperlink>
      <w:r w:rsidRPr="00647B05">
        <w:rPr>
          <w:rFonts w:ascii="Times New Roman" w:hAnsi="Times New Roman" w:cs="Times New Roman"/>
          <w:sz w:val="16"/>
          <w:szCs w:val="16"/>
        </w:rPr>
        <w:t>, OJ L 335, 29.12.2022, p. 36–</w:t>
      </w:r>
      <w:proofErr w:type="gramStart"/>
      <w:r w:rsidRPr="00647B05">
        <w:rPr>
          <w:rFonts w:ascii="Times New Roman" w:hAnsi="Times New Roman" w:cs="Times New Roman"/>
          <w:sz w:val="16"/>
          <w:szCs w:val="16"/>
        </w:rPr>
        <w:t>44</w:t>
      </w:r>
      <w:proofErr w:type="gramEnd"/>
    </w:p>
  </w:footnote>
  <w:footnote w:id="43">
    <w:p w14:paraId="178F7AAD" w14:textId="77777777" w:rsidR="0036400C" w:rsidRPr="00647B05" w:rsidRDefault="0036400C" w:rsidP="00647B05">
      <w:pPr>
        <w:pStyle w:val="FootnoteText"/>
        <w:spacing w:line="240" w:lineRule="auto"/>
        <w:ind w:left="357" w:hanging="357"/>
        <w:rPr>
          <w:rFonts w:ascii="Times New Roman" w:hAnsi="Times New Roman" w:cs="Times New Roman"/>
          <w:sz w:val="16"/>
          <w:szCs w:val="16"/>
        </w:rPr>
      </w:pPr>
      <w:r w:rsidRPr="00647B05">
        <w:rPr>
          <w:rFonts w:ascii="Times New Roman" w:hAnsi="Times New Roman" w:cs="Times New Roman"/>
          <w:sz w:val="16"/>
          <w:szCs w:val="16"/>
          <w:vertAlign w:val="superscript"/>
        </w:rPr>
        <w:footnoteRef/>
      </w:r>
      <w:r w:rsidRPr="00647B05">
        <w:rPr>
          <w:rFonts w:ascii="Times New Roman" w:hAnsi="Times New Roman" w:cs="Times New Roman"/>
          <w:sz w:val="16"/>
          <w:szCs w:val="16"/>
        </w:rPr>
        <w:t xml:space="preserve"> </w:t>
      </w:r>
      <w:hyperlink r:id="rId40" w:history="1">
        <w:r w:rsidRPr="00647B05">
          <w:rPr>
            <w:rStyle w:val="Hyperlink0"/>
            <w:rFonts w:ascii="Times New Roman" w:eastAsia="Arial Unicode MS" w:hAnsi="Times New Roman" w:cs="Times New Roman"/>
          </w:rPr>
          <w:t>Streamlining environmental assessment procedures for energy infrastructure Projects of Common Interest (PCIs)</w:t>
        </w:r>
      </w:hyperlink>
      <w:r w:rsidRPr="00647B05">
        <w:rPr>
          <w:rFonts w:ascii="Times New Roman" w:hAnsi="Times New Roman" w:cs="Times New Roman"/>
          <w:sz w:val="16"/>
          <w:szCs w:val="16"/>
        </w:rPr>
        <w:t xml:space="preserve">, European Commission, 2013 </w:t>
      </w:r>
    </w:p>
  </w:footnote>
  <w:footnote w:id="44">
    <w:p w14:paraId="018D74FF" w14:textId="34579EFC" w:rsidR="00495C2C" w:rsidRPr="00647B05" w:rsidRDefault="00495C2C" w:rsidP="00647B05">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w:t>
      </w:r>
      <w:hyperlink r:id="rId41" w:history="1">
        <w:r w:rsidRPr="00647B05">
          <w:rPr>
            <w:rStyle w:val="Hyperlink0"/>
            <w:rFonts w:ascii="Times New Roman" w:eastAsia="Arial Unicode MS" w:hAnsi="Times New Roman" w:cs="Times New Roman"/>
          </w:rPr>
          <w:t>Guidance on energy transmission infrastructure and EU nature legislation</w:t>
        </w:r>
      </w:hyperlink>
      <w:r w:rsidRPr="00647B05">
        <w:rPr>
          <w:rFonts w:ascii="Times New Roman" w:hAnsi="Times New Roman" w:cs="Times New Roman"/>
          <w:sz w:val="16"/>
          <w:szCs w:val="16"/>
        </w:rPr>
        <w:t>, European Commission, 2018</w:t>
      </w:r>
    </w:p>
  </w:footnote>
  <w:footnote w:id="45">
    <w:p w14:paraId="4AD05AC1" w14:textId="0AECBDCE" w:rsidR="00C873DD" w:rsidRPr="00647B05" w:rsidRDefault="00C873DD" w:rsidP="00647B05">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w:t>
      </w:r>
      <w:hyperlink r:id="rId42" w:history="1">
        <w:r w:rsidRPr="00647B05">
          <w:rPr>
            <w:rStyle w:val="Hyperlink0"/>
            <w:rFonts w:ascii="Times New Roman" w:eastAsia="Arial Unicode MS" w:hAnsi="Times New Roman" w:cs="Times New Roman"/>
          </w:rPr>
          <w:t>Regulation (EU) 2021/240 establishing a Technical Support Instrument</w:t>
        </w:r>
      </w:hyperlink>
      <w:r w:rsidRPr="00647B05">
        <w:rPr>
          <w:rFonts w:ascii="Times New Roman" w:hAnsi="Times New Roman" w:cs="Times New Roman"/>
          <w:sz w:val="16"/>
          <w:szCs w:val="16"/>
        </w:rPr>
        <w:t>, OJ L 57, 18.2.2021, p. 1–</w:t>
      </w:r>
      <w:proofErr w:type="gramStart"/>
      <w:r w:rsidRPr="00647B05">
        <w:rPr>
          <w:rFonts w:ascii="Times New Roman" w:hAnsi="Times New Roman" w:cs="Times New Roman"/>
          <w:sz w:val="16"/>
          <w:szCs w:val="16"/>
        </w:rPr>
        <w:t>16</w:t>
      </w:r>
      <w:proofErr w:type="gramEnd"/>
    </w:p>
  </w:footnote>
  <w:footnote w:id="46">
    <w:p w14:paraId="36366DEA" w14:textId="77777777" w:rsidR="00C873DD" w:rsidRPr="00647B05" w:rsidRDefault="00C873DD" w:rsidP="00647B05">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w:t>
      </w:r>
      <w:proofErr w:type="gramStart"/>
      <w:r w:rsidRPr="00647B05">
        <w:rPr>
          <w:rFonts w:ascii="Times New Roman" w:hAnsi="Times New Roman" w:cs="Times New Roman"/>
          <w:sz w:val="16"/>
          <w:szCs w:val="16"/>
        </w:rPr>
        <w:t>COM(</w:t>
      </w:r>
      <w:proofErr w:type="gramEnd"/>
      <w:r w:rsidRPr="00647B05">
        <w:rPr>
          <w:rFonts w:ascii="Times New Roman" w:hAnsi="Times New Roman" w:cs="Times New Roman"/>
          <w:sz w:val="16"/>
          <w:szCs w:val="16"/>
        </w:rPr>
        <w:t xml:space="preserve">2023) 669 final </w:t>
      </w:r>
      <w:hyperlink r:id="rId43" w:history="1">
        <w:r w:rsidRPr="00647B05">
          <w:rPr>
            <w:rStyle w:val="Hyperlink0"/>
            <w:rFonts w:ascii="Times New Roman" w:eastAsia="Arial Unicode MS" w:hAnsi="Times New Roman" w:cs="Times New Roman"/>
          </w:rPr>
          <w:t>European Wind Power Action Plan</w:t>
        </w:r>
      </w:hyperlink>
    </w:p>
  </w:footnote>
  <w:footnote w:id="47">
    <w:p w14:paraId="56DA6742" w14:textId="2A3546DF" w:rsidR="00D84784" w:rsidRPr="009C06CB" w:rsidRDefault="00D84784" w:rsidP="009C06CB">
      <w:pPr>
        <w:pStyle w:val="FootnoteText"/>
        <w:spacing w:line="240" w:lineRule="auto"/>
        <w:rPr>
          <w:rFonts w:ascii="Times New Roman" w:hAnsi="Times New Roman" w:cs="Times New Roman"/>
          <w:sz w:val="16"/>
          <w:szCs w:val="16"/>
          <w:lang w:val="en-IE"/>
        </w:rPr>
      </w:pPr>
      <w:r w:rsidRPr="009C06CB">
        <w:rPr>
          <w:rFonts w:ascii="Times New Roman" w:eastAsia="Times New Roman" w:hAnsi="Times New Roman" w:cs="Times New Roman"/>
          <w:sz w:val="16"/>
          <w:szCs w:val="16"/>
          <w:vertAlign w:val="superscript"/>
          <w:lang w:val="es-ES_tradnl"/>
        </w:rPr>
        <w:footnoteRef/>
      </w:r>
      <w:r w:rsidRPr="009C06CB">
        <w:rPr>
          <w:rFonts w:ascii="Times New Roman" w:hAnsi="Times New Roman" w:cs="Times New Roman"/>
          <w:sz w:val="16"/>
          <w:szCs w:val="16"/>
          <w:lang w:val="en-IE"/>
        </w:rPr>
        <w:t xml:space="preserve"> </w:t>
      </w:r>
      <w:hyperlink r:id="rId44" w:history="1">
        <w:r w:rsidRPr="009C06CB">
          <w:rPr>
            <w:rStyle w:val="Link"/>
            <w:rFonts w:ascii="Times New Roman" w:eastAsia="Arial Unicode MS" w:hAnsi="Times New Roman" w:cs="Times New Roman"/>
            <w:sz w:val="16"/>
            <w:szCs w:val="16"/>
          </w:rPr>
          <w:t>Directive (EU) 2022/2557 on the resilience of critical entities</w:t>
        </w:r>
      </w:hyperlink>
      <w:r w:rsidRPr="009C06CB">
        <w:rPr>
          <w:rStyle w:val="Link"/>
          <w:rFonts w:ascii="Times New Roman" w:eastAsia="Arial Unicode MS" w:hAnsi="Times New Roman" w:cs="Times New Roman"/>
          <w:sz w:val="16"/>
          <w:szCs w:val="16"/>
        </w:rPr>
        <w:t xml:space="preserve"> </w:t>
      </w:r>
    </w:p>
  </w:footnote>
  <w:footnote w:id="48">
    <w:p w14:paraId="0FA1EE02" w14:textId="6B7E0D22" w:rsidR="009C06CB" w:rsidRPr="00D935E1" w:rsidRDefault="009C06CB" w:rsidP="00D935E1">
      <w:pPr>
        <w:pStyle w:val="FootnoteText"/>
        <w:spacing w:line="240" w:lineRule="auto"/>
        <w:rPr>
          <w:rFonts w:ascii="Times New Roman" w:hAnsi="Times New Roman" w:cs="Times New Roman"/>
          <w:sz w:val="16"/>
          <w:szCs w:val="16"/>
          <w:lang w:val="en-IE"/>
        </w:rPr>
      </w:pPr>
      <w:r w:rsidRPr="00D935E1">
        <w:rPr>
          <w:rStyle w:val="FootnoteReference"/>
          <w:rFonts w:ascii="Times New Roman" w:hAnsi="Times New Roman" w:cs="Times New Roman"/>
          <w:sz w:val="16"/>
          <w:szCs w:val="16"/>
        </w:rPr>
        <w:footnoteRef/>
      </w:r>
      <w:r w:rsidRPr="00D935E1">
        <w:rPr>
          <w:rFonts w:ascii="Times New Roman" w:hAnsi="Times New Roman" w:cs="Times New Roman"/>
          <w:sz w:val="16"/>
          <w:szCs w:val="16"/>
        </w:rPr>
        <w:t xml:space="preserve"> </w:t>
      </w:r>
      <w:hyperlink r:id="rId45" w:history="1">
        <w:r w:rsidRPr="009C06CB">
          <w:rPr>
            <w:rStyle w:val="Link"/>
            <w:rFonts w:ascii="Times New Roman" w:eastAsia="Arial Unicode MS" w:hAnsi="Times New Roman" w:cs="Times New Roman"/>
            <w:sz w:val="16"/>
            <w:szCs w:val="16"/>
          </w:rPr>
          <w:t>Commission Recommendation (EU) 2019/553 of 3 April 2019 on cybersecurity in the energy sector</w:t>
        </w:r>
      </w:hyperlink>
    </w:p>
  </w:footnote>
  <w:footnote w:id="49">
    <w:p w14:paraId="58E7B296" w14:textId="158BEAC0" w:rsidR="009C06CB" w:rsidRPr="00D935E1" w:rsidRDefault="009C06CB" w:rsidP="00D935E1">
      <w:pPr>
        <w:pStyle w:val="FootnoteText"/>
        <w:spacing w:line="240" w:lineRule="auto"/>
        <w:rPr>
          <w:rFonts w:ascii="Times New Roman" w:hAnsi="Times New Roman" w:cs="Times New Roman"/>
          <w:sz w:val="16"/>
          <w:szCs w:val="16"/>
        </w:rPr>
      </w:pPr>
      <w:r w:rsidRPr="00D935E1">
        <w:rPr>
          <w:rStyle w:val="FootnoteReference"/>
          <w:rFonts w:ascii="Times New Roman" w:hAnsi="Times New Roman" w:cs="Times New Roman"/>
          <w:sz w:val="16"/>
          <w:szCs w:val="16"/>
        </w:rPr>
        <w:footnoteRef/>
      </w:r>
      <w:r w:rsidRPr="00D935E1">
        <w:rPr>
          <w:rFonts w:ascii="Times New Roman" w:hAnsi="Times New Roman" w:cs="Times New Roman"/>
          <w:sz w:val="16"/>
          <w:szCs w:val="16"/>
        </w:rPr>
        <w:t xml:space="preserve"> </w:t>
      </w:r>
      <w:hyperlink r:id="rId46" w:history="1">
        <w:r w:rsidRPr="009C06CB">
          <w:rPr>
            <w:rStyle w:val="Link"/>
            <w:rFonts w:ascii="Times New Roman" w:eastAsia="Arial Unicode MS" w:hAnsi="Times New Roman" w:cs="Times New Roman"/>
            <w:sz w:val="16"/>
            <w:szCs w:val="16"/>
          </w:rPr>
          <w:t>Directive (EU) 2022/2555 on measures for a high common level of cybersecurity across the Union</w:t>
        </w:r>
      </w:hyperlink>
    </w:p>
  </w:footnote>
  <w:footnote w:id="50">
    <w:p w14:paraId="618FA47F" w14:textId="77777777" w:rsidR="00753497" w:rsidRPr="00647B05" w:rsidRDefault="00753497" w:rsidP="009C06CB">
      <w:pPr>
        <w:pStyle w:val="FootnoteText"/>
        <w:spacing w:line="240" w:lineRule="auto"/>
        <w:rPr>
          <w:rFonts w:ascii="Times New Roman" w:hAnsi="Times New Roman" w:cs="Times New Roman"/>
          <w:sz w:val="16"/>
          <w:szCs w:val="16"/>
        </w:rPr>
      </w:pPr>
      <w:r w:rsidRPr="009C06CB">
        <w:rPr>
          <w:rStyle w:val="FootnoteReference"/>
          <w:rFonts w:ascii="Times New Roman" w:hAnsi="Times New Roman" w:cs="Times New Roman"/>
          <w:sz w:val="16"/>
          <w:szCs w:val="16"/>
        </w:rPr>
        <w:footnoteRef/>
      </w:r>
      <w:r w:rsidRPr="009C06CB">
        <w:rPr>
          <w:rFonts w:ascii="Times New Roman" w:hAnsi="Times New Roman" w:cs="Times New Roman"/>
          <w:sz w:val="16"/>
          <w:szCs w:val="16"/>
        </w:rPr>
        <w:t xml:space="preserve"> </w:t>
      </w:r>
      <w:hyperlink r:id="rId47" w:history="1">
        <w:r w:rsidRPr="009C06CB">
          <w:rPr>
            <w:rStyle w:val="Hyperlink3"/>
            <w:rFonts w:ascii="Times New Roman" w:hAnsi="Times New Roman" w:cs="Times New Roman"/>
            <w:lang w:val="en-IE"/>
          </w:rPr>
          <w:t>Skills needs developments, vocational education and training systems in the changing electricity sector</w:t>
        </w:r>
      </w:hyperlink>
      <w:r w:rsidRPr="009C06CB">
        <w:rPr>
          <w:rFonts w:ascii="Times New Roman" w:hAnsi="Times New Roman" w:cs="Times New Roman"/>
          <w:sz w:val="16"/>
          <w:szCs w:val="16"/>
        </w:rPr>
        <w:t xml:space="preserve">, by </w:t>
      </w:r>
      <w:proofErr w:type="spellStart"/>
      <w:r w:rsidRPr="009C06CB">
        <w:rPr>
          <w:rFonts w:ascii="Times New Roman" w:hAnsi="Times New Roman" w:cs="Times New Roman"/>
          <w:sz w:val="16"/>
          <w:szCs w:val="16"/>
        </w:rPr>
        <w:t>industriAll</w:t>
      </w:r>
      <w:proofErr w:type="spellEnd"/>
      <w:r w:rsidRPr="009C06CB">
        <w:rPr>
          <w:rFonts w:ascii="Times New Roman" w:hAnsi="Times New Roman" w:cs="Times New Roman"/>
          <w:sz w:val="16"/>
          <w:szCs w:val="16"/>
        </w:rPr>
        <w:t xml:space="preserve"> European Trade Union, the European Public Service Union (EPSU) and </w:t>
      </w:r>
      <w:proofErr w:type="spellStart"/>
      <w:r w:rsidRPr="009C06CB">
        <w:rPr>
          <w:rFonts w:ascii="Times New Roman" w:hAnsi="Times New Roman" w:cs="Times New Roman"/>
          <w:sz w:val="16"/>
          <w:szCs w:val="16"/>
        </w:rPr>
        <w:t>Eurelectric</w:t>
      </w:r>
      <w:proofErr w:type="spellEnd"/>
      <w:r w:rsidRPr="009C06CB">
        <w:rPr>
          <w:rFonts w:ascii="Times New Roman" w:hAnsi="Times New Roman" w:cs="Times New Roman"/>
          <w:sz w:val="16"/>
          <w:szCs w:val="16"/>
        </w:rPr>
        <w:t xml:space="preserve">, with support from the </w:t>
      </w:r>
      <w:proofErr w:type="gramStart"/>
      <w:r w:rsidRPr="009C06CB">
        <w:rPr>
          <w:rFonts w:ascii="Times New Roman" w:hAnsi="Times New Roman" w:cs="Times New Roman"/>
          <w:sz w:val="16"/>
          <w:szCs w:val="16"/>
        </w:rPr>
        <w:t>EU</w:t>
      </w:r>
      <w:proofErr w:type="gramEnd"/>
    </w:p>
  </w:footnote>
  <w:footnote w:id="51">
    <w:p w14:paraId="1C464CE7" w14:textId="56D8E440" w:rsidR="00602B05" w:rsidRPr="00647B05" w:rsidRDefault="00602B05" w:rsidP="00647B05">
      <w:pPr>
        <w:pStyle w:val="FootnoteText"/>
        <w:spacing w:line="240" w:lineRule="auto"/>
        <w:rPr>
          <w:rFonts w:ascii="Times New Roman" w:hAnsi="Times New Roman" w:cs="Times New Roman"/>
          <w:sz w:val="16"/>
          <w:szCs w:val="16"/>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rPr>
        <w:t xml:space="preserve"> See the recent opening of a trade investigation on optical fiber cables, in OJ C2023/891</w:t>
      </w:r>
      <w:r w:rsidR="0032304F" w:rsidRPr="00647B05">
        <w:rPr>
          <w:rFonts w:ascii="Times New Roman" w:hAnsi="Times New Roman" w:cs="Times New Roman"/>
          <w:sz w:val="16"/>
          <w:szCs w:val="16"/>
        </w:rPr>
        <w:t xml:space="preserve"> </w:t>
      </w:r>
      <w:hyperlink r:id="rId48" w:history="1">
        <w:r w:rsidR="0032304F" w:rsidRPr="00647B05">
          <w:rPr>
            <w:rStyle w:val="Hyperlink3"/>
            <w:rFonts w:ascii="Times New Roman" w:hAnsi="Times New Roman" w:cs="Times New Roman"/>
            <w:lang w:val="en-IE"/>
          </w:rPr>
          <w:t>Optical fibre cables notice of initiation</w:t>
        </w:r>
      </w:hyperlink>
    </w:p>
  </w:footnote>
  <w:footnote w:id="52">
    <w:p w14:paraId="1D60F144" w14:textId="7D30FD22" w:rsidR="004B4DA8" w:rsidRPr="00D935E1" w:rsidRDefault="004B4DA8" w:rsidP="00D935E1">
      <w:pPr>
        <w:pStyle w:val="FootnoteText"/>
        <w:spacing w:line="240" w:lineRule="auto"/>
        <w:rPr>
          <w:rFonts w:ascii="Times New Roman" w:hAnsi="Times New Roman" w:cs="Times New Roman"/>
          <w:sz w:val="16"/>
          <w:szCs w:val="16"/>
          <w:lang w:val="en-IE"/>
        </w:rPr>
      </w:pPr>
      <w:r w:rsidRPr="00D935E1">
        <w:rPr>
          <w:rStyle w:val="FootnoteReference"/>
          <w:rFonts w:ascii="Times New Roman" w:hAnsi="Times New Roman" w:cs="Times New Roman"/>
          <w:sz w:val="16"/>
          <w:szCs w:val="16"/>
        </w:rPr>
        <w:footnoteRef/>
      </w:r>
      <w:r w:rsidRPr="00D935E1">
        <w:rPr>
          <w:rFonts w:ascii="Times New Roman" w:hAnsi="Times New Roman" w:cs="Times New Roman"/>
          <w:sz w:val="16"/>
          <w:szCs w:val="16"/>
        </w:rPr>
        <w:t xml:space="preserve"> Regulation (EU) 2019/452 establishing a </w:t>
      </w:r>
      <w:hyperlink r:id="rId49" w:history="1">
        <w:r w:rsidRPr="00D935E1">
          <w:rPr>
            <w:rStyle w:val="Hyperlink3"/>
            <w:rFonts w:ascii="Times New Roman" w:hAnsi="Times New Roman" w:cs="Times New Roman"/>
            <w:lang w:val="en-IE"/>
          </w:rPr>
          <w:t>framework for the screening of foreign direct investments into the Union</w:t>
        </w:r>
      </w:hyperlink>
    </w:p>
  </w:footnote>
  <w:footnote w:id="53">
    <w:p w14:paraId="2AB4C7BE" w14:textId="7E9F48FB" w:rsidR="00516198" w:rsidRPr="00647B05" w:rsidRDefault="00516198" w:rsidP="00647B05">
      <w:pPr>
        <w:pStyle w:val="FootnoteText"/>
        <w:spacing w:line="240" w:lineRule="auto"/>
        <w:rPr>
          <w:rFonts w:ascii="Times New Roman" w:hAnsi="Times New Roman" w:cs="Times New Roman"/>
          <w:sz w:val="16"/>
          <w:szCs w:val="16"/>
          <w:lang w:val="en-IE"/>
        </w:rPr>
      </w:pPr>
      <w:r w:rsidRPr="00647B05">
        <w:rPr>
          <w:rStyle w:val="FootnoteReference"/>
          <w:rFonts w:ascii="Times New Roman" w:hAnsi="Times New Roman" w:cs="Times New Roman"/>
          <w:sz w:val="16"/>
          <w:szCs w:val="16"/>
        </w:rPr>
        <w:footnoteRef/>
      </w:r>
      <w:r w:rsidRPr="00647B05">
        <w:rPr>
          <w:rFonts w:ascii="Times New Roman" w:hAnsi="Times New Roman" w:cs="Times New Roman"/>
          <w:sz w:val="16"/>
          <w:szCs w:val="16"/>
          <w:lang w:val="en-IE"/>
        </w:rPr>
        <w:t xml:space="preserve"> </w:t>
      </w:r>
      <w:hyperlink r:id="rId50" w:history="1">
        <w:r w:rsidRPr="00647B05">
          <w:rPr>
            <w:rStyle w:val="Hyperlink0"/>
            <w:rFonts w:ascii="Times New Roman" w:eastAsia="Arial Unicode MS" w:hAnsi="Times New Roman" w:cs="Times New Roman"/>
            <w:lang w:val="en-IE"/>
          </w:rPr>
          <w:t>https://interopera.eu/</w:t>
        </w:r>
      </w:hyperlink>
      <w:r w:rsidRPr="00647B05">
        <w:rPr>
          <w:rFonts w:ascii="Times New Roman" w:hAnsi="Times New Roman" w:cs="Times New Roman"/>
          <w:sz w:val="16"/>
          <w:szCs w:val="16"/>
          <w:lang w:val="en-IE"/>
        </w:rPr>
        <w:t xml:space="preserve"> </w:t>
      </w:r>
    </w:p>
  </w:footnote>
  <w:footnote w:id="54">
    <w:p w14:paraId="6F34CD08" w14:textId="51C9729F" w:rsidR="00766D5D" w:rsidRPr="00647B05" w:rsidRDefault="00147117" w:rsidP="00647B05">
      <w:pPr>
        <w:pStyle w:val="FootnoteText"/>
        <w:spacing w:line="240" w:lineRule="auto"/>
        <w:rPr>
          <w:rFonts w:ascii="Times New Roman" w:hAnsi="Times New Roman" w:cs="Times New Roman"/>
          <w:sz w:val="16"/>
          <w:szCs w:val="16"/>
        </w:rPr>
      </w:pPr>
      <w:r w:rsidRPr="00647B05">
        <w:rPr>
          <w:rFonts w:ascii="Times New Roman" w:hAnsi="Times New Roman" w:cs="Times New Roman"/>
          <w:sz w:val="16"/>
          <w:szCs w:val="16"/>
          <w:vertAlign w:val="superscript"/>
        </w:rPr>
        <w:footnoteRef/>
      </w:r>
      <w:r w:rsidRPr="00647B05">
        <w:rPr>
          <w:rFonts w:ascii="Times New Roman" w:eastAsia="Arial Unicode MS" w:hAnsi="Times New Roman" w:cs="Times New Roman"/>
          <w:sz w:val="16"/>
          <w:szCs w:val="16"/>
        </w:rPr>
        <w:t xml:space="preserve"> </w:t>
      </w:r>
      <w:proofErr w:type="gramStart"/>
      <w:r w:rsidR="00682ED5" w:rsidRPr="00647B05">
        <w:rPr>
          <w:rFonts w:ascii="Times New Roman" w:eastAsia="Arial Unicode MS" w:hAnsi="Times New Roman" w:cs="Times New Roman"/>
          <w:sz w:val="16"/>
          <w:szCs w:val="16"/>
        </w:rPr>
        <w:t>E.g.</w:t>
      </w:r>
      <w:proofErr w:type="gramEnd"/>
      <w:r w:rsidR="00682ED5" w:rsidRPr="00647B05">
        <w:rPr>
          <w:rFonts w:ascii="Times New Roman" w:eastAsia="Arial Unicode MS" w:hAnsi="Times New Roman" w:cs="Times New Roman"/>
          <w:sz w:val="16"/>
          <w:szCs w:val="16"/>
        </w:rPr>
        <w:t xml:space="preserve"> </w:t>
      </w:r>
      <w:proofErr w:type="spellStart"/>
      <w:r w:rsidR="00682ED5" w:rsidRPr="00647B05">
        <w:rPr>
          <w:rFonts w:ascii="Times New Roman" w:eastAsia="Arial Unicode MS" w:hAnsi="Times New Roman" w:cs="Times New Roman"/>
          <w:sz w:val="16"/>
          <w:szCs w:val="16"/>
        </w:rPr>
        <w:t>TenneT’s</w:t>
      </w:r>
      <w:proofErr w:type="spellEnd"/>
      <w:r w:rsidR="00682ED5" w:rsidRPr="00647B05">
        <w:rPr>
          <w:rFonts w:ascii="Times New Roman" w:eastAsia="Arial Unicode MS" w:hAnsi="Times New Roman" w:cs="Times New Roman"/>
          <w:sz w:val="16"/>
          <w:szCs w:val="16"/>
        </w:rPr>
        <w:t xml:space="preserve"> 2 GW </w:t>
      </w:r>
      <w:proofErr w:type="spellStart"/>
      <w:r w:rsidR="00682ED5" w:rsidRPr="00647B05">
        <w:rPr>
          <w:rFonts w:ascii="Times New Roman" w:eastAsia="Arial Unicode MS" w:hAnsi="Times New Roman" w:cs="Times New Roman"/>
          <w:sz w:val="16"/>
          <w:szCs w:val="16"/>
        </w:rPr>
        <w:t>programme</w:t>
      </w:r>
      <w:proofErr w:type="spellEnd"/>
      <w:r w:rsidR="00682ED5" w:rsidRPr="00647B05">
        <w:rPr>
          <w:rFonts w:ascii="Times New Roman" w:eastAsia="Arial Unicode MS" w:hAnsi="Times New Roman" w:cs="Times New Roman"/>
          <w:sz w:val="16"/>
          <w:szCs w:val="16"/>
        </w:rPr>
        <w:t xml:space="preserve"> for offshore grids (</w:t>
      </w:r>
      <w:hyperlink r:id="rId51" w:history="1">
        <w:r w:rsidR="00682ED5" w:rsidRPr="00647B05">
          <w:rPr>
            <w:rStyle w:val="Hyperlink0"/>
            <w:rFonts w:ascii="Times New Roman" w:hAnsi="Times New Roman" w:cs="Times New Roman"/>
          </w:rPr>
          <w:t>https://www.tennet.eu/about-tennet/innovations/2gw-program</w:t>
        </w:r>
      </w:hyperlink>
      <w:r w:rsidR="00682ED5" w:rsidRPr="00647B05">
        <w:rPr>
          <w:rFonts w:ascii="Times New Roman" w:eastAsia="Arial Unicode MS" w:hAnsi="Times New Roman" w:cs="Times New Roman"/>
          <w:sz w:val="16"/>
          <w:szCs w:val="16"/>
        </w:rPr>
        <w:t>)</w:t>
      </w:r>
    </w:p>
  </w:footnote>
  <w:footnote w:id="55">
    <w:p w14:paraId="57AAA6DD" w14:textId="77777777" w:rsidR="00766D5D" w:rsidRPr="00D935E1" w:rsidRDefault="00147117" w:rsidP="00647B05">
      <w:pPr>
        <w:pStyle w:val="FootnoteText"/>
        <w:spacing w:line="240" w:lineRule="auto"/>
        <w:rPr>
          <w:rFonts w:ascii="Times New Roman" w:hAnsi="Times New Roman" w:cs="Times New Roman"/>
          <w:sz w:val="16"/>
          <w:szCs w:val="16"/>
        </w:rPr>
      </w:pPr>
      <w:r w:rsidRPr="00647B05">
        <w:rPr>
          <w:rFonts w:ascii="Times New Roman" w:hAnsi="Times New Roman" w:cs="Times New Roman"/>
          <w:sz w:val="16"/>
          <w:szCs w:val="16"/>
          <w:vertAlign w:val="superscript"/>
        </w:rPr>
        <w:footnoteRef/>
      </w:r>
      <w:r w:rsidRPr="00647B05">
        <w:rPr>
          <w:rFonts w:ascii="Times New Roman" w:hAnsi="Times New Roman" w:cs="Times New Roman"/>
          <w:sz w:val="16"/>
          <w:szCs w:val="16"/>
        </w:rPr>
        <w:t xml:space="preserve"> </w:t>
      </w:r>
      <w:hyperlink r:id="rId52" w:history="1">
        <w:r w:rsidRPr="00647B05">
          <w:rPr>
            <w:rStyle w:val="Hyperlink1"/>
            <w:rFonts w:eastAsia="Arial Unicode MS"/>
          </w:rPr>
          <w:t>Conclusions</w:t>
        </w:r>
      </w:hyperlink>
      <w:r w:rsidRPr="00647B05">
        <w:rPr>
          <w:rFonts w:ascii="Times New Roman" w:hAnsi="Times New Roman" w:cs="Times New Roman"/>
          <w:sz w:val="16"/>
          <w:szCs w:val="16"/>
        </w:rPr>
        <w:t xml:space="preserve"> ENTSO-E event ‘Future of our Grids’ session 3 on ‘People and procurement’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F287" w14:textId="77777777" w:rsidR="002945E4" w:rsidRPr="002945E4" w:rsidRDefault="002945E4" w:rsidP="002945E4">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C00D" w14:textId="77777777" w:rsidR="002945E4" w:rsidRPr="002945E4" w:rsidRDefault="002945E4" w:rsidP="002945E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8FED" w14:textId="77777777" w:rsidR="002945E4" w:rsidRPr="002945E4" w:rsidRDefault="002945E4" w:rsidP="002945E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B9CF" w14:textId="77777777" w:rsidR="002945E4" w:rsidRDefault="00294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7D62" w14:textId="77777777" w:rsidR="002945E4" w:rsidRDefault="00294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FAE4" w14:textId="77777777" w:rsidR="002945E4" w:rsidRDefault="00294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F9F"/>
    <w:multiLevelType w:val="hybridMultilevel"/>
    <w:tmpl w:val="C624DB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AE6286"/>
    <w:multiLevelType w:val="multilevel"/>
    <w:tmpl w:val="134A3CF8"/>
    <w:lvl w:ilvl="0">
      <w:start w:val="1"/>
      <w:numFmt w:val="upperRoman"/>
      <w:lvlText w:val="%1."/>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7" w:hanging="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37"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37"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797"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797"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57" w:hanging="180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C72630"/>
    <w:multiLevelType w:val="hybridMultilevel"/>
    <w:tmpl w:val="AD3C7C24"/>
    <w:numStyleLink w:val="ImportedStyle4"/>
  </w:abstractNum>
  <w:abstractNum w:abstractNumId="3" w15:restartNumberingAfterBreak="0">
    <w:nsid w:val="0E67293E"/>
    <w:multiLevelType w:val="hybridMultilevel"/>
    <w:tmpl w:val="5C34D4FE"/>
    <w:lvl w:ilvl="0" w:tplc="FB244DF6">
      <w:start w:val="7"/>
      <w:numFmt w:val="bullet"/>
      <w:lvlText w:val="-"/>
      <w:lvlJc w:val="left"/>
      <w:pPr>
        <w:ind w:left="720" w:hanging="360"/>
      </w:pPr>
      <w:rPr>
        <w:rFonts w:ascii="Times New Roman" w:eastAsia="Arial Unicode MS"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1250C4"/>
    <w:multiLevelType w:val="hybridMultilevel"/>
    <w:tmpl w:val="9B266C2C"/>
    <w:numStyleLink w:val="ImportedStyle5"/>
  </w:abstractNum>
  <w:abstractNum w:abstractNumId="5" w15:restartNumberingAfterBreak="0">
    <w:nsid w:val="122F3B06"/>
    <w:multiLevelType w:val="hybridMultilevel"/>
    <w:tmpl w:val="AD3C7C24"/>
    <w:numStyleLink w:val="ImportedStyle4"/>
  </w:abstractNum>
  <w:abstractNum w:abstractNumId="6" w15:restartNumberingAfterBreak="0">
    <w:nsid w:val="12711C1C"/>
    <w:multiLevelType w:val="multilevel"/>
    <w:tmpl w:val="1F54578E"/>
    <w:styleLink w:val="ImportedStyle1"/>
    <w:lvl w:ilvl="0">
      <w:start w:val="1"/>
      <w:numFmt w:val="decimal"/>
      <w:lvlText w:val="%1."/>
      <w:lvlJc w:val="left"/>
      <w:pPr>
        <w:ind w:left="482"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480"/>
        </w:tabs>
        <w:ind w:left="1997" w:hanging="72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80"/>
        </w:tabs>
        <w:ind w:left="2162" w:hanging="72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80"/>
        </w:tabs>
        <w:ind w:left="1922" w:hanging="72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tabs>
          <w:tab w:val="left" w:pos="480"/>
        </w:tabs>
        <w:ind w:left="1802" w:hanging="36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tabs>
          <w:tab w:val="left" w:pos="480"/>
        </w:tabs>
        <w:ind w:left="2162" w:hanging="36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80"/>
        </w:tabs>
        <w:ind w:left="930" w:hanging="36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tabs>
          <w:tab w:val="left" w:pos="480"/>
        </w:tabs>
        <w:ind w:left="2882" w:hanging="36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tabs>
          <w:tab w:val="left" w:pos="480"/>
        </w:tabs>
        <w:ind w:left="3242" w:hanging="3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C17B2D"/>
    <w:multiLevelType w:val="multilevel"/>
    <w:tmpl w:val="1F54578E"/>
    <w:numStyleLink w:val="ImportedStyle1"/>
  </w:abstractNum>
  <w:abstractNum w:abstractNumId="8" w15:restartNumberingAfterBreak="0">
    <w:nsid w:val="21CC4752"/>
    <w:multiLevelType w:val="hybridMultilevel"/>
    <w:tmpl w:val="BE041D56"/>
    <w:lvl w:ilvl="0" w:tplc="B3F442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B425C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4E745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C4AB23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36223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4EFDF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7CEB53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AA228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9C3EC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9C035A"/>
    <w:multiLevelType w:val="hybridMultilevel"/>
    <w:tmpl w:val="76FE92AE"/>
    <w:lvl w:ilvl="0" w:tplc="951CED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BEC51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E6C085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E6292B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56193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DEDEC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1E8E1F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32D94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60293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8284DB8"/>
    <w:multiLevelType w:val="hybridMultilevel"/>
    <w:tmpl w:val="97BEBE24"/>
    <w:lvl w:ilvl="0" w:tplc="17C8C4A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40C5F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FC39A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4CBC4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3C5B7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D054F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C7A6C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FE0AE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8C8EE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1E6F52"/>
    <w:multiLevelType w:val="hybridMultilevel"/>
    <w:tmpl w:val="26247BF2"/>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E913A73"/>
    <w:multiLevelType w:val="hybridMultilevel"/>
    <w:tmpl w:val="17662046"/>
    <w:lvl w:ilvl="0" w:tplc="62E67E0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A4FAB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7236F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CB8DAC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482BD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30E1D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A20291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F422D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1A8EA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613760"/>
    <w:multiLevelType w:val="hybridMultilevel"/>
    <w:tmpl w:val="BB5682FA"/>
    <w:numStyleLink w:val="ImportedStyle3"/>
  </w:abstractNum>
  <w:abstractNum w:abstractNumId="14" w15:restartNumberingAfterBreak="0">
    <w:nsid w:val="38292CA0"/>
    <w:multiLevelType w:val="multilevel"/>
    <w:tmpl w:val="B97A2222"/>
    <w:numStyleLink w:val="ImportedStyle2"/>
  </w:abstractNum>
  <w:abstractNum w:abstractNumId="15" w15:restartNumberingAfterBreak="0">
    <w:nsid w:val="3AAB7CA9"/>
    <w:multiLevelType w:val="hybridMultilevel"/>
    <w:tmpl w:val="9F66B430"/>
    <w:numStyleLink w:val="ImportedStyle7"/>
  </w:abstractNum>
  <w:abstractNum w:abstractNumId="16" w15:restartNumberingAfterBreak="0">
    <w:nsid w:val="3C2F0577"/>
    <w:multiLevelType w:val="hybridMultilevel"/>
    <w:tmpl w:val="9E18887C"/>
    <w:lvl w:ilvl="0" w:tplc="A240DB7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A275D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80780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E78B95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1A5B7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2A3A7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83041D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C0FB8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B4ED3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DC9798E"/>
    <w:multiLevelType w:val="hybridMultilevel"/>
    <w:tmpl w:val="0FD6E02A"/>
    <w:lvl w:ilvl="0" w:tplc="12047AA8">
      <w:start w:val="4"/>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3F5C5D8E"/>
    <w:multiLevelType w:val="hybridMultilevel"/>
    <w:tmpl w:val="B6EE4DEC"/>
    <w:lvl w:ilvl="0" w:tplc="B27E33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CA6E1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6E56F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B4EC8C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5402B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36474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A262A9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A88FF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88068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2435462"/>
    <w:multiLevelType w:val="hybridMultilevel"/>
    <w:tmpl w:val="04687E7C"/>
    <w:lvl w:ilvl="0" w:tplc="CA4080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22358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04CF8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89E660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940EF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20AF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D54689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04564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7CB69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9051B09"/>
    <w:multiLevelType w:val="hybridMultilevel"/>
    <w:tmpl w:val="B97A2222"/>
    <w:styleLink w:val="ImportedStyle2"/>
    <w:lvl w:ilvl="0" w:tplc="E76A760E">
      <w:start w:val="1"/>
      <w:numFmt w:val="decimal"/>
      <w:lvlText w:val="%1."/>
      <w:lvlJc w:val="left"/>
      <w:pPr>
        <w:ind w:left="86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661CDE06">
      <w:start w:val="1"/>
      <w:numFmt w:val="lowerLetter"/>
      <w:lvlText w:val="%2."/>
      <w:lvlJc w:val="left"/>
      <w:pPr>
        <w:ind w:left="194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42EE30F2">
      <w:start w:val="1"/>
      <w:numFmt w:val="lowerRoman"/>
      <w:lvlText w:val="%3."/>
      <w:lvlJc w:val="left"/>
      <w:pPr>
        <w:ind w:left="2667" w:hanging="297"/>
      </w:pPr>
      <w:rPr>
        <w:rFonts w:hAnsi="Arial Unicode MS"/>
        <w:b/>
        <w:bCs/>
        <w:caps w:val="0"/>
        <w:smallCaps w:val="0"/>
        <w:strike w:val="0"/>
        <w:dstrike w:val="0"/>
        <w:outline w:val="0"/>
        <w:emboss w:val="0"/>
        <w:imprint w:val="0"/>
        <w:spacing w:val="0"/>
        <w:w w:val="100"/>
        <w:kern w:val="0"/>
        <w:position w:val="0"/>
        <w:highlight w:val="none"/>
        <w:vertAlign w:val="baseline"/>
      </w:rPr>
    </w:lvl>
    <w:lvl w:ilvl="3" w:tplc="0CEC292C">
      <w:start w:val="1"/>
      <w:numFmt w:val="decimal"/>
      <w:lvlText w:val="%4."/>
      <w:lvlJc w:val="left"/>
      <w:pPr>
        <w:ind w:left="338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D5ACE43A">
      <w:start w:val="1"/>
      <w:numFmt w:val="lowerLetter"/>
      <w:lvlText w:val="%5."/>
      <w:lvlJc w:val="left"/>
      <w:pPr>
        <w:ind w:left="410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195C365C">
      <w:start w:val="1"/>
      <w:numFmt w:val="lowerRoman"/>
      <w:lvlText w:val="%6."/>
      <w:lvlJc w:val="left"/>
      <w:pPr>
        <w:ind w:left="4827" w:hanging="297"/>
      </w:pPr>
      <w:rPr>
        <w:rFonts w:hAnsi="Arial Unicode MS"/>
        <w:b/>
        <w:bCs/>
        <w:caps w:val="0"/>
        <w:smallCaps w:val="0"/>
        <w:strike w:val="0"/>
        <w:dstrike w:val="0"/>
        <w:outline w:val="0"/>
        <w:emboss w:val="0"/>
        <w:imprint w:val="0"/>
        <w:spacing w:val="0"/>
        <w:w w:val="100"/>
        <w:kern w:val="0"/>
        <w:position w:val="0"/>
        <w:highlight w:val="none"/>
        <w:vertAlign w:val="baseline"/>
      </w:rPr>
    </w:lvl>
    <w:lvl w:ilvl="6" w:tplc="C4102CC0">
      <w:start w:val="1"/>
      <w:numFmt w:val="decimal"/>
      <w:lvlText w:val="%7."/>
      <w:lvlJc w:val="left"/>
      <w:pPr>
        <w:ind w:left="554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232842CE">
      <w:start w:val="1"/>
      <w:numFmt w:val="lowerLetter"/>
      <w:lvlText w:val="%8."/>
      <w:lvlJc w:val="left"/>
      <w:pPr>
        <w:ind w:left="626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3BCC931C">
      <w:start w:val="1"/>
      <w:numFmt w:val="lowerRoman"/>
      <w:lvlText w:val="%9."/>
      <w:lvlJc w:val="left"/>
      <w:pPr>
        <w:ind w:left="6987" w:hanging="29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E124F03"/>
    <w:multiLevelType w:val="hybridMultilevel"/>
    <w:tmpl w:val="BCEAD69C"/>
    <w:lvl w:ilvl="0" w:tplc="97DC560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FAC50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66BD2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C0C481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4655A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2E31F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CA09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54E43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988EF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F8C7527"/>
    <w:multiLevelType w:val="hybridMultilevel"/>
    <w:tmpl w:val="65CA6978"/>
    <w:lvl w:ilvl="0" w:tplc="D87A66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08D0012"/>
    <w:multiLevelType w:val="hybridMultilevel"/>
    <w:tmpl w:val="A5424976"/>
    <w:lvl w:ilvl="0" w:tplc="B0F8930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249AC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20DEB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22E522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A602A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B6CA02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294CD1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98D9E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76167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48364C2"/>
    <w:multiLevelType w:val="hybridMultilevel"/>
    <w:tmpl w:val="4C3CF93C"/>
    <w:lvl w:ilvl="0" w:tplc="1EA4DD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CCE22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26A77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C6EE58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A6F83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C4874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0825ED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36C17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E4973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E535B9"/>
    <w:multiLevelType w:val="hybridMultilevel"/>
    <w:tmpl w:val="8F2AB5FA"/>
    <w:lvl w:ilvl="0" w:tplc="D87A662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9C272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24CD3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EF6B89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A6648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AEF51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218C56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7EC9F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063FD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91F452E"/>
    <w:multiLevelType w:val="multilevel"/>
    <w:tmpl w:val="134A3CF8"/>
    <w:lvl w:ilvl="0">
      <w:start w:val="1"/>
      <w:numFmt w:val="upperRoman"/>
      <w:lvlText w:val="%1."/>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7" w:hanging="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37"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37"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797"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797"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57" w:hanging="180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A2D466F"/>
    <w:multiLevelType w:val="hybridMultilevel"/>
    <w:tmpl w:val="AD3C7C24"/>
    <w:styleLink w:val="ImportedStyle4"/>
    <w:lvl w:ilvl="0" w:tplc="DE32C7CE">
      <w:start w:val="1"/>
      <w:numFmt w:val="bullet"/>
      <w:lvlText w:val="-"/>
      <w:lvlJc w:val="left"/>
      <w:pPr>
        <w:ind w:left="7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E6E7A06">
      <w:start w:val="1"/>
      <w:numFmt w:val="bullet"/>
      <w:lvlText w:val="o"/>
      <w:lvlJc w:val="left"/>
      <w:pPr>
        <w:ind w:left="14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50E67AC">
      <w:start w:val="1"/>
      <w:numFmt w:val="bullet"/>
      <w:lvlText w:val="▪"/>
      <w:lvlJc w:val="left"/>
      <w:pPr>
        <w:ind w:left="21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F64E862">
      <w:start w:val="1"/>
      <w:numFmt w:val="bullet"/>
      <w:lvlText w:val="•"/>
      <w:lvlJc w:val="left"/>
      <w:pPr>
        <w:ind w:left="28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C22588">
      <w:start w:val="1"/>
      <w:numFmt w:val="bullet"/>
      <w:lvlText w:val="o"/>
      <w:lvlJc w:val="left"/>
      <w:pPr>
        <w:ind w:left="359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89277E0">
      <w:start w:val="1"/>
      <w:numFmt w:val="bullet"/>
      <w:lvlText w:val="▪"/>
      <w:lvlJc w:val="left"/>
      <w:pPr>
        <w:ind w:left="43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63430DC">
      <w:start w:val="1"/>
      <w:numFmt w:val="bullet"/>
      <w:lvlText w:val="•"/>
      <w:lvlJc w:val="left"/>
      <w:pPr>
        <w:ind w:left="50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C626A7C">
      <w:start w:val="1"/>
      <w:numFmt w:val="bullet"/>
      <w:lvlText w:val="o"/>
      <w:lvlJc w:val="left"/>
      <w:pPr>
        <w:ind w:left="57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620D9B2">
      <w:start w:val="1"/>
      <w:numFmt w:val="bullet"/>
      <w:lvlText w:val="▪"/>
      <w:lvlJc w:val="left"/>
      <w:pPr>
        <w:ind w:left="64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1A71791"/>
    <w:multiLevelType w:val="multilevel"/>
    <w:tmpl w:val="134A3CF8"/>
    <w:numStyleLink w:val="ImportedStyle6"/>
  </w:abstractNum>
  <w:abstractNum w:abstractNumId="29" w15:restartNumberingAfterBreak="0">
    <w:nsid w:val="62D01D95"/>
    <w:multiLevelType w:val="multilevel"/>
    <w:tmpl w:val="134A3CF8"/>
    <w:styleLink w:val="ImportedStyle6"/>
    <w:lvl w:ilvl="0">
      <w:start w:val="1"/>
      <w:numFmt w:val="upperRoman"/>
      <w:lvlText w:val="%1."/>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7" w:hanging="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37"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37"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797"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797"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57" w:hanging="180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50D69EF"/>
    <w:multiLevelType w:val="hybridMultilevel"/>
    <w:tmpl w:val="688ADC08"/>
    <w:lvl w:ilvl="0" w:tplc="CB74B21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8CB77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2231D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B96329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2A6E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E4663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2C4580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BE1F8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FEE89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63C4833"/>
    <w:multiLevelType w:val="hybridMultilevel"/>
    <w:tmpl w:val="32E6336A"/>
    <w:lvl w:ilvl="0" w:tplc="B40CD6B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C62D6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C074A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8D2AF9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EECEA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4473C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24C5B5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22D38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6EE6F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86D6BC0"/>
    <w:multiLevelType w:val="hybridMultilevel"/>
    <w:tmpl w:val="E466BC9A"/>
    <w:lvl w:ilvl="0" w:tplc="0EDC4E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E2E49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467EF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A1CA1B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A85EB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A242D3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5D6A7F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EC8B3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8CD6D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98A29BC"/>
    <w:multiLevelType w:val="hybridMultilevel"/>
    <w:tmpl w:val="9B266C2C"/>
    <w:styleLink w:val="ImportedStyle5"/>
    <w:lvl w:ilvl="0" w:tplc="37FE840A">
      <w:start w:val="1"/>
      <w:numFmt w:val="bullet"/>
      <w:lvlText w:val="-"/>
      <w:lvlJc w:val="left"/>
      <w:pPr>
        <w:ind w:left="71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6446EA6">
      <w:start w:val="1"/>
      <w:numFmt w:val="bullet"/>
      <w:lvlText w:val="o"/>
      <w:lvlJc w:val="left"/>
      <w:pPr>
        <w:ind w:left="143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EB86B0A">
      <w:start w:val="1"/>
      <w:numFmt w:val="bullet"/>
      <w:lvlText w:val="▪"/>
      <w:lvlJc w:val="left"/>
      <w:pPr>
        <w:ind w:left="215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05ACF60">
      <w:start w:val="1"/>
      <w:numFmt w:val="bullet"/>
      <w:lvlText w:val="•"/>
      <w:lvlJc w:val="left"/>
      <w:pPr>
        <w:ind w:left="287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FD4960E">
      <w:start w:val="1"/>
      <w:numFmt w:val="bullet"/>
      <w:lvlText w:val="o"/>
      <w:lvlJc w:val="left"/>
      <w:pPr>
        <w:ind w:left="359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6D221B0">
      <w:start w:val="1"/>
      <w:numFmt w:val="bullet"/>
      <w:lvlText w:val="▪"/>
      <w:lvlJc w:val="left"/>
      <w:pPr>
        <w:ind w:left="431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0B0D22A">
      <w:start w:val="1"/>
      <w:numFmt w:val="bullet"/>
      <w:lvlText w:val="•"/>
      <w:lvlJc w:val="left"/>
      <w:pPr>
        <w:ind w:left="503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E4AEA4E">
      <w:start w:val="1"/>
      <w:numFmt w:val="bullet"/>
      <w:lvlText w:val="o"/>
      <w:lvlJc w:val="left"/>
      <w:pPr>
        <w:ind w:left="575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4AF69A">
      <w:start w:val="1"/>
      <w:numFmt w:val="bullet"/>
      <w:lvlText w:val="▪"/>
      <w:lvlJc w:val="left"/>
      <w:pPr>
        <w:ind w:left="647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BDB0F44"/>
    <w:multiLevelType w:val="hybridMultilevel"/>
    <w:tmpl w:val="9F66B430"/>
    <w:styleLink w:val="ImportedStyle7"/>
    <w:lvl w:ilvl="0" w:tplc="4C6AEB2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9527DF2">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DE487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BDC2C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2D66F7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03899D8">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920098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FACDD8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4BEB3F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3816076"/>
    <w:multiLevelType w:val="hybridMultilevel"/>
    <w:tmpl w:val="BB5682FA"/>
    <w:styleLink w:val="ImportedStyle3"/>
    <w:lvl w:ilvl="0" w:tplc="4FE2E80C">
      <w:start w:val="1"/>
      <w:numFmt w:val="bullet"/>
      <w:lvlText w:val="-"/>
      <w:lvlJc w:val="left"/>
      <w:pPr>
        <w:ind w:left="7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41634EA">
      <w:start w:val="1"/>
      <w:numFmt w:val="bullet"/>
      <w:lvlText w:val="o"/>
      <w:lvlJc w:val="left"/>
      <w:pPr>
        <w:ind w:left="14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88469EA">
      <w:start w:val="1"/>
      <w:numFmt w:val="bullet"/>
      <w:lvlText w:val="▪"/>
      <w:lvlJc w:val="left"/>
      <w:pPr>
        <w:ind w:left="21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7726AFE">
      <w:start w:val="1"/>
      <w:numFmt w:val="bullet"/>
      <w:lvlText w:val="•"/>
      <w:lvlJc w:val="left"/>
      <w:pPr>
        <w:ind w:left="28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9B01800">
      <w:start w:val="1"/>
      <w:numFmt w:val="bullet"/>
      <w:lvlText w:val="o"/>
      <w:lvlJc w:val="left"/>
      <w:pPr>
        <w:ind w:left="359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7F69344">
      <w:start w:val="1"/>
      <w:numFmt w:val="bullet"/>
      <w:lvlText w:val="▪"/>
      <w:lvlJc w:val="left"/>
      <w:pPr>
        <w:ind w:left="43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FC865E0">
      <w:start w:val="1"/>
      <w:numFmt w:val="bullet"/>
      <w:lvlText w:val="•"/>
      <w:lvlJc w:val="left"/>
      <w:pPr>
        <w:ind w:left="50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5EA19FE">
      <w:start w:val="1"/>
      <w:numFmt w:val="bullet"/>
      <w:lvlText w:val="o"/>
      <w:lvlJc w:val="left"/>
      <w:pPr>
        <w:ind w:left="57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9C694F4">
      <w:start w:val="1"/>
      <w:numFmt w:val="bullet"/>
      <w:lvlText w:val="▪"/>
      <w:lvlJc w:val="left"/>
      <w:pPr>
        <w:ind w:left="64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74E34D2"/>
    <w:multiLevelType w:val="hybridMultilevel"/>
    <w:tmpl w:val="4DB800C4"/>
    <w:lvl w:ilvl="0" w:tplc="A5ECC8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DADC6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5A842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ABA2DD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3E769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46D7C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29A9C4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CAE58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3885D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C504A0F"/>
    <w:multiLevelType w:val="hybridMultilevel"/>
    <w:tmpl w:val="D8B8BEDC"/>
    <w:lvl w:ilvl="0" w:tplc="77F8DBE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84F16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40A49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FCDD6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32FBE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E6A59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9EEFD5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70597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BA671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73518331">
    <w:abstractNumId w:val="6"/>
  </w:num>
  <w:num w:numId="2" w16cid:durableId="1135761640">
    <w:abstractNumId w:val="7"/>
  </w:num>
  <w:num w:numId="3" w16cid:durableId="942298059">
    <w:abstractNumId w:val="20"/>
  </w:num>
  <w:num w:numId="4" w16cid:durableId="579406185">
    <w:abstractNumId w:val="14"/>
  </w:num>
  <w:num w:numId="5" w16cid:durableId="291138372">
    <w:abstractNumId w:val="14"/>
  </w:num>
  <w:num w:numId="6" w16cid:durableId="1795322676">
    <w:abstractNumId w:val="35"/>
  </w:num>
  <w:num w:numId="7" w16cid:durableId="311326541">
    <w:abstractNumId w:val="13"/>
  </w:num>
  <w:num w:numId="8" w16cid:durableId="560605372">
    <w:abstractNumId w:val="13"/>
    <w:lvlOverride w:ilvl="0">
      <w:lvl w:ilvl="0" w:tplc="EC52879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73CBD4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48065F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D8027D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4942F2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5CEFB1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BE975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0983F8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5A856C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73617155">
    <w:abstractNumId w:val="14"/>
    <w:lvlOverride w:ilvl="0">
      <w:startOverride w:val="4"/>
    </w:lvlOverride>
  </w:num>
  <w:num w:numId="10" w16cid:durableId="535124677">
    <w:abstractNumId w:val="27"/>
  </w:num>
  <w:num w:numId="11" w16cid:durableId="2118139441">
    <w:abstractNumId w:val="5"/>
  </w:num>
  <w:num w:numId="12" w16cid:durableId="148907964">
    <w:abstractNumId w:val="33"/>
  </w:num>
  <w:num w:numId="13" w16cid:durableId="74475777">
    <w:abstractNumId w:val="4"/>
  </w:num>
  <w:num w:numId="14" w16cid:durableId="1392197261">
    <w:abstractNumId w:val="14"/>
    <w:lvlOverride w:ilvl="0">
      <w:startOverride w:val="5"/>
    </w:lvlOverride>
  </w:num>
  <w:num w:numId="15" w16cid:durableId="475606612">
    <w:abstractNumId w:val="29"/>
  </w:num>
  <w:num w:numId="16" w16cid:durableId="466902277">
    <w:abstractNumId w:val="28"/>
  </w:num>
  <w:num w:numId="17" w16cid:durableId="1421828437">
    <w:abstractNumId w:val="34"/>
  </w:num>
  <w:num w:numId="18" w16cid:durableId="1741633394">
    <w:abstractNumId w:val="15"/>
  </w:num>
  <w:num w:numId="19" w16cid:durableId="949163365">
    <w:abstractNumId w:val="28"/>
    <w:lvlOverride w:ilvl="0">
      <w:startOverride w:val="2"/>
    </w:lvlOverride>
  </w:num>
  <w:num w:numId="20" w16cid:durableId="370037526">
    <w:abstractNumId w:val="14"/>
    <w:lvlOverride w:ilvl="0">
      <w:startOverride w:val="6"/>
    </w:lvlOverride>
  </w:num>
  <w:num w:numId="21" w16cid:durableId="1053508109">
    <w:abstractNumId w:val="25"/>
  </w:num>
  <w:num w:numId="22" w16cid:durableId="1547641319">
    <w:abstractNumId w:val="16"/>
    <w:lvlOverride w:ilvl="0">
      <w:startOverride w:val="2"/>
    </w:lvlOverride>
  </w:num>
  <w:num w:numId="23" w16cid:durableId="654145999">
    <w:abstractNumId w:val="37"/>
    <w:lvlOverride w:ilvl="0">
      <w:startOverride w:val="3"/>
    </w:lvlOverride>
  </w:num>
  <w:num w:numId="24" w16cid:durableId="1827087442">
    <w:abstractNumId w:val="8"/>
    <w:lvlOverride w:ilvl="0">
      <w:startOverride w:val="4"/>
    </w:lvlOverride>
  </w:num>
  <w:num w:numId="25" w16cid:durableId="1089698447">
    <w:abstractNumId w:val="18"/>
    <w:lvlOverride w:ilvl="0">
      <w:startOverride w:val="5"/>
    </w:lvlOverride>
  </w:num>
  <w:num w:numId="26" w16cid:durableId="1376201361">
    <w:abstractNumId w:val="30"/>
    <w:lvlOverride w:ilvl="0">
      <w:startOverride w:val="6"/>
    </w:lvlOverride>
  </w:num>
  <w:num w:numId="27" w16cid:durableId="1923640337">
    <w:abstractNumId w:val="36"/>
    <w:lvlOverride w:ilvl="0">
      <w:startOverride w:val="7"/>
    </w:lvlOverride>
  </w:num>
  <w:num w:numId="28" w16cid:durableId="955255065">
    <w:abstractNumId w:val="21"/>
    <w:lvlOverride w:ilvl="0">
      <w:startOverride w:val="8"/>
    </w:lvlOverride>
  </w:num>
  <w:num w:numId="29" w16cid:durableId="1565408830">
    <w:abstractNumId w:val="24"/>
    <w:lvlOverride w:ilvl="0">
      <w:startOverride w:val="9"/>
    </w:lvlOverride>
  </w:num>
  <w:num w:numId="30" w16cid:durableId="257058659">
    <w:abstractNumId w:val="32"/>
    <w:lvlOverride w:ilvl="0">
      <w:startOverride w:val="10"/>
    </w:lvlOverride>
  </w:num>
  <w:num w:numId="31" w16cid:durableId="1221557332">
    <w:abstractNumId w:val="10"/>
    <w:lvlOverride w:ilvl="0">
      <w:startOverride w:val="11"/>
    </w:lvlOverride>
  </w:num>
  <w:num w:numId="32" w16cid:durableId="893199753">
    <w:abstractNumId w:val="23"/>
    <w:lvlOverride w:ilvl="0">
      <w:startOverride w:val="12"/>
    </w:lvlOverride>
  </w:num>
  <w:num w:numId="33" w16cid:durableId="2062122153">
    <w:abstractNumId w:val="9"/>
    <w:lvlOverride w:ilvl="0">
      <w:startOverride w:val="13"/>
    </w:lvlOverride>
  </w:num>
  <w:num w:numId="34" w16cid:durableId="110707738">
    <w:abstractNumId w:val="12"/>
    <w:lvlOverride w:ilvl="0">
      <w:startOverride w:val="14"/>
    </w:lvlOverride>
  </w:num>
  <w:num w:numId="35" w16cid:durableId="1722944820">
    <w:abstractNumId w:val="19"/>
    <w:lvlOverride w:ilvl="0">
      <w:startOverride w:val="15"/>
    </w:lvlOverride>
  </w:num>
  <w:num w:numId="36" w16cid:durableId="543639921">
    <w:abstractNumId w:val="31"/>
    <w:lvlOverride w:ilvl="0">
      <w:startOverride w:val="16"/>
    </w:lvlOverride>
  </w:num>
  <w:num w:numId="37" w16cid:durableId="672224592">
    <w:abstractNumId w:val="16"/>
  </w:num>
  <w:num w:numId="38" w16cid:durableId="1681546229">
    <w:abstractNumId w:val="37"/>
  </w:num>
  <w:num w:numId="39" w16cid:durableId="953443221">
    <w:abstractNumId w:val="8"/>
  </w:num>
  <w:num w:numId="40" w16cid:durableId="1728796289">
    <w:abstractNumId w:val="18"/>
  </w:num>
  <w:num w:numId="41" w16cid:durableId="90056371">
    <w:abstractNumId w:val="30"/>
  </w:num>
  <w:num w:numId="42" w16cid:durableId="1966153945">
    <w:abstractNumId w:val="36"/>
  </w:num>
  <w:num w:numId="43" w16cid:durableId="61224325">
    <w:abstractNumId w:val="21"/>
  </w:num>
  <w:num w:numId="44" w16cid:durableId="9531973">
    <w:abstractNumId w:val="24"/>
  </w:num>
  <w:num w:numId="45" w16cid:durableId="372002411">
    <w:abstractNumId w:val="32"/>
  </w:num>
  <w:num w:numId="46" w16cid:durableId="1867715020">
    <w:abstractNumId w:val="10"/>
  </w:num>
  <w:num w:numId="47" w16cid:durableId="784615466">
    <w:abstractNumId w:val="23"/>
  </w:num>
  <w:num w:numId="48" w16cid:durableId="424806295">
    <w:abstractNumId w:val="9"/>
  </w:num>
  <w:num w:numId="49" w16cid:durableId="2109038648">
    <w:abstractNumId w:val="19"/>
  </w:num>
  <w:num w:numId="50" w16cid:durableId="1803839762">
    <w:abstractNumId w:val="22"/>
  </w:num>
  <w:num w:numId="51" w16cid:durableId="1914970456">
    <w:abstractNumId w:val="31"/>
  </w:num>
  <w:num w:numId="52" w16cid:durableId="1057824838">
    <w:abstractNumId w:val="17"/>
  </w:num>
  <w:num w:numId="53" w16cid:durableId="369039860">
    <w:abstractNumId w:val="26"/>
  </w:num>
  <w:num w:numId="54" w16cid:durableId="1761171844">
    <w:abstractNumId w:val="3"/>
  </w:num>
  <w:num w:numId="55" w16cid:durableId="637225338">
    <w:abstractNumId w:val="11"/>
  </w:num>
  <w:num w:numId="56" w16cid:durableId="1046753589">
    <w:abstractNumId w:val="2"/>
  </w:num>
  <w:num w:numId="57" w16cid:durableId="1287275085">
    <w:abstractNumId w:val="0"/>
  </w:num>
  <w:num w:numId="58" w16cid:durableId="56132941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DocStatus" w:val="Green"/>
    <w:docVar w:name="LW_CORRIGENDUM" w:val="&lt;UNUSED&gt;"/>
    <w:docVar w:name="LW_COVERPAGE_EXISTS" w:val="True"/>
    <w:docVar w:name="LW_COVERPAGE_GUID" w:val="6B7A533D-6316-4C7F-9A17-1173423789EA"/>
    <w:docVar w:name="LW_COVERPAGE_TYPE" w:val="1"/>
    <w:docVar w:name="LW_CROSSREFERENCE" w:val="&lt;UNUSED&gt;"/>
    <w:docVar w:name="LW_DocType" w:val="NORMAL"/>
    <w:docVar w:name="LW_EMISSION" w:val="28.11.2023"/>
    <w:docVar w:name="LW_EMISSION_ISODATE" w:val="2023-11-28"/>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75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Grids, the missing link - An EU Action Plan for Grids"/>
    <w:docVar w:name="LW_TYPE.DOC.CP" w:val="COMMUNICATION FROM THE COMMISSION TO THE EUROPEAN PARLIAMENT, THE COUNCIL, THE EUROPEAN ECONOMIC AND SOCIAL COMMITTEE AND THE COMMITTEE OF THE REGIONS"/>
    <w:docVar w:name="LW_TYPE.DOC.CP.USERTEXT" w:val="&lt;EMPTY&gt;"/>
    <w:docVar w:name="LwApiVersions" w:val="LW4CoDe 1.23.2.0; LW 8.0, Build 20211117"/>
  </w:docVars>
  <w:rsids>
    <w:rsidRoot w:val="00766D5D"/>
    <w:rsid w:val="0000153C"/>
    <w:rsid w:val="000022CF"/>
    <w:rsid w:val="00006F2D"/>
    <w:rsid w:val="00007541"/>
    <w:rsid w:val="00010916"/>
    <w:rsid w:val="00011D3B"/>
    <w:rsid w:val="000136CF"/>
    <w:rsid w:val="000212DA"/>
    <w:rsid w:val="00021CE4"/>
    <w:rsid w:val="00025079"/>
    <w:rsid w:val="00027C4C"/>
    <w:rsid w:val="000319A1"/>
    <w:rsid w:val="00032D87"/>
    <w:rsid w:val="00033BC9"/>
    <w:rsid w:val="00035563"/>
    <w:rsid w:val="00035E10"/>
    <w:rsid w:val="00036A8A"/>
    <w:rsid w:val="0004030B"/>
    <w:rsid w:val="00040DCF"/>
    <w:rsid w:val="00041531"/>
    <w:rsid w:val="000440BB"/>
    <w:rsid w:val="00044AB0"/>
    <w:rsid w:val="000450BB"/>
    <w:rsid w:val="000455EB"/>
    <w:rsid w:val="000461F6"/>
    <w:rsid w:val="0004747F"/>
    <w:rsid w:val="00051154"/>
    <w:rsid w:val="000515AA"/>
    <w:rsid w:val="000535C5"/>
    <w:rsid w:val="000564A4"/>
    <w:rsid w:val="0005709D"/>
    <w:rsid w:val="000630EF"/>
    <w:rsid w:val="00063629"/>
    <w:rsid w:val="0006598E"/>
    <w:rsid w:val="00065A22"/>
    <w:rsid w:val="0006659F"/>
    <w:rsid w:val="000667E6"/>
    <w:rsid w:val="00071001"/>
    <w:rsid w:val="00071752"/>
    <w:rsid w:val="00072015"/>
    <w:rsid w:val="000735AE"/>
    <w:rsid w:val="0007672B"/>
    <w:rsid w:val="0007677D"/>
    <w:rsid w:val="00080E84"/>
    <w:rsid w:val="00082009"/>
    <w:rsid w:val="00082275"/>
    <w:rsid w:val="00083BB9"/>
    <w:rsid w:val="00083D48"/>
    <w:rsid w:val="00084BDE"/>
    <w:rsid w:val="00085342"/>
    <w:rsid w:val="000861F3"/>
    <w:rsid w:val="00086937"/>
    <w:rsid w:val="00086E26"/>
    <w:rsid w:val="00087B61"/>
    <w:rsid w:val="00090A85"/>
    <w:rsid w:val="00090F62"/>
    <w:rsid w:val="00090FFA"/>
    <w:rsid w:val="00091A51"/>
    <w:rsid w:val="00092111"/>
    <w:rsid w:val="000929C7"/>
    <w:rsid w:val="00092E6C"/>
    <w:rsid w:val="000936F0"/>
    <w:rsid w:val="0009398B"/>
    <w:rsid w:val="00094E1A"/>
    <w:rsid w:val="000958F8"/>
    <w:rsid w:val="00096B23"/>
    <w:rsid w:val="000A01FE"/>
    <w:rsid w:val="000A1BF6"/>
    <w:rsid w:val="000A2DCC"/>
    <w:rsid w:val="000A482E"/>
    <w:rsid w:val="000A5D41"/>
    <w:rsid w:val="000A71F6"/>
    <w:rsid w:val="000A774C"/>
    <w:rsid w:val="000A78ED"/>
    <w:rsid w:val="000B1DA8"/>
    <w:rsid w:val="000B2F24"/>
    <w:rsid w:val="000B33A8"/>
    <w:rsid w:val="000B3DD4"/>
    <w:rsid w:val="000B6520"/>
    <w:rsid w:val="000B683B"/>
    <w:rsid w:val="000B6E80"/>
    <w:rsid w:val="000B7079"/>
    <w:rsid w:val="000B7436"/>
    <w:rsid w:val="000B7693"/>
    <w:rsid w:val="000B7888"/>
    <w:rsid w:val="000C02E2"/>
    <w:rsid w:val="000C0477"/>
    <w:rsid w:val="000C0C40"/>
    <w:rsid w:val="000C2563"/>
    <w:rsid w:val="000C4339"/>
    <w:rsid w:val="000C7C6B"/>
    <w:rsid w:val="000D0029"/>
    <w:rsid w:val="000D0162"/>
    <w:rsid w:val="000D1AB4"/>
    <w:rsid w:val="000D26D7"/>
    <w:rsid w:val="000D35BE"/>
    <w:rsid w:val="000D37CB"/>
    <w:rsid w:val="000D6789"/>
    <w:rsid w:val="000D6920"/>
    <w:rsid w:val="000D697E"/>
    <w:rsid w:val="000E0567"/>
    <w:rsid w:val="000E2C03"/>
    <w:rsid w:val="000E570C"/>
    <w:rsid w:val="000E6DA1"/>
    <w:rsid w:val="000E745A"/>
    <w:rsid w:val="000F06E5"/>
    <w:rsid w:val="000F35C2"/>
    <w:rsid w:val="000F39FA"/>
    <w:rsid w:val="000F6F30"/>
    <w:rsid w:val="0010054B"/>
    <w:rsid w:val="001019B5"/>
    <w:rsid w:val="00101BE5"/>
    <w:rsid w:val="001046B1"/>
    <w:rsid w:val="00104BFD"/>
    <w:rsid w:val="00107B5B"/>
    <w:rsid w:val="001118D6"/>
    <w:rsid w:val="0011216C"/>
    <w:rsid w:val="00112401"/>
    <w:rsid w:val="00113DA1"/>
    <w:rsid w:val="00120100"/>
    <w:rsid w:val="0012147F"/>
    <w:rsid w:val="0012181C"/>
    <w:rsid w:val="00122D47"/>
    <w:rsid w:val="0012394A"/>
    <w:rsid w:val="001249F0"/>
    <w:rsid w:val="001260A0"/>
    <w:rsid w:val="00126AEB"/>
    <w:rsid w:val="0013117E"/>
    <w:rsid w:val="00132BCD"/>
    <w:rsid w:val="00133CCA"/>
    <w:rsid w:val="00134212"/>
    <w:rsid w:val="00137E07"/>
    <w:rsid w:val="0014180E"/>
    <w:rsid w:val="0014197F"/>
    <w:rsid w:val="00144F79"/>
    <w:rsid w:val="001467FA"/>
    <w:rsid w:val="00146EED"/>
    <w:rsid w:val="00147117"/>
    <w:rsid w:val="00147426"/>
    <w:rsid w:val="00147B1E"/>
    <w:rsid w:val="00150B45"/>
    <w:rsid w:val="001510FE"/>
    <w:rsid w:val="00151EA9"/>
    <w:rsid w:val="0015457D"/>
    <w:rsid w:val="001571EB"/>
    <w:rsid w:val="001603AD"/>
    <w:rsid w:val="001622EE"/>
    <w:rsid w:val="001644A1"/>
    <w:rsid w:val="00164589"/>
    <w:rsid w:val="001656E7"/>
    <w:rsid w:val="0016632F"/>
    <w:rsid w:val="001704FD"/>
    <w:rsid w:val="00171CB6"/>
    <w:rsid w:val="00172E9F"/>
    <w:rsid w:val="00181004"/>
    <w:rsid w:val="00181EB3"/>
    <w:rsid w:val="00183B55"/>
    <w:rsid w:val="00185D43"/>
    <w:rsid w:val="00186ADD"/>
    <w:rsid w:val="001876B3"/>
    <w:rsid w:val="00190BA7"/>
    <w:rsid w:val="001964DB"/>
    <w:rsid w:val="00197E01"/>
    <w:rsid w:val="001A11F8"/>
    <w:rsid w:val="001A36ED"/>
    <w:rsid w:val="001A3D1E"/>
    <w:rsid w:val="001A4028"/>
    <w:rsid w:val="001A5E31"/>
    <w:rsid w:val="001A6495"/>
    <w:rsid w:val="001A7D9D"/>
    <w:rsid w:val="001B0FA1"/>
    <w:rsid w:val="001B19F2"/>
    <w:rsid w:val="001B1F82"/>
    <w:rsid w:val="001B3560"/>
    <w:rsid w:val="001B3DB8"/>
    <w:rsid w:val="001B5291"/>
    <w:rsid w:val="001B69CC"/>
    <w:rsid w:val="001C40EA"/>
    <w:rsid w:val="001C43BE"/>
    <w:rsid w:val="001C509C"/>
    <w:rsid w:val="001C5C20"/>
    <w:rsid w:val="001D0879"/>
    <w:rsid w:val="001D19AF"/>
    <w:rsid w:val="001D3339"/>
    <w:rsid w:val="001D40DD"/>
    <w:rsid w:val="001D4BA6"/>
    <w:rsid w:val="001D5015"/>
    <w:rsid w:val="001D661D"/>
    <w:rsid w:val="001D6B2C"/>
    <w:rsid w:val="001E13A0"/>
    <w:rsid w:val="001E2843"/>
    <w:rsid w:val="001E294F"/>
    <w:rsid w:val="001E3026"/>
    <w:rsid w:val="001E3228"/>
    <w:rsid w:val="001E3549"/>
    <w:rsid w:val="001E65A4"/>
    <w:rsid w:val="001E6C8A"/>
    <w:rsid w:val="001E6E92"/>
    <w:rsid w:val="001E7D68"/>
    <w:rsid w:val="001F03A0"/>
    <w:rsid w:val="001F1512"/>
    <w:rsid w:val="001F2EC3"/>
    <w:rsid w:val="001F3113"/>
    <w:rsid w:val="001F3BD0"/>
    <w:rsid w:val="001F3D93"/>
    <w:rsid w:val="001F49D6"/>
    <w:rsid w:val="001F5B8F"/>
    <w:rsid w:val="001F6374"/>
    <w:rsid w:val="00201056"/>
    <w:rsid w:val="00204099"/>
    <w:rsid w:val="00204DA4"/>
    <w:rsid w:val="002055AA"/>
    <w:rsid w:val="00205C7C"/>
    <w:rsid w:val="002113D2"/>
    <w:rsid w:val="00211D1F"/>
    <w:rsid w:val="0021346D"/>
    <w:rsid w:val="002148AB"/>
    <w:rsid w:val="00215742"/>
    <w:rsid w:val="00217133"/>
    <w:rsid w:val="00220397"/>
    <w:rsid w:val="00223779"/>
    <w:rsid w:val="00224435"/>
    <w:rsid w:val="002251CC"/>
    <w:rsid w:val="00225E1C"/>
    <w:rsid w:val="002262DC"/>
    <w:rsid w:val="00226F3C"/>
    <w:rsid w:val="00231EC4"/>
    <w:rsid w:val="00234159"/>
    <w:rsid w:val="00234214"/>
    <w:rsid w:val="00237261"/>
    <w:rsid w:val="00237811"/>
    <w:rsid w:val="0024283F"/>
    <w:rsid w:val="00242D6A"/>
    <w:rsid w:val="00243809"/>
    <w:rsid w:val="00244462"/>
    <w:rsid w:val="00244984"/>
    <w:rsid w:val="0024525E"/>
    <w:rsid w:val="0024598C"/>
    <w:rsid w:val="002466F1"/>
    <w:rsid w:val="00247BB6"/>
    <w:rsid w:val="0025012E"/>
    <w:rsid w:val="00251E80"/>
    <w:rsid w:val="0025275C"/>
    <w:rsid w:val="002547FA"/>
    <w:rsid w:val="00260F77"/>
    <w:rsid w:val="00261124"/>
    <w:rsid w:val="002645B0"/>
    <w:rsid w:val="00266A2B"/>
    <w:rsid w:val="00267569"/>
    <w:rsid w:val="00270848"/>
    <w:rsid w:val="002724B2"/>
    <w:rsid w:val="00273D68"/>
    <w:rsid w:val="002747CF"/>
    <w:rsid w:val="00276A00"/>
    <w:rsid w:val="00280FA3"/>
    <w:rsid w:val="002837C1"/>
    <w:rsid w:val="00286644"/>
    <w:rsid w:val="00290239"/>
    <w:rsid w:val="00290967"/>
    <w:rsid w:val="00291E00"/>
    <w:rsid w:val="002926F6"/>
    <w:rsid w:val="002933A7"/>
    <w:rsid w:val="00293E9B"/>
    <w:rsid w:val="002945E4"/>
    <w:rsid w:val="002969BB"/>
    <w:rsid w:val="00296E7C"/>
    <w:rsid w:val="002A1AC4"/>
    <w:rsid w:val="002A217D"/>
    <w:rsid w:val="002A379B"/>
    <w:rsid w:val="002A3A46"/>
    <w:rsid w:val="002A4A3D"/>
    <w:rsid w:val="002A503C"/>
    <w:rsid w:val="002A6183"/>
    <w:rsid w:val="002A7D3A"/>
    <w:rsid w:val="002B01D5"/>
    <w:rsid w:val="002B06EF"/>
    <w:rsid w:val="002B09BE"/>
    <w:rsid w:val="002B0E9C"/>
    <w:rsid w:val="002B3CE4"/>
    <w:rsid w:val="002B5324"/>
    <w:rsid w:val="002B5945"/>
    <w:rsid w:val="002B6044"/>
    <w:rsid w:val="002B6B52"/>
    <w:rsid w:val="002B6BAC"/>
    <w:rsid w:val="002B78E2"/>
    <w:rsid w:val="002C07CE"/>
    <w:rsid w:val="002C17DF"/>
    <w:rsid w:val="002C313E"/>
    <w:rsid w:val="002C3C69"/>
    <w:rsid w:val="002C58A5"/>
    <w:rsid w:val="002C5B5B"/>
    <w:rsid w:val="002C63FB"/>
    <w:rsid w:val="002D0112"/>
    <w:rsid w:val="002D0DA1"/>
    <w:rsid w:val="002D1558"/>
    <w:rsid w:val="002D1FB3"/>
    <w:rsid w:val="002D3D16"/>
    <w:rsid w:val="002D3D37"/>
    <w:rsid w:val="002D3EC4"/>
    <w:rsid w:val="002D42EA"/>
    <w:rsid w:val="002D5057"/>
    <w:rsid w:val="002D6751"/>
    <w:rsid w:val="002D7C5B"/>
    <w:rsid w:val="002E09FF"/>
    <w:rsid w:val="002E0C23"/>
    <w:rsid w:val="002E16D8"/>
    <w:rsid w:val="002E2D08"/>
    <w:rsid w:val="002E2EB6"/>
    <w:rsid w:val="002E4416"/>
    <w:rsid w:val="002E7731"/>
    <w:rsid w:val="002E7A91"/>
    <w:rsid w:val="002F0076"/>
    <w:rsid w:val="002F4BFA"/>
    <w:rsid w:val="002F5C8C"/>
    <w:rsid w:val="00301939"/>
    <w:rsid w:val="003020F0"/>
    <w:rsid w:val="00302561"/>
    <w:rsid w:val="00304360"/>
    <w:rsid w:val="0030495B"/>
    <w:rsid w:val="00305BDE"/>
    <w:rsid w:val="00306294"/>
    <w:rsid w:val="00306782"/>
    <w:rsid w:val="003071E9"/>
    <w:rsid w:val="00310B96"/>
    <w:rsid w:val="00314400"/>
    <w:rsid w:val="003173E0"/>
    <w:rsid w:val="00317E55"/>
    <w:rsid w:val="00320557"/>
    <w:rsid w:val="00320CA2"/>
    <w:rsid w:val="003220F9"/>
    <w:rsid w:val="0032304F"/>
    <w:rsid w:val="003246D4"/>
    <w:rsid w:val="00324E05"/>
    <w:rsid w:val="00325926"/>
    <w:rsid w:val="00331A43"/>
    <w:rsid w:val="00332583"/>
    <w:rsid w:val="00332B08"/>
    <w:rsid w:val="0033449F"/>
    <w:rsid w:val="003350A3"/>
    <w:rsid w:val="0033511E"/>
    <w:rsid w:val="003406B9"/>
    <w:rsid w:val="003423FF"/>
    <w:rsid w:val="00343C57"/>
    <w:rsid w:val="00346899"/>
    <w:rsid w:val="0034757E"/>
    <w:rsid w:val="00352091"/>
    <w:rsid w:val="003555DE"/>
    <w:rsid w:val="00360BCF"/>
    <w:rsid w:val="003614FF"/>
    <w:rsid w:val="00361BCD"/>
    <w:rsid w:val="0036400C"/>
    <w:rsid w:val="00365191"/>
    <w:rsid w:val="00371264"/>
    <w:rsid w:val="00372D21"/>
    <w:rsid w:val="0037534C"/>
    <w:rsid w:val="00377522"/>
    <w:rsid w:val="00380716"/>
    <w:rsid w:val="00381237"/>
    <w:rsid w:val="003818F3"/>
    <w:rsid w:val="0038432C"/>
    <w:rsid w:val="00385C17"/>
    <w:rsid w:val="00390032"/>
    <w:rsid w:val="0039227B"/>
    <w:rsid w:val="0039330B"/>
    <w:rsid w:val="003950A6"/>
    <w:rsid w:val="003954ED"/>
    <w:rsid w:val="0039799C"/>
    <w:rsid w:val="003A08AF"/>
    <w:rsid w:val="003A1278"/>
    <w:rsid w:val="003A22B1"/>
    <w:rsid w:val="003A2F27"/>
    <w:rsid w:val="003A5160"/>
    <w:rsid w:val="003A5B29"/>
    <w:rsid w:val="003A6EAC"/>
    <w:rsid w:val="003A718E"/>
    <w:rsid w:val="003A7627"/>
    <w:rsid w:val="003A78A1"/>
    <w:rsid w:val="003B0BBF"/>
    <w:rsid w:val="003B1CDB"/>
    <w:rsid w:val="003B26FA"/>
    <w:rsid w:val="003B4EC7"/>
    <w:rsid w:val="003B72A7"/>
    <w:rsid w:val="003B7D22"/>
    <w:rsid w:val="003B7F0D"/>
    <w:rsid w:val="003C0805"/>
    <w:rsid w:val="003C0D0B"/>
    <w:rsid w:val="003C7489"/>
    <w:rsid w:val="003D24DD"/>
    <w:rsid w:val="003D4084"/>
    <w:rsid w:val="003D6CA5"/>
    <w:rsid w:val="003D6D55"/>
    <w:rsid w:val="003D7828"/>
    <w:rsid w:val="003D7B93"/>
    <w:rsid w:val="003E195C"/>
    <w:rsid w:val="003E57BE"/>
    <w:rsid w:val="003E61A3"/>
    <w:rsid w:val="003E697C"/>
    <w:rsid w:val="003E70BF"/>
    <w:rsid w:val="003F2E2A"/>
    <w:rsid w:val="003F391F"/>
    <w:rsid w:val="003F497A"/>
    <w:rsid w:val="003F5A7D"/>
    <w:rsid w:val="003F5BA2"/>
    <w:rsid w:val="003F66FF"/>
    <w:rsid w:val="003F6932"/>
    <w:rsid w:val="003F6E95"/>
    <w:rsid w:val="003F79DC"/>
    <w:rsid w:val="003F7C9C"/>
    <w:rsid w:val="004003B8"/>
    <w:rsid w:val="0040354B"/>
    <w:rsid w:val="004039AD"/>
    <w:rsid w:val="0040674C"/>
    <w:rsid w:val="00406E2C"/>
    <w:rsid w:val="00407EA9"/>
    <w:rsid w:val="004117F0"/>
    <w:rsid w:val="00411A64"/>
    <w:rsid w:val="00411BB7"/>
    <w:rsid w:val="00411D94"/>
    <w:rsid w:val="00413210"/>
    <w:rsid w:val="00413640"/>
    <w:rsid w:val="00416054"/>
    <w:rsid w:val="00420128"/>
    <w:rsid w:val="00420787"/>
    <w:rsid w:val="00420B82"/>
    <w:rsid w:val="00421909"/>
    <w:rsid w:val="00421F8E"/>
    <w:rsid w:val="00423146"/>
    <w:rsid w:val="00425E01"/>
    <w:rsid w:val="0042737B"/>
    <w:rsid w:val="00431FCB"/>
    <w:rsid w:val="00432168"/>
    <w:rsid w:val="0043249D"/>
    <w:rsid w:val="004349EF"/>
    <w:rsid w:val="00435010"/>
    <w:rsid w:val="004352A2"/>
    <w:rsid w:val="004354BC"/>
    <w:rsid w:val="00437A33"/>
    <w:rsid w:val="0044076D"/>
    <w:rsid w:val="00442310"/>
    <w:rsid w:val="0044333C"/>
    <w:rsid w:val="004441F8"/>
    <w:rsid w:val="004458F1"/>
    <w:rsid w:val="004462C4"/>
    <w:rsid w:val="0045118E"/>
    <w:rsid w:val="00452B91"/>
    <w:rsid w:val="004543A4"/>
    <w:rsid w:val="00455075"/>
    <w:rsid w:val="00455539"/>
    <w:rsid w:val="004573BE"/>
    <w:rsid w:val="00460837"/>
    <w:rsid w:val="00461FA8"/>
    <w:rsid w:val="004649D0"/>
    <w:rsid w:val="00470561"/>
    <w:rsid w:val="00470C89"/>
    <w:rsid w:val="00472348"/>
    <w:rsid w:val="00472A02"/>
    <w:rsid w:val="0047328D"/>
    <w:rsid w:val="00473B5D"/>
    <w:rsid w:val="004743E8"/>
    <w:rsid w:val="00474916"/>
    <w:rsid w:val="00475182"/>
    <w:rsid w:val="0047538F"/>
    <w:rsid w:val="00480568"/>
    <w:rsid w:val="00480781"/>
    <w:rsid w:val="00480B34"/>
    <w:rsid w:val="0048165C"/>
    <w:rsid w:val="0048294B"/>
    <w:rsid w:val="004845FE"/>
    <w:rsid w:val="00484B3F"/>
    <w:rsid w:val="00486391"/>
    <w:rsid w:val="004901F0"/>
    <w:rsid w:val="00490302"/>
    <w:rsid w:val="00491367"/>
    <w:rsid w:val="00492FE1"/>
    <w:rsid w:val="00495514"/>
    <w:rsid w:val="00495C2C"/>
    <w:rsid w:val="00497B70"/>
    <w:rsid w:val="004A0C63"/>
    <w:rsid w:val="004A17E1"/>
    <w:rsid w:val="004A2F5B"/>
    <w:rsid w:val="004A4BC3"/>
    <w:rsid w:val="004A5233"/>
    <w:rsid w:val="004A5762"/>
    <w:rsid w:val="004A64F4"/>
    <w:rsid w:val="004B07E9"/>
    <w:rsid w:val="004B087A"/>
    <w:rsid w:val="004B1643"/>
    <w:rsid w:val="004B2837"/>
    <w:rsid w:val="004B4DA8"/>
    <w:rsid w:val="004B755C"/>
    <w:rsid w:val="004C086C"/>
    <w:rsid w:val="004C0D02"/>
    <w:rsid w:val="004C171F"/>
    <w:rsid w:val="004C296E"/>
    <w:rsid w:val="004C4A9A"/>
    <w:rsid w:val="004C5BA0"/>
    <w:rsid w:val="004C5E1D"/>
    <w:rsid w:val="004C7220"/>
    <w:rsid w:val="004C7D73"/>
    <w:rsid w:val="004D0181"/>
    <w:rsid w:val="004D06A6"/>
    <w:rsid w:val="004D2351"/>
    <w:rsid w:val="004D35B5"/>
    <w:rsid w:val="004D7BCA"/>
    <w:rsid w:val="004E05DB"/>
    <w:rsid w:val="004E085C"/>
    <w:rsid w:val="004E29D3"/>
    <w:rsid w:val="004E3259"/>
    <w:rsid w:val="004E5FB0"/>
    <w:rsid w:val="004E76FA"/>
    <w:rsid w:val="004F13D5"/>
    <w:rsid w:val="004F13DE"/>
    <w:rsid w:val="004F186E"/>
    <w:rsid w:val="004F27BA"/>
    <w:rsid w:val="004F2872"/>
    <w:rsid w:val="004F2A26"/>
    <w:rsid w:val="004F5383"/>
    <w:rsid w:val="004F5FC6"/>
    <w:rsid w:val="004F60FB"/>
    <w:rsid w:val="00502F4E"/>
    <w:rsid w:val="00507160"/>
    <w:rsid w:val="00507E30"/>
    <w:rsid w:val="00510E34"/>
    <w:rsid w:val="00511CB9"/>
    <w:rsid w:val="005128C5"/>
    <w:rsid w:val="00512D26"/>
    <w:rsid w:val="00513315"/>
    <w:rsid w:val="00513D3B"/>
    <w:rsid w:val="0051603B"/>
    <w:rsid w:val="00516198"/>
    <w:rsid w:val="00516323"/>
    <w:rsid w:val="005168A4"/>
    <w:rsid w:val="00517EA5"/>
    <w:rsid w:val="005235E5"/>
    <w:rsid w:val="00523837"/>
    <w:rsid w:val="00525366"/>
    <w:rsid w:val="00525E28"/>
    <w:rsid w:val="00526142"/>
    <w:rsid w:val="00532CC3"/>
    <w:rsid w:val="00532E85"/>
    <w:rsid w:val="00533439"/>
    <w:rsid w:val="0053571A"/>
    <w:rsid w:val="0053651C"/>
    <w:rsid w:val="00537030"/>
    <w:rsid w:val="005376D5"/>
    <w:rsid w:val="005437AB"/>
    <w:rsid w:val="00544F59"/>
    <w:rsid w:val="00546D4A"/>
    <w:rsid w:val="00550C2A"/>
    <w:rsid w:val="00552F32"/>
    <w:rsid w:val="0055378A"/>
    <w:rsid w:val="005563FB"/>
    <w:rsid w:val="00560159"/>
    <w:rsid w:val="00560582"/>
    <w:rsid w:val="00564B3D"/>
    <w:rsid w:val="00564E73"/>
    <w:rsid w:val="00565128"/>
    <w:rsid w:val="00567BA6"/>
    <w:rsid w:val="00567D56"/>
    <w:rsid w:val="00571468"/>
    <w:rsid w:val="00572BF7"/>
    <w:rsid w:val="00574069"/>
    <w:rsid w:val="00574831"/>
    <w:rsid w:val="00575EFA"/>
    <w:rsid w:val="005765C6"/>
    <w:rsid w:val="00585112"/>
    <w:rsid w:val="005853FF"/>
    <w:rsid w:val="00590805"/>
    <w:rsid w:val="00590E2F"/>
    <w:rsid w:val="005926BE"/>
    <w:rsid w:val="00596522"/>
    <w:rsid w:val="00596B7E"/>
    <w:rsid w:val="005A0A16"/>
    <w:rsid w:val="005A1768"/>
    <w:rsid w:val="005A1995"/>
    <w:rsid w:val="005A2EE3"/>
    <w:rsid w:val="005A3A94"/>
    <w:rsid w:val="005A6194"/>
    <w:rsid w:val="005A6A7A"/>
    <w:rsid w:val="005A6D4B"/>
    <w:rsid w:val="005A7C66"/>
    <w:rsid w:val="005B0907"/>
    <w:rsid w:val="005B1BCF"/>
    <w:rsid w:val="005B2560"/>
    <w:rsid w:val="005B45FA"/>
    <w:rsid w:val="005C2567"/>
    <w:rsid w:val="005C2D74"/>
    <w:rsid w:val="005C2F86"/>
    <w:rsid w:val="005C5375"/>
    <w:rsid w:val="005D054E"/>
    <w:rsid w:val="005D0926"/>
    <w:rsid w:val="005D0AC4"/>
    <w:rsid w:val="005D0E98"/>
    <w:rsid w:val="005D196C"/>
    <w:rsid w:val="005D2A9A"/>
    <w:rsid w:val="005D33AF"/>
    <w:rsid w:val="005D4E02"/>
    <w:rsid w:val="005D64E2"/>
    <w:rsid w:val="005E07C5"/>
    <w:rsid w:val="005E0960"/>
    <w:rsid w:val="005E0C7D"/>
    <w:rsid w:val="005E23CD"/>
    <w:rsid w:val="005E3189"/>
    <w:rsid w:val="005E4E01"/>
    <w:rsid w:val="005E61B8"/>
    <w:rsid w:val="005F0985"/>
    <w:rsid w:val="005F18F5"/>
    <w:rsid w:val="005F72CD"/>
    <w:rsid w:val="00600A75"/>
    <w:rsid w:val="00602B05"/>
    <w:rsid w:val="00602B33"/>
    <w:rsid w:val="006030E6"/>
    <w:rsid w:val="006033B8"/>
    <w:rsid w:val="00603ACB"/>
    <w:rsid w:val="006059D0"/>
    <w:rsid w:val="0060725C"/>
    <w:rsid w:val="006076AA"/>
    <w:rsid w:val="006076BD"/>
    <w:rsid w:val="0060776A"/>
    <w:rsid w:val="00607DD9"/>
    <w:rsid w:val="00612B57"/>
    <w:rsid w:val="006152EA"/>
    <w:rsid w:val="006175B5"/>
    <w:rsid w:val="00620C45"/>
    <w:rsid w:val="006232A7"/>
    <w:rsid w:val="006238E6"/>
    <w:rsid w:val="0062416F"/>
    <w:rsid w:val="006252BB"/>
    <w:rsid w:val="006263E2"/>
    <w:rsid w:val="00626BA6"/>
    <w:rsid w:val="00630E68"/>
    <w:rsid w:val="00634D9B"/>
    <w:rsid w:val="006360AF"/>
    <w:rsid w:val="00637121"/>
    <w:rsid w:val="00641BFE"/>
    <w:rsid w:val="0064201F"/>
    <w:rsid w:val="00642928"/>
    <w:rsid w:val="006452E2"/>
    <w:rsid w:val="00646204"/>
    <w:rsid w:val="0064684B"/>
    <w:rsid w:val="00646DC6"/>
    <w:rsid w:val="00647B05"/>
    <w:rsid w:val="00650722"/>
    <w:rsid w:val="0065296E"/>
    <w:rsid w:val="00654364"/>
    <w:rsid w:val="006544C5"/>
    <w:rsid w:val="0065464A"/>
    <w:rsid w:val="006546F8"/>
    <w:rsid w:val="00654750"/>
    <w:rsid w:val="00661109"/>
    <w:rsid w:val="006621D9"/>
    <w:rsid w:val="006634C1"/>
    <w:rsid w:val="006643CC"/>
    <w:rsid w:val="0066595F"/>
    <w:rsid w:val="00665CB1"/>
    <w:rsid w:val="006664D1"/>
    <w:rsid w:val="00666528"/>
    <w:rsid w:val="00671ADE"/>
    <w:rsid w:val="006721B4"/>
    <w:rsid w:val="00676BE8"/>
    <w:rsid w:val="00681705"/>
    <w:rsid w:val="006820FF"/>
    <w:rsid w:val="00682ED5"/>
    <w:rsid w:val="006853EA"/>
    <w:rsid w:val="00685859"/>
    <w:rsid w:val="00686EC3"/>
    <w:rsid w:val="00690480"/>
    <w:rsid w:val="00690558"/>
    <w:rsid w:val="006909CE"/>
    <w:rsid w:val="00691E19"/>
    <w:rsid w:val="00692A8D"/>
    <w:rsid w:val="00696738"/>
    <w:rsid w:val="006A0A30"/>
    <w:rsid w:val="006A0B75"/>
    <w:rsid w:val="006A149D"/>
    <w:rsid w:val="006A2A93"/>
    <w:rsid w:val="006A2F97"/>
    <w:rsid w:val="006A3BA0"/>
    <w:rsid w:val="006A4B71"/>
    <w:rsid w:val="006A5667"/>
    <w:rsid w:val="006A5A45"/>
    <w:rsid w:val="006A5FC2"/>
    <w:rsid w:val="006A63A2"/>
    <w:rsid w:val="006A654E"/>
    <w:rsid w:val="006A7C8C"/>
    <w:rsid w:val="006A7F96"/>
    <w:rsid w:val="006B33C4"/>
    <w:rsid w:val="006B39E5"/>
    <w:rsid w:val="006B5C45"/>
    <w:rsid w:val="006B63AF"/>
    <w:rsid w:val="006B6FA8"/>
    <w:rsid w:val="006B7B11"/>
    <w:rsid w:val="006B7C29"/>
    <w:rsid w:val="006C16DE"/>
    <w:rsid w:val="006C740A"/>
    <w:rsid w:val="006C7902"/>
    <w:rsid w:val="006C7C3D"/>
    <w:rsid w:val="006D0648"/>
    <w:rsid w:val="006D118B"/>
    <w:rsid w:val="006D15DF"/>
    <w:rsid w:val="006D1A0E"/>
    <w:rsid w:val="006D200B"/>
    <w:rsid w:val="006D23B9"/>
    <w:rsid w:val="006D2582"/>
    <w:rsid w:val="006D2A4F"/>
    <w:rsid w:val="006D4534"/>
    <w:rsid w:val="006D482D"/>
    <w:rsid w:val="006D577C"/>
    <w:rsid w:val="006D5BD7"/>
    <w:rsid w:val="006D641B"/>
    <w:rsid w:val="006D6C6E"/>
    <w:rsid w:val="006D6E9D"/>
    <w:rsid w:val="006E2C84"/>
    <w:rsid w:val="006E5B02"/>
    <w:rsid w:val="006E5C10"/>
    <w:rsid w:val="006E6AF1"/>
    <w:rsid w:val="006F100C"/>
    <w:rsid w:val="006F27F8"/>
    <w:rsid w:val="006F2B35"/>
    <w:rsid w:val="006F3A1C"/>
    <w:rsid w:val="006F5370"/>
    <w:rsid w:val="006F69DD"/>
    <w:rsid w:val="006F7376"/>
    <w:rsid w:val="006F7C88"/>
    <w:rsid w:val="007003DF"/>
    <w:rsid w:val="007022BA"/>
    <w:rsid w:val="00703CB4"/>
    <w:rsid w:val="0070458E"/>
    <w:rsid w:val="00705BB2"/>
    <w:rsid w:val="00705E9D"/>
    <w:rsid w:val="0070650C"/>
    <w:rsid w:val="007076DF"/>
    <w:rsid w:val="00707C77"/>
    <w:rsid w:val="007114FE"/>
    <w:rsid w:val="00714D04"/>
    <w:rsid w:val="007221A9"/>
    <w:rsid w:val="0072231E"/>
    <w:rsid w:val="00723010"/>
    <w:rsid w:val="0072601E"/>
    <w:rsid w:val="007263C7"/>
    <w:rsid w:val="007263C9"/>
    <w:rsid w:val="00726CD9"/>
    <w:rsid w:val="00727496"/>
    <w:rsid w:val="00727858"/>
    <w:rsid w:val="007318C0"/>
    <w:rsid w:val="00733014"/>
    <w:rsid w:val="00736A89"/>
    <w:rsid w:val="007371D4"/>
    <w:rsid w:val="00737EC1"/>
    <w:rsid w:val="0074071F"/>
    <w:rsid w:val="00741CBE"/>
    <w:rsid w:val="00743AA2"/>
    <w:rsid w:val="0074580D"/>
    <w:rsid w:val="00745CA2"/>
    <w:rsid w:val="00745E84"/>
    <w:rsid w:val="00746264"/>
    <w:rsid w:val="0074692D"/>
    <w:rsid w:val="00751A6F"/>
    <w:rsid w:val="00752B6B"/>
    <w:rsid w:val="007530AC"/>
    <w:rsid w:val="00753497"/>
    <w:rsid w:val="00754C99"/>
    <w:rsid w:val="00760256"/>
    <w:rsid w:val="007646F0"/>
    <w:rsid w:val="00764B76"/>
    <w:rsid w:val="00766D5D"/>
    <w:rsid w:val="00771554"/>
    <w:rsid w:val="00772CCA"/>
    <w:rsid w:val="00774D0E"/>
    <w:rsid w:val="0077727C"/>
    <w:rsid w:val="00777537"/>
    <w:rsid w:val="007815F3"/>
    <w:rsid w:val="007816C1"/>
    <w:rsid w:val="007835DD"/>
    <w:rsid w:val="00785130"/>
    <w:rsid w:val="00786290"/>
    <w:rsid w:val="00792CFC"/>
    <w:rsid w:val="00792D1D"/>
    <w:rsid w:val="00794A8C"/>
    <w:rsid w:val="00797812"/>
    <w:rsid w:val="007A19C3"/>
    <w:rsid w:val="007A2703"/>
    <w:rsid w:val="007A2903"/>
    <w:rsid w:val="007A5821"/>
    <w:rsid w:val="007A6B94"/>
    <w:rsid w:val="007A6D66"/>
    <w:rsid w:val="007A7820"/>
    <w:rsid w:val="007A78EF"/>
    <w:rsid w:val="007B04A3"/>
    <w:rsid w:val="007B171F"/>
    <w:rsid w:val="007B2F66"/>
    <w:rsid w:val="007B3B18"/>
    <w:rsid w:val="007B5408"/>
    <w:rsid w:val="007B5E12"/>
    <w:rsid w:val="007B6503"/>
    <w:rsid w:val="007B7E29"/>
    <w:rsid w:val="007C263A"/>
    <w:rsid w:val="007C3AE9"/>
    <w:rsid w:val="007C3C03"/>
    <w:rsid w:val="007C4FEB"/>
    <w:rsid w:val="007C504D"/>
    <w:rsid w:val="007C6EB6"/>
    <w:rsid w:val="007C76A3"/>
    <w:rsid w:val="007C7F15"/>
    <w:rsid w:val="007D068E"/>
    <w:rsid w:val="007D0F79"/>
    <w:rsid w:val="007D25AF"/>
    <w:rsid w:val="007D2BFD"/>
    <w:rsid w:val="007D4CAD"/>
    <w:rsid w:val="007D7A85"/>
    <w:rsid w:val="007E0E1C"/>
    <w:rsid w:val="007E1453"/>
    <w:rsid w:val="007E1CA3"/>
    <w:rsid w:val="007E25A9"/>
    <w:rsid w:val="007E2868"/>
    <w:rsid w:val="007E44BB"/>
    <w:rsid w:val="007E5E48"/>
    <w:rsid w:val="007E6C19"/>
    <w:rsid w:val="007F0B83"/>
    <w:rsid w:val="007F1D0D"/>
    <w:rsid w:val="007F1D80"/>
    <w:rsid w:val="008059E5"/>
    <w:rsid w:val="008060D1"/>
    <w:rsid w:val="00806344"/>
    <w:rsid w:val="00806ED9"/>
    <w:rsid w:val="00807CA7"/>
    <w:rsid w:val="008109C2"/>
    <w:rsid w:val="00810C3C"/>
    <w:rsid w:val="008110E4"/>
    <w:rsid w:val="00812F2D"/>
    <w:rsid w:val="0081332B"/>
    <w:rsid w:val="008136D2"/>
    <w:rsid w:val="00813C18"/>
    <w:rsid w:val="00813D0F"/>
    <w:rsid w:val="008161CD"/>
    <w:rsid w:val="008168B6"/>
    <w:rsid w:val="008173AC"/>
    <w:rsid w:val="00817AA5"/>
    <w:rsid w:val="00820FFD"/>
    <w:rsid w:val="00823844"/>
    <w:rsid w:val="008245C2"/>
    <w:rsid w:val="008245E0"/>
    <w:rsid w:val="00825878"/>
    <w:rsid w:val="00825D9E"/>
    <w:rsid w:val="0082775D"/>
    <w:rsid w:val="008343BA"/>
    <w:rsid w:val="008348AC"/>
    <w:rsid w:val="0083587D"/>
    <w:rsid w:val="00835D8E"/>
    <w:rsid w:val="00835D92"/>
    <w:rsid w:val="00836BA6"/>
    <w:rsid w:val="00837EAD"/>
    <w:rsid w:val="00841DF8"/>
    <w:rsid w:val="00842637"/>
    <w:rsid w:val="008434FB"/>
    <w:rsid w:val="0084661A"/>
    <w:rsid w:val="0084779A"/>
    <w:rsid w:val="00850491"/>
    <w:rsid w:val="008523CC"/>
    <w:rsid w:val="008534C1"/>
    <w:rsid w:val="008546DA"/>
    <w:rsid w:val="00854AD6"/>
    <w:rsid w:val="00856C25"/>
    <w:rsid w:val="00856FD9"/>
    <w:rsid w:val="0085752B"/>
    <w:rsid w:val="00861178"/>
    <w:rsid w:val="00865DBF"/>
    <w:rsid w:val="0086654F"/>
    <w:rsid w:val="00866E7C"/>
    <w:rsid w:val="00866F01"/>
    <w:rsid w:val="00871A91"/>
    <w:rsid w:val="00871C47"/>
    <w:rsid w:val="00872C11"/>
    <w:rsid w:val="00872C28"/>
    <w:rsid w:val="00873A27"/>
    <w:rsid w:val="00873AED"/>
    <w:rsid w:val="00874143"/>
    <w:rsid w:val="008742D9"/>
    <w:rsid w:val="00874CEF"/>
    <w:rsid w:val="008762AB"/>
    <w:rsid w:val="00876F50"/>
    <w:rsid w:val="00877160"/>
    <w:rsid w:val="008772BA"/>
    <w:rsid w:val="00881C63"/>
    <w:rsid w:val="00882043"/>
    <w:rsid w:val="0088317C"/>
    <w:rsid w:val="0088362A"/>
    <w:rsid w:val="00884ADA"/>
    <w:rsid w:val="00885D46"/>
    <w:rsid w:val="00886C40"/>
    <w:rsid w:val="00887F71"/>
    <w:rsid w:val="008909BF"/>
    <w:rsid w:val="0089289C"/>
    <w:rsid w:val="00892DAC"/>
    <w:rsid w:val="00893364"/>
    <w:rsid w:val="0089528C"/>
    <w:rsid w:val="008A094F"/>
    <w:rsid w:val="008A1012"/>
    <w:rsid w:val="008A119F"/>
    <w:rsid w:val="008A1E91"/>
    <w:rsid w:val="008A344A"/>
    <w:rsid w:val="008A3760"/>
    <w:rsid w:val="008A3E97"/>
    <w:rsid w:val="008A4638"/>
    <w:rsid w:val="008A46A1"/>
    <w:rsid w:val="008A5A26"/>
    <w:rsid w:val="008A6BF7"/>
    <w:rsid w:val="008A7168"/>
    <w:rsid w:val="008B02CB"/>
    <w:rsid w:val="008B14FC"/>
    <w:rsid w:val="008B2E01"/>
    <w:rsid w:val="008B2F1B"/>
    <w:rsid w:val="008B6B2E"/>
    <w:rsid w:val="008C198B"/>
    <w:rsid w:val="008C2DA3"/>
    <w:rsid w:val="008C3595"/>
    <w:rsid w:val="008C5C62"/>
    <w:rsid w:val="008D0AC3"/>
    <w:rsid w:val="008D1027"/>
    <w:rsid w:val="008D12FC"/>
    <w:rsid w:val="008D1516"/>
    <w:rsid w:val="008D2034"/>
    <w:rsid w:val="008D23F6"/>
    <w:rsid w:val="008D327C"/>
    <w:rsid w:val="008D32D2"/>
    <w:rsid w:val="008D6752"/>
    <w:rsid w:val="008D7319"/>
    <w:rsid w:val="008D74FE"/>
    <w:rsid w:val="008E256F"/>
    <w:rsid w:val="008E2B88"/>
    <w:rsid w:val="008E3B7A"/>
    <w:rsid w:val="008E5FA4"/>
    <w:rsid w:val="008E6178"/>
    <w:rsid w:val="008F0005"/>
    <w:rsid w:val="008F1B57"/>
    <w:rsid w:val="008F2295"/>
    <w:rsid w:val="008F259F"/>
    <w:rsid w:val="008F4DA6"/>
    <w:rsid w:val="008F761C"/>
    <w:rsid w:val="008F7A1C"/>
    <w:rsid w:val="0090112E"/>
    <w:rsid w:val="00901F34"/>
    <w:rsid w:val="009024A6"/>
    <w:rsid w:val="00902D21"/>
    <w:rsid w:val="00903619"/>
    <w:rsid w:val="00907037"/>
    <w:rsid w:val="00910751"/>
    <w:rsid w:val="009123E0"/>
    <w:rsid w:val="00913129"/>
    <w:rsid w:val="0091338F"/>
    <w:rsid w:val="009136B8"/>
    <w:rsid w:val="009152E7"/>
    <w:rsid w:val="00915ED0"/>
    <w:rsid w:val="00916156"/>
    <w:rsid w:val="00916DC9"/>
    <w:rsid w:val="009170ED"/>
    <w:rsid w:val="00920992"/>
    <w:rsid w:val="00921784"/>
    <w:rsid w:val="00922C6A"/>
    <w:rsid w:val="009260AA"/>
    <w:rsid w:val="009334D6"/>
    <w:rsid w:val="00935885"/>
    <w:rsid w:val="00936231"/>
    <w:rsid w:val="00936959"/>
    <w:rsid w:val="00940381"/>
    <w:rsid w:val="00941CA5"/>
    <w:rsid w:val="00943ACA"/>
    <w:rsid w:val="00943E52"/>
    <w:rsid w:val="00944534"/>
    <w:rsid w:val="00944EA6"/>
    <w:rsid w:val="009458EA"/>
    <w:rsid w:val="00950208"/>
    <w:rsid w:val="00950513"/>
    <w:rsid w:val="00950672"/>
    <w:rsid w:val="00951406"/>
    <w:rsid w:val="009527E1"/>
    <w:rsid w:val="009528A0"/>
    <w:rsid w:val="00954623"/>
    <w:rsid w:val="0095486F"/>
    <w:rsid w:val="00954CA6"/>
    <w:rsid w:val="00954D4B"/>
    <w:rsid w:val="00955387"/>
    <w:rsid w:val="00955FBD"/>
    <w:rsid w:val="00956F66"/>
    <w:rsid w:val="0095700F"/>
    <w:rsid w:val="00960EC0"/>
    <w:rsid w:val="00961DE5"/>
    <w:rsid w:val="009679C7"/>
    <w:rsid w:val="00967FFA"/>
    <w:rsid w:val="0097049C"/>
    <w:rsid w:val="0097351F"/>
    <w:rsid w:val="009751D5"/>
    <w:rsid w:val="009752FB"/>
    <w:rsid w:val="0097536F"/>
    <w:rsid w:val="00976193"/>
    <w:rsid w:val="00976B1B"/>
    <w:rsid w:val="009772E4"/>
    <w:rsid w:val="00977F72"/>
    <w:rsid w:val="0098016E"/>
    <w:rsid w:val="009802AB"/>
    <w:rsid w:val="00980AB5"/>
    <w:rsid w:val="00981A07"/>
    <w:rsid w:val="0098357B"/>
    <w:rsid w:val="00987058"/>
    <w:rsid w:val="00987984"/>
    <w:rsid w:val="009879E6"/>
    <w:rsid w:val="00992026"/>
    <w:rsid w:val="00994B81"/>
    <w:rsid w:val="009953F7"/>
    <w:rsid w:val="009A005C"/>
    <w:rsid w:val="009A06AA"/>
    <w:rsid w:val="009A1131"/>
    <w:rsid w:val="009A3549"/>
    <w:rsid w:val="009A3860"/>
    <w:rsid w:val="009A4F59"/>
    <w:rsid w:val="009A64D8"/>
    <w:rsid w:val="009A6BF4"/>
    <w:rsid w:val="009A6E47"/>
    <w:rsid w:val="009B0543"/>
    <w:rsid w:val="009B1C19"/>
    <w:rsid w:val="009C06CB"/>
    <w:rsid w:val="009C1B13"/>
    <w:rsid w:val="009C2F25"/>
    <w:rsid w:val="009C3D35"/>
    <w:rsid w:val="009D26CC"/>
    <w:rsid w:val="009D27B8"/>
    <w:rsid w:val="009D2B39"/>
    <w:rsid w:val="009D47E8"/>
    <w:rsid w:val="009D72AE"/>
    <w:rsid w:val="009D75CB"/>
    <w:rsid w:val="009E0C40"/>
    <w:rsid w:val="009E118E"/>
    <w:rsid w:val="009E39BE"/>
    <w:rsid w:val="009E4183"/>
    <w:rsid w:val="009E42BE"/>
    <w:rsid w:val="009E5F75"/>
    <w:rsid w:val="009F40B9"/>
    <w:rsid w:val="009F518F"/>
    <w:rsid w:val="009F5D17"/>
    <w:rsid w:val="009F7E33"/>
    <w:rsid w:val="00A00D1C"/>
    <w:rsid w:val="00A02DF9"/>
    <w:rsid w:val="00A0346B"/>
    <w:rsid w:val="00A0549C"/>
    <w:rsid w:val="00A05AC6"/>
    <w:rsid w:val="00A05F39"/>
    <w:rsid w:val="00A068F3"/>
    <w:rsid w:val="00A11D89"/>
    <w:rsid w:val="00A132CE"/>
    <w:rsid w:val="00A164BF"/>
    <w:rsid w:val="00A167DA"/>
    <w:rsid w:val="00A16869"/>
    <w:rsid w:val="00A172D8"/>
    <w:rsid w:val="00A2358B"/>
    <w:rsid w:val="00A247E5"/>
    <w:rsid w:val="00A24833"/>
    <w:rsid w:val="00A25036"/>
    <w:rsid w:val="00A3015A"/>
    <w:rsid w:val="00A301A8"/>
    <w:rsid w:val="00A3163E"/>
    <w:rsid w:val="00A31951"/>
    <w:rsid w:val="00A33071"/>
    <w:rsid w:val="00A35096"/>
    <w:rsid w:val="00A36AA9"/>
    <w:rsid w:val="00A37019"/>
    <w:rsid w:val="00A377E6"/>
    <w:rsid w:val="00A37F60"/>
    <w:rsid w:val="00A41486"/>
    <w:rsid w:val="00A4155D"/>
    <w:rsid w:val="00A415DE"/>
    <w:rsid w:val="00A42A5D"/>
    <w:rsid w:val="00A45D0E"/>
    <w:rsid w:val="00A46385"/>
    <w:rsid w:val="00A50404"/>
    <w:rsid w:val="00A50AC5"/>
    <w:rsid w:val="00A52B50"/>
    <w:rsid w:val="00A5474D"/>
    <w:rsid w:val="00A5573D"/>
    <w:rsid w:val="00A55B06"/>
    <w:rsid w:val="00A55D6C"/>
    <w:rsid w:val="00A637D1"/>
    <w:rsid w:val="00A63E56"/>
    <w:rsid w:val="00A63FD6"/>
    <w:rsid w:val="00A6450A"/>
    <w:rsid w:val="00A64D9D"/>
    <w:rsid w:val="00A6581D"/>
    <w:rsid w:val="00A6702D"/>
    <w:rsid w:val="00A67E3B"/>
    <w:rsid w:val="00A70014"/>
    <w:rsid w:val="00A700ED"/>
    <w:rsid w:val="00A70E58"/>
    <w:rsid w:val="00A717BB"/>
    <w:rsid w:val="00A71909"/>
    <w:rsid w:val="00A76887"/>
    <w:rsid w:val="00A76A8D"/>
    <w:rsid w:val="00A76BF9"/>
    <w:rsid w:val="00A77552"/>
    <w:rsid w:val="00A77B20"/>
    <w:rsid w:val="00A81721"/>
    <w:rsid w:val="00A8184B"/>
    <w:rsid w:val="00A87129"/>
    <w:rsid w:val="00A90306"/>
    <w:rsid w:val="00A910F3"/>
    <w:rsid w:val="00A93210"/>
    <w:rsid w:val="00A932AC"/>
    <w:rsid w:val="00A944E1"/>
    <w:rsid w:val="00A95C7E"/>
    <w:rsid w:val="00AA0E3B"/>
    <w:rsid w:val="00AA1EED"/>
    <w:rsid w:val="00AA28CE"/>
    <w:rsid w:val="00AA5686"/>
    <w:rsid w:val="00AA704D"/>
    <w:rsid w:val="00AA7795"/>
    <w:rsid w:val="00AA7E57"/>
    <w:rsid w:val="00AB363C"/>
    <w:rsid w:val="00AB3FC1"/>
    <w:rsid w:val="00AB40A8"/>
    <w:rsid w:val="00AB49F5"/>
    <w:rsid w:val="00AB73E5"/>
    <w:rsid w:val="00AB7C64"/>
    <w:rsid w:val="00AC4328"/>
    <w:rsid w:val="00AC5B25"/>
    <w:rsid w:val="00AC5FA5"/>
    <w:rsid w:val="00AC6144"/>
    <w:rsid w:val="00AC6188"/>
    <w:rsid w:val="00AC6FF0"/>
    <w:rsid w:val="00AC706C"/>
    <w:rsid w:val="00AC78BC"/>
    <w:rsid w:val="00AC78D8"/>
    <w:rsid w:val="00AC78FE"/>
    <w:rsid w:val="00AD10FE"/>
    <w:rsid w:val="00AD2DC0"/>
    <w:rsid w:val="00AD359F"/>
    <w:rsid w:val="00AD3A5C"/>
    <w:rsid w:val="00AD4C82"/>
    <w:rsid w:val="00AD4E05"/>
    <w:rsid w:val="00AD7495"/>
    <w:rsid w:val="00AE051E"/>
    <w:rsid w:val="00AE172C"/>
    <w:rsid w:val="00AE2BB3"/>
    <w:rsid w:val="00AE6AAB"/>
    <w:rsid w:val="00AE6C89"/>
    <w:rsid w:val="00AE6D06"/>
    <w:rsid w:val="00AE7E09"/>
    <w:rsid w:val="00AF0404"/>
    <w:rsid w:val="00AF0861"/>
    <w:rsid w:val="00AF198F"/>
    <w:rsid w:val="00AF1BC5"/>
    <w:rsid w:val="00AF1EF8"/>
    <w:rsid w:val="00AF2822"/>
    <w:rsid w:val="00AF5587"/>
    <w:rsid w:val="00AF5601"/>
    <w:rsid w:val="00AF618B"/>
    <w:rsid w:val="00AF62B9"/>
    <w:rsid w:val="00AF7257"/>
    <w:rsid w:val="00B00619"/>
    <w:rsid w:val="00B01F94"/>
    <w:rsid w:val="00B021EA"/>
    <w:rsid w:val="00B04D8C"/>
    <w:rsid w:val="00B0579F"/>
    <w:rsid w:val="00B07597"/>
    <w:rsid w:val="00B10311"/>
    <w:rsid w:val="00B1271E"/>
    <w:rsid w:val="00B12C8F"/>
    <w:rsid w:val="00B13211"/>
    <w:rsid w:val="00B152B7"/>
    <w:rsid w:val="00B15DC2"/>
    <w:rsid w:val="00B17776"/>
    <w:rsid w:val="00B2012F"/>
    <w:rsid w:val="00B20562"/>
    <w:rsid w:val="00B211A5"/>
    <w:rsid w:val="00B220E5"/>
    <w:rsid w:val="00B24838"/>
    <w:rsid w:val="00B26185"/>
    <w:rsid w:val="00B26304"/>
    <w:rsid w:val="00B26E70"/>
    <w:rsid w:val="00B30E7D"/>
    <w:rsid w:val="00B310B1"/>
    <w:rsid w:val="00B31D36"/>
    <w:rsid w:val="00B34F0D"/>
    <w:rsid w:val="00B3520D"/>
    <w:rsid w:val="00B352B4"/>
    <w:rsid w:val="00B363E1"/>
    <w:rsid w:val="00B365BF"/>
    <w:rsid w:val="00B3703A"/>
    <w:rsid w:val="00B4161A"/>
    <w:rsid w:val="00B42036"/>
    <w:rsid w:val="00B42EA4"/>
    <w:rsid w:val="00B43AC8"/>
    <w:rsid w:val="00B43C68"/>
    <w:rsid w:val="00B44697"/>
    <w:rsid w:val="00B447E1"/>
    <w:rsid w:val="00B46172"/>
    <w:rsid w:val="00B46598"/>
    <w:rsid w:val="00B46CE1"/>
    <w:rsid w:val="00B5122D"/>
    <w:rsid w:val="00B52300"/>
    <w:rsid w:val="00B5252C"/>
    <w:rsid w:val="00B52D45"/>
    <w:rsid w:val="00B554B7"/>
    <w:rsid w:val="00B57ED9"/>
    <w:rsid w:val="00B60359"/>
    <w:rsid w:val="00B60F65"/>
    <w:rsid w:val="00B613D7"/>
    <w:rsid w:val="00B6469A"/>
    <w:rsid w:val="00B649C7"/>
    <w:rsid w:val="00B65C08"/>
    <w:rsid w:val="00B741C0"/>
    <w:rsid w:val="00B75566"/>
    <w:rsid w:val="00B75E81"/>
    <w:rsid w:val="00B7631A"/>
    <w:rsid w:val="00B76F96"/>
    <w:rsid w:val="00B77263"/>
    <w:rsid w:val="00B77C0E"/>
    <w:rsid w:val="00B77CD0"/>
    <w:rsid w:val="00B80A31"/>
    <w:rsid w:val="00B83AB0"/>
    <w:rsid w:val="00B84755"/>
    <w:rsid w:val="00B84F0D"/>
    <w:rsid w:val="00B85DF0"/>
    <w:rsid w:val="00B86F1D"/>
    <w:rsid w:val="00B901D8"/>
    <w:rsid w:val="00B90215"/>
    <w:rsid w:val="00B904D9"/>
    <w:rsid w:val="00B91B4F"/>
    <w:rsid w:val="00B92619"/>
    <w:rsid w:val="00B95086"/>
    <w:rsid w:val="00BA0798"/>
    <w:rsid w:val="00BA0A26"/>
    <w:rsid w:val="00BA15E0"/>
    <w:rsid w:val="00BA2F9D"/>
    <w:rsid w:val="00BA38A9"/>
    <w:rsid w:val="00BA38B3"/>
    <w:rsid w:val="00BA4E41"/>
    <w:rsid w:val="00BA53F2"/>
    <w:rsid w:val="00BA743F"/>
    <w:rsid w:val="00BB0A2B"/>
    <w:rsid w:val="00BB2066"/>
    <w:rsid w:val="00BB3975"/>
    <w:rsid w:val="00BB48BF"/>
    <w:rsid w:val="00BB4F1C"/>
    <w:rsid w:val="00BB5348"/>
    <w:rsid w:val="00BB5D94"/>
    <w:rsid w:val="00BB5DD1"/>
    <w:rsid w:val="00BB5EC5"/>
    <w:rsid w:val="00BB7599"/>
    <w:rsid w:val="00BB7789"/>
    <w:rsid w:val="00BC0D56"/>
    <w:rsid w:val="00BC1C2C"/>
    <w:rsid w:val="00BC377E"/>
    <w:rsid w:val="00BC57A0"/>
    <w:rsid w:val="00BC64B2"/>
    <w:rsid w:val="00BD03A6"/>
    <w:rsid w:val="00BD20D6"/>
    <w:rsid w:val="00BD25E3"/>
    <w:rsid w:val="00BD302E"/>
    <w:rsid w:val="00BD319E"/>
    <w:rsid w:val="00BD434C"/>
    <w:rsid w:val="00BD48BA"/>
    <w:rsid w:val="00BD553D"/>
    <w:rsid w:val="00BD7CAE"/>
    <w:rsid w:val="00BE08DF"/>
    <w:rsid w:val="00BE30FE"/>
    <w:rsid w:val="00BE38A2"/>
    <w:rsid w:val="00BE56AB"/>
    <w:rsid w:val="00BE58D1"/>
    <w:rsid w:val="00BE7592"/>
    <w:rsid w:val="00BF22D5"/>
    <w:rsid w:val="00BF32E7"/>
    <w:rsid w:val="00BF4CEE"/>
    <w:rsid w:val="00BF61B4"/>
    <w:rsid w:val="00BF77FD"/>
    <w:rsid w:val="00C0145F"/>
    <w:rsid w:val="00C017AA"/>
    <w:rsid w:val="00C024C3"/>
    <w:rsid w:val="00C02AC3"/>
    <w:rsid w:val="00C041B3"/>
    <w:rsid w:val="00C0678C"/>
    <w:rsid w:val="00C10700"/>
    <w:rsid w:val="00C107F4"/>
    <w:rsid w:val="00C10B16"/>
    <w:rsid w:val="00C119E5"/>
    <w:rsid w:val="00C130CB"/>
    <w:rsid w:val="00C13304"/>
    <w:rsid w:val="00C14E85"/>
    <w:rsid w:val="00C20F99"/>
    <w:rsid w:val="00C21C38"/>
    <w:rsid w:val="00C225D1"/>
    <w:rsid w:val="00C23900"/>
    <w:rsid w:val="00C24E30"/>
    <w:rsid w:val="00C2508D"/>
    <w:rsid w:val="00C267A8"/>
    <w:rsid w:val="00C26CBA"/>
    <w:rsid w:val="00C2719D"/>
    <w:rsid w:val="00C27914"/>
    <w:rsid w:val="00C30291"/>
    <w:rsid w:val="00C30F7E"/>
    <w:rsid w:val="00C329B0"/>
    <w:rsid w:val="00C3424D"/>
    <w:rsid w:val="00C36548"/>
    <w:rsid w:val="00C36A5C"/>
    <w:rsid w:val="00C36F44"/>
    <w:rsid w:val="00C40155"/>
    <w:rsid w:val="00C404AB"/>
    <w:rsid w:val="00C418B1"/>
    <w:rsid w:val="00C41ED1"/>
    <w:rsid w:val="00C42127"/>
    <w:rsid w:val="00C4426D"/>
    <w:rsid w:val="00C44AAF"/>
    <w:rsid w:val="00C46422"/>
    <w:rsid w:val="00C475DE"/>
    <w:rsid w:val="00C500F5"/>
    <w:rsid w:val="00C51578"/>
    <w:rsid w:val="00C54EDE"/>
    <w:rsid w:val="00C550E7"/>
    <w:rsid w:val="00C56F7D"/>
    <w:rsid w:val="00C57802"/>
    <w:rsid w:val="00C62C6B"/>
    <w:rsid w:val="00C63B24"/>
    <w:rsid w:val="00C654E4"/>
    <w:rsid w:val="00C705E9"/>
    <w:rsid w:val="00C7155A"/>
    <w:rsid w:val="00C72BF0"/>
    <w:rsid w:val="00C72E91"/>
    <w:rsid w:val="00C743B2"/>
    <w:rsid w:val="00C75355"/>
    <w:rsid w:val="00C75836"/>
    <w:rsid w:val="00C7585F"/>
    <w:rsid w:val="00C77B90"/>
    <w:rsid w:val="00C77E63"/>
    <w:rsid w:val="00C807C8"/>
    <w:rsid w:val="00C83E29"/>
    <w:rsid w:val="00C872CB"/>
    <w:rsid w:val="00C873DD"/>
    <w:rsid w:val="00C877C9"/>
    <w:rsid w:val="00C9011E"/>
    <w:rsid w:val="00C910A8"/>
    <w:rsid w:val="00C94398"/>
    <w:rsid w:val="00C95AF9"/>
    <w:rsid w:val="00C96A05"/>
    <w:rsid w:val="00C97743"/>
    <w:rsid w:val="00CA5500"/>
    <w:rsid w:val="00CA5B3A"/>
    <w:rsid w:val="00CA7241"/>
    <w:rsid w:val="00CA7C7C"/>
    <w:rsid w:val="00CB135D"/>
    <w:rsid w:val="00CB2533"/>
    <w:rsid w:val="00CB273A"/>
    <w:rsid w:val="00CB2E0F"/>
    <w:rsid w:val="00CB6B5A"/>
    <w:rsid w:val="00CB758F"/>
    <w:rsid w:val="00CB7BC0"/>
    <w:rsid w:val="00CC0316"/>
    <w:rsid w:val="00CC073C"/>
    <w:rsid w:val="00CC0F1C"/>
    <w:rsid w:val="00CC2DD4"/>
    <w:rsid w:val="00CC37E8"/>
    <w:rsid w:val="00CC3EDB"/>
    <w:rsid w:val="00CC4A99"/>
    <w:rsid w:val="00CC6C6D"/>
    <w:rsid w:val="00CD0FB3"/>
    <w:rsid w:val="00CD293D"/>
    <w:rsid w:val="00CD398F"/>
    <w:rsid w:val="00CD4C8D"/>
    <w:rsid w:val="00CD4CD8"/>
    <w:rsid w:val="00CD6394"/>
    <w:rsid w:val="00CD6F56"/>
    <w:rsid w:val="00CD7085"/>
    <w:rsid w:val="00CD7617"/>
    <w:rsid w:val="00CE1730"/>
    <w:rsid w:val="00CE4FFD"/>
    <w:rsid w:val="00CE5626"/>
    <w:rsid w:val="00CE5AAB"/>
    <w:rsid w:val="00CF0624"/>
    <w:rsid w:val="00CF3264"/>
    <w:rsid w:val="00CF5B7D"/>
    <w:rsid w:val="00D00A84"/>
    <w:rsid w:val="00D0384F"/>
    <w:rsid w:val="00D03CB9"/>
    <w:rsid w:val="00D05442"/>
    <w:rsid w:val="00D056F4"/>
    <w:rsid w:val="00D05AEC"/>
    <w:rsid w:val="00D07D5D"/>
    <w:rsid w:val="00D1188C"/>
    <w:rsid w:val="00D11CE0"/>
    <w:rsid w:val="00D1425F"/>
    <w:rsid w:val="00D1684F"/>
    <w:rsid w:val="00D16E23"/>
    <w:rsid w:val="00D17B5A"/>
    <w:rsid w:val="00D17F6B"/>
    <w:rsid w:val="00D2095F"/>
    <w:rsid w:val="00D22010"/>
    <w:rsid w:val="00D22409"/>
    <w:rsid w:val="00D224E8"/>
    <w:rsid w:val="00D227FA"/>
    <w:rsid w:val="00D25CC7"/>
    <w:rsid w:val="00D2644C"/>
    <w:rsid w:val="00D277B2"/>
    <w:rsid w:val="00D27B40"/>
    <w:rsid w:val="00D30223"/>
    <w:rsid w:val="00D30751"/>
    <w:rsid w:val="00D32302"/>
    <w:rsid w:val="00D32C88"/>
    <w:rsid w:val="00D33D97"/>
    <w:rsid w:val="00D352A6"/>
    <w:rsid w:val="00D36031"/>
    <w:rsid w:val="00D361B6"/>
    <w:rsid w:val="00D3708F"/>
    <w:rsid w:val="00D377F3"/>
    <w:rsid w:val="00D40D40"/>
    <w:rsid w:val="00D40E81"/>
    <w:rsid w:val="00D41B2B"/>
    <w:rsid w:val="00D44688"/>
    <w:rsid w:val="00D450F5"/>
    <w:rsid w:val="00D46C23"/>
    <w:rsid w:val="00D4783A"/>
    <w:rsid w:val="00D51FE9"/>
    <w:rsid w:val="00D5341C"/>
    <w:rsid w:val="00D54CA9"/>
    <w:rsid w:val="00D557C8"/>
    <w:rsid w:val="00D60D47"/>
    <w:rsid w:val="00D61106"/>
    <w:rsid w:val="00D618E8"/>
    <w:rsid w:val="00D61E3B"/>
    <w:rsid w:val="00D62986"/>
    <w:rsid w:val="00D64C07"/>
    <w:rsid w:val="00D661F5"/>
    <w:rsid w:val="00D66473"/>
    <w:rsid w:val="00D716E1"/>
    <w:rsid w:val="00D7736B"/>
    <w:rsid w:val="00D80246"/>
    <w:rsid w:val="00D80B1B"/>
    <w:rsid w:val="00D81377"/>
    <w:rsid w:val="00D8147E"/>
    <w:rsid w:val="00D8209B"/>
    <w:rsid w:val="00D83367"/>
    <w:rsid w:val="00D83C81"/>
    <w:rsid w:val="00D84146"/>
    <w:rsid w:val="00D84784"/>
    <w:rsid w:val="00D869B5"/>
    <w:rsid w:val="00D86A50"/>
    <w:rsid w:val="00D92FEE"/>
    <w:rsid w:val="00D935E1"/>
    <w:rsid w:val="00D944C6"/>
    <w:rsid w:val="00D95620"/>
    <w:rsid w:val="00D95B73"/>
    <w:rsid w:val="00D966A0"/>
    <w:rsid w:val="00DA357A"/>
    <w:rsid w:val="00DA3E11"/>
    <w:rsid w:val="00DA4629"/>
    <w:rsid w:val="00DA525E"/>
    <w:rsid w:val="00DA6C01"/>
    <w:rsid w:val="00DA7897"/>
    <w:rsid w:val="00DA7BB4"/>
    <w:rsid w:val="00DB187E"/>
    <w:rsid w:val="00DB2025"/>
    <w:rsid w:val="00DB2857"/>
    <w:rsid w:val="00DB3BFA"/>
    <w:rsid w:val="00DB466C"/>
    <w:rsid w:val="00DB485D"/>
    <w:rsid w:val="00DB4D5F"/>
    <w:rsid w:val="00DB5045"/>
    <w:rsid w:val="00DB5E12"/>
    <w:rsid w:val="00DB600D"/>
    <w:rsid w:val="00DB7EBF"/>
    <w:rsid w:val="00DC2E8A"/>
    <w:rsid w:val="00DC387F"/>
    <w:rsid w:val="00DC587B"/>
    <w:rsid w:val="00DD044C"/>
    <w:rsid w:val="00DD131E"/>
    <w:rsid w:val="00DD2694"/>
    <w:rsid w:val="00DD2A4D"/>
    <w:rsid w:val="00DD391E"/>
    <w:rsid w:val="00DD53AC"/>
    <w:rsid w:val="00DD6835"/>
    <w:rsid w:val="00DE2282"/>
    <w:rsid w:val="00DE36C8"/>
    <w:rsid w:val="00DE4786"/>
    <w:rsid w:val="00DE514B"/>
    <w:rsid w:val="00DE681A"/>
    <w:rsid w:val="00DE750A"/>
    <w:rsid w:val="00DF09DC"/>
    <w:rsid w:val="00DF1CAB"/>
    <w:rsid w:val="00DF27C2"/>
    <w:rsid w:val="00DF3328"/>
    <w:rsid w:val="00DF3869"/>
    <w:rsid w:val="00DF414C"/>
    <w:rsid w:val="00DF5A55"/>
    <w:rsid w:val="00DF60B4"/>
    <w:rsid w:val="00E0019E"/>
    <w:rsid w:val="00E018AB"/>
    <w:rsid w:val="00E02A4C"/>
    <w:rsid w:val="00E02F65"/>
    <w:rsid w:val="00E03205"/>
    <w:rsid w:val="00E04218"/>
    <w:rsid w:val="00E0678A"/>
    <w:rsid w:val="00E137EC"/>
    <w:rsid w:val="00E141FB"/>
    <w:rsid w:val="00E148D5"/>
    <w:rsid w:val="00E15FBD"/>
    <w:rsid w:val="00E20629"/>
    <w:rsid w:val="00E2098C"/>
    <w:rsid w:val="00E217BF"/>
    <w:rsid w:val="00E2194B"/>
    <w:rsid w:val="00E24849"/>
    <w:rsid w:val="00E25191"/>
    <w:rsid w:val="00E2633C"/>
    <w:rsid w:val="00E26BE5"/>
    <w:rsid w:val="00E317E9"/>
    <w:rsid w:val="00E31F14"/>
    <w:rsid w:val="00E324BE"/>
    <w:rsid w:val="00E34313"/>
    <w:rsid w:val="00E34454"/>
    <w:rsid w:val="00E42733"/>
    <w:rsid w:val="00E437D0"/>
    <w:rsid w:val="00E43A3E"/>
    <w:rsid w:val="00E44090"/>
    <w:rsid w:val="00E454AA"/>
    <w:rsid w:val="00E4568F"/>
    <w:rsid w:val="00E47283"/>
    <w:rsid w:val="00E47C8D"/>
    <w:rsid w:val="00E502EE"/>
    <w:rsid w:val="00E53248"/>
    <w:rsid w:val="00E53368"/>
    <w:rsid w:val="00E53AF7"/>
    <w:rsid w:val="00E544B2"/>
    <w:rsid w:val="00E54778"/>
    <w:rsid w:val="00E5482C"/>
    <w:rsid w:val="00E55D4D"/>
    <w:rsid w:val="00E561C9"/>
    <w:rsid w:val="00E56C10"/>
    <w:rsid w:val="00E56D0A"/>
    <w:rsid w:val="00E60408"/>
    <w:rsid w:val="00E610B2"/>
    <w:rsid w:val="00E61FB2"/>
    <w:rsid w:val="00E65AC3"/>
    <w:rsid w:val="00E70A1C"/>
    <w:rsid w:val="00E748E0"/>
    <w:rsid w:val="00E74F10"/>
    <w:rsid w:val="00E74FF7"/>
    <w:rsid w:val="00E812E2"/>
    <w:rsid w:val="00E81393"/>
    <w:rsid w:val="00E83E54"/>
    <w:rsid w:val="00E83E96"/>
    <w:rsid w:val="00E83F7B"/>
    <w:rsid w:val="00E84195"/>
    <w:rsid w:val="00E877C0"/>
    <w:rsid w:val="00E87D88"/>
    <w:rsid w:val="00E91357"/>
    <w:rsid w:val="00E933B1"/>
    <w:rsid w:val="00E93F63"/>
    <w:rsid w:val="00E95B14"/>
    <w:rsid w:val="00E969DD"/>
    <w:rsid w:val="00E978E1"/>
    <w:rsid w:val="00EA030E"/>
    <w:rsid w:val="00EA3366"/>
    <w:rsid w:val="00EA3F57"/>
    <w:rsid w:val="00EA7908"/>
    <w:rsid w:val="00EB3692"/>
    <w:rsid w:val="00EB5F7B"/>
    <w:rsid w:val="00EC16A2"/>
    <w:rsid w:val="00EC1B95"/>
    <w:rsid w:val="00EC4FDB"/>
    <w:rsid w:val="00EC6569"/>
    <w:rsid w:val="00EC734E"/>
    <w:rsid w:val="00ED4D63"/>
    <w:rsid w:val="00ED57F7"/>
    <w:rsid w:val="00EE396F"/>
    <w:rsid w:val="00EE4FD9"/>
    <w:rsid w:val="00EE5010"/>
    <w:rsid w:val="00EE553A"/>
    <w:rsid w:val="00EE756E"/>
    <w:rsid w:val="00EE793D"/>
    <w:rsid w:val="00EF09FD"/>
    <w:rsid w:val="00EF1E39"/>
    <w:rsid w:val="00EF569D"/>
    <w:rsid w:val="00EF62DC"/>
    <w:rsid w:val="00EF70F6"/>
    <w:rsid w:val="00F007AD"/>
    <w:rsid w:val="00F02B41"/>
    <w:rsid w:val="00F044EC"/>
    <w:rsid w:val="00F05315"/>
    <w:rsid w:val="00F07F85"/>
    <w:rsid w:val="00F10D7B"/>
    <w:rsid w:val="00F110A0"/>
    <w:rsid w:val="00F12E83"/>
    <w:rsid w:val="00F135B0"/>
    <w:rsid w:val="00F13680"/>
    <w:rsid w:val="00F14DCC"/>
    <w:rsid w:val="00F17B99"/>
    <w:rsid w:val="00F21C21"/>
    <w:rsid w:val="00F22F8F"/>
    <w:rsid w:val="00F263C6"/>
    <w:rsid w:val="00F2663E"/>
    <w:rsid w:val="00F26DF4"/>
    <w:rsid w:val="00F30016"/>
    <w:rsid w:val="00F3018E"/>
    <w:rsid w:val="00F30553"/>
    <w:rsid w:val="00F30856"/>
    <w:rsid w:val="00F311D7"/>
    <w:rsid w:val="00F33BEF"/>
    <w:rsid w:val="00F33E58"/>
    <w:rsid w:val="00F34E97"/>
    <w:rsid w:val="00F34FE6"/>
    <w:rsid w:val="00F3728D"/>
    <w:rsid w:val="00F37777"/>
    <w:rsid w:val="00F408E3"/>
    <w:rsid w:val="00F43BAA"/>
    <w:rsid w:val="00F43D89"/>
    <w:rsid w:val="00F458AA"/>
    <w:rsid w:val="00F45D7C"/>
    <w:rsid w:val="00F464C6"/>
    <w:rsid w:val="00F47355"/>
    <w:rsid w:val="00F51187"/>
    <w:rsid w:val="00F52899"/>
    <w:rsid w:val="00F53331"/>
    <w:rsid w:val="00F54135"/>
    <w:rsid w:val="00F55676"/>
    <w:rsid w:val="00F639F9"/>
    <w:rsid w:val="00F6546C"/>
    <w:rsid w:val="00F65A0E"/>
    <w:rsid w:val="00F66688"/>
    <w:rsid w:val="00F71AAF"/>
    <w:rsid w:val="00F73081"/>
    <w:rsid w:val="00F7366A"/>
    <w:rsid w:val="00F759F7"/>
    <w:rsid w:val="00F7784F"/>
    <w:rsid w:val="00F77CED"/>
    <w:rsid w:val="00F80863"/>
    <w:rsid w:val="00F818DE"/>
    <w:rsid w:val="00F825E1"/>
    <w:rsid w:val="00F839B0"/>
    <w:rsid w:val="00F83D8E"/>
    <w:rsid w:val="00F85954"/>
    <w:rsid w:val="00F8643F"/>
    <w:rsid w:val="00F872AA"/>
    <w:rsid w:val="00F91A6B"/>
    <w:rsid w:val="00F93CE4"/>
    <w:rsid w:val="00F93CF3"/>
    <w:rsid w:val="00F94A92"/>
    <w:rsid w:val="00F962C5"/>
    <w:rsid w:val="00FA135D"/>
    <w:rsid w:val="00FA1C7C"/>
    <w:rsid w:val="00FA30E7"/>
    <w:rsid w:val="00FA3E21"/>
    <w:rsid w:val="00FA40E7"/>
    <w:rsid w:val="00FA4460"/>
    <w:rsid w:val="00FA58EB"/>
    <w:rsid w:val="00FB0121"/>
    <w:rsid w:val="00FB01F4"/>
    <w:rsid w:val="00FB03DA"/>
    <w:rsid w:val="00FB05C0"/>
    <w:rsid w:val="00FB0631"/>
    <w:rsid w:val="00FB0FBA"/>
    <w:rsid w:val="00FB2BCB"/>
    <w:rsid w:val="00FB4BAE"/>
    <w:rsid w:val="00FB659C"/>
    <w:rsid w:val="00FB70B9"/>
    <w:rsid w:val="00FB72E8"/>
    <w:rsid w:val="00FB76FA"/>
    <w:rsid w:val="00FC55CB"/>
    <w:rsid w:val="00FD3CE9"/>
    <w:rsid w:val="00FD41AD"/>
    <w:rsid w:val="00FD46A2"/>
    <w:rsid w:val="00FD4F10"/>
    <w:rsid w:val="00FD6A21"/>
    <w:rsid w:val="00FD6D53"/>
    <w:rsid w:val="00FD7049"/>
    <w:rsid w:val="00FE1564"/>
    <w:rsid w:val="00FE1D60"/>
    <w:rsid w:val="00FE5271"/>
    <w:rsid w:val="00FE59C3"/>
    <w:rsid w:val="00FE60D2"/>
    <w:rsid w:val="00FE6628"/>
    <w:rsid w:val="00FE7BB2"/>
    <w:rsid w:val="00FF05B4"/>
    <w:rsid w:val="00FF1148"/>
    <w:rsid w:val="00FF1213"/>
    <w:rsid w:val="00FF1BDE"/>
    <w:rsid w:val="00FF273A"/>
    <w:rsid w:val="00FF2B0F"/>
    <w:rsid w:val="00FF4279"/>
    <w:rsid w:val="0338A44D"/>
    <w:rsid w:val="05573F4F"/>
    <w:rsid w:val="0A47F2AA"/>
    <w:rsid w:val="0B16CD2B"/>
    <w:rsid w:val="0F66D50C"/>
    <w:rsid w:val="0FFF3B3A"/>
    <w:rsid w:val="105ABD7E"/>
    <w:rsid w:val="14A60DD6"/>
    <w:rsid w:val="176AA42F"/>
    <w:rsid w:val="19F9B23E"/>
    <w:rsid w:val="1A3FD81D"/>
    <w:rsid w:val="1E722C3E"/>
    <w:rsid w:val="21B9A711"/>
    <w:rsid w:val="25B5E235"/>
    <w:rsid w:val="29C7F93D"/>
    <w:rsid w:val="2BCC4446"/>
    <w:rsid w:val="366C4A4D"/>
    <w:rsid w:val="381F2667"/>
    <w:rsid w:val="3D821413"/>
    <w:rsid w:val="3D8279B5"/>
    <w:rsid w:val="4469E9C0"/>
    <w:rsid w:val="449431CF"/>
    <w:rsid w:val="482B4EA9"/>
    <w:rsid w:val="490FE8B9"/>
    <w:rsid w:val="4C8C0CDE"/>
    <w:rsid w:val="4CC0CE0C"/>
    <w:rsid w:val="5302BF99"/>
    <w:rsid w:val="5578E789"/>
    <w:rsid w:val="55983609"/>
    <w:rsid w:val="59617E63"/>
    <w:rsid w:val="5BF240A7"/>
    <w:rsid w:val="5FFEBA83"/>
    <w:rsid w:val="61878AAB"/>
    <w:rsid w:val="62E2C687"/>
    <w:rsid w:val="63FD528C"/>
    <w:rsid w:val="66868BF1"/>
    <w:rsid w:val="673EB0D9"/>
    <w:rsid w:val="6D91983A"/>
    <w:rsid w:val="709DDB75"/>
    <w:rsid w:val="70E13269"/>
    <w:rsid w:val="722F5507"/>
    <w:rsid w:val="76A6D2E8"/>
    <w:rsid w:val="76A79C36"/>
    <w:rsid w:val="7897A61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BB8201"/>
  <w15:docId w15:val="{390FAE49-FBA2-4200-B07B-004A81E8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B01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uiPriority w:val="9"/>
    <w:unhideWhenUsed/>
    <w:qFormat/>
    <w:pPr>
      <w:keepNext/>
      <w:spacing w:before="360" w:after="240"/>
      <w:jc w:val="both"/>
      <w:outlineLvl w:val="1"/>
    </w:pPr>
    <w:rPr>
      <w:rFonts w:eastAsia="Times New Roman"/>
      <w:b/>
      <w:bCs/>
      <w:color w:val="000000"/>
      <w:sz w:val="24"/>
      <w:szCs w:val="24"/>
      <w:u w:color="000000"/>
    </w:rPr>
  </w:style>
  <w:style w:type="paragraph" w:styleId="Heading3">
    <w:name w:val="heading 3"/>
    <w:basedOn w:val="Normal"/>
    <w:next w:val="Normal"/>
    <w:link w:val="Heading3Char"/>
    <w:uiPriority w:val="9"/>
    <w:semiHidden/>
    <w:unhideWhenUsed/>
    <w:qFormat/>
    <w:rsid w:val="00C9439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spacing w:line="259" w:lineRule="auto"/>
    </w:pPr>
    <w:rPr>
      <w:rFonts w:ascii="Calibri" w:hAnsi="Calibri" w:cs="Arial Unicode MS"/>
      <w:color w:val="000000"/>
      <w:sz w:val="22"/>
      <w:szCs w:val="22"/>
      <w:u w:color="000000"/>
      <w:lang w:val="en-US"/>
    </w:rPr>
  </w:style>
  <w:style w:type="paragraph" w:customStyle="1" w:styleId="Heading">
    <w:name w:val="Heading"/>
    <w:next w:val="Body"/>
    <w:pPr>
      <w:keepNext/>
      <w:spacing w:before="240" w:after="240" w:line="259" w:lineRule="auto"/>
      <w:jc w:val="both"/>
      <w:outlineLvl w:val="0"/>
    </w:pPr>
    <w:rPr>
      <w:rFonts w:cs="Arial Unicode MS"/>
      <w:b/>
      <w:bCs/>
      <w:smallCaps/>
      <w:color w:val="000000"/>
      <w:sz w:val="24"/>
      <w:szCs w:val="24"/>
      <w:u w:color="000000"/>
    </w:rPr>
  </w:style>
  <w:style w:type="paragraph" w:customStyle="1" w:styleId="Body">
    <w:name w:val="Body"/>
    <w:pPr>
      <w:spacing w:after="200" w:line="259" w:lineRule="auto"/>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FootnoteText">
    <w:name w:val="footnote text"/>
    <w:link w:val="FootnoteTextChar"/>
    <w:pPr>
      <w:spacing w:line="259" w:lineRule="auto"/>
    </w:pPr>
    <w:rPr>
      <w:rFonts w:ascii="Calibri" w:eastAsia="Calibri" w:hAnsi="Calibri" w:cs="Calibri"/>
      <w:color w:val="000000"/>
      <w:u w:color="000000"/>
      <w:lang w:val="en-US"/>
    </w:rPr>
  </w:style>
  <w:style w:type="paragraph" w:customStyle="1" w:styleId="BodyA">
    <w:name w:val="Body A"/>
    <w:pPr>
      <w:spacing w:after="240"/>
      <w:jc w:val="both"/>
    </w:pPr>
    <w:rPr>
      <w:rFonts w:cs="Arial Unicode MS"/>
      <w:color w:val="000000"/>
      <w:sz w:val="24"/>
      <w:szCs w:val="24"/>
      <w:u w:color="000000"/>
      <w:lang w:val="en-US"/>
    </w:rPr>
  </w:style>
  <w:style w:type="numbering" w:customStyle="1" w:styleId="ImportedStyle2">
    <w:name w:val="Imported Style 2"/>
    <w:pPr>
      <w:numPr>
        <w:numId w:val="3"/>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sz w:val="16"/>
      <w:szCs w:val="16"/>
      <w:u w:val="single" w:color="0563C1"/>
    </w:rPr>
  </w:style>
  <w:style w:type="character" w:customStyle="1" w:styleId="Hyperlink1">
    <w:name w:val="Hyperlink.1"/>
    <w:basedOn w:val="Link"/>
    <w:rPr>
      <w:rFonts w:ascii="Times New Roman" w:eastAsia="Times New Roman" w:hAnsi="Times New Roman" w:cs="Times New Roman"/>
      <w:outline w:val="0"/>
      <w:color w:val="0563C1"/>
      <w:sz w:val="16"/>
      <w:szCs w:val="16"/>
      <w:u w:val="single" w:color="0563C1"/>
    </w:rPr>
  </w:style>
  <w:style w:type="character" w:customStyle="1" w:styleId="Hyperlink2">
    <w:name w:val="Hyperlink.2"/>
    <w:basedOn w:val="Link"/>
    <w:rPr>
      <w:rFonts w:ascii="Times New Roman" w:eastAsia="Times New Roman" w:hAnsi="Times New Roman" w:cs="Times New Roman"/>
      <w:outline w:val="0"/>
      <w:color w:val="0563C1"/>
      <w:sz w:val="16"/>
      <w:szCs w:val="16"/>
      <w:u w:val="single" w:color="0563C1"/>
      <w:lang w:val="en-US"/>
    </w:rPr>
  </w:style>
  <w:style w:type="paragraph" w:styleId="ListParagraph">
    <w:name w:val="List Paragraph"/>
    <w:pPr>
      <w:spacing w:after="200" w:line="259" w:lineRule="auto"/>
      <w:ind w:left="720"/>
    </w:pPr>
    <w:rPr>
      <w:rFonts w:ascii="Calibri" w:hAnsi="Calibri" w:cs="Arial Unicode MS"/>
      <w:color w:val="000000"/>
      <w:sz w:val="22"/>
      <w:szCs w:val="22"/>
      <w:u w:color="000000"/>
      <w:lang w:val="en-US"/>
    </w:rPr>
  </w:style>
  <w:style w:type="numbering" w:customStyle="1" w:styleId="ImportedStyle3">
    <w:name w:val="Imported Style 3"/>
    <w:pPr>
      <w:numPr>
        <w:numId w:val="6"/>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character" w:customStyle="1" w:styleId="Hyperlink3">
    <w:name w:val="Hyperlink.3"/>
    <w:basedOn w:val="Link"/>
    <w:rPr>
      <w:outline w:val="0"/>
      <w:color w:val="0563C1"/>
      <w:sz w:val="16"/>
      <w:szCs w:val="16"/>
      <w:u w:val="single" w:color="0563C1"/>
      <w:lang w:val="es-ES_tradnl"/>
    </w:rPr>
  </w:style>
  <w:style w:type="numbering" w:customStyle="1" w:styleId="ImportedStyle6">
    <w:name w:val="Imported Style 6"/>
    <w:pPr>
      <w:numPr>
        <w:numId w:val="15"/>
      </w:numPr>
    </w:pPr>
  </w:style>
  <w:style w:type="numbering" w:customStyle="1" w:styleId="ImportedStyle7">
    <w:name w:val="Imported Style 7"/>
    <w:pPr>
      <w:numPr>
        <w:numId w:val="17"/>
      </w:numPr>
    </w:pPr>
  </w:style>
  <w:style w:type="character" w:customStyle="1" w:styleId="Hyperlink4">
    <w:name w:val="Hyperlink.4"/>
    <w:basedOn w:val="Link"/>
    <w:rPr>
      <w:rFonts w:ascii="Times New Roman" w:eastAsia="Times New Roman" w:hAnsi="Times New Roman" w:cs="Times New Roman"/>
      <w:outline w:val="0"/>
      <w:color w:val="0563C1"/>
      <w:sz w:val="16"/>
      <w:szCs w:val="16"/>
      <w:u w:val="single" w:color="0563C1"/>
      <w:lang w:val="en-US"/>
    </w:rPr>
  </w:style>
  <w:style w:type="character" w:customStyle="1" w:styleId="Hyperlink5">
    <w:name w:val="Hyperlink.5"/>
    <w:basedOn w:val="Link"/>
    <w:rPr>
      <w:outline w:val="0"/>
      <w:color w:val="0563C1"/>
      <w:u w:val="single" w:color="0563C1"/>
      <w:lang w:val="en-US"/>
    </w:rPr>
  </w:style>
  <w:style w:type="character" w:customStyle="1" w:styleId="Hyperlink6">
    <w:name w:val="Hyperlink.6"/>
    <w:basedOn w:val="Link"/>
    <w:rPr>
      <w:rFonts w:ascii="Calibri" w:eastAsia="Calibri" w:hAnsi="Calibri" w:cs="Calibri"/>
      <w:outline w:val="0"/>
      <w:color w:val="000000"/>
      <w:u w:val="none" w:color="000000"/>
      <w:lang w:val="en-US"/>
    </w:rPr>
  </w:style>
  <w:style w:type="paragraph" w:styleId="Revision">
    <w:name w:val="Revision"/>
    <w:hidden/>
    <w:uiPriority w:val="99"/>
    <w:semiHidden/>
    <w:rsid w:val="003F693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7E2868"/>
    <w:pPr>
      <w:tabs>
        <w:tab w:val="center" w:pos="4513"/>
        <w:tab w:val="right" w:pos="9026"/>
      </w:tabs>
    </w:pPr>
  </w:style>
  <w:style w:type="character" w:customStyle="1" w:styleId="HeaderChar">
    <w:name w:val="Header Char"/>
    <w:basedOn w:val="DefaultParagraphFont"/>
    <w:link w:val="Header"/>
    <w:uiPriority w:val="99"/>
    <w:rsid w:val="007E2868"/>
    <w:rPr>
      <w:sz w:val="24"/>
      <w:szCs w:val="24"/>
      <w:lang w:val="en-US" w:eastAsia="en-US"/>
    </w:rPr>
  </w:style>
  <w:style w:type="character" w:styleId="CommentReference">
    <w:name w:val="annotation reference"/>
    <w:basedOn w:val="DefaultParagraphFont"/>
    <w:uiPriority w:val="99"/>
    <w:semiHidden/>
    <w:unhideWhenUsed/>
    <w:rsid w:val="007E2868"/>
    <w:rPr>
      <w:sz w:val="16"/>
      <w:szCs w:val="16"/>
    </w:rPr>
  </w:style>
  <w:style w:type="paragraph" w:styleId="CommentText">
    <w:name w:val="annotation text"/>
    <w:basedOn w:val="Normal"/>
    <w:link w:val="CommentTextChar"/>
    <w:uiPriority w:val="99"/>
    <w:unhideWhenUsed/>
    <w:rsid w:val="007E2868"/>
    <w:rPr>
      <w:sz w:val="20"/>
      <w:szCs w:val="20"/>
    </w:rPr>
  </w:style>
  <w:style w:type="character" w:customStyle="1" w:styleId="CommentTextChar">
    <w:name w:val="Comment Text Char"/>
    <w:basedOn w:val="DefaultParagraphFont"/>
    <w:link w:val="CommentText"/>
    <w:uiPriority w:val="99"/>
    <w:rsid w:val="007E2868"/>
    <w:rPr>
      <w:lang w:val="en-US" w:eastAsia="en-US"/>
    </w:rPr>
  </w:style>
  <w:style w:type="paragraph" w:styleId="CommentSubject">
    <w:name w:val="annotation subject"/>
    <w:basedOn w:val="CommentText"/>
    <w:next w:val="CommentText"/>
    <w:link w:val="CommentSubjectChar"/>
    <w:uiPriority w:val="99"/>
    <w:semiHidden/>
    <w:unhideWhenUsed/>
    <w:rsid w:val="007E2868"/>
    <w:rPr>
      <w:b/>
      <w:bCs/>
    </w:rPr>
  </w:style>
  <w:style w:type="character" w:customStyle="1" w:styleId="CommentSubjectChar">
    <w:name w:val="Comment Subject Char"/>
    <w:basedOn w:val="CommentTextChar"/>
    <w:link w:val="CommentSubject"/>
    <w:uiPriority w:val="99"/>
    <w:semiHidden/>
    <w:rsid w:val="007E2868"/>
    <w:rPr>
      <w:b/>
      <w:bCs/>
      <w:lang w:val="en-US" w:eastAsia="en-US"/>
    </w:r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uiPriority w:val="99"/>
    <w:unhideWhenUsed/>
    <w:qFormat/>
    <w:rsid w:val="007E2868"/>
    <w:rPr>
      <w:vertAlign w:val="superscript"/>
    </w:rPr>
  </w:style>
  <w:style w:type="character" w:customStyle="1" w:styleId="UnresolvedMention1">
    <w:name w:val="Unresolved Mention1"/>
    <w:basedOn w:val="DefaultParagraphFont"/>
    <w:uiPriority w:val="99"/>
    <w:semiHidden/>
    <w:unhideWhenUsed/>
    <w:rsid w:val="00D83367"/>
    <w:rPr>
      <w:color w:val="605E5C"/>
      <w:shd w:val="clear" w:color="auto" w:fill="E1DFDD"/>
    </w:rPr>
  </w:style>
  <w:style w:type="character" w:customStyle="1" w:styleId="Marker">
    <w:name w:val="Marker"/>
    <w:basedOn w:val="DefaultParagraphFont"/>
    <w:rsid w:val="007022BA"/>
    <w:rPr>
      <w:color w:val="0000FF"/>
      <w:shd w:val="clear" w:color="auto" w:fill="auto"/>
    </w:rPr>
  </w:style>
  <w:style w:type="paragraph" w:customStyle="1" w:styleId="Pagedecouverture">
    <w:name w:val="Page de couverture"/>
    <w:basedOn w:val="Normal"/>
    <w:next w:val="Normal"/>
    <w:link w:val="PagedecouvertureChar"/>
    <w:rsid w:val="00F30553"/>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FooterCoverPage">
    <w:name w:val="Footer Cover Page"/>
    <w:basedOn w:val="Normal"/>
    <w:link w:val="FooterCoverPageChar"/>
    <w:rsid w:val="00F30553"/>
    <w:pPr>
      <w:tabs>
        <w:tab w:val="center" w:pos="4535"/>
        <w:tab w:val="right" w:pos="9071"/>
        <w:tab w:val="right" w:pos="9921"/>
      </w:tabs>
      <w:spacing w:before="360"/>
      <w:ind w:left="-850" w:right="-850"/>
    </w:pPr>
  </w:style>
  <w:style w:type="character" w:customStyle="1" w:styleId="PagedecouvertureChar">
    <w:name w:val="Page de couverture Char"/>
    <w:basedOn w:val="DefaultParagraphFont"/>
    <w:link w:val="Pagedecouverture"/>
    <w:rsid w:val="00F30553"/>
    <w:rPr>
      <w:rFonts w:eastAsiaTheme="minorHAnsi"/>
      <w:sz w:val="24"/>
      <w:szCs w:val="22"/>
      <w:bdr w:val="none" w:sz="0" w:space="0" w:color="auto"/>
      <w:lang w:val="en-US" w:eastAsia="en-US"/>
    </w:rPr>
  </w:style>
  <w:style w:type="character" w:customStyle="1" w:styleId="FooterCoverPageChar">
    <w:name w:val="Footer Cover Page Char"/>
    <w:basedOn w:val="PagedecouvertureChar"/>
    <w:link w:val="FooterCoverPage"/>
    <w:rsid w:val="00F30553"/>
    <w:rPr>
      <w:rFonts w:eastAsiaTheme="minorHAnsi"/>
      <w:sz w:val="24"/>
      <w:szCs w:val="24"/>
      <w:bdr w:val="none" w:sz="0" w:space="0" w:color="auto"/>
      <w:lang w:val="en-US" w:eastAsia="en-US"/>
    </w:rPr>
  </w:style>
  <w:style w:type="paragraph" w:customStyle="1" w:styleId="FooterSensitivity">
    <w:name w:val="Footer Sensitivity"/>
    <w:basedOn w:val="Normal"/>
    <w:link w:val="FooterSensitivityChar"/>
    <w:rsid w:val="00F30553"/>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PagedecouvertureChar"/>
    <w:link w:val="FooterSensitivity"/>
    <w:rsid w:val="00F30553"/>
    <w:rPr>
      <w:rFonts w:eastAsiaTheme="minorHAnsi"/>
      <w:b/>
      <w:sz w:val="32"/>
      <w:szCs w:val="24"/>
      <w:bdr w:val="none" w:sz="0" w:space="0" w:color="auto"/>
      <w:lang w:val="en-US" w:eastAsia="en-US"/>
    </w:rPr>
  </w:style>
  <w:style w:type="paragraph" w:customStyle="1" w:styleId="HeaderCoverPage">
    <w:name w:val="Header Cover Page"/>
    <w:basedOn w:val="Normal"/>
    <w:link w:val="HeaderCoverPageChar"/>
    <w:rsid w:val="00F30553"/>
    <w:pPr>
      <w:tabs>
        <w:tab w:val="center" w:pos="4535"/>
        <w:tab w:val="right" w:pos="9071"/>
      </w:tabs>
      <w:spacing w:after="120"/>
      <w:jc w:val="both"/>
    </w:pPr>
  </w:style>
  <w:style w:type="character" w:customStyle="1" w:styleId="HeaderCoverPageChar">
    <w:name w:val="Header Cover Page Char"/>
    <w:basedOn w:val="PagedecouvertureChar"/>
    <w:link w:val="HeaderCoverPage"/>
    <w:rsid w:val="00F30553"/>
    <w:rPr>
      <w:rFonts w:eastAsiaTheme="minorHAnsi"/>
      <w:sz w:val="24"/>
      <w:szCs w:val="24"/>
      <w:bdr w:val="none" w:sz="0" w:space="0" w:color="auto"/>
      <w:lang w:val="en-US" w:eastAsia="en-US"/>
    </w:rPr>
  </w:style>
  <w:style w:type="paragraph" w:customStyle="1" w:styleId="HeaderSensitivity">
    <w:name w:val="Header Sensitivity"/>
    <w:basedOn w:val="Normal"/>
    <w:link w:val="HeaderSensitivityChar"/>
    <w:rsid w:val="00F30553"/>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F30553"/>
    <w:rPr>
      <w:rFonts w:eastAsiaTheme="minorHAnsi"/>
      <w:b/>
      <w:sz w:val="32"/>
      <w:szCs w:val="24"/>
      <w:bdr w:val="none" w:sz="0" w:space="0" w:color="auto"/>
      <w:lang w:val="en-US" w:eastAsia="en-US"/>
    </w:rPr>
  </w:style>
  <w:style w:type="paragraph" w:customStyle="1" w:styleId="HeaderSensitivityRight">
    <w:name w:val="Header Sensitivity Right"/>
    <w:basedOn w:val="Normal"/>
    <w:link w:val="HeaderSensitivityRightChar"/>
    <w:rsid w:val="00F30553"/>
    <w:pPr>
      <w:spacing w:after="120"/>
      <w:jc w:val="right"/>
    </w:pPr>
    <w:rPr>
      <w:sz w:val="28"/>
    </w:rPr>
  </w:style>
  <w:style w:type="character" w:customStyle="1" w:styleId="HeaderSensitivityRightChar">
    <w:name w:val="Header Sensitivity Right Char"/>
    <w:basedOn w:val="PagedecouvertureChar"/>
    <w:link w:val="HeaderSensitivityRight"/>
    <w:rsid w:val="00F30553"/>
    <w:rPr>
      <w:rFonts w:eastAsiaTheme="minorHAnsi"/>
      <w:sz w:val="28"/>
      <w:szCs w:val="24"/>
      <w:bdr w:val="none" w:sz="0" w:space="0" w:color="auto"/>
      <w:lang w:val="en-US" w:eastAsia="en-US"/>
    </w:rPr>
  </w:style>
  <w:style w:type="character" w:customStyle="1" w:styleId="Heading1Char">
    <w:name w:val="Heading 1 Char"/>
    <w:basedOn w:val="DefaultParagraphFont"/>
    <w:link w:val="Heading1"/>
    <w:uiPriority w:val="9"/>
    <w:rsid w:val="00FB01F4"/>
    <w:rPr>
      <w:rFonts w:asciiTheme="majorHAnsi" w:eastAsiaTheme="majorEastAsia" w:hAnsiTheme="majorHAnsi" w:cstheme="majorBidi"/>
      <w:color w:val="2F5496" w:themeColor="accent1" w:themeShade="BF"/>
      <w:sz w:val="32"/>
      <w:szCs w:val="32"/>
      <w:lang w:val="en-US" w:eastAsia="en-US"/>
    </w:rPr>
  </w:style>
  <w:style w:type="character" w:customStyle="1" w:styleId="FootnoteTextChar">
    <w:name w:val="Footnote Text Char"/>
    <w:basedOn w:val="DefaultParagraphFont"/>
    <w:link w:val="FootnoteText"/>
    <w:uiPriority w:val="1"/>
    <w:rsid w:val="002724B2"/>
    <w:rPr>
      <w:rFonts w:ascii="Calibri" w:eastAsia="Calibri" w:hAnsi="Calibri" w:cs="Calibri"/>
      <w:color w:val="000000"/>
      <w:u w:color="000000"/>
      <w:lang w:val="en-US"/>
    </w:rPr>
  </w:style>
  <w:style w:type="character" w:styleId="FollowedHyperlink">
    <w:name w:val="FollowedHyperlink"/>
    <w:basedOn w:val="DefaultParagraphFont"/>
    <w:uiPriority w:val="99"/>
    <w:semiHidden/>
    <w:unhideWhenUsed/>
    <w:rsid w:val="00690558"/>
    <w:rPr>
      <w:color w:val="FF00FF" w:themeColor="followedHyperlink"/>
      <w:u w:val="single"/>
    </w:rPr>
  </w:style>
  <w:style w:type="table" w:styleId="TableGrid">
    <w:name w:val="Table Grid"/>
    <w:basedOn w:val="TableNormal"/>
    <w:uiPriority w:val="39"/>
    <w:rsid w:val="00431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2B5945"/>
  </w:style>
  <w:style w:type="paragraph" w:customStyle="1" w:styleId="Default">
    <w:name w:val="Default"/>
    <w:rsid w:val="00A910F3"/>
    <w:pPr>
      <w:spacing w:before="160" w:line="288" w:lineRule="auto"/>
    </w:pPr>
    <w:rPr>
      <w:rFonts w:ascii="Helvetica Neue" w:eastAsia="Helvetica Neue" w:hAnsi="Helvetica Neue" w:cs="Helvetica Neue"/>
      <w:color w:val="000000"/>
      <w:sz w:val="24"/>
      <w:szCs w:val="24"/>
    </w:rPr>
  </w:style>
  <w:style w:type="character" w:customStyle="1" w:styleId="Heading3Char">
    <w:name w:val="Heading 3 Char"/>
    <w:basedOn w:val="DefaultParagraphFont"/>
    <w:link w:val="Heading3"/>
    <w:uiPriority w:val="9"/>
    <w:semiHidden/>
    <w:rsid w:val="00C94398"/>
    <w:rPr>
      <w:rFonts w:asciiTheme="majorHAnsi" w:eastAsiaTheme="majorEastAsia" w:hAnsiTheme="majorHAnsi" w:cstheme="majorBidi"/>
      <w:color w:val="1F3763" w:themeColor="accent1" w:themeShade="7F"/>
      <w:sz w:val="24"/>
      <w:szCs w:val="24"/>
      <w:lang w:val="en-US" w:eastAsia="en-US"/>
    </w:rPr>
  </w:style>
  <w:style w:type="character" w:customStyle="1" w:styleId="UnresolvedMention2">
    <w:name w:val="Unresolved Mention2"/>
    <w:basedOn w:val="DefaultParagraphFont"/>
    <w:uiPriority w:val="99"/>
    <w:semiHidden/>
    <w:unhideWhenUsed/>
    <w:rsid w:val="00C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8396">
      <w:bodyDiv w:val="1"/>
      <w:marLeft w:val="0"/>
      <w:marRight w:val="0"/>
      <w:marTop w:val="0"/>
      <w:marBottom w:val="0"/>
      <w:divBdr>
        <w:top w:val="none" w:sz="0" w:space="0" w:color="auto"/>
        <w:left w:val="none" w:sz="0" w:space="0" w:color="auto"/>
        <w:bottom w:val="none" w:sz="0" w:space="0" w:color="auto"/>
        <w:right w:val="none" w:sz="0" w:space="0" w:color="auto"/>
      </w:divBdr>
    </w:div>
    <w:div w:id="188491077">
      <w:bodyDiv w:val="1"/>
      <w:marLeft w:val="0"/>
      <w:marRight w:val="0"/>
      <w:marTop w:val="0"/>
      <w:marBottom w:val="0"/>
      <w:divBdr>
        <w:top w:val="none" w:sz="0" w:space="0" w:color="auto"/>
        <w:left w:val="none" w:sz="0" w:space="0" w:color="auto"/>
        <w:bottom w:val="none" w:sz="0" w:space="0" w:color="auto"/>
        <w:right w:val="none" w:sz="0" w:space="0" w:color="auto"/>
      </w:divBdr>
    </w:div>
    <w:div w:id="210656638">
      <w:bodyDiv w:val="1"/>
      <w:marLeft w:val="0"/>
      <w:marRight w:val="0"/>
      <w:marTop w:val="0"/>
      <w:marBottom w:val="0"/>
      <w:divBdr>
        <w:top w:val="none" w:sz="0" w:space="0" w:color="auto"/>
        <w:left w:val="none" w:sz="0" w:space="0" w:color="auto"/>
        <w:bottom w:val="none" w:sz="0" w:space="0" w:color="auto"/>
        <w:right w:val="none" w:sz="0" w:space="0" w:color="auto"/>
      </w:divBdr>
    </w:div>
    <w:div w:id="526791765">
      <w:bodyDiv w:val="1"/>
      <w:marLeft w:val="0"/>
      <w:marRight w:val="0"/>
      <w:marTop w:val="0"/>
      <w:marBottom w:val="0"/>
      <w:divBdr>
        <w:top w:val="none" w:sz="0" w:space="0" w:color="auto"/>
        <w:left w:val="none" w:sz="0" w:space="0" w:color="auto"/>
        <w:bottom w:val="none" w:sz="0" w:space="0" w:color="auto"/>
        <w:right w:val="none" w:sz="0" w:space="0" w:color="auto"/>
      </w:divBdr>
    </w:div>
    <w:div w:id="600259942">
      <w:bodyDiv w:val="1"/>
      <w:marLeft w:val="0"/>
      <w:marRight w:val="0"/>
      <w:marTop w:val="0"/>
      <w:marBottom w:val="0"/>
      <w:divBdr>
        <w:top w:val="none" w:sz="0" w:space="0" w:color="auto"/>
        <w:left w:val="none" w:sz="0" w:space="0" w:color="auto"/>
        <w:bottom w:val="none" w:sz="0" w:space="0" w:color="auto"/>
        <w:right w:val="none" w:sz="0" w:space="0" w:color="auto"/>
      </w:divBdr>
    </w:div>
    <w:div w:id="612444772">
      <w:bodyDiv w:val="1"/>
      <w:marLeft w:val="0"/>
      <w:marRight w:val="0"/>
      <w:marTop w:val="0"/>
      <w:marBottom w:val="0"/>
      <w:divBdr>
        <w:top w:val="none" w:sz="0" w:space="0" w:color="auto"/>
        <w:left w:val="none" w:sz="0" w:space="0" w:color="auto"/>
        <w:bottom w:val="none" w:sz="0" w:space="0" w:color="auto"/>
        <w:right w:val="none" w:sz="0" w:space="0" w:color="auto"/>
      </w:divBdr>
    </w:div>
    <w:div w:id="630981855">
      <w:bodyDiv w:val="1"/>
      <w:marLeft w:val="0"/>
      <w:marRight w:val="0"/>
      <w:marTop w:val="0"/>
      <w:marBottom w:val="0"/>
      <w:divBdr>
        <w:top w:val="none" w:sz="0" w:space="0" w:color="auto"/>
        <w:left w:val="none" w:sz="0" w:space="0" w:color="auto"/>
        <w:bottom w:val="none" w:sz="0" w:space="0" w:color="auto"/>
        <w:right w:val="none" w:sz="0" w:space="0" w:color="auto"/>
      </w:divBdr>
    </w:div>
    <w:div w:id="919288342">
      <w:bodyDiv w:val="1"/>
      <w:marLeft w:val="0"/>
      <w:marRight w:val="0"/>
      <w:marTop w:val="0"/>
      <w:marBottom w:val="0"/>
      <w:divBdr>
        <w:top w:val="none" w:sz="0" w:space="0" w:color="auto"/>
        <w:left w:val="none" w:sz="0" w:space="0" w:color="auto"/>
        <w:bottom w:val="none" w:sz="0" w:space="0" w:color="auto"/>
        <w:right w:val="none" w:sz="0" w:space="0" w:color="auto"/>
      </w:divBdr>
    </w:div>
    <w:div w:id="1267884845">
      <w:bodyDiv w:val="1"/>
      <w:marLeft w:val="0"/>
      <w:marRight w:val="0"/>
      <w:marTop w:val="0"/>
      <w:marBottom w:val="0"/>
      <w:divBdr>
        <w:top w:val="none" w:sz="0" w:space="0" w:color="auto"/>
        <w:left w:val="none" w:sz="0" w:space="0" w:color="auto"/>
        <w:bottom w:val="none" w:sz="0" w:space="0" w:color="auto"/>
        <w:right w:val="none" w:sz="0" w:space="0" w:color="auto"/>
      </w:divBdr>
    </w:div>
    <w:div w:id="1437285895">
      <w:bodyDiv w:val="1"/>
      <w:marLeft w:val="0"/>
      <w:marRight w:val="0"/>
      <w:marTop w:val="0"/>
      <w:marBottom w:val="0"/>
      <w:divBdr>
        <w:top w:val="none" w:sz="0" w:space="0" w:color="auto"/>
        <w:left w:val="none" w:sz="0" w:space="0" w:color="auto"/>
        <w:bottom w:val="none" w:sz="0" w:space="0" w:color="auto"/>
        <w:right w:val="none" w:sz="0" w:space="0" w:color="auto"/>
      </w:divBdr>
    </w:div>
    <w:div w:id="1584223033">
      <w:bodyDiv w:val="1"/>
      <w:marLeft w:val="0"/>
      <w:marRight w:val="0"/>
      <w:marTop w:val="0"/>
      <w:marBottom w:val="0"/>
      <w:divBdr>
        <w:top w:val="none" w:sz="0" w:space="0" w:color="auto"/>
        <w:left w:val="none" w:sz="0" w:space="0" w:color="auto"/>
        <w:bottom w:val="none" w:sz="0" w:space="0" w:color="auto"/>
        <w:right w:val="none" w:sz="0" w:space="0" w:color="auto"/>
      </w:divBdr>
    </w:div>
    <w:div w:id="1646816380">
      <w:bodyDiv w:val="1"/>
      <w:marLeft w:val="0"/>
      <w:marRight w:val="0"/>
      <w:marTop w:val="0"/>
      <w:marBottom w:val="0"/>
      <w:divBdr>
        <w:top w:val="none" w:sz="0" w:space="0" w:color="auto"/>
        <w:left w:val="none" w:sz="0" w:space="0" w:color="auto"/>
        <w:bottom w:val="none" w:sz="0" w:space="0" w:color="auto"/>
        <w:right w:val="none" w:sz="0" w:space="0" w:color="auto"/>
      </w:divBdr>
    </w:div>
    <w:div w:id="1725520859">
      <w:bodyDiv w:val="1"/>
      <w:marLeft w:val="0"/>
      <w:marRight w:val="0"/>
      <w:marTop w:val="0"/>
      <w:marBottom w:val="0"/>
      <w:divBdr>
        <w:top w:val="none" w:sz="0" w:space="0" w:color="auto"/>
        <w:left w:val="none" w:sz="0" w:space="0" w:color="auto"/>
        <w:bottom w:val="none" w:sz="0" w:space="0" w:color="auto"/>
        <w:right w:val="none" w:sz="0" w:space="0" w:color="auto"/>
      </w:divBdr>
    </w:div>
    <w:div w:id="1766535295">
      <w:bodyDiv w:val="1"/>
      <w:marLeft w:val="0"/>
      <w:marRight w:val="0"/>
      <w:marTop w:val="0"/>
      <w:marBottom w:val="0"/>
      <w:divBdr>
        <w:top w:val="none" w:sz="0" w:space="0" w:color="auto"/>
        <w:left w:val="none" w:sz="0" w:space="0" w:color="auto"/>
        <w:bottom w:val="none" w:sz="0" w:space="0" w:color="auto"/>
        <w:right w:val="none" w:sz="0" w:space="0" w:color="auto"/>
      </w:divBdr>
    </w:div>
    <w:div w:id="1872720200">
      <w:bodyDiv w:val="1"/>
      <w:marLeft w:val="0"/>
      <w:marRight w:val="0"/>
      <w:marTop w:val="0"/>
      <w:marBottom w:val="0"/>
      <w:divBdr>
        <w:top w:val="none" w:sz="0" w:space="0" w:color="auto"/>
        <w:left w:val="none" w:sz="0" w:space="0" w:color="auto"/>
        <w:bottom w:val="none" w:sz="0" w:space="0" w:color="auto"/>
        <w:right w:val="none" w:sz="0" w:space="0" w:color="auto"/>
      </w:divBdr>
      <w:divsChild>
        <w:div w:id="1313173908">
          <w:marLeft w:val="288"/>
          <w:marRight w:val="0"/>
          <w:marTop w:val="0"/>
          <w:marBottom w:val="0"/>
          <w:divBdr>
            <w:top w:val="none" w:sz="0" w:space="0" w:color="auto"/>
            <w:left w:val="none" w:sz="0" w:space="0" w:color="auto"/>
            <w:bottom w:val="none" w:sz="0" w:space="0" w:color="auto"/>
            <w:right w:val="none" w:sz="0" w:space="0" w:color="auto"/>
          </w:divBdr>
        </w:div>
      </w:divsChild>
    </w:div>
    <w:div w:id="1906836025">
      <w:bodyDiv w:val="1"/>
      <w:marLeft w:val="0"/>
      <w:marRight w:val="0"/>
      <w:marTop w:val="0"/>
      <w:marBottom w:val="0"/>
      <w:divBdr>
        <w:top w:val="none" w:sz="0" w:space="0" w:color="auto"/>
        <w:left w:val="none" w:sz="0" w:space="0" w:color="auto"/>
        <w:bottom w:val="none" w:sz="0" w:space="0" w:color="auto"/>
        <w:right w:val="none" w:sz="0" w:space="0" w:color="auto"/>
      </w:divBdr>
    </w:div>
    <w:div w:id="1934819976">
      <w:bodyDiv w:val="1"/>
      <w:marLeft w:val="0"/>
      <w:marRight w:val="0"/>
      <w:marTop w:val="0"/>
      <w:marBottom w:val="0"/>
      <w:divBdr>
        <w:top w:val="none" w:sz="0" w:space="0" w:color="auto"/>
        <w:left w:val="none" w:sz="0" w:space="0" w:color="auto"/>
        <w:bottom w:val="none" w:sz="0" w:space="0" w:color="auto"/>
        <w:right w:val="none" w:sz="0" w:space="0" w:color="auto"/>
      </w:divBdr>
      <w:divsChild>
        <w:div w:id="995454193">
          <w:marLeft w:val="288"/>
          <w:marRight w:val="0"/>
          <w:marTop w:val="0"/>
          <w:marBottom w:val="0"/>
          <w:divBdr>
            <w:top w:val="none" w:sz="0" w:space="0" w:color="auto"/>
            <w:left w:val="none" w:sz="0" w:space="0" w:color="auto"/>
            <w:bottom w:val="none" w:sz="0" w:space="0" w:color="auto"/>
            <w:right w:val="none" w:sz="0" w:space="0" w:color="auto"/>
          </w:divBdr>
        </w:div>
      </w:divsChild>
    </w:div>
    <w:div w:id="1967274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3" Type="http://schemas.openxmlformats.org/officeDocument/2006/relationships/hyperlink" Target="https://wayback.archive-it.org/12090/20220915201021/https:/prod-cofe-platform.s3.eu-central-1.amazonaws.com/2po250fn174z62m8g8c9ya9e62m7?response-content-disposition=inline%3B%20filename%3D%22Book_CoFE_Final_Report_EN_full.pdf%22%3B%20filename%2A%3DUTF-8%27%27Book_CoFE_Final_Report_EN_full.pdf&amp;response-content-type=application%2Fpdf&amp;X-Amz-Algorithm=AWS4-HMAC-SHA256&amp;X-Amz-Credential=AKIA3LJJXGZPDFYVOW5V%2F20220915%2Feu-central-1%2Fs3%2Faws4_request&amp;X-Amz-Date=20220915T200910Z&amp;X-Amz-Expires=300&amp;X-Amz-SignedHeaders=host&amp;X-Amz-Signature=9da6e64b707df344c8772d076bc07e818cd0e1e0b662480f30d2f367446042e8" TargetMode="External"/><Relationship Id="rId18" Type="http://schemas.openxmlformats.org/officeDocument/2006/relationships/hyperlink" Target="https://www.entsoe.eu/eugridforum/" TargetMode="External"/><Relationship Id="rId26" Type="http://schemas.openxmlformats.org/officeDocument/2006/relationships/hyperlink" Target="https://www.ceer.eu/documents/104400/-/-/2da60a45-6262-c6bc-080a-4f24b4c542cd" TargetMode="External"/><Relationship Id="rId39" Type="http://schemas.openxmlformats.org/officeDocument/2006/relationships/hyperlink" Target="https://eur-lex.europa.eu/legal-content/EN/TXT/?uri=CELEX:32022R2577" TargetMode="External"/><Relationship Id="rId21" Type="http://schemas.openxmlformats.org/officeDocument/2006/relationships/hyperlink" Target="https://digital-strategy.ec.europa.eu/en/news/call-applications-european-commissions-smart-energy-expert-group" TargetMode="External"/><Relationship Id="rId34" Type="http://schemas.openxmlformats.org/officeDocument/2006/relationships/hyperlink" Target="https://entsoe.eu/Technopedia/" TargetMode="External"/><Relationship Id="rId42" Type="http://schemas.openxmlformats.org/officeDocument/2006/relationships/hyperlink" Target="https://eur-lex.europa.eu/legal-content/EN/ALL/?uri=CELEX%3A32021R0240" TargetMode="External"/><Relationship Id="rId47" Type="http://schemas.openxmlformats.org/officeDocument/2006/relationships/hyperlink" Target="https://www.epsu.org/sites/default/files/article/files/REPORT%20VET%20ELECTRICITY.pdf" TargetMode="External"/><Relationship Id="rId50" Type="http://schemas.openxmlformats.org/officeDocument/2006/relationships/hyperlink" Target="https://interopera.eu/" TargetMode="External"/><Relationship Id="rId7" Type="http://schemas.openxmlformats.org/officeDocument/2006/relationships/hyperlink" Target="https://eur-lex.europa.eu/legal-content/EN/TXT/?uri=SWD%3A2022%3A230%3AFIN" TargetMode="External"/><Relationship Id="rId2" Type="http://schemas.openxmlformats.org/officeDocument/2006/relationships/hyperlink" Target="https://energy.ec.europa.eu/news/member-states-agree-new-ambition-expanding-offshore-renewable-energy-2023-01-19_en" TargetMode="External"/><Relationship Id="rId16" Type="http://schemas.openxmlformats.org/officeDocument/2006/relationships/hyperlink" Target="https://www.pcisummit.eu/live-stream/" TargetMode="External"/><Relationship Id="rId29" Type="http://schemas.openxmlformats.org/officeDocument/2006/relationships/hyperlink" Target="https://geoportal.egd.cz/itc/default.aspx?ck=1&amp;SID=&amp;serverconf=prip2&amp;br35info=1" TargetMode="External"/><Relationship Id="rId11" Type="http://schemas.openxmlformats.org/officeDocument/2006/relationships/hyperlink" Target="https://eur-lex.europa.eu/legal-content/EN/TXT/?uri=CELEX%3A32019L0944" TargetMode="External"/><Relationship Id="rId24" Type="http://schemas.openxmlformats.org/officeDocument/2006/relationships/hyperlink" Target="https://www.geode-eu.org/wp-content/uploads/2023/05/GEODE-Paper-Distribution-Grids.pdf" TargetMode="External"/><Relationship Id="rId32" Type="http://schemas.openxmlformats.org/officeDocument/2006/relationships/hyperlink" Target="https://www.ceer.eu/documents/104400/-/-/fd4178b4-ed00-6d06-5f4b-8b87d630b060" TargetMode="External"/><Relationship Id="rId37" Type="http://schemas.openxmlformats.org/officeDocument/2006/relationships/hyperlink" Target="https://energy.ec.europa.eu/events/9th-energy-infrastructure-forum-2023-06-12_en" TargetMode="External"/><Relationship Id="rId40" Type="http://schemas.openxmlformats.org/officeDocument/2006/relationships/hyperlink" Target="https://circabc.europa.eu/ui/group/3b48eff1-b955-423f-9086-0d85ad1c5879/library/6ed6a844-73b5-4eb4-b26d-58bf61048eba/details?download=true" TargetMode="External"/><Relationship Id="rId45" Type="http://schemas.openxmlformats.org/officeDocument/2006/relationships/hyperlink" Target="https://eur-lex.europa.eu/legal-content/EN/TXT/?uri=CELEX%3A32019H0553" TargetMode="External"/><Relationship Id="rId5" Type="http://schemas.openxmlformats.org/officeDocument/2006/relationships/hyperlink" Target="https://eur-lex.europa.eu/legal-content/EN/TXT/PDF/?uri=CELEX:52023DC0076" TargetMode="External"/><Relationship Id="rId15" Type="http://schemas.openxmlformats.org/officeDocument/2006/relationships/hyperlink" Target="https://energy.ec.europa.eu/topics/infrastructure/projects-common-interest/pci-energy-days_en" TargetMode="External"/><Relationship Id="rId23" Type="http://schemas.openxmlformats.org/officeDocument/2006/relationships/hyperlink" Target="https://cdn.eurelectric.org/media/5089/dso-facts-and-figures-11122020-compressed-2020-030-0721-01-e-h-6BF237D8.pdf?_gl=1*coc6nj*_ga*MTc4MjQ2MzMyMS4xNjk3MTIzNjkx*_ga_CB82F90MQ6*MTY5NzY0MjAxNC4zLjEuMTY5NzY0Mjk3Ni40Ny4wLjA." TargetMode="External"/><Relationship Id="rId28" Type="http://schemas.openxmlformats.org/officeDocument/2006/relationships/hyperlink" Target="https://www.edistribucion.com/es/red-electrica/Nodos_capacidad_acceso.html" TargetMode="External"/><Relationship Id="rId36" Type="http://schemas.openxmlformats.org/officeDocument/2006/relationships/hyperlink" Target="https://www.acer.europa.eu/en/Electricity/Infrastructure_and_network%20development/Infrastructure/Documents/Benefit_based_regulation_2023.pdf" TargetMode="External"/><Relationship Id="rId49" Type="http://schemas.openxmlformats.org/officeDocument/2006/relationships/hyperlink" Target="https://eur-lex.europa.eu/eli/reg/2019/452/oj" TargetMode="External"/><Relationship Id="rId10" Type="http://schemas.openxmlformats.org/officeDocument/2006/relationships/hyperlink" Target="https://eur-lex.europa.eu/legal-content/EN/TXT/?uri=CELEX%3A32019R0943" TargetMode="External"/><Relationship Id="rId19" Type="http://schemas.openxmlformats.org/officeDocument/2006/relationships/hyperlink" Target="https://www.eib.org/attachments/lucalli/20230107_cross_border_infrastructure_projects_en.pdf" TargetMode="External"/><Relationship Id="rId31" Type="http://schemas.openxmlformats.org/officeDocument/2006/relationships/hyperlink" Target="https://www.currenteurope.eu/wp-content/uploads/2021/12/currENT_Consentec_BenefitsOfInnovativeGridTechnologies_FinalReport_20211208_clean.pdf" TargetMode="External"/><Relationship Id="rId44" Type="http://schemas.openxmlformats.org/officeDocument/2006/relationships/hyperlink" Target="https://eur-lex.europa.eu/legal-content/EN/TXT/?uri=CELEX%3A32022L2557" TargetMode="External"/><Relationship Id="rId52" Type="http://schemas.openxmlformats.org/officeDocument/2006/relationships/hyperlink" Target="https://eepublicdownloads.blob.core.windows.net/public-cdn-container/clean-documents/events/2023/230907_Session%2520III_Discussion%2520and%2520Conclusions_for%2520publication.pdf" TargetMode="External"/><Relationship Id="rId4" Type="http://schemas.openxmlformats.org/officeDocument/2006/relationships/hyperlink" Target="https://eepublicdownloads.blob.core.windows.net/public-cdn-container/tyndp-documents/TYNDP2022/public/system-needs-report.pdf" TargetMode="External"/><Relationship Id="rId9" Type="http://schemas.openxmlformats.org/officeDocument/2006/relationships/hyperlink" Target="https://www.consilium.europa.eu/en/press/press-releases/2023/10/09/renewable-energy-council-adopts-new-rules/" TargetMode="External"/><Relationship Id="rId14" Type="http://schemas.openxmlformats.org/officeDocument/2006/relationships/hyperlink" Target="https://energy.ec.europa.eu/topics/infrastructure/energy-infrastructure-forum_en" TargetMode="External"/><Relationship Id="rId22" Type="http://schemas.openxmlformats.org/officeDocument/2006/relationships/hyperlink" Target="https://eur-lex.europa.eu/legal-content/EN/TXT/?uri=CELEX:32023H0320(01)&amp;qid=1679302898964" TargetMode="External"/><Relationship Id="rId27" Type="http://schemas.openxmlformats.org/officeDocument/2006/relationships/hyperlink" Target="https://www.eurelectric.org/media/6622/report-block-1_part-1-grid-capacity_final-draft_3082023.pdf" TargetMode="External"/><Relationship Id="rId30" Type="http://schemas.openxmlformats.org/officeDocument/2006/relationships/hyperlink" Target="https://www.ceer.eu/documents/104400/-/-/e473b6de-03c9-61aa-2c6a-86f2e3aa8f08" TargetMode="External"/><Relationship Id="rId35" Type="http://schemas.openxmlformats.org/officeDocument/2006/relationships/hyperlink" Target="https://www.ceer.eu/documents/104400/-/-/2a8f3739-f371-b84f-639e-697903e54acb" TargetMode="External"/><Relationship Id="rId43" Type="http://schemas.openxmlformats.org/officeDocument/2006/relationships/hyperlink" Target="https://energy.ec.europa.eu/system/files/2023-10/COM_2023_669_1_EN_ACT_part1_v8.pdf" TargetMode="External"/><Relationship Id="rId48" Type="http://schemas.openxmlformats.org/officeDocument/2006/relationships/hyperlink" Target="https://eur-lex.europa.eu/legal-content/EN/TXT/PDF/?uri=OJ:C_202300891" TargetMode="External"/><Relationship Id="rId8" Type="http://schemas.openxmlformats.org/officeDocument/2006/relationships/hyperlink" Target="https://iea.blob.core.windows.net/assets/70f2de45-6d84-4e07-bfd0-93833e205c81/ElectricityGridsandSecureEnergyTransitions.pdf" TargetMode="External"/><Relationship Id="rId51" Type="http://schemas.openxmlformats.org/officeDocument/2006/relationships/hyperlink" Target="https://www.tennet.eu/about-tennet/innovations/2gw-program" TargetMode="External"/><Relationship Id="rId3" Type="http://schemas.openxmlformats.org/officeDocument/2006/relationships/hyperlink" Target="https://transparency.entsoe.eu/generation/r2/installedGenerationCapacityAggregation/show" TargetMode="External"/><Relationship Id="rId12" Type="http://schemas.openxmlformats.org/officeDocument/2006/relationships/hyperlink" Target="https://www.ft.com/content/4c843612-1890-49bb-83eb-ddbe4495d6c9" TargetMode="External"/><Relationship Id="rId17" Type="http://schemas.openxmlformats.org/officeDocument/2006/relationships/hyperlink" Target="https://www.sincrogrid.eu/en/News/ArticleID/442/Recordings-of-the-Smart-Grid-PCIs-Summit" TargetMode="External"/><Relationship Id="rId25" Type="http://schemas.openxmlformats.org/officeDocument/2006/relationships/hyperlink" Target="https://publications.jrc.ec.europa.eu/repository/handle/JRC132379" TargetMode="External"/><Relationship Id="rId33" Type="http://schemas.openxmlformats.org/officeDocument/2006/relationships/hyperlink" Target="https://setis.ec.europa.eu/document/download/134fcbc7-15c9-4518-8586-8c1337f364b8_en" TargetMode="External"/><Relationship Id="rId38" Type="http://schemas.openxmlformats.org/officeDocument/2006/relationships/hyperlink" Target="https://www.acer.europa.eu/Publications/ACER_electricity_network_tariff_report.pdf" TargetMode="External"/><Relationship Id="rId46" Type="http://schemas.openxmlformats.org/officeDocument/2006/relationships/hyperlink" Target="https://eur-lex.europa.eu/eli/dir/2022/2555" TargetMode="External"/><Relationship Id="rId20" Type="http://schemas.openxmlformats.org/officeDocument/2006/relationships/hyperlink" Target="https://transport.ec.europa.eu/transport-themes/clean-transport/sustainable-transport-forum-stf_en" TargetMode="External"/><Relationship Id="rId41" Type="http://schemas.openxmlformats.org/officeDocument/2006/relationships/hyperlink" Target="https://op.europa.eu/en/publication-detail/-/publication/82e2011b-be3e-11e9-9d01-01aa75ed71a1" TargetMode="External"/><Relationship Id="rId1" Type="http://schemas.openxmlformats.org/officeDocument/2006/relationships/hyperlink" Target="https://ec.europa.eu/commission/presscorner/detail/en/speech_23_4377" TargetMode="External"/><Relationship Id="rId6" Type="http://schemas.openxmlformats.org/officeDocument/2006/relationships/hyperlink" Target="https://single-market-economy.ec.europa.eu/system/files/2023-03/SWD_2023_68_F1_STAFF_WORKING_PAPER_EN_V4_P1_2629849.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EDA7F7F05E9E4DA3E38A3267F0CEC8" ma:contentTypeVersion="4" ma:contentTypeDescription="Create a new document." ma:contentTypeScope="" ma:versionID="61da4ce336da8d3df089318bc1e71f26">
  <xsd:schema xmlns:xsd="http://www.w3.org/2001/XMLSchema" xmlns:xs="http://www.w3.org/2001/XMLSchema" xmlns:p="http://schemas.microsoft.com/office/2006/metadata/properties" xmlns:ns3="fc7789ca-abf8-4606-a502-e893e7e4b66d" targetNamespace="http://schemas.microsoft.com/office/2006/metadata/properties" ma:root="true" ma:fieldsID="03da4383e49aac12a92319153352e0ff" ns3:_="">
    <xsd:import namespace="fc7789ca-abf8-4606-a502-e893e7e4b66d"/>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789ca-abf8-4606-a502-e893e7e4b66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c7789ca-abf8-4606-a502-e893e7e4b66d" xsi:nil="true"/>
  </documentManagement>
</p:properties>
</file>

<file path=customXml/itemProps1.xml><?xml version="1.0" encoding="utf-8"?>
<ds:datastoreItem xmlns:ds="http://schemas.openxmlformats.org/officeDocument/2006/customXml" ds:itemID="{8E434483-66BC-4430-8DF1-E08EFA42CC2D}">
  <ds:schemaRefs>
    <ds:schemaRef ds:uri="http://schemas.openxmlformats.org/officeDocument/2006/bibliography"/>
  </ds:schemaRefs>
</ds:datastoreItem>
</file>

<file path=customXml/itemProps2.xml><?xml version="1.0" encoding="utf-8"?>
<ds:datastoreItem xmlns:ds="http://schemas.openxmlformats.org/officeDocument/2006/customXml" ds:itemID="{B28BD42B-E6C6-417A-87C3-22E07AB892DA}">
  <ds:schemaRefs>
    <ds:schemaRef ds:uri="http://schemas.microsoft.com/sharepoint/v3/contenttype/forms"/>
  </ds:schemaRefs>
</ds:datastoreItem>
</file>

<file path=customXml/itemProps3.xml><?xml version="1.0" encoding="utf-8"?>
<ds:datastoreItem xmlns:ds="http://schemas.openxmlformats.org/officeDocument/2006/customXml" ds:itemID="{F29B2FBA-E27A-4237-8FC4-3A803D572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789ca-abf8-4606-a502-e893e7e4b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68221-262A-4254-8303-1DE06DB91BBD}">
  <ds:schemaRefs>
    <ds:schemaRef ds:uri="http://schemas.microsoft.com/office/2006/metadata/properties"/>
    <ds:schemaRef ds:uri="http://schemas.microsoft.com/office/infopath/2007/PartnerControls"/>
    <ds:schemaRef ds:uri="fc7789ca-abf8-4606-a502-e893e7e4b6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9389</Words>
  <Characters>55306</Characters>
  <Application>Microsoft Office Word</Application>
  <DocSecurity>4</DocSecurity>
  <Lines>864</Lines>
  <Paragraphs>194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64501</CharactersWithSpaces>
  <SharedDoc>false</SharedDoc>
  <HLinks>
    <vt:vector size="324" baseType="variant">
      <vt:variant>
        <vt:i4>5832710</vt:i4>
      </vt:variant>
      <vt:variant>
        <vt:i4>42</vt:i4>
      </vt:variant>
      <vt:variant>
        <vt:i4>0</vt:i4>
      </vt:variant>
      <vt:variant>
        <vt:i4>5</vt:i4>
      </vt:variant>
      <vt:variant>
        <vt:lpwstr/>
      </vt:variant>
      <vt:variant>
        <vt:lpwstr>Hlk148690075</vt:lpwstr>
      </vt:variant>
      <vt:variant>
        <vt:i4>6029320</vt:i4>
      </vt:variant>
      <vt:variant>
        <vt:i4>39</vt:i4>
      </vt:variant>
      <vt:variant>
        <vt:i4>0</vt:i4>
      </vt:variant>
      <vt:variant>
        <vt:i4>5</vt:i4>
      </vt:variant>
      <vt:variant>
        <vt:lpwstr/>
      </vt:variant>
      <vt:variant>
        <vt:lpwstr>Hlk148690090</vt:lpwstr>
      </vt:variant>
      <vt:variant>
        <vt:i4>5767182</vt:i4>
      </vt:variant>
      <vt:variant>
        <vt:i4>36</vt:i4>
      </vt:variant>
      <vt:variant>
        <vt:i4>0</vt:i4>
      </vt:variant>
      <vt:variant>
        <vt:i4>5</vt:i4>
      </vt:variant>
      <vt:variant>
        <vt:lpwstr/>
      </vt:variant>
      <vt:variant>
        <vt:lpwstr>Hlk148689663</vt:lpwstr>
      </vt:variant>
      <vt:variant>
        <vt:i4>5963790</vt:i4>
      </vt:variant>
      <vt:variant>
        <vt:i4>33</vt:i4>
      </vt:variant>
      <vt:variant>
        <vt:i4>0</vt:i4>
      </vt:variant>
      <vt:variant>
        <vt:i4>5</vt:i4>
      </vt:variant>
      <vt:variant>
        <vt:lpwstr/>
      </vt:variant>
      <vt:variant>
        <vt:lpwstr>Hlk148689462</vt:lpwstr>
      </vt:variant>
      <vt:variant>
        <vt:i4>6225928</vt:i4>
      </vt:variant>
      <vt:variant>
        <vt:i4>30</vt:i4>
      </vt:variant>
      <vt:variant>
        <vt:i4>0</vt:i4>
      </vt:variant>
      <vt:variant>
        <vt:i4>5</vt:i4>
      </vt:variant>
      <vt:variant>
        <vt:lpwstr/>
      </vt:variant>
      <vt:variant>
        <vt:lpwstr>Hlk148689406</vt:lpwstr>
      </vt:variant>
      <vt:variant>
        <vt:i4>6160399</vt:i4>
      </vt:variant>
      <vt:variant>
        <vt:i4>27</vt:i4>
      </vt:variant>
      <vt:variant>
        <vt:i4>0</vt:i4>
      </vt:variant>
      <vt:variant>
        <vt:i4>5</vt:i4>
      </vt:variant>
      <vt:variant>
        <vt:lpwstr/>
      </vt:variant>
      <vt:variant>
        <vt:lpwstr>Hlk148689271</vt:lpwstr>
      </vt:variant>
      <vt:variant>
        <vt:i4>5898240</vt:i4>
      </vt:variant>
      <vt:variant>
        <vt:i4>24</vt:i4>
      </vt:variant>
      <vt:variant>
        <vt:i4>0</vt:i4>
      </vt:variant>
      <vt:variant>
        <vt:i4>5</vt:i4>
      </vt:variant>
      <vt:variant>
        <vt:lpwstr/>
      </vt:variant>
      <vt:variant>
        <vt:lpwstr>Hlk148689186</vt:lpwstr>
      </vt:variant>
      <vt:variant>
        <vt:i4>5505038</vt:i4>
      </vt:variant>
      <vt:variant>
        <vt:i4>21</vt:i4>
      </vt:variant>
      <vt:variant>
        <vt:i4>0</vt:i4>
      </vt:variant>
      <vt:variant>
        <vt:i4>5</vt:i4>
      </vt:variant>
      <vt:variant>
        <vt:lpwstr/>
      </vt:variant>
      <vt:variant>
        <vt:lpwstr>Hlk148689168</vt:lpwstr>
      </vt:variant>
      <vt:variant>
        <vt:i4>5963784</vt:i4>
      </vt:variant>
      <vt:variant>
        <vt:i4>18</vt:i4>
      </vt:variant>
      <vt:variant>
        <vt:i4>0</vt:i4>
      </vt:variant>
      <vt:variant>
        <vt:i4>5</vt:i4>
      </vt:variant>
      <vt:variant>
        <vt:lpwstr/>
      </vt:variant>
      <vt:variant>
        <vt:lpwstr>Hlk148688711</vt:lpwstr>
      </vt:variant>
      <vt:variant>
        <vt:i4>5767169</vt:i4>
      </vt:variant>
      <vt:variant>
        <vt:i4>15</vt:i4>
      </vt:variant>
      <vt:variant>
        <vt:i4>0</vt:i4>
      </vt:variant>
      <vt:variant>
        <vt:i4>5</vt:i4>
      </vt:variant>
      <vt:variant>
        <vt:lpwstr/>
      </vt:variant>
      <vt:variant>
        <vt:lpwstr>Hlk148682025</vt:lpwstr>
      </vt:variant>
      <vt:variant>
        <vt:i4>5701639</vt:i4>
      </vt:variant>
      <vt:variant>
        <vt:i4>12</vt:i4>
      </vt:variant>
      <vt:variant>
        <vt:i4>0</vt:i4>
      </vt:variant>
      <vt:variant>
        <vt:i4>5</vt:i4>
      </vt:variant>
      <vt:variant>
        <vt:lpwstr/>
      </vt:variant>
      <vt:variant>
        <vt:lpwstr>Hlk148681973</vt:lpwstr>
      </vt:variant>
      <vt:variant>
        <vt:i4>5373954</vt:i4>
      </vt:variant>
      <vt:variant>
        <vt:i4>9</vt:i4>
      </vt:variant>
      <vt:variant>
        <vt:i4>0</vt:i4>
      </vt:variant>
      <vt:variant>
        <vt:i4>5</vt:i4>
      </vt:variant>
      <vt:variant>
        <vt:lpwstr/>
      </vt:variant>
      <vt:variant>
        <vt:lpwstr>Hlk148681926</vt:lpwstr>
      </vt:variant>
      <vt:variant>
        <vt:i4>5570567</vt:i4>
      </vt:variant>
      <vt:variant>
        <vt:i4>6</vt:i4>
      </vt:variant>
      <vt:variant>
        <vt:i4>0</vt:i4>
      </vt:variant>
      <vt:variant>
        <vt:i4>5</vt:i4>
      </vt:variant>
      <vt:variant>
        <vt:lpwstr/>
      </vt:variant>
      <vt:variant>
        <vt:lpwstr>Hlk148681870</vt:lpwstr>
      </vt:variant>
      <vt:variant>
        <vt:i4>5505027</vt:i4>
      </vt:variant>
      <vt:variant>
        <vt:i4>3</vt:i4>
      </vt:variant>
      <vt:variant>
        <vt:i4>0</vt:i4>
      </vt:variant>
      <vt:variant>
        <vt:i4>5</vt:i4>
      </vt:variant>
      <vt:variant>
        <vt:lpwstr/>
      </vt:variant>
      <vt:variant>
        <vt:lpwstr>Hlk148681831</vt:lpwstr>
      </vt:variant>
      <vt:variant>
        <vt:i4>5373954</vt:i4>
      </vt:variant>
      <vt:variant>
        <vt:i4>0</vt:i4>
      </vt:variant>
      <vt:variant>
        <vt:i4>0</vt:i4>
      </vt:variant>
      <vt:variant>
        <vt:i4>5</vt:i4>
      </vt:variant>
      <vt:variant>
        <vt:lpwstr/>
      </vt:variant>
      <vt:variant>
        <vt:lpwstr>Hlk148681728</vt:lpwstr>
      </vt:variant>
      <vt:variant>
        <vt:i4>2949133</vt:i4>
      </vt:variant>
      <vt:variant>
        <vt:i4>114</vt:i4>
      </vt:variant>
      <vt:variant>
        <vt:i4>0</vt:i4>
      </vt:variant>
      <vt:variant>
        <vt:i4>5</vt:i4>
      </vt:variant>
      <vt:variant>
        <vt:lpwstr>https://eepublicdownloads.blob.core.windows.net/public-cdn-container/clean-documents/events/2023/230907_Session%2520III_Discussion%2520and%2520Conclusions_for%2520publication.pdf</vt:lpwstr>
      </vt:variant>
      <vt:variant>
        <vt:lpwstr/>
      </vt:variant>
      <vt:variant>
        <vt:i4>3866742</vt:i4>
      </vt:variant>
      <vt:variant>
        <vt:i4>111</vt:i4>
      </vt:variant>
      <vt:variant>
        <vt:i4>0</vt:i4>
      </vt:variant>
      <vt:variant>
        <vt:i4>5</vt:i4>
      </vt:variant>
      <vt:variant>
        <vt:lpwstr>https://interopera.eu/</vt:lpwstr>
      </vt:variant>
      <vt:variant>
        <vt:lpwstr/>
      </vt:variant>
      <vt:variant>
        <vt:i4>6553656</vt:i4>
      </vt:variant>
      <vt:variant>
        <vt:i4>108</vt:i4>
      </vt:variant>
      <vt:variant>
        <vt:i4>0</vt:i4>
      </vt:variant>
      <vt:variant>
        <vt:i4>5</vt:i4>
      </vt:variant>
      <vt:variant>
        <vt:lpwstr>https://www.tennet.eu/about-tennet/innovations/2gw-program</vt:lpwstr>
      </vt:variant>
      <vt:variant>
        <vt:lpwstr/>
      </vt:variant>
      <vt:variant>
        <vt:i4>720967</vt:i4>
      </vt:variant>
      <vt:variant>
        <vt:i4>105</vt:i4>
      </vt:variant>
      <vt:variant>
        <vt:i4>0</vt:i4>
      </vt:variant>
      <vt:variant>
        <vt:i4>5</vt:i4>
      </vt:variant>
      <vt:variant>
        <vt:lpwstr>https://op.europa.eu/en/publication-detail/-/publication/82e2011b-be3e-11e9-9d01-01aa75ed71a1</vt:lpwstr>
      </vt:variant>
      <vt:variant>
        <vt:lpwstr/>
      </vt:variant>
      <vt:variant>
        <vt:i4>2293802</vt:i4>
      </vt:variant>
      <vt:variant>
        <vt:i4>102</vt:i4>
      </vt:variant>
      <vt:variant>
        <vt:i4>0</vt:i4>
      </vt:variant>
      <vt:variant>
        <vt:i4>5</vt:i4>
      </vt:variant>
      <vt:variant>
        <vt:lpwstr>https://circabc.europa.eu/ui/group/3b48eff1-b955-423f-9086-0d85ad1c5879/library/6ed6a844-73b5-4eb4-b26d-58bf61048eba/details?download=true</vt:lpwstr>
      </vt:variant>
      <vt:variant>
        <vt:lpwstr/>
      </vt:variant>
      <vt:variant>
        <vt:i4>917534</vt:i4>
      </vt:variant>
      <vt:variant>
        <vt:i4>99</vt:i4>
      </vt:variant>
      <vt:variant>
        <vt:i4>0</vt:i4>
      </vt:variant>
      <vt:variant>
        <vt:i4>5</vt:i4>
      </vt:variant>
      <vt:variant>
        <vt:lpwstr>https://www.ceer.eu/documents/104400/-/-/2a8f3739-f371-b84f-639e-697903e54acb</vt:lpwstr>
      </vt:variant>
      <vt:variant>
        <vt:lpwstr/>
      </vt:variant>
      <vt:variant>
        <vt:i4>7471115</vt:i4>
      </vt:variant>
      <vt:variant>
        <vt:i4>96</vt:i4>
      </vt:variant>
      <vt:variant>
        <vt:i4>0</vt:i4>
      </vt:variant>
      <vt:variant>
        <vt:i4>5</vt:i4>
      </vt:variant>
      <vt:variant>
        <vt:lpwstr>https://energy.ec.europa.eu/events/9th-energy-infrastructure-forum-2023-06-12_en</vt:lpwstr>
      </vt:variant>
      <vt:variant>
        <vt:lpwstr/>
      </vt:variant>
      <vt:variant>
        <vt:i4>3342336</vt:i4>
      </vt:variant>
      <vt:variant>
        <vt:i4>93</vt:i4>
      </vt:variant>
      <vt:variant>
        <vt:i4>0</vt:i4>
      </vt:variant>
      <vt:variant>
        <vt:i4>5</vt:i4>
      </vt:variant>
      <vt:variant>
        <vt:lpwstr>https://www.acer.europa.eu/en/Electricity/Infrastructure_and_network development/Infrastructure/Documents/Benefit_based_regulation_2023.pdf</vt:lpwstr>
      </vt:variant>
      <vt:variant>
        <vt:lpwstr/>
      </vt:variant>
      <vt:variant>
        <vt:i4>3801088</vt:i4>
      </vt:variant>
      <vt:variant>
        <vt:i4>90</vt:i4>
      </vt:variant>
      <vt:variant>
        <vt:i4>0</vt:i4>
      </vt:variant>
      <vt:variant>
        <vt:i4>5</vt:i4>
      </vt:variant>
      <vt:variant>
        <vt:lpwstr>https://www.currenteurope.eu/wp-content/uploads/2021/12/currENT_Consentec_BenefitsOfInnovativeGridTechnologies_FinalReport_20211208_clean.pdf</vt:lpwstr>
      </vt:variant>
      <vt:variant>
        <vt:lpwstr/>
      </vt:variant>
      <vt:variant>
        <vt:i4>5701708</vt:i4>
      </vt:variant>
      <vt:variant>
        <vt:i4>87</vt:i4>
      </vt:variant>
      <vt:variant>
        <vt:i4>0</vt:i4>
      </vt:variant>
      <vt:variant>
        <vt:i4>5</vt:i4>
      </vt:variant>
      <vt:variant>
        <vt:lpwstr>https://www.ceer.eu/documents/104400/-/-/fd4178b4-ed00-6d06-5f4b-8b87d630b060</vt:lpwstr>
      </vt:variant>
      <vt:variant>
        <vt:lpwstr/>
      </vt:variant>
      <vt:variant>
        <vt:i4>6422633</vt:i4>
      </vt:variant>
      <vt:variant>
        <vt:i4>84</vt:i4>
      </vt:variant>
      <vt:variant>
        <vt:i4>0</vt:i4>
      </vt:variant>
      <vt:variant>
        <vt:i4>5</vt:i4>
      </vt:variant>
      <vt:variant>
        <vt:lpwstr>https://entsoe.eu/Technopedia/</vt:lpwstr>
      </vt:variant>
      <vt:variant>
        <vt:lpwstr/>
      </vt:variant>
      <vt:variant>
        <vt:i4>6029331</vt:i4>
      </vt:variant>
      <vt:variant>
        <vt:i4>81</vt:i4>
      </vt:variant>
      <vt:variant>
        <vt:i4>0</vt:i4>
      </vt:variant>
      <vt:variant>
        <vt:i4>5</vt:i4>
      </vt:variant>
      <vt:variant>
        <vt:lpwstr>https://www.ceer.eu/documents/104400/-/-/e473b6de-03c9-61aa-2c6a-86f2e3aa8f08</vt:lpwstr>
      </vt:variant>
      <vt:variant>
        <vt:lpwstr/>
      </vt:variant>
      <vt:variant>
        <vt:i4>6684798</vt:i4>
      </vt:variant>
      <vt:variant>
        <vt:i4>78</vt:i4>
      </vt:variant>
      <vt:variant>
        <vt:i4>0</vt:i4>
      </vt:variant>
      <vt:variant>
        <vt:i4>5</vt:i4>
      </vt:variant>
      <vt:variant>
        <vt:lpwstr>https://geoportal.egd.cz/itc/default.aspx?ck=1&amp;SID=&amp;serverconf=prip2&amp;br35info=1</vt:lpwstr>
      </vt:variant>
      <vt:variant>
        <vt:lpwstr/>
      </vt:variant>
      <vt:variant>
        <vt:i4>7995514</vt:i4>
      </vt:variant>
      <vt:variant>
        <vt:i4>75</vt:i4>
      </vt:variant>
      <vt:variant>
        <vt:i4>0</vt:i4>
      </vt:variant>
      <vt:variant>
        <vt:i4>5</vt:i4>
      </vt:variant>
      <vt:variant>
        <vt:lpwstr>https://www.edistribucion.com/es/red-electrica/Nodos_capacidad_acceso.html</vt:lpwstr>
      </vt:variant>
      <vt:variant>
        <vt:lpwstr/>
      </vt:variant>
      <vt:variant>
        <vt:i4>65596</vt:i4>
      </vt:variant>
      <vt:variant>
        <vt:i4>72</vt:i4>
      </vt:variant>
      <vt:variant>
        <vt:i4>0</vt:i4>
      </vt:variant>
      <vt:variant>
        <vt:i4>5</vt:i4>
      </vt:variant>
      <vt:variant>
        <vt:lpwstr>https://acer.europa.eu/Publications/ACER_Report_Risks_Incentives.pdf</vt:lpwstr>
      </vt:variant>
      <vt:variant>
        <vt:lpwstr/>
      </vt:variant>
      <vt:variant>
        <vt:i4>3735604</vt:i4>
      </vt:variant>
      <vt:variant>
        <vt:i4>69</vt:i4>
      </vt:variant>
      <vt:variant>
        <vt:i4>0</vt:i4>
      </vt:variant>
      <vt:variant>
        <vt:i4>5</vt:i4>
      </vt:variant>
      <vt:variant>
        <vt:lpwstr>https://www.geode-eu.org/wp-content/uploads/2023/05/GEODE-Paper-Distribution-Grids.pdf</vt:lpwstr>
      </vt:variant>
      <vt:variant>
        <vt:lpwstr/>
      </vt:variant>
      <vt:variant>
        <vt:i4>5963796</vt:i4>
      </vt:variant>
      <vt:variant>
        <vt:i4>66</vt:i4>
      </vt:variant>
      <vt:variant>
        <vt:i4>0</vt:i4>
      </vt:variant>
      <vt:variant>
        <vt:i4>5</vt:i4>
      </vt:variant>
      <vt:variant>
        <vt:lpwstr>https://cdn.eurelectric.org/media/5089/dso-facts-and-figures-11122020-compressed-2020-030-0721-01-e-h-6BF237D8.pdf?_gl=1*coc6nj*_ga*MTc4MjQ2MzMyMS4xNjk3MTIzNjkx*_ga_CB82F90MQ6*MTY5NzY0MjAxNC4zLjEuMTY5NzY0Mjk3Ni40Ny4wLjA.</vt:lpwstr>
      </vt:variant>
      <vt:variant>
        <vt:lpwstr/>
      </vt:variant>
      <vt:variant>
        <vt:i4>3145762</vt:i4>
      </vt:variant>
      <vt:variant>
        <vt:i4>63</vt:i4>
      </vt:variant>
      <vt:variant>
        <vt:i4>0</vt:i4>
      </vt:variant>
      <vt:variant>
        <vt:i4>5</vt:i4>
      </vt:variant>
      <vt:variant>
        <vt:lpwstr>https://eur-lex.europa.eu/legal-content/EN/TXT/?uri=CELEX:32023H0320(01)&amp;qid=1679302898964</vt:lpwstr>
      </vt:variant>
      <vt:variant>
        <vt:lpwstr/>
      </vt:variant>
      <vt:variant>
        <vt:i4>2883703</vt:i4>
      </vt:variant>
      <vt:variant>
        <vt:i4>60</vt:i4>
      </vt:variant>
      <vt:variant>
        <vt:i4>0</vt:i4>
      </vt:variant>
      <vt:variant>
        <vt:i4>5</vt:i4>
      </vt:variant>
      <vt:variant>
        <vt:lpwstr>https://www.entsoe.eu/eugridforum/</vt:lpwstr>
      </vt:variant>
      <vt:variant>
        <vt:lpwstr/>
      </vt:variant>
      <vt:variant>
        <vt:i4>720962</vt:i4>
      </vt:variant>
      <vt:variant>
        <vt:i4>57</vt:i4>
      </vt:variant>
      <vt:variant>
        <vt:i4>0</vt:i4>
      </vt:variant>
      <vt:variant>
        <vt:i4>5</vt:i4>
      </vt:variant>
      <vt:variant>
        <vt:lpwstr>https://www.sincrogrid.eu/en/News/ArticleID/442/Recordings-of-the-Smart-Grid-PCIs-Summit</vt:lpwstr>
      </vt:variant>
      <vt:variant>
        <vt:lpwstr/>
      </vt:variant>
      <vt:variant>
        <vt:i4>4980755</vt:i4>
      </vt:variant>
      <vt:variant>
        <vt:i4>54</vt:i4>
      </vt:variant>
      <vt:variant>
        <vt:i4>0</vt:i4>
      </vt:variant>
      <vt:variant>
        <vt:i4>5</vt:i4>
      </vt:variant>
      <vt:variant>
        <vt:lpwstr>https://www.pcisummit.eu/live-stream/</vt:lpwstr>
      </vt:variant>
      <vt:variant>
        <vt:lpwstr/>
      </vt:variant>
      <vt:variant>
        <vt:i4>4653157</vt:i4>
      </vt:variant>
      <vt:variant>
        <vt:i4>51</vt:i4>
      </vt:variant>
      <vt:variant>
        <vt:i4>0</vt:i4>
      </vt:variant>
      <vt:variant>
        <vt:i4>5</vt:i4>
      </vt:variant>
      <vt:variant>
        <vt:lpwstr>https://energy.ec.europa.eu/topics/infrastructure/projects-common-interest/pci-energy-days_en</vt:lpwstr>
      </vt:variant>
      <vt:variant>
        <vt:lpwstr/>
      </vt:variant>
      <vt:variant>
        <vt:i4>3604552</vt:i4>
      </vt:variant>
      <vt:variant>
        <vt:i4>48</vt:i4>
      </vt:variant>
      <vt:variant>
        <vt:i4>0</vt:i4>
      </vt:variant>
      <vt:variant>
        <vt:i4>5</vt:i4>
      </vt:variant>
      <vt:variant>
        <vt:lpwstr>https://energy.ec.europa.eu/topics/infrastructure/energy-infrastructure-forum_en</vt:lpwstr>
      </vt:variant>
      <vt:variant>
        <vt:lpwstr/>
      </vt:variant>
      <vt:variant>
        <vt:i4>5570666</vt:i4>
      </vt:variant>
      <vt:variant>
        <vt:i4>45</vt:i4>
      </vt:variant>
      <vt:variant>
        <vt:i4>0</vt:i4>
      </vt:variant>
      <vt:variant>
        <vt:i4>5</vt:i4>
      </vt:variant>
      <vt:variant>
        <vt:lpwstr>https://energy.ec.europa.eu/system/files/2023-10/C_2023_6121_F1_COMMISSION_DECISION_EN_V5_P1_2863509.PDF</vt:lpwstr>
      </vt:variant>
      <vt:variant>
        <vt:lpwstr/>
      </vt:variant>
      <vt:variant>
        <vt:i4>1310790</vt:i4>
      </vt:variant>
      <vt:variant>
        <vt:i4>42</vt:i4>
      </vt:variant>
      <vt:variant>
        <vt:i4>0</vt:i4>
      </vt:variant>
      <vt:variant>
        <vt:i4>5</vt:i4>
      </vt:variant>
      <vt:variant>
        <vt:lpwstr>https://eur-lex.europa.eu/legal-content/EN/TXT/?uri=CELEX:32022R2577</vt:lpwstr>
      </vt:variant>
      <vt:variant>
        <vt:lpwstr/>
      </vt:variant>
      <vt:variant>
        <vt:i4>131148</vt:i4>
      </vt:variant>
      <vt:variant>
        <vt:i4>39</vt:i4>
      </vt:variant>
      <vt:variant>
        <vt:i4>0</vt:i4>
      </vt:variant>
      <vt:variant>
        <vt:i4>5</vt:i4>
      </vt:variant>
      <vt:variant>
        <vt:lpwstr>https://www.acer.europa.eu/Publications/ACER_electricity_network_tariff_report.pdf</vt:lpwstr>
      </vt:variant>
      <vt:variant>
        <vt:lpwstr/>
      </vt:variant>
      <vt:variant>
        <vt:i4>3604552</vt:i4>
      </vt:variant>
      <vt:variant>
        <vt:i4>36</vt:i4>
      </vt:variant>
      <vt:variant>
        <vt:i4>0</vt:i4>
      </vt:variant>
      <vt:variant>
        <vt:i4>5</vt:i4>
      </vt:variant>
      <vt:variant>
        <vt:lpwstr>https://energy.ec.europa.eu/topics/infrastructure/energy-infrastructure-forum_en</vt:lpwstr>
      </vt:variant>
      <vt:variant>
        <vt:lpwstr/>
      </vt:variant>
      <vt:variant>
        <vt:i4>4718704</vt:i4>
      </vt:variant>
      <vt:variant>
        <vt:i4>33</vt:i4>
      </vt:variant>
      <vt:variant>
        <vt:i4>0</vt:i4>
      </vt:variant>
      <vt:variant>
        <vt:i4>5</vt:i4>
      </vt:variant>
      <vt:variant>
        <vt:lpwstr>https://www.eurelectric.org/media/6622/report-block-1_part-1-grid-capacity_final-draft_3082023.pdf</vt:lpwstr>
      </vt:variant>
      <vt:variant>
        <vt:lpwstr/>
      </vt:variant>
      <vt:variant>
        <vt:i4>8323124</vt:i4>
      </vt:variant>
      <vt:variant>
        <vt:i4>30</vt:i4>
      </vt:variant>
      <vt:variant>
        <vt:i4>0</vt:i4>
      </vt:variant>
      <vt:variant>
        <vt:i4>5</vt:i4>
      </vt:variant>
      <vt:variant>
        <vt:lpwstr>https://eur-lex.europa.eu/legal-content/EN/TXT/?uri=CELEX%3A52022XC0324%2810%29</vt:lpwstr>
      </vt:variant>
      <vt:variant>
        <vt:lpwstr/>
      </vt:variant>
      <vt:variant>
        <vt:i4>8323128</vt:i4>
      </vt:variant>
      <vt:variant>
        <vt:i4>27</vt:i4>
      </vt:variant>
      <vt:variant>
        <vt:i4>0</vt:i4>
      </vt:variant>
      <vt:variant>
        <vt:i4>5</vt:i4>
      </vt:variant>
      <vt:variant>
        <vt:lpwstr>https://eur-lex.europa.eu/legal-content/EN/TXT/?uri=celex%3A52022XC0218%2803%29</vt:lpwstr>
      </vt:variant>
      <vt:variant>
        <vt:lpwstr/>
      </vt:variant>
      <vt:variant>
        <vt:i4>7340155</vt:i4>
      </vt:variant>
      <vt:variant>
        <vt:i4>24</vt:i4>
      </vt:variant>
      <vt:variant>
        <vt:i4>0</vt:i4>
      </vt:variant>
      <vt:variant>
        <vt:i4>5</vt:i4>
      </vt:variant>
      <vt:variant>
        <vt:lpwstr>https://www.eurelectric.org/connecting-the-dots</vt:lpwstr>
      </vt:variant>
      <vt:variant>
        <vt:lpwstr>:~:text=%25E2%2582%25AC375%252D425%2520billion%2520of,investments%2520need%2520to%2520take%2520place%253F</vt:lpwstr>
      </vt:variant>
      <vt:variant>
        <vt:i4>2621494</vt:i4>
      </vt:variant>
      <vt:variant>
        <vt:i4>21</vt:i4>
      </vt:variant>
      <vt:variant>
        <vt:i4>0</vt:i4>
      </vt:variant>
      <vt:variant>
        <vt:i4>5</vt:i4>
      </vt:variant>
      <vt:variant>
        <vt:lpwstr>https://about.bnef.com/blog/a-power-grid-long-enough-to-reach-the-sun-is-key-to-the-climate-fight/</vt:lpwstr>
      </vt:variant>
      <vt:variant>
        <vt:lpwstr/>
      </vt:variant>
      <vt:variant>
        <vt:i4>6357025</vt:i4>
      </vt:variant>
      <vt:variant>
        <vt:i4>18</vt:i4>
      </vt:variant>
      <vt:variant>
        <vt:i4>0</vt:i4>
      </vt:variant>
      <vt:variant>
        <vt:i4>5</vt:i4>
      </vt:variant>
      <vt:variant>
        <vt:lpwstr>https://powerbarometer.eurelectric.org/</vt:lpwstr>
      </vt:variant>
      <vt:variant>
        <vt:lpwstr/>
      </vt:variant>
      <vt:variant>
        <vt:i4>7340155</vt:i4>
      </vt:variant>
      <vt:variant>
        <vt:i4>15</vt:i4>
      </vt:variant>
      <vt:variant>
        <vt:i4>0</vt:i4>
      </vt:variant>
      <vt:variant>
        <vt:i4>5</vt:i4>
      </vt:variant>
      <vt:variant>
        <vt:lpwstr>https://www.eurelectric.org/connecting-the-dots</vt:lpwstr>
      </vt:variant>
      <vt:variant>
        <vt:lpwstr>:~:text=%25E2%2582%25AC375%252D425%2520billion%2520of,investments%2520need%2520to%2520take%2520place%253F</vt:lpwstr>
      </vt:variant>
      <vt:variant>
        <vt:i4>6357025</vt:i4>
      </vt:variant>
      <vt:variant>
        <vt:i4>12</vt:i4>
      </vt:variant>
      <vt:variant>
        <vt:i4>0</vt:i4>
      </vt:variant>
      <vt:variant>
        <vt:i4>5</vt:i4>
      </vt:variant>
      <vt:variant>
        <vt:lpwstr>https://powerbarometer.eurelectric.org/</vt:lpwstr>
      </vt:variant>
      <vt:variant>
        <vt:lpwstr/>
      </vt:variant>
      <vt:variant>
        <vt:i4>1835016</vt:i4>
      </vt:variant>
      <vt:variant>
        <vt:i4>9</vt:i4>
      </vt:variant>
      <vt:variant>
        <vt:i4>0</vt:i4>
      </vt:variant>
      <vt:variant>
        <vt:i4>5</vt:i4>
      </vt:variant>
      <vt:variant>
        <vt:lpwstr>https://transparency.entsoe.eu/generation/r2/installedGenerationCapacityAggregation/show</vt:lpwstr>
      </vt:variant>
      <vt:variant>
        <vt:lpwstr/>
      </vt:variant>
      <vt:variant>
        <vt:i4>7667764</vt:i4>
      </vt:variant>
      <vt:variant>
        <vt:i4>6</vt:i4>
      </vt:variant>
      <vt:variant>
        <vt:i4>0</vt:i4>
      </vt:variant>
      <vt:variant>
        <vt:i4>5</vt:i4>
      </vt:variant>
      <vt:variant>
        <vt:lpwstr>https://eur-lex.europa.eu/legal-content/EN/TXT/?uri=CELEX:52022DC0552&amp;qid=1666369684560</vt:lpwstr>
      </vt:variant>
      <vt:variant>
        <vt:lpwstr/>
      </vt:variant>
      <vt:variant>
        <vt:i4>5308458</vt:i4>
      </vt:variant>
      <vt:variant>
        <vt:i4>3</vt:i4>
      </vt:variant>
      <vt:variant>
        <vt:i4>0</vt:i4>
      </vt:variant>
      <vt:variant>
        <vt:i4>5</vt:i4>
      </vt:variant>
      <vt:variant>
        <vt:lpwstr>https://www.eib.org/attachments/lucalli/20230107_cross_border_infrastructure_projects_en.pdf</vt:lpwstr>
      </vt:variant>
      <vt:variant>
        <vt:lpwstr/>
      </vt:variant>
      <vt:variant>
        <vt:i4>5570574</vt:i4>
      </vt:variant>
      <vt:variant>
        <vt:i4>0</vt:i4>
      </vt:variant>
      <vt:variant>
        <vt:i4>0</vt:i4>
      </vt:variant>
      <vt:variant>
        <vt:i4>5</vt:i4>
      </vt:variant>
      <vt:variant>
        <vt:lpwstr>https://iea.blob.core.windows.net/assets/70f2de45-6d84-4e07-bfd0-93833e205c81/ElectricityGridsandSecureEnergyTransitions.pdf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KOUTZIAVASILI Dimitra (SG)</dc:creator>
  <cp:keywords/>
  <dc:description/>
  <cp:lastModifiedBy>KOUTZIAVASILI Dimitra (SG)</cp:lastModifiedBy>
  <cp:revision>2</cp:revision>
  <cp:lastPrinted>2023-11-26T18:39:00Z</cp:lastPrinted>
  <dcterms:created xsi:type="dcterms:W3CDTF">2023-11-28T09:21:00Z</dcterms:created>
  <dcterms:modified xsi:type="dcterms:W3CDTF">2023-11-28T09:21:00Z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2023-10-22T10:41:28Z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633fc346-c430-43c1-b4f9-4706ba83b9ba</vt:lpwstr>
  </property>
  <property fmtid="{D5CDD505-2E9C-101B-9397-08002B2CF9AE}" pid="8" name="MSIP_Label_6bd9ddd1-4d20-43f6-abfa-fc3c07406f94_ContentBits">
    <vt:lpwstr>0</vt:lpwstr>
  </property>
  <property fmtid="{D5CDD505-2E9C-101B-9397-08002B2CF9AE}" pid="9" name="ContentTypeId">
    <vt:lpwstr>0x010100DCEDA7F7F05E9E4DA3E38A3267F0CEC8</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Last edited using">
    <vt:lpwstr>LW 9.0, Build 20230317</vt:lpwstr>
  </property>
  <property fmtid="{D5CDD505-2E9C-101B-9397-08002B2CF9AE}" pid="14" name="DocStatus">
    <vt:lpwstr>Green</vt:lpwstr>
  </property>
  <property fmtid="{D5CDD505-2E9C-101B-9397-08002B2CF9AE}" pid="15" name="CPTemplateID">
    <vt:lpwstr>CP-014</vt:lpwstr>
  </property>
  <property fmtid="{D5CDD505-2E9C-101B-9397-08002B2CF9AE}" pid="16" name="Created using">
    <vt:lpwstr>LW 9.0, Build 20230317</vt:lpwstr>
  </property>
</Properties>
</file>